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7"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323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180340</wp:posOffset>
            </wp:positionV>
            <wp:extent cx="702945"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 cy="316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CECO ENVIRONMENTAL CORP.</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790" w:type="dxa"/>
        <w:tblCellMar>
          <w:top w:w="0" w:type="dxa"/>
          <w:left w:w="0" w:type="dxa"/>
          <w:bottom w:w="0" w:type="dxa"/>
          <w:right w:w="0" w:type="dxa"/>
        </w:tblCellMar>
      </w:tblPr>
      <w:tr>
        <w:trPr>
          <w:trHeight w:val="212"/>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jc w:val="right"/>
              <w:ind w:right="1800"/>
              <w:spacing w:after="0"/>
              <w:rPr>
                <w:sz w:val="20"/>
                <w:szCs w:val="20"/>
                <w:color w:val="auto"/>
              </w:rPr>
            </w:pPr>
            <w:r>
              <w:rPr>
                <w:rFonts w:ascii="Arial" w:cs="Arial" w:eastAsia="Arial" w:hAnsi="Arial"/>
                <w:sz w:val="18"/>
                <w:szCs w:val="18"/>
                <w:b w:val="1"/>
                <w:bCs w:val="1"/>
                <w:color w:val="auto"/>
              </w:rPr>
              <w:t>13-2566064</w:t>
            </w:r>
          </w:p>
        </w:tc>
      </w:tr>
      <w:tr>
        <w:trPr>
          <w:trHeight w:val="148"/>
        </w:trPr>
        <w:tc>
          <w:tcPr>
            <w:tcW w:w="3200" w:type="dxa"/>
            <w:vAlign w:val="bottom"/>
          </w:tcPr>
          <w:p>
            <w:pPr>
              <w:jc w:val="center"/>
              <w:ind w:left="67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640" w:type="dxa"/>
            <w:vAlign w:val="bottom"/>
          </w:tcPr>
          <w:p>
            <w:pPr>
              <w:jc w:val="center"/>
              <w:ind w:right="90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00" w:type="dxa"/>
            <w:vAlign w:val="bottom"/>
          </w:tcPr>
          <w:p>
            <w:pPr>
              <w:jc w:val="center"/>
              <w:ind w:left="677"/>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40" w:type="dxa"/>
            <w:vAlign w:val="bottom"/>
          </w:tcPr>
          <w:p>
            <w:pPr>
              <w:jc w:val="center"/>
              <w:ind w:right="900"/>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14651 North Dallas Parkway</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Suite 500</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2"/>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87"/>
              </w:rPr>
              <w:t>Dallas, Texas</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jc w:val="right"/>
              <w:ind w:right="2000"/>
              <w:spacing w:after="0"/>
              <w:rPr>
                <w:sz w:val="20"/>
                <w:szCs w:val="20"/>
                <w:color w:val="auto"/>
              </w:rPr>
            </w:pPr>
            <w:r>
              <w:rPr>
                <w:rFonts w:ascii="Arial" w:cs="Arial" w:eastAsia="Arial" w:hAnsi="Arial"/>
                <w:sz w:val="18"/>
                <w:szCs w:val="18"/>
                <w:b w:val="1"/>
                <w:bCs w:val="1"/>
                <w:color w:val="auto"/>
              </w:rPr>
              <w:t>75254</w:t>
            </w:r>
          </w:p>
        </w:tc>
      </w:tr>
      <w:tr>
        <w:trPr>
          <w:trHeight w:val="186"/>
        </w:trPr>
        <w:tc>
          <w:tcPr>
            <w:tcW w:w="3200" w:type="dxa"/>
            <w:vAlign w:val="bottom"/>
          </w:tcPr>
          <w:p>
            <w:pPr>
              <w:jc w:val="center"/>
              <w:ind w:left="69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40" w:type="dxa"/>
            <w:vAlign w:val="bottom"/>
          </w:tcPr>
          <w:p>
            <w:pPr>
              <w:jc w:val="center"/>
              <w:ind w:right="900"/>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10020" w:type="dxa"/>
            <w:vAlign w:val="bottom"/>
            <w:gridSpan w:val="4"/>
          </w:tcPr>
          <w:p>
            <w:pPr>
              <w:ind w:left="2260"/>
              <w:spacing w:after="0"/>
              <w:rPr>
                <w:sz w:val="20"/>
                <w:szCs w:val="20"/>
                <w:color w:val="auto"/>
              </w:rPr>
            </w:pPr>
            <w:r>
              <w:rPr>
                <w:rFonts w:ascii="Arial" w:cs="Arial" w:eastAsia="Arial" w:hAnsi="Arial"/>
                <w:sz w:val="18"/>
                <w:szCs w:val="18"/>
                <w:b w:val="1"/>
                <w:bCs w:val="1"/>
                <w:color w:val="auto"/>
              </w:rPr>
              <w:t>Registrant’s telephone number, including area code: (214) 357-6181</w:t>
            </w:r>
          </w:p>
        </w:tc>
      </w:tr>
      <w:tr>
        <w:trPr>
          <w:trHeight w:val="308"/>
        </w:trPr>
        <w:tc>
          <w:tcPr>
            <w:tcW w:w="32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03"/>
        </w:trPr>
        <w:tc>
          <w:tcPr>
            <w:tcW w:w="3200" w:type="dxa"/>
            <w:vAlign w:val="bottom"/>
            <w:tcBorders>
              <w:left w:val="single" w:sz="8" w:color="auto"/>
            </w:tcBorders>
          </w:tcPr>
          <w:p>
            <w:pPr>
              <w:jc w:val="center"/>
              <w:ind w:left="277"/>
              <w:spacing w:after="0"/>
              <w:rPr>
                <w:sz w:val="20"/>
                <w:szCs w:val="20"/>
                <w:color w:val="auto"/>
              </w:rPr>
            </w:pPr>
            <w:r>
              <w:rPr>
                <w:rFonts w:ascii="Arial" w:cs="Arial" w:eastAsia="Arial" w:hAnsi="Arial"/>
                <w:sz w:val="16"/>
                <w:szCs w:val="16"/>
                <w:color w:val="auto"/>
                <w:w w:val="90"/>
              </w:rPr>
              <w:t>Title of each class</w:t>
            </w:r>
          </w:p>
        </w:tc>
        <w:tc>
          <w:tcPr>
            <w:tcW w:w="36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2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00"/>
        </w:trPr>
        <w:tc>
          <w:tcPr>
            <w:tcW w:w="3200" w:type="dxa"/>
            <w:vAlign w:val="bottom"/>
            <w:tcBorders>
              <w:left w:val="single" w:sz="8" w:color="auto"/>
            </w:tcBorders>
          </w:tcPr>
          <w:p>
            <w:pPr>
              <w:jc w:val="center"/>
              <w:ind w:left="277"/>
              <w:spacing w:after="0"/>
              <w:rPr>
                <w:sz w:val="20"/>
                <w:szCs w:val="20"/>
                <w:color w:val="auto"/>
              </w:rPr>
            </w:pPr>
            <w:r>
              <w:rPr>
                <w:rFonts w:ascii="Arial" w:cs="Arial" w:eastAsia="Arial" w:hAnsi="Arial"/>
                <w:sz w:val="16"/>
                <w:szCs w:val="16"/>
                <w:color w:val="auto"/>
                <w:w w:val="90"/>
              </w:rPr>
              <w:t>Common Stock, par value $0.01 per share</w:t>
            </w:r>
          </w:p>
        </w:tc>
        <w:tc>
          <w:tcPr>
            <w:tcW w:w="36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CECE</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37"/>
        </w:trPr>
        <w:tc>
          <w:tcPr>
            <w:tcW w:w="32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bl>
    <w:p>
      <w:pPr>
        <w:spacing w:after="0" w:line="94" w:lineRule="exact"/>
        <w:rPr>
          <w:sz w:val="24"/>
          <w:szCs w:val="24"/>
          <w:color w:val="auto"/>
        </w:rPr>
      </w:pPr>
    </w:p>
    <w:p>
      <w:pPr>
        <w:ind w:firstLine="26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269"/>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1" w:lineRule="exact"/>
        <w:rPr>
          <w:sz w:val="24"/>
          <w:szCs w:val="24"/>
          <w:color w:val="auto"/>
        </w:rPr>
      </w:pPr>
    </w:p>
    <w:p>
      <w:pPr>
        <w:spacing w:after="0" w:line="207" w:lineRule="exact"/>
        <w:tabs>
          <w:tab w:leader="none" w:pos="580" w:val="left"/>
          <w:tab w:leader="none" w:pos="126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right="100" w:firstLine="26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82" w:lineRule="exact"/>
        <w:rPr>
          <w:sz w:val="24"/>
          <w:szCs w:val="24"/>
          <w:color w:val="auto"/>
        </w:rPr>
      </w:pPr>
    </w:p>
    <w:p>
      <w:pPr>
        <w:ind w:right="180" w:firstLine="26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80"/>
        <w:spacing w:after="0" w:line="207" w:lineRule="exact"/>
        <w:tabs>
          <w:tab w:leader="none" w:pos="9080" w:val="left"/>
          <w:tab w:leader="none" w:pos="9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60" w:firstLine="269"/>
        <w:spacing w:after="0" w:line="277"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35,394,045 shares of common stock, par value $0.01 per share, as of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March 31,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Part I –</w:t>
            </w:r>
          </w:p>
        </w:tc>
        <w:tc>
          <w:tcPr>
            <w:tcW w:w="9300" w:type="dxa"/>
            <w:vAlign w:val="bottom"/>
            <w:gridSpan w:val="8"/>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4"/>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u w:val="single" w:color="auto"/>
                  <w:color w:val="0000EE"/>
                </w:rPr>
                <w:t>Condensed Consolidated Balance Sheets as of March 31, 2020 and December 31, 201</w:t>
              </w:r>
            </w:hyperlink>
            <w:r>
              <w:rPr>
                <w:rFonts w:ascii="Arial" w:cs="Arial" w:eastAsia="Arial" w:hAnsi="Arial"/>
                <w:sz w:val="18"/>
                <w:szCs w:val="18"/>
                <w:color w:val="000000"/>
              </w:rPr>
              <w:t>9</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8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 for the three-month periods ended March 31,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80" w:type="dxa"/>
            <w:vAlign w:val="bottom"/>
            <w:gridSpan w:val="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three-month periods ended March 31, 2020 and</w:t>
              </w:r>
            </w:hyperlink>
          </w:p>
        </w:tc>
        <w:tc>
          <w:tcPr>
            <w:tcW w:w="66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5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80" w:type="dxa"/>
            <w:vAlign w:val="bottom"/>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u w:val="single" w:color="auto"/>
                  <w:color w:val="0000EE"/>
                  <w:w w:val="89"/>
                </w:rPr>
                <w:t>Condensed Consolidated Statements of Shareholders’ Equity for the three-month periods ended March 31, 2020 and 20</w:t>
              </w:r>
            </w:hyperlink>
            <w:r>
              <w:rPr>
                <w:rFonts w:ascii="Arial" w:cs="Arial" w:eastAsia="Arial" w:hAnsi="Arial"/>
                <w:sz w:val="18"/>
                <w:szCs w:val="18"/>
                <w:color w:val="000000"/>
                <w:w w:val="89"/>
              </w:rPr>
              <w:t>19</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0" w:type="dxa"/>
            <w:vAlign w:val="bottom"/>
            <w:gridSpan w:val="6"/>
          </w:tcPr>
          <w:p>
            <w:pPr>
              <w:spacing w:after="0"/>
              <w:rPr>
                <w:rFonts w:ascii="Arial" w:cs="Arial" w:eastAsia="Arial" w:hAnsi="Arial"/>
                <w:sz w:val="18"/>
                <w:szCs w:val="18"/>
                <w:u w:val="single" w:color="auto"/>
                <w:color w:val="0000EE"/>
                <w:w w:val="94"/>
              </w:rPr>
            </w:pPr>
            <w:hyperlink w:anchor="page7">
              <w:r>
                <w:rPr>
                  <w:rFonts w:ascii="Arial" w:cs="Arial" w:eastAsia="Arial" w:hAnsi="Arial"/>
                  <w:sz w:val="18"/>
                  <w:szCs w:val="18"/>
                  <w:u w:val="single" w:color="auto"/>
                  <w:color w:val="0000EE"/>
                  <w:w w:val="94"/>
                </w:rPr>
                <w:t>Condensed Consolidated Statements of Cash Flows for the three-month periods ended March 31, 2020 and 2019</w:t>
              </w:r>
            </w:hyperlink>
          </w:p>
        </w:tc>
        <w:tc>
          <w:tcPr>
            <w:tcW w:w="180" w:type="dxa"/>
            <w:vAlign w:val="bottom"/>
            <w:tcBorders>
              <w:top w:val="single" w:sz="8" w:color="auto"/>
            </w:tcBorders>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80" w:type="dxa"/>
            <w:vAlign w:val="bottom"/>
            <w:gridSpan w:val="7"/>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4"/>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3. 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4"/>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4. 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Part II –</w:t>
            </w: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4"/>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 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1A. 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4"/>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5. 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840" w:type="dxa"/>
            <w:vAlign w:val="bottom"/>
          </w:tcPr>
          <w:p>
            <w:pPr>
              <w:spacing w:after="0"/>
              <w:rPr>
                <w:sz w:val="24"/>
                <w:szCs w:val="24"/>
                <w:color w:val="auto"/>
              </w:rPr>
            </w:pPr>
          </w:p>
        </w:tc>
        <w:tc>
          <w:tcPr>
            <w:tcW w:w="9300" w:type="dxa"/>
            <w:vAlign w:val="bottom"/>
            <w:gridSpan w:val="8"/>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 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5"/>
        </w:trPr>
        <w:tc>
          <w:tcPr>
            <w:tcW w:w="840" w:type="dxa"/>
            <w:vAlign w:val="bottom"/>
          </w:tcPr>
          <w:p>
            <w:pPr>
              <w:spacing w:after="0"/>
              <w:rPr>
                <w:rFonts w:ascii="Arial" w:cs="Arial" w:eastAsia="Arial" w:hAnsi="Arial"/>
                <w:sz w:val="18"/>
                <w:szCs w:val="18"/>
                <w:u w:val="single" w:color="auto"/>
                <w:color w:val="0000EE"/>
                <w:w w:val="95"/>
              </w:rPr>
            </w:pPr>
            <w:hyperlink w:anchor="page31">
              <w:r>
                <w:rPr>
                  <w:rFonts w:ascii="Arial" w:cs="Arial" w:eastAsia="Arial" w:hAnsi="Arial"/>
                  <w:sz w:val="18"/>
                  <w:szCs w:val="18"/>
                  <w:u w:val="single" w:color="auto"/>
                  <w:color w:val="0000EE"/>
                  <w:w w:val="95"/>
                </w:rPr>
                <w:t>Signatures</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40" w:top="337"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1"/>
        </w:trPr>
        <w:tc>
          <w:tcPr>
            <w:tcW w:w="6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ind w:left="330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82,528</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39,160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151,676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445,257</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ind w:left="1680"/>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6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71,988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108,413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105,481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w:t>
            </w:r>
          </w:p>
        </w:tc>
        <w:tc>
          <w:tcPr>
            <w:tcW w:w="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35,337,859 and</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4"/>
              </w:rPr>
              <w:t>35,275,465 shares issued and outstanding at March 31, 2020 and December 31, 2019,</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respectively</w:t>
            </w: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254,313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(42,932)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(46,344)</w:t>
            </w: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(16,773)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194,962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w w:val="95"/>
              </w:rPr>
              <w:t>Less treasury stock, at cost, 137,920 shares at March 31, 2020 and December 31, 2019</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194,606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445,257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420" w:type="dxa"/>
            <w:vAlign w:val="bottom"/>
          </w:tcPr>
          <w:p>
            <w:pPr>
              <w:spacing w:after="0"/>
              <w:rPr>
                <w:sz w:val="14"/>
                <w:szCs w:val="14"/>
                <w:color w:val="auto"/>
              </w:rPr>
            </w:pPr>
          </w:p>
        </w:tc>
        <w:tc>
          <w:tcPr>
            <w:tcW w:w="35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vMerge w:val="continue"/>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80,486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52,207</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21,953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Loss on divestitures, net of selling costs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(1,023)</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35,155,377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34,835,550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35,394,865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340" w:type="dxa"/>
            <w:vAlign w:val="bottom"/>
            <w:tcBorders>
              <w:bottom w:val="single" w:sz="8" w:color="CFF0FC"/>
            </w:tcBorders>
            <w:vMerge w:val="continue"/>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loss</w:t>
            </w:r>
          </w:p>
        </w:tc>
        <w:tc>
          <w:tcPr>
            <w:tcW w:w="1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5340" w:type="dxa"/>
            <w:vAlign w:val="bottom"/>
          </w:tcPr>
          <w:p>
            <w:pPr>
              <w:ind w:left="260"/>
              <w:spacing w:after="0"/>
              <w:rPr>
                <w:sz w:val="20"/>
                <w:szCs w:val="20"/>
                <w:color w:val="auto"/>
              </w:rPr>
            </w:pPr>
            <w:r>
              <w:rPr>
                <w:rFonts w:ascii="Arial" w:cs="Arial" w:eastAsia="Arial" w:hAnsi="Arial"/>
                <w:sz w:val="18"/>
                <w:szCs w:val="18"/>
                <w:color w:val="auto"/>
              </w:rPr>
              <w:t>Foreign currency translation (loss) gain</w:t>
            </w:r>
          </w:p>
        </w:tc>
        <w:tc>
          <w:tcPr>
            <w:tcW w:w="1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Capital in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color w:val="auto"/>
                <w:w w:val="96"/>
              </w:rPr>
              <w:t>Common Stock</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7"/>
              </w:rPr>
              <w:t>excess of</w:t>
            </w:r>
          </w:p>
        </w:tc>
        <w:tc>
          <w:tcPr>
            <w:tcW w:w="1000" w:type="dxa"/>
            <w:vAlign w:val="bottom"/>
            <w:gridSpan w:val="8"/>
          </w:tcPr>
          <w:p>
            <w:pPr>
              <w:ind w:left="100"/>
              <w:spacing w:after="0"/>
              <w:rPr>
                <w:sz w:val="20"/>
                <w:szCs w:val="20"/>
                <w:color w:val="auto"/>
              </w:rPr>
            </w:pPr>
            <w:r>
              <w:rPr>
                <w:rFonts w:ascii="Arial" w:cs="Arial" w:eastAsia="Arial" w:hAnsi="Arial"/>
                <w:sz w:val="13"/>
                <w:szCs w:val="13"/>
                <w:b w:val="1"/>
                <w:bCs w:val="1"/>
                <w:color w:val="auto"/>
              </w:rPr>
              <w:t>Accumulated</w:t>
            </w:r>
          </w:p>
        </w:tc>
        <w:tc>
          <w:tcPr>
            <w:tcW w:w="1220" w:type="dxa"/>
            <w:vAlign w:val="bottom"/>
            <w:gridSpan w:val="8"/>
          </w:tcPr>
          <w:p>
            <w:pPr>
              <w:ind w:left="100"/>
              <w:spacing w:after="0"/>
              <w:rPr>
                <w:sz w:val="20"/>
                <w:szCs w:val="20"/>
                <w:color w:val="auto"/>
              </w:rPr>
            </w:pPr>
            <w:r>
              <w:rPr>
                <w:rFonts w:ascii="Arial" w:cs="Arial" w:eastAsia="Arial" w:hAnsi="Arial"/>
                <w:sz w:val="13"/>
                <w:szCs w:val="13"/>
                <w:b w:val="1"/>
                <w:bCs w:val="1"/>
                <w:color w:val="auto"/>
              </w:rPr>
              <w:t>Comprehensive</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3"/>
          </w:tcPr>
          <w:p>
            <w:pPr>
              <w:jc w:val="right"/>
              <w:ind w:right="160"/>
              <w:spacing w:after="0" w:line="142" w:lineRule="exact"/>
              <w:rPr>
                <w:sz w:val="20"/>
                <w:szCs w:val="20"/>
                <w:color w:val="auto"/>
              </w:rPr>
            </w:pPr>
            <w:r>
              <w:rPr>
                <w:rFonts w:ascii="Arial" w:cs="Arial" w:eastAsia="Arial" w:hAnsi="Arial"/>
                <w:sz w:val="13"/>
                <w:szCs w:val="13"/>
                <w:b w:val="1"/>
                <w:bCs w:val="1"/>
                <w:color w:val="auto"/>
                <w:w w:val="73"/>
              </w:rPr>
              <w:t>Shares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6"/>
          </w:tcPr>
          <w:p>
            <w:pPr>
              <w:spacing w:after="0" w:line="142" w:lineRule="exact"/>
              <w:rPr>
                <w:sz w:val="20"/>
                <w:szCs w:val="20"/>
                <w:color w:val="auto"/>
              </w:rPr>
            </w:pPr>
            <w:r>
              <w:rPr>
                <w:rFonts w:ascii="Arial" w:cs="Arial" w:eastAsia="Arial" w:hAnsi="Arial"/>
                <w:sz w:val="13"/>
                <w:szCs w:val="13"/>
                <w:b w:val="1"/>
                <w:bCs w:val="1"/>
                <w:color w:val="auto"/>
              </w:rPr>
              <w:t>Amount</w:t>
            </w:r>
          </w:p>
        </w:tc>
        <w:tc>
          <w:tcPr>
            <w:tcW w:w="72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par value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5"/>
          </w:tcPr>
          <w:p>
            <w:pPr>
              <w:jc w:val="right"/>
              <w:ind w:right="400"/>
              <w:spacing w:after="0" w:line="142" w:lineRule="exact"/>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540"/>
              <w:spacing w:after="0" w:line="142" w:lineRule="exact"/>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right"/>
              <w:ind w:right="260"/>
              <w:spacing w:after="0" w:line="142" w:lineRule="exact"/>
              <w:rPr>
                <w:sz w:val="20"/>
                <w:szCs w:val="20"/>
                <w:color w:val="auto"/>
              </w:rPr>
            </w:pPr>
            <w:r>
              <w:rPr>
                <w:rFonts w:ascii="Arial" w:cs="Arial" w:eastAsia="Arial" w:hAnsi="Arial"/>
                <w:sz w:val="13"/>
                <w:szCs w:val="13"/>
                <w:b w:val="1"/>
                <w:bCs w:val="1"/>
                <w:color w:val="auto"/>
                <w:w w:val="78"/>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right"/>
              <w:ind w:right="300"/>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720" w:type="dxa"/>
            <w:vAlign w:val="bottom"/>
            <w:gridSpan w:val="3"/>
          </w:tcPr>
          <w:p>
            <w:pPr>
              <w:jc w:val="center"/>
              <w:ind w:right="320"/>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shd w:val="clear" w:color="auto" w:fill="CFF0FC"/>
          </w:tcPr>
          <w:p>
            <w:pPr>
              <w:spacing w:after="0"/>
              <w:rPr>
                <w:sz w:val="20"/>
                <w:szCs w:val="20"/>
                <w:color w:val="auto"/>
              </w:rPr>
            </w:pPr>
            <w:r>
              <w:rPr>
                <w:rFonts w:ascii="Arial" w:cs="Arial" w:eastAsia="Arial" w:hAnsi="Arial"/>
                <w:sz w:val="13"/>
                <w:szCs w:val="13"/>
                <w:color w:val="auto"/>
              </w:rPr>
              <w:t>Balance December 31, 2018</w:t>
            </w:r>
          </w:p>
        </w:tc>
        <w:tc>
          <w:tcPr>
            <w:tcW w:w="140" w:type="dxa"/>
            <w:vAlign w:val="bottom"/>
            <w:tcBorders>
              <w:right w:val="single" w:sz="8" w:color="CFF0FC"/>
            </w:tcBorders>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34,954</w:t>
            </w: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82"/>
              </w:rPr>
              <w:t>349</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251,409</w:t>
            </w:r>
          </w:p>
        </w:tc>
        <w:tc>
          <w:tcPr>
            <w:tcW w:w="160" w:type="dxa"/>
            <w:vAlign w:val="bottom"/>
            <w:tcBorders>
              <w:left w:val="single" w:sz="8" w:color="CFF0FC"/>
            </w:tcBorders>
            <w:shd w:val="clear" w:color="auto" w:fill="CFF0FC"/>
          </w:tcPr>
          <w:p>
            <w:pPr>
              <w:spacing w:after="0"/>
              <w:rPr>
                <w:sz w:val="13"/>
                <w:szCs w:val="13"/>
                <w:color w:val="auto"/>
              </w:rPr>
            </w:pP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40" w:type="dxa"/>
            <w:vAlign w:val="bottom"/>
            <w:gridSpan w:val="5"/>
            <w:shd w:val="clear" w:color="auto" w:fill="CFF0FC"/>
          </w:tcPr>
          <w:p>
            <w:pPr>
              <w:jc w:val="right"/>
              <w:ind w:right="80"/>
              <w:spacing w:after="0"/>
              <w:rPr>
                <w:sz w:val="20"/>
                <w:szCs w:val="20"/>
                <w:color w:val="auto"/>
              </w:rPr>
            </w:pPr>
            <w:r>
              <w:rPr>
                <w:rFonts w:ascii="Arial" w:cs="Arial" w:eastAsia="Arial" w:hAnsi="Arial"/>
                <w:sz w:val="13"/>
                <w:szCs w:val="13"/>
                <w:color w:val="auto"/>
              </w:rPr>
              <w:t>(59,427)</w:t>
            </w:r>
          </w:p>
        </w:tc>
        <w:tc>
          <w:tcPr>
            <w:tcW w:w="28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940" w:type="dxa"/>
            <w:vAlign w:val="bottom"/>
            <w:gridSpan w:val="5"/>
            <w:shd w:val="clear" w:color="auto" w:fill="CFF0FC"/>
          </w:tcPr>
          <w:p>
            <w:pPr>
              <w:jc w:val="right"/>
              <w:ind w:right="180"/>
              <w:spacing w:after="0"/>
              <w:rPr>
                <w:sz w:val="20"/>
                <w:szCs w:val="20"/>
                <w:color w:val="auto"/>
              </w:rPr>
            </w:pPr>
            <w:r>
              <w:rPr>
                <w:rFonts w:ascii="Arial" w:cs="Arial" w:eastAsia="Arial" w:hAnsi="Arial"/>
                <w:sz w:val="13"/>
                <w:szCs w:val="13"/>
                <w:color w:val="auto"/>
              </w:rPr>
              <w:t>(13,415)</w:t>
            </w:r>
          </w:p>
        </w:tc>
        <w:tc>
          <w:tcPr>
            <w:tcW w:w="740" w:type="dxa"/>
            <w:vAlign w:val="bottom"/>
            <w:gridSpan w:val="6"/>
            <w:shd w:val="clear" w:color="auto" w:fill="CFF0FC"/>
          </w:tcPr>
          <w:p>
            <w:pPr>
              <w:jc w:val="right"/>
              <w:ind w:right="100"/>
              <w:spacing w:after="0"/>
              <w:rPr>
                <w:sz w:val="20"/>
                <w:szCs w:val="20"/>
                <w:color w:val="auto"/>
              </w:rPr>
            </w:pPr>
            <w:r>
              <w:rPr>
                <w:rFonts w:ascii="Arial" w:cs="Arial" w:eastAsia="Arial" w:hAnsi="Arial"/>
                <w:sz w:val="13"/>
                <w:szCs w:val="13"/>
                <w:color w:val="auto"/>
              </w:rPr>
              <w:t>(138)</w:t>
            </w:r>
          </w:p>
        </w:tc>
        <w:tc>
          <w:tcPr>
            <w:tcW w:w="420" w:type="dxa"/>
            <w:vAlign w:val="bottom"/>
            <w:gridSpan w:val="3"/>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w w:val="92"/>
              </w:rPr>
              <w:t>(356)</w:t>
            </w: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178,560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3"/>
                <w:szCs w:val="13"/>
                <w:color w:val="auto"/>
              </w:rPr>
              <w:t>Net income for the three-months ended March 31, 2019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1,864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1,864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80" w:type="dxa"/>
            <w:vAlign w:val="bottom"/>
            <w:shd w:val="clear" w:color="auto" w:fill="CFF0FC"/>
          </w:tcPr>
          <w:p>
            <w:pPr>
              <w:spacing w:after="0"/>
              <w:rPr>
                <w:sz w:val="20"/>
                <w:szCs w:val="20"/>
                <w:color w:val="auto"/>
              </w:rPr>
            </w:pPr>
            <w:r>
              <w:rPr>
                <w:rFonts w:ascii="Arial" w:cs="Arial" w:eastAsia="Arial" w:hAnsi="Arial"/>
                <w:sz w:val="13"/>
                <w:szCs w:val="13"/>
                <w:color w:val="auto"/>
              </w:rPr>
              <w:t>Cumulative effect adjustment upon adoption of new accounting</w:t>
            </w:r>
          </w:p>
        </w:tc>
        <w:tc>
          <w:tcPr>
            <w:tcW w:w="14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80" w:type="dxa"/>
            <w:vAlign w:val="bottom"/>
            <w:shd w:val="clear" w:color="auto" w:fill="CFF0FC"/>
          </w:tcPr>
          <w:p>
            <w:pPr>
              <w:spacing w:after="0"/>
              <w:rPr>
                <w:sz w:val="20"/>
                <w:szCs w:val="20"/>
                <w:color w:val="auto"/>
              </w:rPr>
            </w:pPr>
            <w:r>
              <w:rPr>
                <w:rFonts w:ascii="Arial" w:cs="Arial" w:eastAsia="Arial" w:hAnsi="Arial"/>
                <w:sz w:val="13"/>
                <w:szCs w:val="13"/>
                <w:color w:val="auto"/>
              </w:rPr>
              <w:t>standards (ASU 2017-12) and (ASU 2016-02)</w:t>
            </w:r>
          </w:p>
        </w:tc>
        <w:tc>
          <w:tcPr>
            <w:tcW w:w="14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5"/>
            <w:shd w:val="clear" w:color="auto" w:fill="CFF0FC"/>
          </w:tcPr>
          <w:p>
            <w:pPr>
              <w:jc w:val="right"/>
              <w:ind w:right="80"/>
              <w:spacing w:after="0"/>
              <w:rPr>
                <w:sz w:val="20"/>
                <w:szCs w:val="20"/>
                <w:color w:val="auto"/>
              </w:rPr>
            </w:pPr>
            <w:r>
              <w:rPr>
                <w:rFonts w:ascii="Arial" w:cs="Arial" w:eastAsia="Arial" w:hAnsi="Arial"/>
                <w:sz w:val="13"/>
                <w:szCs w:val="13"/>
                <w:color w:val="auto"/>
              </w:rPr>
              <w:t>(4,602)</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12</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(4,590)</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3"/>
                <w:szCs w:val="13"/>
                <w:color w:val="auto"/>
              </w:rPr>
              <w:t>Restricted stock units issued</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3"/>
                <w:szCs w:val="13"/>
                <w:color w:val="auto"/>
              </w:rPr>
              <w:t>Share based compensation earned</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gridSpan w:val="4"/>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w:t>
            </w:r>
          </w:p>
        </w:tc>
        <w:tc>
          <w:tcPr>
            <w:tcW w:w="16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3"/>
                <w:szCs w:val="13"/>
                <w:color w:val="auto"/>
              </w:rPr>
              <w:t>Adjustment for interest rate swap</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5"/>
          </w:tcPr>
          <w:p>
            <w:pPr>
              <w:jc w:val="right"/>
              <w:ind w:right="180"/>
              <w:spacing w:after="0"/>
              <w:rPr>
                <w:sz w:val="20"/>
                <w:szCs w:val="20"/>
                <w:color w:val="auto"/>
              </w:rPr>
            </w:pPr>
            <w:r>
              <w:rPr>
                <w:rFonts w:ascii="Arial" w:cs="Arial" w:eastAsia="Arial" w:hAnsi="Arial"/>
                <w:sz w:val="13"/>
                <w:szCs w:val="13"/>
                <w:color w:val="auto"/>
              </w:rPr>
              <w:t>(213)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3"/>
                <w:szCs w:val="13"/>
                <w:color w:val="auto"/>
              </w:rPr>
              <w:t>Translation gain</w:t>
            </w:r>
          </w:p>
        </w:tc>
        <w:tc>
          <w:tcPr>
            <w:tcW w:w="140" w:type="dxa"/>
            <w:vAlign w:val="bottom"/>
            <w:tcBorders>
              <w:bottom w:val="single" w:sz="8" w:color="auto"/>
              <w:right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tcBorders>
              <w:bottom w:val="single" w:sz="8" w:color="auto"/>
              <w:right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 w:type="dxa"/>
            <w:vAlign w:val="bottom"/>
            <w:tcBorders>
              <w:left w:val="single" w:sz="8" w:color="CFF0FC"/>
              <w:bottom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right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right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left w:val="single" w:sz="8" w:color="CFF0FC"/>
              <w:bottom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979</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right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left w:val="single" w:sz="8" w:color="CFF0FC"/>
              <w:bottom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tcBorders>
              <w:bottom w:val="single" w:sz="8" w:color="auto"/>
              <w:right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0" w:type="dxa"/>
            <w:vAlign w:val="bottom"/>
            <w:tcBorders>
              <w:left w:val="single" w:sz="8" w:color="CFF0FC"/>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20"/>
                <w:szCs w:val="20"/>
                <w:color w:val="auto"/>
              </w:rPr>
            </w:pPr>
            <w:r>
              <w:rPr>
                <w:rFonts w:ascii="Arial" w:cs="Arial" w:eastAsia="Arial" w:hAnsi="Arial"/>
                <w:sz w:val="13"/>
                <w:szCs w:val="13"/>
                <w:color w:val="auto"/>
              </w:rPr>
              <w:t>Balance March 31, 2019</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34,980</w:t>
            </w:r>
          </w:p>
        </w:tc>
        <w:tc>
          <w:tcPr>
            <w:tcW w:w="4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349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252,199</w:t>
            </w:r>
          </w:p>
        </w:tc>
        <w:tc>
          <w:tcPr>
            <w:tcW w:w="160" w:type="dxa"/>
            <w:vAlign w:val="bottom"/>
          </w:tcPr>
          <w:p>
            <w:pPr>
              <w:spacing w:after="0"/>
              <w:rPr>
                <w:sz w:val="13"/>
                <w:szCs w:val="13"/>
                <w:color w:val="auto"/>
              </w:rPr>
            </w:pPr>
          </w:p>
        </w:tc>
        <w:tc>
          <w:tcPr>
            <w:tcW w:w="26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740" w:type="dxa"/>
            <w:vAlign w:val="bottom"/>
            <w:gridSpan w:val="5"/>
          </w:tcPr>
          <w:p>
            <w:pPr>
              <w:jc w:val="right"/>
              <w:ind w:right="80"/>
              <w:spacing w:after="0"/>
              <w:rPr>
                <w:sz w:val="20"/>
                <w:szCs w:val="20"/>
                <w:color w:val="auto"/>
              </w:rPr>
            </w:pPr>
            <w:r>
              <w:rPr>
                <w:rFonts w:ascii="Arial" w:cs="Arial" w:eastAsia="Arial" w:hAnsi="Arial"/>
                <w:sz w:val="13"/>
                <w:szCs w:val="13"/>
                <w:color w:val="auto"/>
              </w:rPr>
              <w:t>(62,165)</w:t>
            </w:r>
          </w:p>
        </w:tc>
        <w:tc>
          <w:tcPr>
            <w:tcW w:w="28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940" w:type="dxa"/>
            <w:vAlign w:val="bottom"/>
            <w:gridSpan w:val="5"/>
          </w:tcPr>
          <w:p>
            <w:pPr>
              <w:jc w:val="right"/>
              <w:ind w:right="180"/>
              <w:spacing w:after="0"/>
              <w:rPr>
                <w:sz w:val="20"/>
                <w:szCs w:val="20"/>
                <w:color w:val="auto"/>
              </w:rPr>
            </w:pPr>
            <w:r>
              <w:rPr>
                <w:rFonts w:ascii="Arial" w:cs="Arial" w:eastAsia="Arial" w:hAnsi="Arial"/>
                <w:sz w:val="13"/>
                <w:szCs w:val="13"/>
                <w:color w:val="auto"/>
              </w:rPr>
              <w:t>(12,637)</w:t>
            </w:r>
          </w:p>
        </w:tc>
        <w:tc>
          <w:tcPr>
            <w:tcW w:w="740" w:type="dxa"/>
            <w:vAlign w:val="bottom"/>
            <w:gridSpan w:val="6"/>
          </w:tcPr>
          <w:p>
            <w:pPr>
              <w:jc w:val="right"/>
              <w:ind w:right="100"/>
              <w:spacing w:after="0"/>
              <w:rPr>
                <w:sz w:val="20"/>
                <w:szCs w:val="20"/>
                <w:color w:val="auto"/>
              </w:rPr>
            </w:pPr>
            <w:r>
              <w:rPr>
                <w:rFonts w:ascii="Arial" w:cs="Arial" w:eastAsia="Arial" w:hAnsi="Arial"/>
                <w:sz w:val="13"/>
                <w:szCs w:val="13"/>
                <w:color w:val="auto"/>
              </w:rPr>
              <w:t>(138)</w:t>
            </w:r>
          </w:p>
        </w:tc>
        <w:tc>
          <w:tcPr>
            <w:tcW w:w="420" w:type="dxa"/>
            <w:vAlign w:val="bottom"/>
            <w:gridSpan w:val="3"/>
          </w:tcPr>
          <w:p>
            <w:pPr>
              <w:jc w:val="right"/>
              <w:ind w:right="213"/>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3"/>
                <w:szCs w:val="13"/>
                <w:color w:val="auto"/>
                <w:w w:val="92"/>
              </w:rPr>
              <w:t>(356)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177,390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bottom w:val="single" w:sz="8" w:color="auto"/>
            </w:tcBorders>
            <w:gridSpan w:val="7"/>
          </w:tcPr>
          <w:p>
            <w:pPr>
              <w:ind w:left="160"/>
              <w:spacing w:after="0"/>
              <w:rPr>
                <w:sz w:val="20"/>
                <w:szCs w:val="20"/>
                <w:color w:val="auto"/>
              </w:rPr>
            </w:pPr>
            <w:r>
              <w:rPr>
                <w:rFonts w:ascii="Arial" w:cs="Arial" w:eastAsia="Arial" w:hAnsi="Arial"/>
                <w:sz w:val="13"/>
                <w:szCs w:val="13"/>
                <w:b w:val="1"/>
                <w:bCs w:val="1"/>
                <w:color w:val="auto"/>
                <w:w w:val="92"/>
              </w:rPr>
              <w:t>Common Stock</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0"/>
              </w:rPr>
              <w:t>excess 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6"/>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0"/>
              </w:rPr>
              <w:t>Comprehensive</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w w:val="74"/>
              </w:rPr>
              <w:t>Shares</w:t>
            </w:r>
          </w:p>
        </w:tc>
        <w:tc>
          <w:tcPr>
            <w:tcW w:w="1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6"/>
          </w:tcPr>
          <w:p>
            <w:pPr>
              <w:ind w:left="40"/>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64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87"/>
              </w:rPr>
              <w:t>par value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4"/>
          </w:tcPr>
          <w:p>
            <w:pPr>
              <w:jc w:val="right"/>
              <w:ind w:right="380"/>
              <w:spacing w:after="0" w:line="142"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540"/>
              <w:spacing w:after="0" w:line="142" w:lineRule="exact"/>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right"/>
              <w:ind w:right="240"/>
              <w:spacing w:after="0" w:line="142" w:lineRule="exact"/>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right"/>
              <w:ind w:right="280"/>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720" w:type="dxa"/>
            <w:vAlign w:val="bottom"/>
            <w:gridSpan w:val="3"/>
          </w:tcPr>
          <w:p>
            <w:pPr>
              <w:jc w:val="center"/>
              <w:ind w:right="320"/>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80" w:type="dxa"/>
            <w:vAlign w:val="bottom"/>
            <w:shd w:val="clear" w:color="auto" w:fill="CFF0FC"/>
          </w:tcPr>
          <w:p>
            <w:pPr>
              <w:spacing w:after="0"/>
              <w:rPr>
                <w:sz w:val="20"/>
                <w:szCs w:val="20"/>
                <w:color w:val="auto"/>
              </w:rPr>
            </w:pPr>
            <w:r>
              <w:rPr>
                <w:rFonts w:ascii="Arial" w:cs="Arial" w:eastAsia="Arial" w:hAnsi="Arial"/>
                <w:sz w:val="13"/>
                <w:szCs w:val="13"/>
                <w:color w:val="auto"/>
              </w:rPr>
              <w:t>Balance December 31, 2019</w:t>
            </w:r>
          </w:p>
        </w:tc>
        <w:tc>
          <w:tcPr>
            <w:tcW w:w="140" w:type="dxa"/>
            <w:vAlign w:val="bottom"/>
            <w:tcBorders>
              <w:right w:val="single" w:sz="8" w:color="CFF0FC"/>
            </w:tcBorders>
            <w:shd w:val="clear" w:color="auto" w:fill="CFF0FC"/>
          </w:tcPr>
          <w:p>
            <w:pPr>
              <w:spacing w:after="0"/>
              <w:rPr>
                <w:sz w:val="13"/>
                <w:szCs w:val="13"/>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35,275</w:t>
            </w:r>
          </w:p>
        </w:tc>
        <w:tc>
          <w:tcPr>
            <w:tcW w:w="560" w:type="dxa"/>
            <w:vAlign w:val="bottom"/>
            <w:gridSpan w:val="4"/>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2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6"/>
              </w:rPr>
              <w:t>$ 253,869</w:t>
            </w:r>
          </w:p>
        </w:tc>
        <w:tc>
          <w:tcPr>
            <w:tcW w:w="160" w:type="dxa"/>
            <w:vAlign w:val="bottom"/>
            <w:tcBorders>
              <w:left w:val="single" w:sz="8" w:color="CFF0FC"/>
            </w:tcBorders>
            <w:shd w:val="clear" w:color="auto" w:fill="CFF0FC"/>
          </w:tcPr>
          <w:p>
            <w:pPr>
              <w:spacing w:after="0"/>
              <w:rPr>
                <w:sz w:val="13"/>
                <w:szCs w:val="13"/>
                <w:color w:val="auto"/>
              </w:rPr>
            </w:pP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40" w:type="dxa"/>
            <w:vAlign w:val="bottom"/>
            <w:gridSpan w:val="5"/>
            <w:shd w:val="clear" w:color="auto" w:fill="CFF0FC"/>
          </w:tcPr>
          <w:p>
            <w:pPr>
              <w:jc w:val="right"/>
              <w:ind w:right="80"/>
              <w:spacing w:after="0"/>
              <w:rPr>
                <w:sz w:val="20"/>
                <w:szCs w:val="20"/>
                <w:color w:val="auto"/>
              </w:rPr>
            </w:pPr>
            <w:r>
              <w:rPr>
                <w:rFonts w:ascii="Arial" w:cs="Arial" w:eastAsia="Arial" w:hAnsi="Arial"/>
                <w:sz w:val="13"/>
                <w:szCs w:val="13"/>
                <w:color w:val="auto"/>
              </w:rPr>
              <w:t>(46,344)</w:t>
            </w:r>
          </w:p>
        </w:tc>
        <w:tc>
          <w:tcPr>
            <w:tcW w:w="28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940" w:type="dxa"/>
            <w:vAlign w:val="bottom"/>
            <w:gridSpan w:val="5"/>
            <w:shd w:val="clear" w:color="auto" w:fill="CFF0FC"/>
          </w:tcPr>
          <w:p>
            <w:pPr>
              <w:jc w:val="right"/>
              <w:ind w:right="160"/>
              <w:spacing w:after="0"/>
              <w:rPr>
                <w:sz w:val="20"/>
                <w:szCs w:val="20"/>
                <w:color w:val="auto"/>
              </w:rPr>
            </w:pPr>
            <w:r>
              <w:rPr>
                <w:rFonts w:ascii="Arial" w:cs="Arial" w:eastAsia="Arial" w:hAnsi="Arial"/>
                <w:sz w:val="13"/>
                <w:szCs w:val="13"/>
                <w:color w:val="auto"/>
              </w:rPr>
              <w:t>(14,505)</w:t>
            </w:r>
          </w:p>
        </w:tc>
        <w:tc>
          <w:tcPr>
            <w:tcW w:w="740" w:type="dxa"/>
            <w:vAlign w:val="bottom"/>
            <w:gridSpan w:val="6"/>
            <w:shd w:val="clear" w:color="auto" w:fill="CFF0FC"/>
          </w:tcPr>
          <w:p>
            <w:pPr>
              <w:jc w:val="right"/>
              <w:ind w:right="100"/>
              <w:spacing w:after="0"/>
              <w:rPr>
                <w:sz w:val="20"/>
                <w:szCs w:val="20"/>
                <w:color w:val="auto"/>
              </w:rPr>
            </w:pPr>
            <w:r>
              <w:rPr>
                <w:rFonts w:ascii="Arial" w:cs="Arial" w:eastAsia="Arial" w:hAnsi="Arial"/>
                <w:sz w:val="13"/>
                <w:szCs w:val="13"/>
                <w:color w:val="auto"/>
              </w:rPr>
              <w:t>(138)</w:t>
            </w:r>
          </w:p>
        </w:tc>
        <w:tc>
          <w:tcPr>
            <w:tcW w:w="420" w:type="dxa"/>
            <w:vAlign w:val="bottom"/>
            <w:gridSpan w:val="3"/>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w w:val="92"/>
              </w:rPr>
              <w:t>(356)</w:t>
            </w: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193,017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3"/>
                <w:szCs w:val="13"/>
                <w:color w:val="auto"/>
              </w:rPr>
              <w:t>Net income for the three-months ended March 31, 2020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3"/>
                <w:szCs w:val="13"/>
                <w:color w:val="auto"/>
              </w:rPr>
              <w:t>3,412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3"/>
                <w:szCs w:val="13"/>
                <w:color w:val="auto"/>
              </w:rPr>
              <w:t>Restricted stock units issued</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63</w:t>
            </w:r>
          </w:p>
        </w:tc>
        <w:tc>
          <w:tcPr>
            <w:tcW w:w="18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tcBorders>
              <w:lef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3"/>
                <w:szCs w:val="13"/>
                <w:color w:val="auto"/>
              </w:rPr>
              <w:t>Share based compensation earned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4"/>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3"/>
                <w:szCs w:val="13"/>
                <w:color w:val="auto"/>
              </w:rPr>
              <w:t>Translation loss</w:t>
            </w:r>
          </w:p>
        </w:tc>
        <w:tc>
          <w:tcPr>
            <w:tcW w:w="14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5"/>
            <w:shd w:val="clear" w:color="auto" w:fill="CFF0FC"/>
          </w:tcPr>
          <w:p>
            <w:pPr>
              <w:jc w:val="right"/>
              <w:ind w:right="160"/>
              <w:spacing w:after="0"/>
              <w:rPr>
                <w:sz w:val="20"/>
                <w:szCs w:val="20"/>
                <w:color w:val="auto"/>
              </w:rPr>
            </w:pPr>
            <w:r>
              <w:rPr>
                <w:rFonts w:ascii="Arial" w:cs="Arial" w:eastAsia="Arial" w:hAnsi="Arial"/>
                <w:sz w:val="13"/>
                <w:szCs w:val="13"/>
                <w:color w:val="auto"/>
              </w:rPr>
              <w:t>(2,268)</w:t>
            </w:r>
          </w:p>
        </w:tc>
        <w:tc>
          <w:tcPr>
            <w:tcW w:w="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(2,268)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3"/>
                <w:szCs w:val="13"/>
                <w:color w:val="auto"/>
              </w:rPr>
              <w:t>Balance March 31, 2020</w:t>
            </w: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35,338</w:t>
            </w:r>
          </w:p>
        </w:tc>
        <w:tc>
          <w:tcPr>
            <w:tcW w:w="240" w:type="dxa"/>
            <w:vAlign w:val="bottom"/>
            <w:gridSpan w:val="2"/>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3"/>
                <w:szCs w:val="13"/>
                <w:color w:val="auto"/>
              </w:rPr>
              <w:t>$</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354</w:t>
            </w:r>
          </w:p>
        </w:tc>
        <w:tc>
          <w:tcPr>
            <w:tcW w:w="2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6"/>
              </w:rPr>
              <w:t>$ 254,313</w:t>
            </w:r>
          </w:p>
        </w:tc>
        <w:tc>
          <w:tcPr>
            <w:tcW w:w="160" w:type="dxa"/>
            <w:vAlign w:val="bottom"/>
          </w:tcPr>
          <w:p>
            <w:pPr>
              <w:spacing w:after="0"/>
              <w:rPr>
                <w:sz w:val="13"/>
                <w:szCs w:val="13"/>
                <w:color w:val="auto"/>
              </w:rPr>
            </w:pPr>
          </w:p>
        </w:tc>
        <w:tc>
          <w:tcPr>
            <w:tcW w:w="26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740" w:type="dxa"/>
            <w:vAlign w:val="bottom"/>
            <w:gridSpan w:val="5"/>
          </w:tcPr>
          <w:p>
            <w:pPr>
              <w:jc w:val="right"/>
              <w:ind w:right="80"/>
              <w:spacing w:after="0"/>
              <w:rPr>
                <w:sz w:val="20"/>
                <w:szCs w:val="20"/>
                <w:color w:val="auto"/>
              </w:rPr>
            </w:pPr>
            <w:r>
              <w:rPr>
                <w:rFonts w:ascii="Arial" w:cs="Arial" w:eastAsia="Arial" w:hAnsi="Arial"/>
                <w:sz w:val="13"/>
                <w:szCs w:val="13"/>
                <w:color w:val="auto"/>
              </w:rPr>
              <w:t>(42,932)</w:t>
            </w:r>
          </w:p>
        </w:tc>
        <w:tc>
          <w:tcPr>
            <w:tcW w:w="28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940" w:type="dxa"/>
            <w:vAlign w:val="bottom"/>
            <w:gridSpan w:val="5"/>
          </w:tcPr>
          <w:p>
            <w:pPr>
              <w:jc w:val="right"/>
              <w:ind w:right="160"/>
              <w:spacing w:after="0"/>
              <w:rPr>
                <w:sz w:val="20"/>
                <w:szCs w:val="20"/>
                <w:color w:val="auto"/>
              </w:rPr>
            </w:pPr>
            <w:r>
              <w:rPr>
                <w:rFonts w:ascii="Arial" w:cs="Arial" w:eastAsia="Arial" w:hAnsi="Arial"/>
                <w:sz w:val="13"/>
                <w:szCs w:val="13"/>
                <w:color w:val="auto"/>
              </w:rPr>
              <w:t>(16,773)</w:t>
            </w:r>
          </w:p>
        </w:tc>
        <w:tc>
          <w:tcPr>
            <w:tcW w:w="740" w:type="dxa"/>
            <w:vAlign w:val="bottom"/>
            <w:gridSpan w:val="6"/>
          </w:tcPr>
          <w:p>
            <w:pPr>
              <w:jc w:val="right"/>
              <w:ind w:right="100"/>
              <w:spacing w:after="0"/>
              <w:rPr>
                <w:sz w:val="20"/>
                <w:szCs w:val="20"/>
                <w:color w:val="auto"/>
              </w:rPr>
            </w:pPr>
            <w:r>
              <w:rPr>
                <w:rFonts w:ascii="Arial" w:cs="Arial" w:eastAsia="Arial" w:hAnsi="Arial"/>
                <w:sz w:val="13"/>
                <w:szCs w:val="13"/>
                <w:color w:val="auto"/>
              </w:rPr>
              <w:t>(138)</w:t>
            </w:r>
          </w:p>
        </w:tc>
        <w:tc>
          <w:tcPr>
            <w:tcW w:w="42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3"/>
                <w:szCs w:val="13"/>
                <w:color w:val="auto"/>
                <w:w w:val="92"/>
              </w:rPr>
              <w:t>(356)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194,606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2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(dollars in thousands)</w:t>
            </w: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3,412</w:t>
            </w:r>
          </w:p>
        </w:tc>
        <w:tc>
          <w:tcPr>
            <w:tcW w:w="26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income to net cash provided by (used in) operating activities: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2,196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loss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Net gain on interest rate swaps</w:t>
            </w:r>
          </w:p>
        </w:tc>
        <w:tc>
          <w:tcPr>
            <w:tcW w:w="4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divestitures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Debt discount amortization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 expense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Bad debt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reserve expense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(19,627)</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(5,927)</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(3,022)</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charges and other assets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(4,611)</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(3,938)</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(375)</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(433)</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7,001</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(13,741)</w:t>
            </w:r>
          </w:p>
        </w:tc>
        <w:tc>
          <w:tcPr>
            <w:tcW w:w="0" w:type="dxa"/>
            <w:vAlign w:val="bottom"/>
          </w:tcPr>
          <w:p>
            <w:pPr>
              <w:spacing w:after="0"/>
              <w:rPr>
                <w:sz w:val="1"/>
                <w:szCs w:val="1"/>
                <w:color w:val="auto"/>
              </w:rPr>
            </w:pPr>
          </w:p>
        </w:tc>
      </w:tr>
      <w:tr>
        <w:trPr>
          <w:trHeight w:val="21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(976)</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by investing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(976)</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revolving credit lines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49,500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Repayments on revolving credit lines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(6,500)</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long-term debt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(625)</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Payments on finance leases and financing liability</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(125)</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42,250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(1,127)</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47,148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(15,533)</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36,958</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84,106</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Cash paid during the period for:</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FF0FC"/>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1,056</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260"/>
              <w:spacing w:after="0"/>
              <w:rPr>
                <w:sz w:val="20"/>
                <w:szCs w:val="20"/>
                <w:color w:val="auto"/>
              </w:rPr>
            </w:pPr>
            <w:r>
              <w:rPr>
                <w:rFonts w:ascii="Arial" w:cs="Arial" w:eastAsia="Arial" w:hAnsi="Arial"/>
                <w:sz w:val="16"/>
                <w:szCs w:val="16"/>
                <w:color w:val="auto"/>
              </w:rPr>
              <w:t>Income taxes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FF0FC"/>
            </w:tcBorders>
            <w:vMerge w:val="continue"/>
          </w:tcPr>
          <w:p>
            <w:pPr>
              <w:spacing w:after="0"/>
              <w:rPr>
                <w:sz w:val="20"/>
                <w:szCs w:val="20"/>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(unaudited)</w:t>
      </w:r>
    </w:p>
    <w:p>
      <w:pPr>
        <w:spacing w:after="0" w:line="234"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20"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2020 and the results of operations, cash flows and shareholders’ equity for the three-month periods ended March 31, 2020 and 2019. The results of operations for the three-month period ended March 31, 2020 are not necessarily indicative of the results to be expected for the full year. The balance sheet as of December 31, 2019 has been derived from the audited consolidated financial statements included in the Company’s Annual Report on Form 10-K for the year ended December 31, 2019 as filed with the SEC.</w:t>
      </w:r>
    </w:p>
    <w:p>
      <w:pPr>
        <w:spacing w:after="0" w:line="180" w:lineRule="exact"/>
        <w:rPr>
          <w:rFonts w:ascii="Arial" w:cs="Arial" w:eastAsia="Arial" w:hAnsi="Arial"/>
          <w:sz w:val="18"/>
          <w:szCs w:val="18"/>
          <w:b w:val="1"/>
          <w:bCs w:val="1"/>
          <w:color w:val="auto"/>
        </w:rPr>
      </w:pPr>
    </w:p>
    <w:p>
      <w:pPr>
        <w:ind w:left="52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520" w:right="6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These financial statements and accompanying notes should be read in conjunction with the audited financial statements and the notes thereto included in the Company’s Annual Report on Form 10-K for the year ended December 31, 2019 filed with the SEC.</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Unless otherwise indicated, all balances within tables are in thousands, except per share amounts.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ind w:left="580" w:right="140"/>
        <w:spacing w:after="0" w:line="272"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(“COVID-19”) originating in Wuhan, China and the risks to the international community as the virus spreads globally beyond its point of origin. On March 11, 2020, the WHO classified the COVID-19 outbreak as a pandemic, based on the rapid increase in exposure globally. The pandemic has had a significant impact on macroeconomic conditions and the end markets of our business. The Company has instituted some and may take additional temporary precautionary measures to comply with government directives and guidelines and minimize business disruption. The Company considered the impact of COVID-19 on the assumptions and estimates used and determined that there were no material adverse impacts on the Company’s results of operations and financial position at March 31, 2020.</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27, 2020, President Trump signed into law the Coronavirus Aid, Relief and Economic Security Act (the “CARES</w:t>
      </w:r>
    </w:p>
    <w:p>
      <w:pPr>
        <w:spacing w:after="0" w:line="23" w:lineRule="exact"/>
        <w:rPr>
          <w:sz w:val="20"/>
          <w:szCs w:val="20"/>
          <w:color w:val="auto"/>
        </w:rPr>
      </w:pPr>
    </w:p>
    <w:p>
      <w:pPr>
        <w:ind w:left="560" w:right="500"/>
        <w:spacing w:after="0" w:line="253" w:lineRule="auto"/>
        <w:rPr>
          <w:sz w:val="20"/>
          <w:szCs w:val="20"/>
          <w:color w:val="auto"/>
        </w:rPr>
      </w:pPr>
      <w:r>
        <w:rPr>
          <w:rFonts w:ascii="Arial" w:cs="Arial" w:eastAsia="Arial" w:hAnsi="Arial"/>
          <w:sz w:val="18"/>
          <w:szCs w:val="18"/>
          <w:color w:val="auto"/>
        </w:rPr>
        <w:t>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It is currently unclear if and how the Company will benefit from the CARES Act in the future, but we continue to examine the impacts the CARES Act may have on our business, results of operations, financial condition or liquidity.</w:t>
      </w:r>
    </w:p>
    <w:p>
      <w:pPr>
        <w:spacing w:after="0" w:line="191"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full impact of the COVID-19 outbreak continues to evolve as of the date of this filing. As such, it is uncertain as to the full magnitude that the pandemic will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effects of the COVID-19 outbreak on its results of operations, financial condition, or liquidity for fiscal year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left="520" w:right="7260" w:hanging="512"/>
        <w:spacing w:after="0" w:line="500" w:lineRule="auto"/>
        <w:tabs>
          <w:tab w:leader="none" w:pos="51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Financial Accounting Pronouncements Accounting Standards adopted in Fiscal 2020 </w:t>
      </w:r>
      <w:r>
        <w:rPr>
          <w:rFonts w:ascii="Arial" w:cs="Arial" w:eastAsia="Arial" w:hAnsi="Arial"/>
          <w:sz w:val="18"/>
          <w:szCs w:val="18"/>
          <w:color w:val="auto"/>
        </w:rPr>
        <w:t>None.</w:t>
      </w:r>
    </w:p>
    <w:p>
      <w:pPr>
        <w:spacing w:after="0" w:line="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Yet to be Adopted</w:t>
      </w:r>
    </w:p>
    <w:p>
      <w:pPr>
        <w:spacing w:after="0" w:line="229" w:lineRule="exact"/>
        <w:rPr>
          <w:rFonts w:ascii="Arial" w:cs="Arial" w:eastAsia="Arial" w:hAnsi="Arial"/>
          <w:sz w:val="18"/>
          <w:szCs w:val="18"/>
          <w:b w:val="1"/>
          <w:bCs w:val="1"/>
          <w:color w:val="auto"/>
        </w:rPr>
      </w:pPr>
    </w:p>
    <w:p>
      <w:pPr>
        <w:ind w:left="52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the Company January 1, 2021. The Company is evaluating the impact of the adoption of ASU 2018-14 on its consolidated financial statements.</w:t>
      </w:r>
    </w:p>
    <w:p>
      <w:pPr>
        <w:spacing w:after="0" w:line="377" w:lineRule="exact"/>
        <w:rPr>
          <w:rFonts w:ascii="Arial" w:cs="Arial" w:eastAsia="Arial" w:hAnsi="Arial"/>
          <w:sz w:val="18"/>
          <w:szCs w:val="18"/>
          <w:b w:val="1"/>
          <w:bCs w:val="1"/>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0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47,128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11,073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12,135</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(2,563)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(2,582)</w:t>
            </w:r>
          </w:p>
        </w:tc>
      </w:tr>
      <w:tr>
        <w:trPr>
          <w:trHeight w:val="223"/>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Total accounts receivable</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68,434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60"/>
        <w:spacing w:after="0" w:line="263"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$1.1 million and $0.9 million at March 31, 2020 and December 31, 2019, respectively. Retainage receivables on contracts in progress are generally collected within a year after contract completion.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was approximately $46,000 and $0.1 million for the three-month periods ended March 31, 2020 and 2019, respectively.</w:t>
      </w:r>
    </w:p>
    <w:p>
      <w:pPr>
        <w:spacing w:after="0" w:line="219"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0" w:lineRule="exact"/>
        <w:rPr>
          <w:sz w:val="20"/>
          <w:szCs w:val="20"/>
          <w:color w:val="auto"/>
        </w:rPr>
      </w:pP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18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Obsolescence allowance</w:t>
            </w:r>
          </w:p>
        </w:tc>
        <w:tc>
          <w:tcPr>
            <w:tcW w:w="18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(2,622)</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$0.1 million and $0.2 million for the three-month periods ended March 31, 2020 and 2019,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3800" w:type="dxa"/>
            <w:vAlign w:val="bottom"/>
            <w:gridSpan w:val="2"/>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78"/>
        </w:trPr>
        <w:tc>
          <w:tcPr>
            <w:tcW w:w="320" w:type="dxa"/>
            <w:vAlign w:val="bottom"/>
          </w:tcPr>
          <w:p>
            <w:pPr>
              <w:spacing w:after="0"/>
              <w:rPr>
                <w:sz w:val="24"/>
                <w:szCs w:val="24"/>
                <w:color w:val="auto"/>
              </w:rPr>
            </w:pPr>
          </w:p>
        </w:tc>
        <w:tc>
          <w:tcPr>
            <w:tcW w:w="380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Three months ended March 31, 2020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Year ended December 31, 2019</w:t>
            </w:r>
          </w:p>
        </w:tc>
        <w:tc>
          <w:tcPr>
            <w:tcW w:w="580" w:type="dxa"/>
            <w:vAlign w:val="bottom"/>
          </w:tcPr>
          <w:p>
            <w:pPr>
              <w:spacing w:after="0"/>
              <w:rPr>
                <w:sz w:val="24"/>
                <w:szCs w:val="24"/>
                <w:color w:val="auto"/>
              </w:rPr>
            </w:pPr>
          </w:p>
        </w:tc>
      </w:tr>
      <w:tr>
        <w:trPr>
          <w:trHeight w:val="155"/>
        </w:trPr>
        <w:tc>
          <w:tcPr>
            <w:tcW w:w="320" w:type="dxa"/>
            <w:vAlign w:val="bottom"/>
          </w:tcPr>
          <w:p>
            <w:pPr>
              <w:spacing w:after="0"/>
              <w:rPr>
                <w:sz w:val="13"/>
                <w:szCs w:val="13"/>
                <w:color w:val="auto"/>
              </w:rPr>
            </w:pPr>
          </w:p>
        </w:tc>
        <w:tc>
          <w:tcPr>
            <w:tcW w:w="380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Goodwill / Tradename</w:t>
            </w:r>
          </w:p>
        </w:tc>
        <w:tc>
          <w:tcPr>
            <w:tcW w:w="9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Tradename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Tradename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Transfers to finite life classification</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(3,904)</w:t>
            </w:r>
          </w:p>
        </w:tc>
        <w:tc>
          <w:tcPr>
            <w:tcW w:w="5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575"/>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9" w:name="page10"/>
    <w:bookmarkEnd w:id="9"/>
    <w:tbl>
      <w:tblPr>
        <w:tblLayout w:type="fixed"/>
        <w:tblInd w:w="520" w:type="dxa"/>
        <w:tblCellMar>
          <w:top w:w="0" w:type="dxa"/>
          <w:left w:w="0" w:type="dxa"/>
          <w:bottom w:w="0" w:type="dxa"/>
          <w:right w:w="0" w:type="dxa"/>
        </w:tblCellMar>
      </w:tblPr>
      <w:tr>
        <w:trPr>
          <w:trHeight w:val="171"/>
        </w:trPr>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(table only 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627"/>
              <w:spacing w:after="0"/>
              <w:rPr>
                <w:sz w:val="20"/>
                <w:szCs w:val="20"/>
                <w:color w:val="auto"/>
              </w:rPr>
            </w:pPr>
            <w:r>
              <w:rPr>
                <w:rFonts w:ascii="Arial" w:cs="Arial" w:eastAsia="Arial" w:hAnsi="Arial"/>
                <w:sz w:val="14"/>
                <w:szCs w:val="14"/>
                <w:b w:val="1"/>
                <w:bCs w:val="1"/>
                <w:color w:val="auto"/>
              </w:rPr>
              <w:t>As of March 31, 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As of December 31, 2019</w:t>
            </w:r>
          </w:p>
        </w:tc>
      </w:tr>
      <w:tr>
        <w:trPr>
          <w:trHeight w:val="156"/>
        </w:trPr>
        <w:tc>
          <w:tcPr>
            <w:tcW w:w="43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Intangible assets – finite life</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w w:val="94"/>
              </w:rPr>
              <w:t>Accum. Amort.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Accum. Amort.</w:t>
            </w:r>
          </w:p>
        </w:tc>
        <w:tc>
          <w:tcPr>
            <w:tcW w:w="100" w:type="dxa"/>
            <w:vAlign w:val="bottom"/>
          </w:tcPr>
          <w:p>
            <w:pPr>
              <w:spacing w:after="0"/>
              <w:rPr>
                <w:sz w:val="13"/>
                <w:szCs w:val="13"/>
                <w:color w:val="auto"/>
              </w:rPr>
            </w:pPr>
          </w:p>
        </w:tc>
      </w:tr>
      <w:tr>
        <w:trPr>
          <w:trHeight w:val="22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11,267</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14,457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68,943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Tradename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adjustments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FF0FC"/>
          </w:tcPr>
          <w:p>
            <w:pPr>
              <w:spacing w:after="0"/>
              <w:rPr>
                <w:sz w:val="19"/>
                <w:szCs w:val="19"/>
                <w:color w:val="auto"/>
              </w:rPr>
            </w:pPr>
          </w:p>
        </w:tc>
        <w:tc>
          <w:tcPr>
            <w:tcW w:w="118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(782)</w:t>
            </w:r>
          </w:p>
        </w:tc>
      </w:tr>
      <w:tr>
        <w:trPr>
          <w:trHeight w:val="223"/>
        </w:trPr>
        <w:tc>
          <w:tcPr>
            <w:tcW w:w="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57,543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86,825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0" w:type="dxa"/>
            <w:vAlign w:val="bottom"/>
            <w:gridSpan w:val="3"/>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940" w:type="dxa"/>
            <w:vAlign w:val="bottom"/>
            <w:gridSpan w:val="6"/>
          </w:tcPr>
          <w:p>
            <w:pPr>
              <w:spacing w:after="0"/>
              <w:rPr>
                <w:sz w:val="20"/>
                <w:szCs w:val="20"/>
                <w:color w:val="auto"/>
              </w:rPr>
            </w:pPr>
            <w:r>
              <w:rPr>
                <w:rFonts w:ascii="Arial" w:cs="Arial" w:eastAsia="Arial" w:hAnsi="Arial"/>
                <w:sz w:val="18"/>
                <w:szCs w:val="18"/>
                <w:color w:val="auto"/>
                <w:w w:val="99"/>
              </w:rPr>
              <w:t>Activity for the three-months ended March 31, 2020 and 2019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(table only in thousands)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w w:val="83"/>
              </w:rPr>
              <w:t>2020</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Intangible assets – finite life, net at beginning of period</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(2,160)</w:t>
            </w:r>
          </w:p>
        </w:tc>
      </w:tr>
      <w:tr>
        <w:trPr>
          <w:trHeight w:val="229"/>
        </w:trPr>
        <w:tc>
          <w:tcPr>
            <w:tcW w:w="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Transfers from indefinite life classification</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Foreign currency adjustments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r>
      <w:tr>
        <w:trPr>
          <w:trHeight w:val="223"/>
        </w:trPr>
        <w:tc>
          <w:tcPr>
            <w:tcW w:w="6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end of period</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520" w:right="80"/>
        <w:spacing w:after="0" w:line="255" w:lineRule="auto"/>
        <w:rPr>
          <w:sz w:val="20"/>
          <w:szCs w:val="20"/>
          <w:color w:val="auto"/>
        </w:rPr>
      </w:pPr>
      <w:r>
        <w:rPr>
          <w:rFonts w:ascii="Arial" w:cs="Arial" w:eastAsia="Arial" w:hAnsi="Arial"/>
          <w:sz w:val="18"/>
          <w:szCs w:val="18"/>
          <w:color w:val="auto"/>
        </w:rPr>
        <w:t>Amortization expense of finite life intangible assets was $1.7 million and $2.2 million for the three-month periods ended March 31, 2020 and 2019, respectively. Amortization over the next five years for finite life intangibles is expected to be $5.1 million for the remainder of 2020, $5.7 million in 2021, $4.8 million in 2022, $4.0 million in 2023, and $3.4 million in 2024.</w:t>
      </w:r>
    </w:p>
    <w:p>
      <w:pPr>
        <w:spacing w:after="0" w:line="3" w:lineRule="exact"/>
        <w:rPr>
          <w:sz w:val="20"/>
          <w:szCs w:val="20"/>
          <w:color w:val="auto"/>
        </w:rPr>
      </w:pPr>
    </w:p>
    <w:p>
      <w:pPr>
        <w:ind w:left="520" w:right="460"/>
        <w:spacing w:after="0" w:line="250" w:lineRule="auto"/>
        <w:rPr>
          <w:sz w:val="20"/>
          <w:szCs w:val="20"/>
          <w:color w:val="auto"/>
        </w:rPr>
      </w:pPr>
      <w:r>
        <w:rPr>
          <w:rFonts w:ascii="Arial" w:cs="Arial" w:eastAsia="Arial" w:hAnsi="Arial"/>
          <w:sz w:val="18"/>
          <w:szCs w:val="18"/>
          <w:color w:val="auto"/>
        </w:rPr>
        <w:t>During the three-month period ended March 31, 2019, the Company reassessed the useful lives of certain tradenames and determined that $3.9 million of their tradenames would have useful lives of 10 years now versus indefinite.</w:t>
      </w:r>
    </w:p>
    <w:p>
      <w:pPr>
        <w:spacing w:after="0" w:line="1" w:lineRule="exact"/>
        <w:rPr>
          <w:sz w:val="20"/>
          <w:szCs w:val="20"/>
          <w:color w:val="auto"/>
        </w:rPr>
      </w:pPr>
    </w:p>
    <w:p>
      <w:pPr>
        <w:ind w:left="520" w:right="60"/>
        <w:spacing w:after="0" w:line="252" w:lineRule="auto"/>
        <w:rPr>
          <w:sz w:val="20"/>
          <w:szCs w:val="20"/>
          <w:color w:val="auto"/>
        </w:rPr>
      </w:pPr>
      <w:r>
        <w:rPr>
          <w:rFonts w:ascii="Arial" w:cs="Arial" w:eastAsia="Arial" w:hAnsi="Arial"/>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92" w:lineRule="exact"/>
        <w:rPr>
          <w:sz w:val="20"/>
          <w:szCs w:val="20"/>
          <w:color w:val="auto"/>
        </w:rPr>
      </w:pPr>
    </w:p>
    <w:p>
      <w:pPr>
        <w:ind w:left="520" w:right="20"/>
        <w:spacing w:after="0" w:line="283" w:lineRule="auto"/>
        <w:rPr>
          <w:sz w:val="20"/>
          <w:szCs w:val="20"/>
          <w:color w:val="auto"/>
        </w:rPr>
      </w:pPr>
      <w:r>
        <w:rPr>
          <w:rFonts w:ascii="Arial" w:cs="Arial" w:eastAsia="Arial" w:hAnsi="Arial"/>
          <w:sz w:val="16"/>
          <w:szCs w:val="16"/>
          <w:color w:val="auto"/>
        </w:rPr>
        <w:t>In 2019, we performed a quantitative assessment and concluded each of our reporting units and indefinite life intangible assets had excess fair value over their carrying value. However, as of March 31, 2020, we observed negative macroeconomic indicators resulting from the COVID-19 pandemic, which could have a direct impact on our business. We determined this constituted a triggering event that required an assessment to determine if an impairment loss may have occurred. Therefore, we qualitatively assessed whether it was more likely than not that goodwill and indefinite life intangible assets were impaired as of March 31, 2020. We reviewed our previous forecasts and assumptions based on our current projections, which are subject to various risks and uncertainties, including projected revenue, projected operational profit, terminal growth rates, and the cost of capital. Based on our interim impairment assessment as of March 31, 2020, we have determined that our goodwill and indefinite life intangible assets are not impaired. The Company’s assumptions about future conditions important to its assessment of potential impairment of its goodwill and indefinite life intangible assets, including the impacts of the COVID-19 pandemic, are subject to uncertainty, and the Company will continue to monitor these conditions in future periods as new information becomes available, and will update its analyses accordingly.</w:t>
      </w:r>
    </w:p>
    <w:p>
      <w:pPr>
        <w:spacing w:after="0" w:line="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gridSpan w:val="2"/>
          </w:tcPr>
          <w:p>
            <w:pPr>
              <w:ind w:left="560"/>
              <w:spacing w:after="0"/>
              <w:rPr>
                <w:sz w:val="20"/>
                <w:szCs w:val="20"/>
                <w:color w:val="auto"/>
              </w:rPr>
            </w:pPr>
            <w:r>
              <w:rPr>
                <w:rFonts w:ascii="Arial" w:cs="Arial" w:eastAsia="Arial" w:hAnsi="Arial"/>
                <w:sz w:val="14"/>
                <w:szCs w:val="14"/>
                <w:b w:val="1"/>
                <w:bCs w:val="1"/>
                <w:color w:val="auto"/>
              </w:rPr>
              <w:t>(table only in thousands)</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Trade accounts payable, including amounts due to subcontractors</w:t>
            </w:r>
          </w:p>
        </w:tc>
        <w:tc>
          <w:tcPr>
            <w:tcW w:w="17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47,424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48,762</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Accrued warranty</w:t>
            </w: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Contract liabilities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liability</w:t>
            </w: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17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78,319</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60" w:type="dxa"/>
            <w:vAlign w:val="bottom"/>
            <w:vMerge w:val="restart"/>
          </w:tcPr>
          <w:p>
            <w:pPr>
              <w:jc w:val="right"/>
              <w:ind w:right="143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2"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5980" w:type="dxa"/>
            <w:vAlign w:val="bottom"/>
            <w:gridSpan w:val="2"/>
          </w:tcPr>
          <w:p>
            <w:pPr>
              <w:ind w:left="180"/>
              <w:spacing w:after="0"/>
              <w:rPr>
                <w:sz w:val="20"/>
                <w:szCs w:val="20"/>
                <w:color w:val="auto"/>
              </w:rPr>
            </w:pPr>
            <w:r>
              <w:rPr>
                <w:rFonts w:ascii="Arial" w:cs="Arial" w:eastAsia="Arial" w:hAnsi="Arial"/>
                <w:sz w:val="18"/>
                <w:szCs w:val="18"/>
                <w:b w:val="1"/>
                <w:bCs w:val="1"/>
                <w:color w:val="auto"/>
              </w:rPr>
              <w:t>Senior Debt</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Debt consisted of the following:</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20" w:type="dxa"/>
            <w:vAlign w:val="bottom"/>
          </w:tcPr>
          <w:p>
            <w:pPr>
              <w:spacing w:after="0"/>
              <w:rPr>
                <w:sz w:val="24"/>
                <w:szCs w:val="24"/>
                <w:color w:val="auto"/>
              </w:rPr>
            </w:pPr>
          </w:p>
        </w:tc>
        <w:tc>
          <w:tcPr>
            <w:tcW w:w="5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rPr>
              <w:t>March 31, 2020</w:t>
            </w:r>
          </w:p>
        </w:tc>
        <w:tc>
          <w:tcPr>
            <w:tcW w:w="14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598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 (defined below).</w:t>
            </w:r>
          </w:p>
        </w:tc>
        <w:tc>
          <w:tcPr>
            <w:tcW w:w="7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Payable in quarterly principal installments of $0.6 million</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through June 2021, $0.9 million through June 2023, and $1.3</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million thereafter with balance due upon maturity in June 2024.</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9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48,125</w:t>
            </w:r>
          </w:p>
        </w:tc>
        <w:tc>
          <w:tcPr>
            <w:tcW w:w="20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Revolving Credit Loan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the Credit Facility</w:t>
            </w:r>
          </w:p>
        </w:tc>
        <w:tc>
          <w:tcPr>
            <w:tcW w:w="7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107,981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current portion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980" w:type="dxa"/>
            <w:vAlign w:val="bottom"/>
            <w:gridSpan w:val="2"/>
          </w:tcPr>
          <w:p>
            <w:pPr>
              <w:ind w:left="240"/>
              <w:spacing w:after="0"/>
              <w:rPr>
                <w:sz w:val="20"/>
                <w:szCs w:val="20"/>
                <w:color w:val="auto"/>
              </w:rPr>
            </w:pPr>
            <w:r>
              <w:rPr>
                <w:rFonts w:ascii="Arial" w:cs="Arial" w:eastAsia="Arial" w:hAnsi="Arial"/>
                <w:sz w:val="18"/>
                <w:szCs w:val="18"/>
                <w:color w:val="auto"/>
              </w:rPr>
              <w:t>Total debt, less current portion</w:t>
            </w:r>
          </w:p>
        </w:tc>
        <w:tc>
          <w:tcPr>
            <w:tcW w:w="74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105,481</w:t>
            </w:r>
          </w:p>
        </w:tc>
        <w:tc>
          <w:tcPr>
            <w:tcW w:w="20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Scheduled principal payments under our Credit Facility are $1.9 million remaining in 2020, $3.1 million in 2021, $3.7 million in 2022, $4.4 million in 2023, and $96.5 million in 2024.</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25"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As of March 31, 2020 and December 31, 2019, $7.4 million and $11.0 million of letters of credit were outstanding, respectively. Total unused credit availability under the Company’s senior secured term loan and senior secured revolver loan with sub-facilities for letters of credit, swing-line loans and senior secured multi-currency loans (collectively, the “Credit Facility”) was $71.1 million and $82.3 million at March 31, 2020 and December 31, 2019, respectively. Revolving loans may be borrowed, repaid and reborrowed until June 11, 2024, at which time all outstanding balances of the Credit Facility must be repaid.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stated interest rate on outstanding borrowings was 3.50% and 3.80% at March 31, 2020 and December 31, 2019, respectively.</w:t>
      </w:r>
    </w:p>
    <w:p>
      <w:pPr>
        <w:spacing w:after="0" w:line="248"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color w:val="auto"/>
        </w:rPr>
        <w:t>Under the terms of the Credit Facility, the Company is required to maintain certain financial covenants, including the maintenance of a Consolidated Net Leverage Ratio. Through September 30, 2020, the maximum Consolidated Net Leverage Ratio is 3.75, after which time it will decrease to 3.50 through September 30, 2021. The Consolidated Net Leverage Ratio will then decrease to 3.25 until the end of the term of the Credit Facility.</w:t>
      </w:r>
    </w:p>
    <w:p>
      <w:pPr>
        <w:spacing w:after="0" w:line="149"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As of March 31, 2020 and December 31, 2019, the Company was in compliance with all related financial and other restrictive covenants under the Credit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17" w:lineRule="exact"/>
        <w:rPr>
          <w:sz w:val="20"/>
          <w:szCs w:val="20"/>
          <w:color w:val="auto"/>
        </w:rPr>
      </w:pPr>
    </w:p>
    <w:p>
      <w:pPr>
        <w:ind w:left="520" w:right="140"/>
        <w:spacing w:after="0" w:line="293" w:lineRule="auto"/>
        <w:rPr>
          <w:sz w:val="20"/>
          <w:szCs w:val="20"/>
          <w:color w:val="auto"/>
        </w:rPr>
      </w:pPr>
      <w:r>
        <w:rPr>
          <w:rFonts w:ascii="Arial" w:cs="Arial" w:eastAsia="Arial" w:hAnsi="Arial"/>
          <w:sz w:val="16"/>
          <w:szCs w:val="16"/>
          <w:color w:val="auto"/>
        </w:rPr>
        <w:t>The Company has a number of bank guarantee facilities and bilateral lines in various countries currently supported by cash, letters of credit or pledged assets and collateral under the Credit Facility. The Credit Facility allows letters of credit and bank guarantee issuances of up to $50.0 million from the bilateral lines secured by pledged assets and collateral under the Credit Facility. As of March 31, 2020, $17.3 million in bank guarantees were outstanding. In addition, a subsidiary of the Company located in the Netherlands has a Euro-denominated bank guarantee agreement secured by local assets under which $3.9 million in bank guarantees were outstanding as of March 31, 2020. As of March 31, 2020, the borrowers of these facilities and agreements were in compliance with all related financial and other restrictive covenants.</w:t>
      </w:r>
    </w:p>
    <w:p>
      <w:pPr>
        <w:spacing w:after="0" w:line="14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computational components of basic and diluted earnings per share for the three-month periods ended March 31, are below.</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tbl>
      <w:tblPr>
        <w:tblLayout w:type="fixed"/>
        <w:tblInd w:w="560" w:type="dxa"/>
        <w:tblCellMar>
          <w:top w:w="0" w:type="dxa"/>
          <w:left w:w="0" w:type="dxa"/>
          <w:bottom w:w="0" w:type="dxa"/>
          <w:right w:w="0" w:type="dxa"/>
        </w:tblCellMar>
      </w:tblPr>
      <w:tr>
        <w:trPr>
          <w:trHeight w:val="17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C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3,412</w:t>
            </w:r>
          </w:p>
        </w:tc>
        <w:tc>
          <w:tcPr>
            <w:tcW w:w="6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35,155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160" w:type="dxa"/>
            <w:vAlign w:val="bottom"/>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Diluted weighted-average shares outstanding</w:t>
            </w: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35,395</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20" w:right="280"/>
        <w:spacing w:after="0" w:line="286" w:lineRule="auto"/>
        <w:rPr>
          <w:sz w:val="20"/>
          <w:szCs w:val="20"/>
          <w:color w:val="auto"/>
        </w:rPr>
      </w:pPr>
      <w:r>
        <w:rPr>
          <w:rFonts w:ascii="Arial" w:cs="Arial" w:eastAsia="Arial" w:hAnsi="Arial"/>
          <w:sz w:val="17"/>
          <w:szCs w:val="17"/>
          <w:color w:val="auto"/>
        </w:rPr>
        <w:t>Options and restricted stock units included in the computation of diluted earnings per share are calculated using the treasury stock method. For the three-month periods ended March 31, 2020 and 2019, 0.4 million and 0.5 million, respectively, of outstanding options and restricted stock units were excluded from the computation of diluted earnings per share due to their having an anti-dilutive effect.</w:t>
      </w:r>
    </w:p>
    <w:p>
      <w:pPr>
        <w:spacing w:after="0" w:line="165"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5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2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$0.6 million and $0.8 million of share-based compensation related expense during the three-month periods ended March 31, 2020 and 2019, respectively.</w:t>
      </w:r>
    </w:p>
    <w:p>
      <w:pPr>
        <w:spacing w:after="0" w:line="186" w:lineRule="exact"/>
        <w:rPr>
          <w:rFonts w:ascii="Arial" w:cs="Arial" w:eastAsia="Arial" w:hAnsi="Arial"/>
          <w:sz w:val="18"/>
          <w:szCs w:val="18"/>
          <w:b w:val="1"/>
          <w:bCs w:val="1"/>
          <w:color w:val="auto"/>
        </w:rPr>
      </w:pPr>
    </w:p>
    <w:p>
      <w:pPr>
        <w:ind w:left="520" w:right="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granted zero and approximately 400,000 restricted stock units during the three-month periods ended March 31, 2020 and 2019, respectively. The weighted-average fair value of restricted stock units granted was estimated at $7.24 per unit during the three-months ended March 31, 2019. The fair value of the restricted stock units was determined by using the value of stock in the open market on the date of grant.</w:t>
      </w:r>
    </w:p>
    <w:p>
      <w:pPr>
        <w:spacing w:after="0" w:line="14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fair value of the stock-based awards granted is recorded as compensation expense on a straight-line basis over the vesting periods of the awards.</w:t>
      </w:r>
    </w:p>
    <w:p>
      <w:pPr>
        <w:spacing w:after="0" w:line="230" w:lineRule="exact"/>
        <w:rPr>
          <w:rFonts w:ascii="Arial" w:cs="Arial" w:eastAsia="Arial" w:hAnsi="Arial"/>
          <w:sz w:val="18"/>
          <w:szCs w:val="18"/>
          <w:b w:val="1"/>
          <w:bCs w:val="1"/>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rFonts w:ascii="Arial" w:cs="Arial" w:eastAsia="Arial" w:hAnsi="Arial"/>
          <w:sz w:val="18"/>
          <w:szCs w:val="18"/>
          <w:b w:val="1"/>
          <w:bCs w:val="1"/>
          <w:color w:val="auto"/>
        </w:rPr>
      </w:pPr>
    </w:p>
    <w:p>
      <w:pPr>
        <w:ind w:left="52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rFonts w:ascii="Arial" w:cs="Arial" w:eastAsia="Arial" w:hAnsi="Arial"/>
          <w:sz w:val="18"/>
          <w:szCs w:val="18"/>
          <w:b w:val="1"/>
          <w:bCs w:val="1"/>
          <w:color w:val="auto"/>
        </w:rPr>
      </w:pPr>
    </w:p>
    <w:p>
      <w:pPr>
        <w:ind w:left="52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rFonts w:ascii="Arial" w:cs="Arial" w:eastAsia="Arial" w:hAnsi="Arial"/>
          <w:sz w:val="18"/>
          <w:szCs w:val="18"/>
          <w:b w:val="1"/>
          <w:bCs w:val="1"/>
          <w:color w:val="auto"/>
        </w:rPr>
      </w:pPr>
    </w:p>
    <w:p>
      <w:pPr>
        <w:ind w:left="52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present the components of net periodic benefit cost (gain) within “Other income (expense), net” on the Condensed Consolidated Statements of Income.</w:t>
      </w:r>
    </w:p>
    <w:p>
      <w:pPr>
        <w:spacing w:after="0" w:line="170" w:lineRule="exact"/>
        <w:rPr>
          <w:rFonts w:ascii="Arial" w:cs="Arial" w:eastAsia="Arial" w:hAnsi="Arial"/>
          <w:sz w:val="18"/>
          <w:szCs w:val="18"/>
          <w:b w:val="1"/>
          <w:bCs w:val="1"/>
          <w:color w:val="auto"/>
        </w:rPr>
      </w:pPr>
    </w:p>
    <w:p>
      <w:pPr>
        <w:ind w:left="52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(table only in thousands)</w:t>
            </w: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gridSpan w:val="2"/>
            <w:vMerge w:val="continue"/>
          </w:tcPr>
          <w:p>
            <w:pPr>
              <w:spacing w:after="0"/>
              <w:rPr>
                <w:sz w:val="13"/>
                <w:szCs w:val="13"/>
                <w:color w:val="auto"/>
              </w:rPr>
            </w:pPr>
          </w:p>
        </w:tc>
        <w:tc>
          <w:tcPr>
            <w:tcW w:w="26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plan:</w:t>
            </w:r>
          </w:p>
        </w:tc>
        <w:tc>
          <w:tcPr>
            <w:tcW w:w="26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cost</w:t>
            </w:r>
          </w:p>
        </w:tc>
        <w:tc>
          <w:tcPr>
            <w:tcW w:w="30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4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26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net actuarial loss</w:t>
            </w:r>
          </w:p>
        </w:tc>
        <w:tc>
          <w:tcPr>
            <w:tcW w:w="26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(gain) cost</w:t>
            </w:r>
          </w:p>
        </w:tc>
        <w:tc>
          <w:tcPr>
            <w:tcW w:w="26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560"/>
              <w:spacing w:after="0"/>
              <w:rPr>
                <w:sz w:val="20"/>
                <w:szCs w:val="20"/>
                <w:color w:val="auto"/>
              </w:rPr>
            </w:pPr>
            <w:r>
              <w:rPr>
                <w:rFonts w:ascii="Arial" w:cs="Arial" w:eastAsia="Arial" w:hAnsi="Arial"/>
                <w:sz w:val="18"/>
                <w:szCs w:val="18"/>
                <w:color w:val="auto"/>
              </w:rPr>
              <w:t>Health care plan:</w:t>
            </w:r>
          </w:p>
        </w:tc>
        <w:tc>
          <w:tcPr>
            <w:tcW w:w="2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30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loss</w:t>
            </w:r>
          </w:p>
        </w:tc>
        <w:tc>
          <w:tcPr>
            <w:tcW w:w="26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26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80" w:type="dxa"/>
            <w:vAlign w:val="bottom"/>
            <w:vMerge w:val="restart"/>
          </w:tcPr>
          <w:p>
            <w:pPr>
              <w:jc w:val="right"/>
              <w:ind w:right="1130"/>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98" w:right="319" w:bottom="1440" w:gutter="0" w:footer="0" w:header="0"/>
        </w:sectPr>
      </w:pPr>
    </w:p>
    <w:bookmarkStart w:id="12" w:name="page13"/>
    <w:bookmarkEnd w:id="12"/>
    <w:p>
      <w:pPr>
        <w:ind w:left="520" w:right="100"/>
        <w:spacing w:after="0" w:line="259" w:lineRule="auto"/>
        <w:rPr>
          <w:sz w:val="20"/>
          <w:szCs w:val="20"/>
          <w:color w:val="auto"/>
        </w:rPr>
      </w:pPr>
      <w:r>
        <w:rPr>
          <w:rFonts w:ascii="Arial" w:cs="Arial" w:eastAsia="Arial" w:hAnsi="Arial"/>
          <w:sz w:val="18"/>
          <w:szCs w:val="18"/>
          <w:color w:val="auto"/>
        </w:rPr>
        <w:t>We made contributions to our defined benefit plans of approximately $0.1 million during the three-months ended March 31, 2020 and 2019, respectively. For the remainder of 2020, we have elected to defer further contributions to fund the pension plan and the retiree health care plan until January 2021. The unfunded liability of the plans of $8.7 million and $8.9 million as of March 31, 2020 and December 31, 2019, respectively, is included in “Other liabilities” on our Condensed Consolidated Balance Sheets.</w:t>
      </w:r>
    </w:p>
    <w:p>
      <w:pPr>
        <w:spacing w:after="0" w:line="37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2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in various federal, state and local jurisdictions. Tax years from 2016 forward remain open for examination by Federal authorities. Tax years from 2014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account for uncertain tax positions pursuant to ASC Topic 740, “Income Taxes.” As of March 31, 2020 and December 31, 2019, the liability for uncertain tax positions totaled approximately $0.2 million and $0.3 million, respectively, which is included in “Other liabilities” on our Condensed Consolidated Balance Sheets. We recognize accrued interest related to uncertain tax positions and penalties, if any, in income tax expense within the Condensed Consolidated Statements of Income.</w:t>
      </w:r>
    </w:p>
    <w:p>
      <w:pPr>
        <w:spacing w:after="0" w:line="186" w:lineRule="exact"/>
        <w:rPr>
          <w:rFonts w:ascii="Arial" w:cs="Arial" w:eastAsia="Arial" w:hAnsi="Arial"/>
          <w:sz w:val="18"/>
          <w:szCs w:val="18"/>
          <w:b w:val="1"/>
          <w:bCs w:val="1"/>
          <w:color w:val="auto"/>
        </w:rPr>
      </w:pPr>
    </w:p>
    <w:p>
      <w:pPr>
        <w:ind w:left="52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Certain of the Company’s undistributed earnings of our foreign subsidiaries are not permanently reinvested. Since foreign earnings have already been subject to United States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March 31, 2020 and December 31, 2019, we have recorded deferred income taxes of approximately $0.8 million and $0.7 million, respectively, on the undistributed earnings of our foreign subsidiaries. A significant portion of the previously undistributed earnings to which the deferred income taxes were attributable were repatriated in 2019.</w:t>
      </w:r>
    </w:p>
    <w:p>
      <w:pPr>
        <w:spacing w:after="0" w:line="17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Income tax expense was $0.8 million for both the first quarter of 2020 and 2019. The effective income tax rate for the first quarter of 2020 was</w:t>
      </w:r>
    </w:p>
    <w:p>
      <w:pPr>
        <w:spacing w:after="0" w:line="34" w:lineRule="exact"/>
        <w:rPr>
          <w:rFonts w:ascii="Arial" w:cs="Arial" w:eastAsia="Arial" w:hAnsi="Arial"/>
          <w:sz w:val="18"/>
          <w:szCs w:val="18"/>
          <w:b w:val="1"/>
          <w:bCs w:val="1"/>
          <w:color w:val="auto"/>
        </w:rPr>
      </w:pPr>
    </w:p>
    <w:p>
      <w:pPr>
        <w:ind w:left="5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18.6% compared with 31.1% for first quarter of 2019. The effective income tax rate for the first quarter of 2020 is lower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175" w:lineRule="exact"/>
        <w:rPr>
          <w:rFonts w:ascii="Arial" w:cs="Arial" w:eastAsia="Arial" w:hAnsi="Arial"/>
          <w:sz w:val="18"/>
          <w:szCs w:val="18"/>
          <w:b w:val="1"/>
          <w:bCs w:val="1"/>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2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March 31, 2020 and December 31, 2019, due to their short-term nature or variable, market-driven interest rates.</w:t>
      </w:r>
    </w:p>
    <w:p>
      <w:pPr>
        <w:spacing w:after="0" w:line="183" w:lineRule="exact"/>
        <w:rPr>
          <w:rFonts w:ascii="Arial" w:cs="Arial" w:eastAsia="Arial" w:hAnsi="Arial"/>
          <w:sz w:val="18"/>
          <w:szCs w:val="18"/>
          <w:b w:val="1"/>
          <w:bCs w:val="1"/>
          <w:color w:val="auto"/>
        </w:rPr>
      </w:pPr>
    </w:p>
    <w:p>
      <w:pPr>
        <w:ind w:left="52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debt issued under the Credit Facility was $109.6 million and $67.3 million at March 31, 2020 and December 31, 2019, respectively.</w:t>
      </w:r>
    </w:p>
    <w:p>
      <w:pPr>
        <w:spacing w:after="0" w:line="170" w:lineRule="exact"/>
        <w:rPr>
          <w:rFonts w:ascii="Arial" w:cs="Arial" w:eastAsia="Arial" w:hAnsi="Arial"/>
          <w:sz w:val="18"/>
          <w:szCs w:val="18"/>
          <w:b w:val="1"/>
          <w:bCs w:val="1"/>
          <w:color w:val="auto"/>
        </w:rPr>
      </w:pPr>
    </w:p>
    <w:p>
      <w:pPr>
        <w:ind w:left="52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At March 31, 2020 and December 31, 2019, the Company had cash and cash equivalents of $82.5 million and $35.6 million, respectively, of which $29.8 million and $27.0 million, respectively, was held outside of the United States, principally in the Netherlands, United Kingdom, China, and Canada.</w:t>
      </w:r>
    </w:p>
    <w:p>
      <w:pPr>
        <w:spacing w:after="0" w:line="179" w:lineRule="exact"/>
        <w:rPr>
          <w:rFonts w:ascii="Arial" w:cs="Arial" w:eastAsia="Arial" w:hAnsi="Arial"/>
          <w:sz w:val="18"/>
          <w:szCs w:val="18"/>
          <w:b w:val="1"/>
          <w:bCs w:val="1"/>
          <w:color w:val="auto"/>
        </w:rPr>
      </w:pPr>
    </w:p>
    <w:p>
      <w:pPr>
        <w:ind w:left="520" w:right="6920" w:hanging="512"/>
        <w:spacing w:after="0" w:line="378" w:lineRule="auto"/>
        <w:tabs>
          <w:tab w:leader="none" w:pos="51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20" w:right="1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March 31, 2020 for cases involving asbestos-related claims were $3.1 million, of which, together with all legal fees other than corporate counsel expenses, $2.9 million has been paid by the Company’s insurers. The average cost per settled claim, excluding legal fees, was approximately $35,000.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3" w:name="page14"/>
    <w:bookmarkEnd w:id="13"/>
    <w:p>
      <w:pPr>
        <w:ind w:left="520" w:right="40"/>
        <w:spacing w:after="0" w:line="270" w:lineRule="auto"/>
        <w:rPr>
          <w:sz w:val="20"/>
          <w:szCs w:val="20"/>
          <w:color w:val="auto"/>
        </w:rPr>
      </w:pPr>
      <w:r>
        <w:rPr>
          <w:rFonts w:ascii="Arial" w:cs="Arial" w:eastAsia="Arial" w:hAnsi="Arial"/>
          <w:sz w:val="17"/>
          <w:szCs w:val="17"/>
          <w:color w:val="auto"/>
        </w:rPr>
        <w:t>Based upon the most recent information available to the Company regarding such claims, there were a total of 187 cases pending against the Company as of March 31, 2020 (with Illinois, New York, Pennsylvania and West Virginia having the largest number of cases), as compared with 209 cases that were pending as of December 31, 2019. During the three-months ended March 31, 2020, 21 new cases were filed against the Company, and the Company was dismissed from 41 cases and settled two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35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rFonts w:ascii="Arial" w:cs="Arial" w:eastAsia="Arial" w:hAnsi="Arial"/>
          <w:sz w:val="18"/>
          <w:szCs w:val="18"/>
          <w:b w:val="1"/>
          <w:bCs w:val="1"/>
          <w:color w:val="auto"/>
        </w:rPr>
      </w:pPr>
    </w:p>
    <w:p>
      <w:pPr>
        <w:ind w:left="52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the “Income from operations” line on the Consolidated Statements of Income.</w:t>
      </w:r>
    </w:p>
    <w:p>
      <w:pPr>
        <w:spacing w:after="0" w:line="7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21" w:lineRule="exact"/>
        <w:rPr>
          <w:rFonts w:ascii="Arial" w:cs="Arial" w:eastAsia="Arial" w:hAnsi="Arial"/>
          <w:sz w:val="18"/>
          <w:szCs w:val="18"/>
          <w:b w:val="1"/>
          <w:bCs w:val="1"/>
          <w:color w:val="auto"/>
        </w:rPr>
      </w:pPr>
    </w:p>
    <w:p>
      <w:pPr>
        <w:jc w:val="both"/>
        <w:ind w:left="520" w:right="1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Energy Solutions segment: </w:t>
      </w:r>
      <w:r>
        <w:rPr>
          <w:rFonts w:ascii="Arial" w:cs="Arial" w:eastAsia="Arial" w:hAnsi="Arial"/>
          <w:sz w:val="18"/>
          <w:szCs w:val="18"/>
          <w:color w:val="auto"/>
        </w:rPr>
        <w:t>Our Energy Solutions segment serves the Energy market, where we are a key part of helping meet the global demand</w:t>
      </w:r>
      <w:r>
        <w:rPr>
          <w:rFonts w:ascii="Arial" w:cs="Arial" w:eastAsia="Arial" w:hAnsi="Arial"/>
          <w:sz w:val="18"/>
          <w:szCs w:val="18"/>
          <w:b w:val="1"/>
          <w:bCs w:val="1"/>
          <w:color w:val="auto"/>
        </w:rPr>
        <w:t xml:space="preserve"> </w:t>
      </w:r>
      <w:r>
        <w:rPr>
          <w:rFonts w:ascii="Arial" w:cs="Arial" w:eastAsia="Arial" w:hAnsi="Arial"/>
          <w:sz w:val="18"/>
          <w:szCs w:val="18"/>
          <w:color w:val="auto"/>
        </w:rPr>
        <w:t>for Clean Energy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79" w:lineRule="exact"/>
        <w:rPr>
          <w:rFonts w:ascii="Arial" w:cs="Arial" w:eastAsia="Arial" w:hAnsi="Arial"/>
          <w:sz w:val="18"/>
          <w:szCs w:val="18"/>
          <w:b w:val="1"/>
          <w:bCs w:val="1"/>
          <w:color w:val="auto"/>
        </w:rPr>
      </w:pPr>
    </w:p>
    <w:p>
      <w:pPr>
        <w:ind w:left="520" w:right="2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Industrial Solutions segment: </w:t>
      </w:r>
      <w:r>
        <w:rPr>
          <w:rFonts w:ascii="Arial" w:cs="Arial" w:eastAsia="Arial" w:hAnsi="Arial"/>
          <w:sz w:val="18"/>
          <w:szCs w:val="18"/>
          <w:color w:val="auto"/>
        </w:rPr>
        <w:t>Our Industrial Solutions segment serves the Air Pollution Control market where our aim is to address the growing</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protect the air we breathe and help our customers’ desires for sustainability upgrades beyond carbon footprint issues. Our clean air pollution control, collection and ventilation technologies improve air quality with a compelling solution that enable our customers to reduce their carbon footprint, lower energy consumption, minimize waste and meet compliance targets for toxic emissions, fumes, volatile organic compounds, and industrial odors.</w:t>
      </w:r>
    </w:p>
    <w:p>
      <w:pPr>
        <w:spacing w:after="0" w:line="183" w:lineRule="exact"/>
        <w:rPr>
          <w:rFonts w:ascii="Arial" w:cs="Arial" w:eastAsia="Arial" w:hAnsi="Arial"/>
          <w:sz w:val="18"/>
          <w:szCs w:val="18"/>
          <w:b w:val="1"/>
          <w:bCs w:val="1"/>
          <w:color w:val="auto"/>
        </w:rPr>
      </w:pPr>
    </w:p>
    <w:p>
      <w:pPr>
        <w:ind w:left="5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Fluid Handling Solutions segment: </w:t>
      </w:r>
      <w:r>
        <w:rPr>
          <w:rFonts w:ascii="Arial" w:cs="Arial" w:eastAsia="Arial" w:hAnsi="Arial"/>
          <w:sz w:val="18"/>
          <w:szCs w:val="18"/>
          <w:color w:val="auto"/>
        </w:rPr>
        <w:t>Our Fluid Handling Solutions segment offers unique pump and filtration solutions that maintain safe and clean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financial segment information is presented in the following tables:</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1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0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50,646</w:t>
            </w:r>
          </w:p>
        </w:tc>
        <w:tc>
          <w:tcPr>
            <w:tcW w:w="24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Fluid Handling Solutions Segment</w:t>
            </w:r>
          </w:p>
        </w:tc>
        <w:tc>
          <w:tcPr>
            <w:tcW w:w="1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Net sales</w:t>
            </w:r>
          </w:p>
        </w:tc>
        <w:tc>
          <w:tcPr>
            <w:tcW w:w="17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80,486</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1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0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8,557</w:t>
            </w:r>
          </w:p>
        </w:tc>
        <w:tc>
          <w:tcPr>
            <w:tcW w:w="24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1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(7,414)</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Income from operations</w:t>
            </w:r>
          </w:p>
        </w:tc>
        <w:tc>
          <w:tcPr>
            <w:tcW w:w="17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7"/>
          <w:szCs w:val="17"/>
          <w:color w:val="auto"/>
        </w:rPr>
        <w:t>Includes corporate compensation, professional services, information technology, and other general and administrative corporate expenses.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gridSpan w:val="2"/>
            <w:vMerge w:val="continue"/>
          </w:tcPr>
          <w:p>
            <w:pPr>
              <w:spacing w:after="0"/>
              <w:rPr>
                <w:sz w:val="13"/>
                <w:szCs w:val="13"/>
                <w:color w:val="auto"/>
              </w:rPr>
            </w:pPr>
          </w:p>
        </w:tc>
        <w:tc>
          <w:tcPr>
            <w:tcW w:w="27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2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30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7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Property and equipment additions</w:t>
            </w:r>
          </w:p>
        </w:tc>
        <w:tc>
          <w:tcPr>
            <w:tcW w:w="27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20" w:type="dxa"/>
            <w:vAlign w:val="bottom"/>
            <w:gridSpan w:val="2"/>
            <w:vMerge w:val="continue"/>
          </w:tcPr>
          <w:p>
            <w:pPr>
              <w:spacing w:after="0"/>
              <w:rPr>
                <w:sz w:val="13"/>
                <w:szCs w:val="13"/>
                <w:color w:val="auto"/>
              </w:rPr>
            </w:pPr>
          </w:p>
        </w:tc>
        <w:tc>
          <w:tcPr>
            <w:tcW w:w="27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2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30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7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7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720" w:type="dxa"/>
            <w:vAlign w:val="bottom"/>
            <w:vMerge w:val="restart"/>
          </w:tcPr>
          <w:p>
            <w:pPr>
              <w:jc w:val="right"/>
              <w:ind w:right="1330"/>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5" w:name="page16"/>
    <w:bookmarkEnd w:id="15"/>
    <w:tbl>
      <w:tblPr>
        <w:tblLayout w:type="fixed"/>
        <w:tblInd w:w="552" w:type="dxa"/>
        <w:tblCellMar>
          <w:top w:w="0" w:type="dxa"/>
          <w:left w:w="0" w:type="dxa"/>
          <w:bottom w:w="0" w:type="dxa"/>
          <w:right w:w="0" w:type="dxa"/>
        </w:tblCellMar>
      </w:tblP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1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1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254,238</w:t>
            </w:r>
          </w:p>
        </w:tc>
        <w:tc>
          <w:tcPr>
            <w:tcW w:w="2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254,752</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64,725</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71,253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71,572</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1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17,588</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80"/>
              <w:spacing w:after="0"/>
              <w:rPr>
                <w:sz w:val="20"/>
                <w:szCs w:val="20"/>
                <w:color w:val="auto"/>
              </w:rPr>
            </w:pPr>
            <w:r>
              <w:rPr>
                <w:rFonts w:ascii="Arial" w:cs="Arial" w:eastAsia="Arial" w:hAnsi="Arial"/>
                <w:sz w:val="18"/>
                <w:szCs w:val="18"/>
                <w:color w:val="auto"/>
              </w:rPr>
              <w:t>Identifiable assets</w:t>
            </w:r>
          </w:p>
        </w:tc>
        <w:tc>
          <w:tcPr>
            <w:tcW w:w="19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445,257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 w:lineRule="exact"/>
        <w:rPr>
          <w:sz w:val="20"/>
          <w:szCs w:val="20"/>
          <w:color w:val="auto"/>
        </w:rPr>
      </w:pPr>
    </w:p>
    <w:p>
      <w:pPr>
        <w:ind w:left="492" w:hanging="492"/>
        <w:spacing w:after="0"/>
        <w:tabs>
          <w:tab w:leader="none" w:pos="492" w:val="left"/>
        </w:tabs>
        <w:numPr>
          <w:ilvl w:val="0"/>
          <w:numId w:val="12"/>
        </w:numPr>
        <w:rPr>
          <w:rFonts w:ascii="Arial" w:cs="Arial" w:eastAsia="Arial" w:hAnsi="Arial"/>
          <w:sz w:val="15"/>
          <w:szCs w:val="15"/>
          <w:color w:val="auto"/>
        </w:rPr>
      </w:pPr>
      <w:r>
        <w:rPr>
          <w:rFonts w:ascii="Arial" w:cs="Arial" w:eastAsia="Arial" w:hAnsi="Arial"/>
          <w:sz w:val="18"/>
          <w:szCs w:val="18"/>
          <w:color w:val="auto"/>
        </w:rPr>
        <w:t>Corporate and Other assets consist primarily of cash and income tax related assets.</w:t>
      </w:r>
    </w:p>
    <w:p>
      <w:pPr>
        <w:spacing w:after="0" w:line="230"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1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1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96,663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97,007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Fluid Handling Solutions Segment</w:t>
            </w:r>
          </w:p>
        </w:tc>
        <w:tc>
          <w:tcPr>
            <w:tcW w:w="1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Goodwill</w:t>
            </w:r>
          </w:p>
        </w:tc>
        <w:tc>
          <w:tcPr>
            <w:tcW w:w="1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151,676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ind w:left="512"/>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ind w:left="512"/>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243"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3"/>
              </w:rPr>
              <w:t>Three months ended March 31, 2020</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121"/>
              <w:spacing w:after="0"/>
              <w:rPr>
                <w:sz w:val="20"/>
                <w:szCs w:val="20"/>
                <w:color w:val="auto"/>
              </w:rPr>
            </w:pPr>
            <w:r>
              <w:rPr>
                <w:rFonts w:ascii="Arial" w:cs="Arial" w:eastAsia="Arial" w:hAnsi="Arial"/>
                <w:sz w:val="14"/>
                <w:szCs w:val="14"/>
                <w:b w:val="1"/>
                <w:bCs w:val="1"/>
                <w:color w:val="auto"/>
              </w:rPr>
              <w:t>Intra-</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27"/>
              <w:spacing w:after="0" w:line="155" w:lineRule="exact"/>
              <w:rPr>
                <w:sz w:val="20"/>
                <w:szCs w:val="20"/>
                <w:color w:val="auto"/>
              </w:rPr>
            </w:pPr>
            <w:r>
              <w:rPr>
                <w:rFonts w:ascii="Arial" w:cs="Arial" w:eastAsia="Arial" w:hAnsi="Arial"/>
                <w:sz w:val="14"/>
                <w:szCs w:val="14"/>
                <w:b w:val="1"/>
                <w:bCs w:val="1"/>
                <w:color w:val="auto"/>
                <w:w w:val="90"/>
              </w:rPr>
              <w:t>Less Inter-Segment Sales</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Industrial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Energy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Fluid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Sales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53,338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50,646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9,749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87,228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(6,179</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3"/>
              </w:rPr>
              <w:t>Three months ended March 31, 2019</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121"/>
              <w:spacing w:after="0"/>
              <w:rPr>
                <w:sz w:val="20"/>
                <w:szCs w:val="20"/>
                <w:color w:val="auto"/>
              </w:rPr>
            </w:pPr>
            <w:r>
              <w:rPr>
                <w:rFonts w:ascii="Arial" w:cs="Arial" w:eastAsia="Arial" w:hAnsi="Arial"/>
                <w:sz w:val="14"/>
                <w:szCs w:val="14"/>
                <w:b w:val="1"/>
                <w:bCs w:val="1"/>
                <w:color w:val="auto"/>
              </w:rPr>
              <w:t>Intra-</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27"/>
              <w:spacing w:after="0" w:line="155" w:lineRule="exact"/>
              <w:rPr>
                <w:sz w:val="20"/>
                <w:szCs w:val="20"/>
                <w:color w:val="auto"/>
              </w:rPr>
            </w:pPr>
            <w:r>
              <w:rPr>
                <w:rFonts w:ascii="Arial" w:cs="Arial" w:eastAsia="Arial" w:hAnsi="Arial"/>
                <w:sz w:val="14"/>
                <w:szCs w:val="14"/>
                <w:b w:val="1"/>
                <w:bCs w:val="1"/>
                <w:color w:val="auto"/>
                <w:w w:val="90"/>
              </w:rPr>
              <w:t>Less Inter-Segment Sales</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Industrial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Energy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Fluid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Sales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56,150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21,822</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12,416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90,388</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12"/>
          </w:cols>
          <w:pgMar w:left="328" w:top="130" w:right="659" w:bottom="1440" w:gutter="0" w:footer="0" w:header="0"/>
        </w:sectPr>
      </w:pPr>
    </w:p>
    <w:bookmarkStart w:id="16" w:name="page17"/>
    <w:bookmarkEnd w:id="16"/>
    <w:p>
      <w:pPr>
        <w:jc w:val="center"/>
        <w:spacing w:after="0" w:line="263"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Company’s Condensed Consolidated Statements of Income for the three-month periods ended March 31, 2020 and 2019 reflect the consolidated operations of the Company and its subsidiaries.</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CECO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CECO serves diverse industries globally by working to improve air quality, optimize the energy value chain, and provide customized engineered solutions in our customer’s mission critical applications. The secular growth industries CECO serves include oil &amp; gas, power generation, water and wastewater, battery production, poly silicon fabrication, and chemical and petrochemical processing, along with a wide range of other industries.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On January 30, 2020, the WHO announced a global health emergency because of a new strain of coronavirus (“COVID-19”) originating in Wuhan, China and the risks to the international community as the virus spreads globally beyond its point of origin. On March 11, 2020, the WHO characterized COVID-19 as a pandemic. As of March 31, 2020, the COVID-19 pandemic has had a significant impact on macroeconomic conditions and the end markets of our business. Several countries, including the United States, have taken steps to restrict travel, temporarily close businesses and issue quarantine orders, and it remains unclear how long such measures will remain in place or whether efforts to contain the spread of COVID-19 will continue to intensify.</w:t>
      </w:r>
    </w:p>
    <w:p>
      <w:pPr>
        <w:spacing w:after="0" w:line="16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It is currently unclear if and how the Company will benefit from the CARES Act in the future, but we continue to examine the impacts the CARES Act may have on our business, results of operations, financial condition or liquidity.</w:t>
      </w:r>
    </w:p>
    <w:p>
      <w:pPr>
        <w:spacing w:after="0" w:line="16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Within the United States, certain portions of our business have been designated an essential business, and we continue to operate our business in compliance with applicable state and local laws. This allows us to continue to serve our customers, however, the COVID-19 pandemic has also disrupted our global operations. The outbreak of COVID-19 has heightened the risk of work stoppages at our facilities or those of our suppliers. Certain of our facilities and our suppliers have experienced temporary disruptions as a result of the COVID-19 pandemic, and we cannot predict whether our facilities will experience more significant disruptions in the future or the impact on our suppliers.</w:t>
      </w:r>
    </w:p>
    <w:p>
      <w:pPr>
        <w:spacing w:after="0" w:line="17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CECO has undertaken necessary measures in compliance with government directives to remain open across its business and continues to work closely with its global supply chain to proactively support customers during this critical time. As a key supplier to critical infrastructure projects, CECO has worked to maintain ongoing essential operations while observing recommended CDC guidelines to minimize the risk of spreading the COVID-19 virus including implementing, where possible, work-from-home procedures and additional sanitization efforts where facilities remain open to provide necessary services. Additionally, CECO has taken several proactive cost reduction measures in response to the economic pressures brought on by the COVID-19 pandemic. The CECO senior management team has agreed to a temporary salary reduction, certain corporate-level costs have been eliminated or reduced, and CECO has instituted a rolling 2-week furlough of United States-based employees during the 6-week period beginning the week of April 6, 2020.</w:t>
      </w:r>
    </w:p>
    <w:p>
      <w:pPr>
        <w:spacing w:after="0" w:line="166"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impact of the COVID-19 pandemic is fluid and continues to evolve, and therefore, we cannot currently predict the extent to which our business, results of operations, financial condition or liquidity will ultimately be impacted.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Statements of Income for the three-month periods ended March 31, 2020 and 2019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4"/>
                <w:szCs w:val="14"/>
                <w:color w:val="auto"/>
              </w:rPr>
            </w:pPr>
          </w:p>
        </w:tc>
        <w:tc>
          <w:tcPr>
            <w:tcW w:w="362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220" w:type="dxa"/>
            <w:vAlign w:val="bottom"/>
            <w:tcBorders>
              <w:bottom w:val="single" w:sz="8" w:color="CFF0FC"/>
            </w:tcBorders>
            <w:vMerge w:val="continue"/>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4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33.0%</w:t>
            </w:r>
          </w:p>
        </w:tc>
        <w:tc>
          <w:tcPr>
            <w:tcW w:w="0" w:type="dxa"/>
            <w:vAlign w:val="bottom"/>
          </w:tcPr>
          <w:p>
            <w:pPr>
              <w:spacing w:after="0"/>
              <w:rPr>
                <w:sz w:val="1"/>
                <w:szCs w:val="1"/>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4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24.7%</w:t>
            </w:r>
          </w:p>
        </w:tc>
        <w:tc>
          <w:tcPr>
            <w:tcW w:w="0" w:type="dxa"/>
            <w:vAlign w:val="bottom"/>
          </w:tcPr>
          <w:p>
            <w:pPr>
              <w:spacing w:after="0"/>
              <w:rPr>
                <w:sz w:val="1"/>
                <w:szCs w:val="1"/>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expenses</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Restructuring expenses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Loss on divestitures, net of selling costs</w:t>
            </w: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margin</w:t>
            </w: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i w:val="1"/>
                <w:iCs w:val="1"/>
                <w:color w:val="auto"/>
              </w:rPr>
              <w:t>5.2%</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compare operating performance between the three-month periods ended March 31, 2020 and 2019, the Company has adjusted GAAP operating income to exclude (1) amortization expenses for acquisition related intangible assets, (2) restructuring expenses primarily relating to severance and legal expenses, and (3) loss on divestitures, net of selling costs necessary to complete the divestiture such as legal, accounting and compliance. See “Note Regarding Use of Non-GAAP Financial Measures” above. The following table presents the reconciliation of GAAP operating income and GAAP operating margin to non-GAAP operating income and non-GAAP operating margin: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700" w:type="dxa"/>
            <w:vAlign w:val="bottom"/>
            <w:tcBorders>
              <w:bottom w:val="single" w:sz="8" w:color="CFF0FC"/>
            </w:tcBorders>
            <w:vMerge w:val="continue"/>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3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expenses</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00"/>
              <w:spacing w:after="0"/>
              <w:rPr>
                <w:sz w:val="20"/>
                <w:szCs w:val="20"/>
                <w:color w:val="auto"/>
              </w:rPr>
            </w:pPr>
            <w:r>
              <w:rPr>
                <w:rFonts w:ascii="Arial" w:cs="Arial" w:eastAsia="Arial" w:hAnsi="Arial"/>
                <w:sz w:val="18"/>
                <w:szCs w:val="18"/>
                <w:color w:val="auto"/>
              </w:rPr>
              <w:t>Restructuring expenses</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divestitures, net of selling costs</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620" w:type="dxa"/>
            <w:vAlign w:val="bottom"/>
          </w:tcPr>
          <w:p>
            <w:pPr>
              <w:spacing w:after="0"/>
              <w:rPr>
                <w:sz w:val="19"/>
                <w:szCs w:val="19"/>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7.8%</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Net sales for the first quarter of 2020 decreased $5.5 million, or 6.4%, to $80.5 million compared with $86.0 million in the first quarter of 2019. The decrease is primarily attributable to decreases of $5.1 million in custom-designed cyclone systems and $2.5 million in filtration and pump solutions, partially offset by increases of $1.9 million of our turbine exhaust and silencers systems and $0.7 million in clean air pollution control and ventilation technologies.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200"/>
        <w:spacing w:after="0" w:line="342" w:lineRule="auto"/>
        <w:rPr>
          <w:sz w:val="20"/>
          <w:szCs w:val="20"/>
          <w:color w:val="auto"/>
        </w:rPr>
      </w:pPr>
      <w:r>
        <w:rPr>
          <w:rFonts w:ascii="Arial" w:cs="Arial" w:eastAsia="Arial" w:hAnsi="Arial"/>
          <w:sz w:val="16"/>
          <w:szCs w:val="16"/>
          <w:color w:val="auto"/>
        </w:rPr>
        <w:t>Gross profit decreased $0.1 million, or 0.4%, to $28.3 million in the first quarter of 2020 compared with $28.4 million in the same period of 2019. Gross profit as a percentage of sales increased to 35.2% in the first quarter of 2020 compared with 33.0% in the first quarter of 2019 due to product mix.</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Orders booked were $75.7 million during the first quarter of 2020 as compared with $97.3 million during the first quarter of 2019. The decrease is primarily attributable to decreases in the refinery, midstream oil and gas, and pollution control end markets, and the COVID-19 slowdown impacting our customers in March 2020.</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Selling and administrative expenses were $22.0 million for the first quarter of 2020 compared with $21.2 million for the first quarter of 2019. The increase is primarily attributable to investments in sales personnel and the final settlement of a commercial dispute. Selling and administrative expenses increased as a percentage of sales to 27.3% in the first quarter of 2020 compared with 24.7% in the first quarter of 2019. The increase in selling and administrative expenses as a percentage of sales is primarily attributable to sales volume decreases year over year.</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expense was $1.7 million for the first quarter of 2020 compared with $2.2 million for the first quarter of 2019. The decrease in expense is attributable $0.5 million decrease in definite lived asset amortization.</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Operating income decreased $0.7 million to $4.2 million in the first quarter of 2020 compared with $4.9 million during the first quarter of 2019. The decrease is attributable to the factors described above.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Non-GAAP operating income was $6.3 million for the first quarter of 2020 compared with $7.2 million for the first quarter of 2019. The decrease in non-GAAP operating income is primarily attributable to the decline in sales and increase in selling and administrative expenses, partially offset by the improvements in gross margin, as described above. Non-GAAP operating income as a percentage of sales decreased to 7.8% for the first quarter of 2020 from 8.4% for the first quarter of 2019.</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Interest expense decreased to $1.0 million in the first quarter of 2020 compared with $1.5 million in the first quarter of 2019. The decrease in interest expense is primarily due to lower interest rates on a negotiated credit agreement which was executed in June of 2019, and a reduced debt balance for the majority of three-month period in 2020 compared to 2019. As a proactive measure related to COVID-19, the Company elected to drawdown $40.0 million from its revolving credit facility, in late March 2020, which supplements the Company’s already strong cash position.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Income tax expense was $0.8 million for the first quarter of 2020 and 2019. The effective income tax rate for the first quarter of 2020 was 18.6% compared with 31.1% for first quarter of 2019. The effective income tax rate for the first quarter of 2020 is lower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“Income from operations” on the unaudited Condensed Consolidated Statements of Income.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bottom w:val="single" w:sz="8" w:color="CFF0FC"/>
            </w:tcBorders>
            <w:vMerge w:val="continue"/>
          </w:tcPr>
          <w:p>
            <w:pPr>
              <w:spacing w:after="0"/>
              <w:rPr>
                <w:sz w:val="13"/>
                <w:szCs w:val="13"/>
                <w:color w:val="auto"/>
              </w:rPr>
            </w:pPr>
          </w:p>
        </w:tc>
        <w:tc>
          <w:tcPr>
            <w:tcW w:w="282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and inter-segment sales)</w:t>
            </w:r>
          </w:p>
        </w:tc>
        <w:tc>
          <w:tcPr>
            <w:tcW w:w="2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32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50,646</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55,188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Fluid Handling Solutions Segment</w:t>
            </w:r>
          </w:p>
        </w:tc>
        <w:tc>
          <w:tcPr>
            <w:tcW w:w="28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9,484</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sales</w:t>
            </w:r>
          </w:p>
        </w:tc>
        <w:tc>
          <w:tcPr>
            <w:tcW w:w="28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80,486</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86,011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20" w:type="dxa"/>
            <w:vAlign w:val="bottom"/>
            <w:vMerge w:val="restart"/>
          </w:tcPr>
          <w:p>
            <w:pPr>
              <w:jc w:val="right"/>
              <w:ind w:right="1510"/>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5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4"/>
                <w:szCs w:val="14"/>
                <w:color w:val="auto"/>
              </w:rPr>
            </w:pPr>
          </w:p>
        </w:tc>
        <w:tc>
          <w:tcPr>
            <w:tcW w:w="35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vMerge w:val="continue"/>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8,557</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(7,414)</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80" w:hanging="872"/>
        <w:spacing w:after="0"/>
        <w:tabs>
          <w:tab w:leader="none" w:pos="880" w:val="left"/>
        </w:tabs>
        <w:numPr>
          <w:ilvl w:val="0"/>
          <w:numId w:val="13"/>
        </w:numPr>
        <w:rPr>
          <w:rFonts w:ascii="Arial" w:cs="Arial" w:eastAsia="Arial" w:hAnsi="Arial"/>
          <w:sz w:val="15"/>
          <w:szCs w:val="15"/>
          <w:color w:val="auto"/>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Solutions Segment</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Energy Solutions segment net sales decreased $4.6 million to $50.6 million in the first quarter of 2020 compared with $55.2 million in the same period of 2019. The decrease is primarily attributable to decreases of $5.1 million in the Company’s custom-designed cyclone systems that serve the refinery markets period over period.</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Operating income for the Energy Solutions segment decreased $0.7 million to $8.6 million in the first quarter of 2020 compared with $9.3 million in the same period of 2019. The change is primarily attributable to decrease in sales of $4.6 million and an increase of $1.0 million in administrative expenses related to investments in sales personnel, partially offset by a decrease in costs of sales of $4.5 million and a decrease of $0.3 million in amortization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Solutions Segment</w:t>
      </w:r>
    </w:p>
    <w:p>
      <w:pPr>
        <w:spacing w:after="0" w:line="11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Our Industrial Solutions segment net sales increased $1.5 million to $20.4 million in the first quarter of 2020 compared with $18.9 million in the first quarter of 2019. The increase is primarily attributable to increased sales in the Company’s clean air pollution control and ventilation technologies.</w:t>
      </w:r>
    </w:p>
    <w:p>
      <w:pPr>
        <w:spacing w:after="0" w:line="12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Operating income for the Industrial Solutions segment increased $0.9 million to $1.5 million in the first quarter of 2020 compared with $0.6 million in the first quarter of 2019. The increase is primarily attributable to a $0.5 million increase in gross profit driven by increased sales and a $0.5 million decrease in selling and marketing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Fluid Handling Solutions Segment</w:t>
      </w:r>
    </w:p>
    <w:p>
      <w:pPr>
        <w:spacing w:after="0" w:line="11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Our Fluid Handling Solutions segment net sales decreased $2.5 million to $9.5 million in the first quarter of 2020 compared with $12.0 million in the first quarter of 2019. The decrease is primarily attributable to decreases in the Company’s filtration and pump solutions.</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Operating income for the Fluid Handling Solutions segment decreased $0.8 million to $1.6 million in the first quarter of 2020 compared with $2.4 million in the first quarter of 2019. The decrease is primarily attributable to a $1.0 million decrease in gross profit due to decrease in sales, partially offset by $0.1 million decrease in amortization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 for the Corporate and Other segment remained flat period over period at $7.4 million in the first quarter of 2020 and 2019,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Backlog (i.e., unfulfilled or remaining performance obligations) represents the sales we expect to recognize for our products and services for which control has not yet transferred to the customer. Backlog decreased to $208.9 million as of March 31, 2020 from $216.6 million as of December 31,</w:t>
      </w:r>
    </w:p>
    <w:p>
      <w:pPr>
        <w:jc w:val="both"/>
        <w:ind w:right="20"/>
        <w:spacing w:after="0" w:line="253" w:lineRule="auto"/>
        <w:rPr>
          <w:sz w:val="20"/>
          <w:szCs w:val="20"/>
          <w:color w:val="auto"/>
        </w:rPr>
      </w:pPr>
      <w:r>
        <w:rPr>
          <w:rFonts w:ascii="Arial" w:cs="Arial" w:eastAsia="Arial" w:hAnsi="Arial"/>
          <w:sz w:val="18"/>
          <w:szCs w:val="18"/>
          <w:color w:val="auto"/>
        </w:rPr>
        <w:t>2019.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United States generally accepted accounting principles (“GAAP”) and our methodology for calculating backlog may not be consistent with methodologies used by other companies.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spacing w:after="0" w:line="1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March 31, 2020, the Company had working capital of $109.9 million, compared with $64.3 million at December 31, 2019. The ratio of current assets to current liabilities was 2.01 to 1.00 on March 31, 2020, as compared with a ratio of 1.56 to 1.00 at December 31, 2019. The increase to the Company’s working capital is primarily attributable to the drawdown of $40.0 million from its revolving credit facility, a proactive measure related to COVID-19, which supplements the Company’s already strong cash position.</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March 31, 2020 and December 31, 2019, cash and cash equivalents totaled $82.5 million and $35.6 million, respectively. As of March 31, 2020 and December 31, 2019, $29.8 million and $27.0 million, respectively, of our cash and cash equivalents were held by certain non- United States subsidiaries, as well as being denominated in foreign currencies.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2019</w:t>
            </w:r>
          </w:p>
        </w:tc>
      </w:tr>
      <w:tr>
        <w:trPr>
          <w:trHeight w:val="209"/>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 (defined below).</w:t>
            </w:r>
          </w:p>
        </w:tc>
        <w:tc>
          <w:tcPr>
            <w:tcW w:w="1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through June 2021, $0.9 million through June 2023, and $1.3 million</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thereafter with balance due upon maturity in June 2024.</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 Term loan</w:t>
            </w:r>
          </w:p>
        </w:tc>
        <w:tc>
          <w:tcPr>
            <w:tcW w:w="1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48,125</w:t>
            </w:r>
          </w:p>
        </w:tc>
        <w:tc>
          <w:tcPr>
            <w:tcW w:w="3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48,750</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Revolving Credit Loan</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w:t>
            </w:r>
          </w:p>
        </w:tc>
        <w:tc>
          <w:tcPr>
            <w:tcW w:w="120" w:type="dxa"/>
            <w:vAlign w:val="bottom"/>
            <w:shd w:val="clear" w:color="auto" w:fill="CFF0FC"/>
          </w:tcPr>
          <w:p>
            <w:pPr>
              <w:spacing w:after="0"/>
              <w:rPr>
                <w:sz w:val="19"/>
                <w:szCs w:val="19"/>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 Unamortized debt discount</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(1,644)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(1,749)</w:t>
            </w: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107,981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current portion</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(2,500)</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Total debt, less current portion</w:t>
            </w:r>
          </w:p>
        </w:tc>
        <w:tc>
          <w:tcPr>
            <w:tcW w:w="1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105,481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63,001</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Company’s outstanding borrowings in the United States consist of senior secured term loan and a senior secured revolver loan with sub-facilities for letters of credit, swing-line loans and multi-currency loans (collectively, the “Credit Facility”). As of March 31, 2020 and December 31, 2019, the Company was in compliance with all related financial and other restrictive covenants under the Credit Facility.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Note 7 to the unaudited condensed consolidated financial statements within Item 1 of this Quarterly Report on Form 10-Q for further information on the Company’s debt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Facility, revolving loans</w:t>
            </w:r>
          </w:p>
        </w:tc>
        <w:tc>
          <w:tcPr>
            <w:tcW w:w="27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Draw down</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 open</w:t>
            </w:r>
          </w:p>
        </w:tc>
        <w:tc>
          <w:tcPr>
            <w:tcW w:w="2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unused credit availability</w:t>
            </w:r>
          </w:p>
        </w:tc>
        <w:tc>
          <w:tcPr>
            <w:tcW w:w="27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 available based on borrowing limitations</w:t>
            </w:r>
          </w:p>
        </w:tc>
        <w:tc>
          <w:tcPr>
            <w:tcW w:w="2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60" w:type="dxa"/>
            <w:vAlign w:val="bottom"/>
            <w:vMerge w:val="restart"/>
          </w:tcPr>
          <w:p>
            <w:pPr>
              <w:jc w:val="right"/>
              <w:ind w:right="151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Overview of Cash Flows and Liquidity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4"/>
                <w:szCs w:val="14"/>
                <w:color w:val="auto"/>
              </w:rPr>
            </w:pPr>
          </w:p>
        </w:tc>
        <w:tc>
          <w:tcPr>
            <w:tcW w:w="35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7320" w:type="dxa"/>
            <w:vAlign w:val="bottom"/>
            <w:tcBorders>
              <w:bottom w:val="single" w:sz="8" w:color="CFF0FC"/>
            </w:tcBorders>
            <w:vMerge w:val="continue"/>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(976)</w:t>
            </w:r>
          </w:p>
        </w:tc>
        <w:tc>
          <w:tcPr>
            <w:tcW w:w="4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(1,127)</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three-months ended March 31, 2020, $7.0 million of cash was provided by operating activities compared with $(13.7) million used in operating activities in the prior year period, a $20.7 million increase. Cash flow from operating activities in the first quarter of 2020 had a favorable impact year-over-year primarily due to certain decreases in net working capital items such accounts receivable and inventory offset by increases in prepaid expenses and costs and estimated earnings in excess of billings as reflected in the Condensed Consolidated Statements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three-months ended March 31, 2020, net cash used in investing activities, attributed to the acquisition of property and equipment, was $1.0 million compared with $0.4 million in the prior 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three-months ended March 31, 2020, $42.3 million was provided by financing activities compared with $(1.8) million used in financing activities in the period year period, an increase of $44.1 million. As a proactive measure, related to COVID-19, the Company elected to drawdown $40.0 million from its revolving credit facility, which supplements the Company’s already strong cash position. Additionally, for the first three-months ended March 31, 2020, $(0.6) million was used in financing activities for repayments on the Company’s Term loan compared with $(1.7) million for repayments on the Company’s note payable in the first three-months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8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Management believes there have been no changes during the three-month period ended March 31, 2020, other than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Quarterly Report on Form 10-Q includes forward-looking statements within the meaning of the Securities Act of 1933 (the “Securities Act”) and the Securities Exchange Act of 1934 (the “Exchange Act”) which are intended to be covered by the safe harbor for “forward-looking statements” provided by the Private Securities Litigation Reform Act of 1995. Any statements other than statements of historical fact, including statements regarding industry prospects or future results of operations or financial position made in this Quarterly Report on Form 10-Q are forward-looking statements and should be evaluated as such. These statements are made on the basis of management’s views and assumptions regarding future events and business performance. We use words such as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line="284" w:lineRule="auto"/>
        <w:rPr>
          <w:sz w:val="20"/>
          <w:szCs w:val="20"/>
          <w:color w:val="auto"/>
        </w:rPr>
      </w:pPr>
      <w:r>
        <w:rPr>
          <w:rFonts w:ascii="Arial" w:cs="Arial" w:eastAsia="Arial" w:hAnsi="Arial"/>
          <w:sz w:val="16"/>
          <w:szCs w:val="16"/>
          <w:color w:val="auto"/>
        </w:rPr>
        <w:t>“believe,”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2019 and “Part II – Item 1.A. Risk Factors” of this Quarterly Report on Form 10-Q for the quarter ended March 31, 2020,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acquisitions;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37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carrying value of the Company’s long-term debt and current maturities of long-term debt was $109.6 million at March 31, 2020. Market risk was estimated as the potential decrease (increase) in future earnings and cash flows resulting from a hypothetical 10% increase (decrease) in the Company’s estimated weighted average borrowing rate at March 31, 2020. Most of the interest on the Company’s debt is indexed to either the LIBOR or EURIBOR market rates. The estimated impact of a hypothetical 10% change in the estimated weighted average borrowing rate at March 31, 2020 is $0.4 million on an annual basis.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2020.</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March 31, 2020. Management believes that the condensed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ind w:right="80"/>
        <w:spacing w:after="0" w:line="277" w:lineRule="auto"/>
        <w:rPr>
          <w:sz w:val="20"/>
          <w:szCs w:val="20"/>
          <w:color w:val="auto"/>
        </w:rPr>
      </w:pPr>
      <w:r>
        <w:rPr>
          <w:rFonts w:ascii="Arial" w:cs="Arial" w:eastAsia="Arial" w:hAnsi="Arial"/>
          <w:sz w:val="18"/>
          <w:szCs w:val="18"/>
          <w:color w:val="auto"/>
        </w:rPr>
        <w:t>consolidated financial statements included in this report fairly present in all material respects the Company’s financial condition, results of operations and cash flows for each of the periods presented in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of the Exchange Act) during the fiscal quarter ended March 31, 2020, that materially affected, or are reasonably likely to materially affect, the Company’s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disclosure supplements and modifies the discussion of certain risks and uncertainties previously disclosed in our Annual Report on Form 10-K for the year ended December 31, 2019. These risks and uncertainties, along with those previously disclosed, could materially adversely affect our business or financial results. The impact of COVID-19 may also exacerbate other risks discussed in our Annual Report on Form 10-K for the year ended December 31, 2019, any of which could have a material effect on us. Additional risks and uncertainties that are not presently known to us or that we deem immaterial may also impact our business or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adversely affected by global economic conditions.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 the impact that the COVID-19 pandemic may have on global capital markets; customers or potential customers may reduce or delay their procurement or new product development; key suppliers may become insolvent resulting in delays for our material purchases; vendors and other third parties may fail to perform their contractual obligations; customers may be unable to obtain credit to finance purchases of our products and services; and certain customers may become insolvent. 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contract revenue may result in material adjustments that would adversely affect our financial condition and results of operations.</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derive a significant portion of our revenues from fixed price contracts. 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 on management’s reasonable assumptions and our historical experience, and are only estimates. Variation of actual results from these assumptions, which are outside the control of management and can differ from our historical experience, including for reasons related to the COVID-19 pandemic, could be material. To the extent that these adjustments result in an increase, a reduction or the elimination of previously reported contract revenue, we would recognize a credit or a charge against current earnings, which could be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deliver our backlog on time could affect our future sales and profitability, and our relationships with our customers.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backlog was $208.9 million at March 31, 2020 and $216.6 million at December 31, 2019.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The COVID-19 pandemic will likely have a material adverse effect on these factors.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Volatility of oil and natural gas prices can adversely affect demand for our products and services.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Volatility in oil and natural gas prices can impact our customers’ activity levels and spending for our products and services. Current energy prices are important contributors to cash flow for our customers and their ability to fund capital expenditures. The COVID-19 pandemic has significantly disrupted demand for and expectations about future prices and price volatility, which are important for determining our customers future spending levels. Moreover, recent global geopolitical events and macroeconomic conditions, including the COVID-19 pandemic, have resulted in a meaningful drop in the global demand for crude oil and natural gas products. Ultimately, this may lead to a reduction in demand for the products and services we provide.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may cancel or delay projects. As a result, our backlog may not be indicative of our future 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Customers may cancel or delay projects for reasons beyond our control, including for reasons related to the COVID-19 pandemic.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In a year-long project as opposed to a three-month project, more time is available for the customer to experience a softening in its business, which may cause the customer to cancel a project.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outside of the United States are subject to political, investment and local business risks.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Approximately 30%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w:t>
      </w:r>
    </w:p>
    <w:p>
      <w:pPr>
        <w:spacing w:after="0" w:line="2" w:lineRule="exact"/>
        <w:rPr>
          <w:sz w:val="20"/>
          <w:szCs w:val="20"/>
          <w:color w:val="auto"/>
        </w:rPr>
      </w:pPr>
    </w:p>
    <w:p>
      <w:pPr>
        <w:jc w:val="both"/>
        <w:ind w:firstLine="8"/>
        <w:spacing w:after="0" w:line="253"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nationalization of private enterprises by foreign governments; (vii) managing and obtaining support and distribution channels for overseas operations; (viii) hiring and retaining qualified management personnel for our overseas operations; (ix) the results of the United Kingdom’s referendum on European Union membership, advising for the exit from the European Union; and (x) the effects of COVID-19 and the extent to which the outbreak may disrupt global capital markets, supply chains, and/or our foreign operations.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also exposed to risks relating to United States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United States and Chinese governments have imposed a series of significant incremental retaliatory tariffs to certain imported goods. Given the uncertainty regarding the duration of the imposed tariffs, as well as the potential for additional tariffs by the United States,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compliance with foreign and domestic legal and regulatory requirements, including import, export, defense regulations and foreign exchange controls and anti-corruption laws, such as the Foreign Corrupt Practices Act, the United Kingdom’s Bribery Act,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 We operate in many parts of the world that have experienced governmental corruption to some degree and, in certain circumstances, strict compliance with anti-bribery laws may conflict with local customs and practices. We cannot assure you that our internal controls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procedures will always protect us from reckless or criminal acts committed by our employees or agents. If we are found to be liable for such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one or more of the foregoing factors could have a material adverse effect on our international operations or upon our financial condition, results of operations and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operations are dependent on third-party suppliers.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we are not dependent on any one supplier, we are dependent on the ability of our third-party suppliers to supply our raw materials, as well as certain specific component parts. The third-party suppliers upon which we depend may default on their obligations to us due to bankruptcy, insolvency, lack of liquidity, adverse economic conditions, operational failure, fraud, loss of key personnel, or other reasons. For example, as a result of the outbreak of COVID-19 and government-mandated shutdowns, we are monitoring the impact on our suppliers, some of which are experiencing disruption to production facilities or an inability to perform work. We cannot assure you that our third-party suppliers will dedicate sufficient resources to meet our scheduled delivery requirements or that our suppliers will have sufficient resources to satisfy our requirements during any period of sustained demand, and the global nature of the COVID-19 pandemic could result in there being fewer alternative suppliers. Failure of suppliers to supply, or delays in supplying, our raw materials or certain components, or allocations in the supply of certain high demand raw components, for any reason, including, without limitation, disruptions in our suppliers’ due to cyber security incidents, terrorist activity, public health crises (such as COVID-19), fires or other natural disasters could 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use of subcontractors could potentially harm our profitability and business reputation.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Occasionally we act as a prime contractor in some of the engineered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Moreover, the outbreak and preventative or protective actions that governments, corporations, individuals or we may take to contain COVID-19 may result in a period of reduced operations and business disruption for our subcontractors. The outbreak of COVID-19 and related actions may also prevent our subcontractors from meeting their obligations to us, which could also contribute to performance delays on our customer obligations and increase our costs. Any costs associated with the COVID-19 pandemic may not be fully recoverable or adequately covered by insurance.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has adversely affected the progress of construction projects across the globe and will likely continue to cause delays and disruptions. If projects are delayed or cancelled it could have a material adverse effect upon our business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accounts receivable are related to larger contracts, which increases our exposure to credit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portions of our sales are to customers who place large orders for custom products and whose activities are related to the power and oil &amp;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 Further, we believe that the outbreak and worsening of the COVID-19 pandemic will continue to adversely impact our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i w:val="1"/>
          <w:iCs w:val="1"/>
          <w:color w:val="auto"/>
        </w:rPr>
        <w:t>We have $109.6 million of indebtedness as of March 31, 2020, and incurrence of additional indebtedness could adversely affect our ability to operate our business, remain in compliance with debt covenants, make payments on our debt and limit our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indebtedness could have important consequences for investors, including the following:</w:t>
      </w:r>
    </w:p>
    <w:p>
      <w:pPr>
        <w:spacing w:after="0" w:line="225" w:lineRule="exact"/>
        <w:rPr>
          <w:sz w:val="20"/>
          <w:szCs w:val="20"/>
          <w:color w:val="auto"/>
        </w:rPr>
      </w:pPr>
    </w:p>
    <w:p>
      <w:pPr>
        <w:jc w:val="both"/>
        <w:ind w:left="740" w:hanging="368"/>
        <w:spacing w:after="0" w:line="26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may be more difficult for us to satisfy our obligations with respect to the agreement governing our Credit Facility (as defined herein), and any failure to comply with the obligations of any of the agreements governing any additional indebtedness, including financial and other restrictive covenants, could result in an event of default under such agreements;</w:t>
      </w:r>
    </w:p>
    <w:p>
      <w:pPr>
        <w:spacing w:after="0" w:line="183"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17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our interest expense may increase because a substantial portion of our borrowings are at variable rates of interest, which, if interest rates increase, could result in higher interest expense;</w:t>
      </w:r>
    </w:p>
    <w:p>
      <w:pPr>
        <w:spacing w:after="0" w:line="170"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a higher level of debt than some of our competitors, which could put us at a competitive disadvantage;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more vulnerable to economic downturns and adverse developments in our industry or the economy in general;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debt level could limit our flexibility in planning for, or reacting to, changes in our business and the industry in which we operate.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Moreover, we currently expect that the COVID-19 pandemic will negatively impact our cash flow and liquidity.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 particularly in light of COVID-19’s impact on capital markets.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several key employees whose absence or loss could disrupt our operations or be adverse to our business.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highly dependent on the experience of our management in the continuing development of our operations. The loss of the services of certain of these individuals would have a material adverse effect on our business. The outbreak of COVID-19 has heightened the risk that a significant portion of these individuals may suffer illness or otherwise be unable to work.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 success will depend in part on our ability to attract and retain qualified personnel to manage our development and future growth. We cannot guarantee that we will be successful in attracting and retaining such personnel. Our failure to recruit additional key personnel could have a material adverse effect on our financial condition, results of operations and cash flows. Conversely, if we need to make reductions in our workforce as a result of declines in our business caused by the COVID-19 pandemic, we may not be able to rehire our workforce once our business has recovered.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 stoppages or similar difficulties could significantly disrupt our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portion of our employees are represented by international or independent labor unions under various union contracts.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Further, the recent outbreak of COVID-19 could result in work stoppages at some of our facilities. A work stoppage at one or more of our facilities may have a material adverse effect on our business. Unionization activities could also increase our costs, which could have an adverse effect on our profitability.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 work stoppage at one of our suppliers could adversely affect our operations if an alternative source of supply were not readily available. Furthermore, the recent outbreak of COVID-19 could result in work stoppages at certain of our suppliers that are part of our supply chain. While we have not experienced shortages in supply as a result of the interruptions, if the work stoppages were to be prolonged or expanded in scope, there could be resulting supply shortages which could impact our ability to import certain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products on schedule and, accordingly, could have an adverse effect on our business, financial condition and results of operations. Work stoppages by employees of our customers also could result in reduced demand for our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Increased information technology cyber security threats and more sophisticated and targeted computer crime could pose a risk to our systems, networks, and products.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Increased global information technology cyber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 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 security and other insurance premiums. In response to the COVID-19 pandemic and an increased reliance on our information technology systems, we have taken proactive measures to strengthen our information technology systems, including initiating a National Institute of Standards and Technology (“NIST”) assessment.</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could be subject to legal claims or proceedings, liability under laws that protect the privacy of personal information and regulatory penalties if confidential information relating to our employees or other parties is misappropriated from our systems and networks.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face risks related to health epidemics and other outbreaks, including the global outbreak of COVID-19, which may adversely affect our business, results of operations and financial condition.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face risks related to health epidemics and other outbreaks, including the global outbreak of COVID-19. The continued spread of COVID-19 has reached geographic areas in which we have operations, suppliers, customers and employees. We expect the continued spread of COVID-19 to cause an economic slowdown that could be significant and, therefore, could adversely affect the demand for our products and disrupt our supply chain and the manufacturing and distribution of our products. Additionally, the spread of COVID-19 has led to significant disruption and volatility in the global capital markets, which could increase our cost of capital and adversely affect our ability to access the capital markets on a timely basis, or at all. Any one or more of these consequences or other unpredictable events could materially adversely affect our business, results of operations, cash flows and financial condition. The COVID-19 pandemic continues to rapidly evolve and the extent to which it may impact our business, results of operations, cash flows and financial condition will depend on future developments, which are highly uncertain and cannot be predicted with confidence, including the future geographic spread of the disease, the duration of the outbreak, travel restrictions, business disruptions and the effectiveness of actions taken in the United States and other countries to contain and treat the disease.</w:t>
      </w:r>
    </w:p>
    <w:p>
      <w:pPr>
        <w:spacing w:after="0" w:line="200" w:lineRule="exact"/>
        <w:rPr>
          <w:sz w:val="20"/>
          <w:szCs w:val="20"/>
          <w:color w:val="auto"/>
        </w:rPr>
      </w:pPr>
    </w:p>
    <w:p>
      <w:pPr>
        <w:spacing w:after="0" w:line="38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70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920" w:type="dxa"/>
            <w:vAlign w:val="bottom"/>
          </w:tcPr>
          <w:p>
            <w:pPr>
              <w:ind w:left="140"/>
              <w:spacing w:after="0"/>
              <w:rPr>
                <w:sz w:val="20"/>
                <w:szCs w:val="20"/>
                <w:color w:val="auto"/>
              </w:rPr>
            </w:pPr>
            <w:r>
              <w:rPr>
                <w:rFonts w:ascii="Arial" w:cs="Arial" w:eastAsia="Arial" w:hAnsi="Arial"/>
                <w:sz w:val="18"/>
                <w:szCs w:val="18"/>
                <w:color w:val="auto"/>
              </w:rPr>
              <w:t>31.1</w:t>
            </w:r>
          </w:p>
        </w:tc>
        <w:tc>
          <w:tcPr>
            <w:tcW w:w="4700" w:type="dxa"/>
            <w:vAlign w:val="bottom"/>
          </w:tcPr>
          <w:p>
            <w:pPr>
              <w:ind w:left="120"/>
              <w:spacing w:after="0"/>
              <w:rPr>
                <w:rFonts w:ascii="Arial" w:cs="Arial" w:eastAsia="Arial" w:hAnsi="Arial"/>
                <w:sz w:val="18"/>
                <w:szCs w:val="18"/>
                <w:u w:val="single" w:color="auto"/>
                <w:color w:val="0000EE"/>
                <w:w w:val="95"/>
              </w:rPr>
            </w:pPr>
            <w:hyperlink w:anchor="page32">
              <w:r>
                <w:rPr>
                  <w:rFonts w:ascii="Arial" w:cs="Arial" w:eastAsia="Arial" w:hAnsi="Arial"/>
                  <w:sz w:val="18"/>
                  <w:szCs w:val="18"/>
                  <w:u w:val="single" w:color="auto"/>
                  <w:color w:val="0000EE"/>
                  <w:w w:val="95"/>
                </w:rPr>
                <w:t>Rule 13(a)/15d-14(a) Certification by Chief Executive Officer</w:t>
              </w:r>
            </w:hyperlink>
          </w:p>
        </w:tc>
      </w:tr>
      <w:tr>
        <w:trPr>
          <w:trHeight w:val="338"/>
        </w:trPr>
        <w:tc>
          <w:tcPr>
            <w:tcW w:w="920" w:type="dxa"/>
            <w:vAlign w:val="bottom"/>
          </w:tcPr>
          <w:p>
            <w:pPr>
              <w:ind w:left="140"/>
              <w:spacing w:after="0"/>
              <w:rPr>
                <w:sz w:val="20"/>
                <w:szCs w:val="20"/>
                <w:color w:val="auto"/>
              </w:rPr>
            </w:pPr>
            <w:r>
              <w:rPr>
                <w:rFonts w:ascii="Arial" w:cs="Arial" w:eastAsia="Arial" w:hAnsi="Arial"/>
                <w:sz w:val="18"/>
                <w:szCs w:val="18"/>
                <w:color w:val="auto"/>
              </w:rPr>
              <w:t>31.2</w:t>
            </w:r>
          </w:p>
        </w:tc>
        <w:tc>
          <w:tcPr>
            <w:tcW w:w="4700" w:type="dxa"/>
            <w:vAlign w:val="bottom"/>
          </w:tcPr>
          <w:p>
            <w:pPr>
              <w:ind w:left="120"/>
              <w:spacing w:after="0"/>
              <w:rPr>
                <w:rFonts w:ascii="Arial" w:cs="Arial" w:eastAsia="Arial" w:hAnsi="Arial"/>
                <w:sz w:val="18"/>
                <w:szCs w:val="18"/>
                <w:u w:val="single" w:color="auto"/>
                <w:color w:val="0000EE"/>
                <w:w w:val="96"/>
              </w:rPr>
            </w:pPr>
            <w:hyperlink w:anchor="page33">
              <w:r>
                <w:rPr>
                  <w:rFonts w:ascii="Arial" w:cs="Arial" w:eastAsia="Arial" w:hAnsi="Arial"/>
                  <w:sz w:val="18"/>
                  <w:szCs w:val="18"/>
                  <w:u w:val="single" w:color="auto"/>
                  <w:color w:val="0000EE"/>
                  <w:w w:val="96"/>
                </w:rPr>
                <w:t>Rule 13(a)/15d-14(a) Certification by Chief Financial Officer</w:t>
              </w:r>
            </w:hyperlink>
          </w:p>
        </w:tc>
      </w:tr>
      <w:tr>
        <w:trPr>
          <w:trHeight w:val="338"/>
        </w:trPr>
        <w:tc>
          <w:tcPr>
            <w:tcW w:w="920" w:type="dxa"/>
            <w:vAlign w:val="bottom"/>
          </w:tcPr>
          <w:p>
            <w:pPr>
              <w:ind w:left="140"/>
              <w:spacing w:after="0"/>
              <w:rPr>
                <w:sz w:val="20"/>
                <w:szCs w:val="20"/>
                <w:color w:val="auto"/>
              </w:rPr>
            </w:pPr>
            <w:r>
              <w:rPr>
                <w:rFonts w:ascii="Arial" w:cs="Arial" w:eastAsia="Arial" w:hAnsi="Arial"/>
                <w:sz w:val="18"/>
                <w:szCs w:val="18"/>
                <w:color w:val="auto"/>
              </w:rPr>
              <w:t>32.1</w:t>
            </w:r>
          </w:p>
        </w:tc>
        <w:tc>
          <w:tcPr>
            <w:tcW w:w="4700" w:type="dxa"/>
            <w:vAlign w:val="bottom"/>
          </w:tcPr>
          <w:p>
            <w:pPr>
              <w:ind w:left="120"/>
              <w:spacing w:after="0"/>
              <w:rPr>
                <w:rFonts w:ascii="Arial" w:cs="Arial" w:eastAsia="Arial" w:hAnsi="Arial"/>
                <w:sz w:val="18"/>
                <w:szCs w:val="18"/>
                <w:u w:val="single" w:color="auto"/>
                <w:color w:val="0000EE"/>
                <w:w w:val="93"/>
              </w:rPr>
            </w:pPr>
            <w:hyperlink w:anchor="page34">
              <w:r>
                <w:rPr>
                  <w:rFonts w:ascii="Arial" w:cs="Arial" w:eastAsia="Arial" w:hAnsi="Arial"/>
                  <w:sz w:val="18"/>
                  <w:szCs w:val="18"/>
                  <w:u w:val="single" w:color="auto"/>
                  <w:color w:val="0000EE"/>
                  <w:w w:val="93"/>
                </w:rPr>
                <w:t>Certification of Chief Executive Officer (18 U.S. Section 1350)</w:t>
              </w:r>
            </w:hyperlink>
          </w:p>
        </w:tc>
      </w:tr>
      <w:tr>
        <w:trPr>
          <w:trHeight w:val="338"/>
        </w:trPr>
        <w:tc>
          <w:tcPr>
            <w:tcW w:w="920" w:type="dxa"/>
            <w:vAlign w:val="bottom"/>
          </w:tcPr>
          <w:p>
            <w:pPr>
              <w:ind w:left="140"/>
              <w:spacing w:after="0"/>
              <w:rPr>
                <w:sz w:val="20"/>
                <w:szCs w:val="20"/>
                <w:color w:val="auto"/>
              </w:rPr>
            </w:pPr>
            <w:r>
              <w:rPr>
                <w:rFonts w:ascii="Arial" w:cs="Arial" w:eastAsia="Arial" w:hAnsi="Arial"/>
                <w:sz w:val="18"/>
                <w:szCs w:val="18"/>
                <w:color w:val="auto"/>
              </w:rPr>
              <w:t>32.2</w:t>
            </w:r>
          </w:p>
        </w:tc>
        <w:tc>
          <w:tcPr>
            <w:tcW w:w="4700" w:type="dxa"/>
            <w:vAlign w:val="bottom"/>
          </w:tcPr>
          <w:p>
            <w:pPr>
              <w:ind w:left="120"/>
              <w:spacing w:after="0"/>
              <w:rPr>
                <w:rFonts w:ascii="Arial" w:cs="Arial" w:eastAsia="Arial" w:hAnsi="Arial"/>
                <w:sz w:val="18"/>
                <w:szCs w:val="18"/>
                <w:u w:val="single" w:color="auto"/>
                <w:color w:val="0000EE"/>
                <w:w w:val="94"/>
              </w:rPr>
            </w:pPr>
            <w:hyperlink w:anchor="page35">
              <w:r>
                <w:rPr>
                  <w:rFonts w:ascii="Arial" w:cs="Arial" w:eastAsia="Arial" w:hAnsi="Arial"/>
                  <w:sz w:val="18"/>
                  <w:szCs w:val="18"/>
                  <w:u w:val="single" w:color="auto"/>
                  <w:color w:val="0000EE"/>
                  <w:w w:val="94"/>
                </w:rPr>
                <w:t>Certification of Chief Financial Officer (18 U.S. Section 1350)</w:t>
              </w:r>
            </w:hyperlink>
          </w:p>
        </w:tc>
      </w:tr>
      <w:tr>
        <w:trPr>
          <w:trHeight w:val="553"/>
        </w:trPr>
        <w:tc>
          <w:tcPr>
            <w:tcW w:w="920" w:type="dxa"/>
            <w:vAlign w:val="bottom"/>
          </w:tcPr>
          <w:p>
            <w:pPr>
              <w:ind w:left="140"/>
              <w:spacing w:after="0"/>
              <w:rPr>
                <w:sz w:val="20"/>
                <w:szCs w:val="20"/>
                <w:color w:val="auto"/>
              </w:rPr>
            </w:pPr>
            <w:r>
              <w:rPr>
                <w:rFonts w:ascii="Arial" w:cs="Arial" w:eastAsia="Arial" w:hAnsi="Arial"/>
                <w:sz w:val="18"/>
                <w:szCs w:val="18"/>
                <w:color w:val="auto"/>
              </w:rPr>
              <w:t>101.INS</w:t>
            </w:r>
          </w:p>
        </w:tc>
        <w:tc>
          <w:tcPr>
            <w:tcW w:w="470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338"/>
        </w:trPr>
        <w:tc>
          <w:tcPr>
            <w:tcW w:w="920" w:type="dxa"/>
            <w:vAlign w:val="bottom"/>
          </w:tcPr>
          <w:p>
            <w:pPr>
              <w:ind w:left="140"/>
              <w:spacing w:after="0"/>
              <w:rPr>
                <w:sz w:val="20"/>
                <w:szCs w:val="20"/>
                <w:color w:val="auto"/>
              </w:rPr>
            </w:pPr>
            <w:r>
              <w:rPr>
                <w:rFonts w:ascii="Arial" w:cs="Arial" w:eastAsia="Arial" w:hAnsi="Arial"/>
                <w:sz w:val="18"/>
                <w:szCs w:val="18"/>
                <w:color w:val="auto"/>
              </w:rPr>
              <w:t>101.SCH</w:t>
            </w:r>
          </w:p>
        </w:tc>
        <w:tc>
          <w:tcPr>
            <w:tcW w:w="47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920" w:type="dxa"/>
            <w:vAlign w:val="bottom"/>
          </w:tcPr>
          <w:p>
            <w:pPr>
              <w:ind w:left="140"/>
              <w:spacing w:after="0"/>
              <w:rPr>
                <w:sz w:val="20"/>
                <w:szCs w:val="20"/>
                <w:color w:val="auto"/>
              </w:rPr>
            </w:pPr>
            <w:r>
              <w:rPr>
                <w:rFonts w:ascii="Arial" w:cs="Arial" w:eastAsia="Arial" w:hAnsi="Arial"/>
                <w:sz w:val="18"/>
                <w:szCs w:val="18"/>
                <w:color w:val="auto"/>
              </w:rPr>
              <w:t>101.CAL</w:t>
            </w:r>
          </w:p>
        </w:tc>
        <w:tc>
          <w:tcPr>
            <w:tcW w:w="4700" w:type="dxa"/>
            <w:vAlign w:val="bottom"/>
          </w:tcPr>
          <w:p>
            <w:pPr>
              <w:ind w:left="120"/>
              <w:spacing w:after="0"/>
              <w:rPr>
                <w:sz w:val="20"/>
                <w:szCs w:val="20"/>
                <w:color w:val="auto"/>
              </w:rPr>
            </w:pPr>
            <w:r>
              <w:rPr>
                <w:rFonts w:ascii="Arial" w:cs="Arial" w:eastAsia="Arial" w:hAnsi="Arial"/>
                <w:sz w:val="18"/>
                <w:szCs w:val="18"/>
                <w:color w:val="auto"/>
                <w:w w:val="95"/>
              </w:rPr>
              <w:t>XBRL Taxonomy Extension Calculation Linkbase Document</w:t>
            </w:r>
          </w:p>
        </w:tc>
      </w:tr>
      <w:tr>
        <w:trPr>
          <w:trHeight w:val="338"/>
        </w:trPr>
        <w:tc>
          <w:tcPr>
            <w:tcW w:w="920" w:type="dxa"/>
            <w:vAlign w:val="bottom"/>
          </w:tcPr>
          <w:p>
            <w:pPr>
              <w:ind w:left="140"/>
              <w:spacing w:after="0"/>
              <w:rPr>
                <w:sz w:val="20"/>
                <w:szCs w:val="20"/>
                <w:color w:val="auto"/>
              </w:rPr>
            </w:pPr>
            <w:r>
              <w:rPr>
                <w:rFonts w:ascii="Arial" w:cs="Arial" w:eastAsia="Arial" w:hAnsi="Arial"/>
                <w:sz w:val="18"/>
                <w:szCs w:val="18"/>
                <w:color w:val="auto"/>
              </w:rPr>
              <w:t>101.DEF</w:t>
            </w:r>
          </w:p>
        </w:tc>
        <w:tc>
          <w:tcPr>
            <w:tcW w:w="4700" w:type="dxa"/>
            <w:vAlign w:val="bottom"/>
          </w:tcPr>
          <w:p>
            <w:pPr>
              <w:ind w:left="120"/>
              <w:spacing w:after="0"/>
              <w:rPr>
                <w:sz w:val="20"/>
                <w:szCs w:val="20"/>
                <w:color w:val="auto"/>
              </w:rPr>
            </w:pPr>
            <w:r>
              <w:rPr>
                <w:rFonts w:ascii="Arial" w:cs="Arial" w:eastAsia="Arial" w:hAnsi="Arial"/>
                <w:sz w:val="18"/>
                <w:szCs w:val="18"/>
                <w:color w:val="auto"/>
                <w:w w:val="98"/>
              </w:rPr>
              <w:t>XBRL Taxonomy Extension Definition Linkbase Document</w:t>
            </w:r>
          </w:p>
        </w:tc>
      </w:tr>
      <w:tr>
        <w:trPr>
          <w:trHeight w:val="338"/>
        </w:trPr>
        <w:tc>
          <w:tcPr>
            <w:tcW w:w="920" w:type="dxa"/>
            <w:vAlign w:val="bottom"/>
          </w:tcPr>
          <w:p>
            <w:pPr>
              <w:ind w:left="140"/>
              <w:spacing w:after="0"/>
              <w:rPr>
                <w:sz w:val="20"/>
                <w:szCs w:val="20"/>
                <w:color w:val="auto"/>
              </w:rPr>
            </w:pPr>
            <w:r>
              <w:rPr>
                <w:rFonts w:ascii="Arial" w:cs="Arial" w:eastAsia="Arial" w:hAnsi="Arial"/>
                <w:sz w:val="18"/>
                <w:szCs w:val="18"/>
                <w:color w:val="auto"/>
              </w:rPr>
              <w:t>101.LAB</w:t>
            </w:r>
          </w:p>
        </w:tc>
        <w:tc>
          <w:tcPr>
            <w:tcW w:w="47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920" w:type="dxa"/>
            <w:vAlign w:val="bottom"/>
          </w:tcPr>
          <w:p>
            <w:pPr>
              <w:ind w:left="140"/>
              <w:spacing w:after="0"/>
              <w:rPr>
                <w:sz w:val="20"/>
                <w:szCs w:val="20"/>
                <w:color w:val="auto"/>
              </w:rPr>
            </w:pPr>
            <w:r>
              <w:rPr>
                <w:rFonts w:ascii="Arial" w:cs="Arial" w:eastAsia="Arial" w:hAnsi="Arial"/>
                <w:sz w:val="18"/>
                <w:szCs w:val="18"/>
                <w:color w:val="auto"/>
              </w:rPr>
              <w:t>101.PRE</w:t>
            </w:r>
          </w:p>
        </w:tc>
        <w:tc>
          <w:tcPr>
            <w:tcW w:w="4700" w:type="dxa"/>
            <w:vAlign w:val="bottom"/>
          </w:tcPr>
          <w:p>
            <w:pPr>
              <w:ind w:left="120"/>
              <w:spacing w:after="0"/>
              <w:rPr>
                <w:sz w:val="20"/>
                <w:szCs w:val="20"/>
                <w:color w:val="auto"/>
              </w:rPr>
            </w:pPr>
            <w:r>
              <w:rPr>
                <w:rFonts w:ascii="Arial" w:cs="Arial" w:eastAsia="Arial" w:hAnsi="Arial"/>
                <w:sz w:val="18"/>
                <w:szCs w:val="18"/>
                <w:color w:val="auto"/>
                <w:w w:val="93"/>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160"/>
        <w:spacing w:after="0"/>
        <w:tabs>
          <w:tab w:leader="none" w:pos="8660" w:val="left"/>
          <w:tab w:leader="none" w:pos="9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Matthew Eckl</w:t>
      </w:r>
    </w:p>
    <w:p>
      <w:pPr>
        <w:spacing w:after="0" w:line="23"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21"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Dennis Sadlowski, certify that:</w:t>
      </w:r>
    </w:p>
    <w:p>
      <w:pPr>
        <w:spacing w:after="0" w:line="117"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40" w:hanging="493"/>
        <w:spacing w:after="0" w:line="342" w:lineRule="auto"/>
        <w:tabs>
          <w:tab w:leader="none" w:pos="10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40" w:hanging="493"/>
        <w:spacing w:after="0" w:line="342" w:lineRule="auto"/>
        <w:tabs>
          <w:tab w:leader="none" w:pos="10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three-month period ended March 31, 2020 as filed with the Securities and Exchange Commission on the date hereof (the “Report”), I, Dennis Sadlowski, Chief Executive Officer of the Company, certify, pursuant to 18 U.S.C. § 1350, as adopted pursuant to § 906 of the Sarbanes-Oxley Act of 2002, to the best of his knowledge and belief, that:</w:t>
      </w:r>
    </w:p>
    <w:p>
      <w:pPr>
        <w:spacing w:after="0" w:line="41"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three-month period ended March 31, 2020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41"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8"/>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decimal"/>
      <w:start w:val="14"/>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Roman"/>
      <w:start w:val="6"/>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2020-05-06T06:35:30Z</dcterms:created>
  <dcterms:modified xsi:type="dcterms:W3CDTF">2020-05-06T06:35:30Z</dcterms:modified>
</cp:coreProperties>
</file>