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Statement Pursuant to Rules 13d-1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7)*</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of $0.01 Per Share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080" w:hanging="647"/>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rFonts w:ascii="MS PGothic" w:cs="MS PGothic" w:eastAsia="MS PGothic" w:hAnsi="MS PGothic"/>
          <w:sz w:val="18"/>
          <w:szCs w:val="18"/>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 w:name="page2"/>
    <w:bookmarkEnd w:id="1"/>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 of 12</w:t>
      </w:r>
    </w:p>
    <w:p>
      <w:pPr>
        <w:spacing w:after="0" w:line="306" w:lineRule="exact"/>
        <w:rPr>
          <w:sz w:val="20"/>
          <w:szCs w:val="20"/>
          <w:color w:val="auto"/>
        </w:rPr>
      </w:pPr>
    </w:p>
    <w:p>
      <w:pPr>
        <w:ind w:left="840" w:hanging="50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40" w:right="688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Trigran Investments, Inc.</w:t>
      </w:r>
    </w:p>
    <w:p>
      <w:pPr>
        <w:spacing w:after="0" w:line="293" w:lineRule="exact"/>
        <w:rPr>
          <w:rFonts w:ascii="Arial" w:cs="Arial" w:eastAsia="Arial" w:hAnsi="Arial"/>
          <w:sz w:val="18"/>
          <w:szCs w:val="18"/>
          <w:color w:val="auto"/>
        </w:rPr>
      </w:pPr>
    </w:p>
    <w:p>
      <w:pPr>
        <w:ind w:left="840" w:hanging="50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-327660</wp:posOffset>
            </wp:positionV>
            <wp:extent cx="6635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pacing w:after="0" w:line="43" w:lineRule="exact"/>
        <w:rPr>
          <w:sz w:val="20"/>
          <w:szCs w:val="20"/>
          <w:color w:val="auto"/>
        </w:rPr>
      </w:pPr>
    </w:p>
    <w:p>
      <w:pPr>
        <w:ind w:left="1660" w:hanging="815"/>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660" w:hanging="815"/>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333" w:lineRule="exact"/>
        <w:rPr>
          <w:rFonts w:ascii="Arial" w:cs="Arial" w:eastAsia="Arial" w:hAnsi="Arial"/>
          <w:sz w:val="18"/>
          <w:szCs w:val="18"/>
          <w:color w:val="auto"/>
        </w:rPr>
      </w:pPr>
    </w:p>
    <w:p>
      <w:pPr>
        <w:ind w:left="840" w:hanging="508"/>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840" w:right="7780" w:hanging="508"/>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Illinois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-499110</wp:posOffset>
            </wp:positionV>
            <wp:extent cx="6635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-842010</wp:posOffset>
            </wp:positionV>
            <wp:extent cx="6120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-1022350</wp:posOffset>
            </wp:positionV>
            <wp:extent cx="6120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Number of</w:t>
            </w:r>
          </w:p>
        </w:tc>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6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64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2,873,797 shares of common stock</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Arial" w:cs="Arial" w:eastAsia="Arial" w:hAnsi="Arial"/>
                <w:sz w:val="18"/>
                <w:szCs w:val="18"/>
                <w:color w:val="auto"/>
              </w:rPr>
              <w:t>Owned by</w:t>
            </w:r>
          </w:p>
        </w:tc>
        <w:tc>
          <w:tcPr>
            <w:tcW w:w="6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Each</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Reporting</w:t>
            </w:r>
          </w:p>
        </w:tc>
        <w:tc>
          <w:tcPr>
            <w:tcW w:w="64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64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496"/>
        <w:spacing w:after="0"/>
        <w:tabs>
          <w:tab w:leader="none" w:pos="18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3,045,064 shares of common stock</w:t>
      </w:r>
    </w:p>
    <w:p>
      <w:pPr>
        <w:spacing w:after="0" w:line="278" w:lineRule="exact"/>
        <w:rPr>
          <w:rFonts w:ascii="Arial" w:cs="Arial" w:eastAsia="Arial" w:hAnsi="Arial"/>
          <w:sz w:val="18"/>
          <w:szCs w:val="18"/>
          <w:color w:val="auto"/>
        </w:rPr>
      </w:pPr>
    </w:p>
    <w:p>
      <w:pPr>
        <w:ind w:left="840" w:right="5600" w:hanging="508"/>
        <w:spacing w:after="0" w:line="27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3,045,064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-473710</wp:posOffset>
            </wp:positionV>
            <wp:extent cx="6000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58" w:lineRule="exact"/>
        <w:rPr>
          <w:sz w:val="20"/>
          <w:szCs w:val="20"/>
          <w:color w:val="auto"/>
        </w:rPr>
      </w:pPr>
    </w:p>
    <w:p>
      <w:pPr>
        <w:ind w:left="840" w:hanging="553"/>
        <w:spacing w:after="0"/>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33" w:lineRule="exact"/>
        <w:rPr>
          <w:rFonts w:ascii="Arial" w:cs="Arial" w:eastAsia="Arial" w:hAnsi="Arial"/>
          <w:sz w:val="18"/>
          <w:szCs w:val="18"/>
          <w:color w:val="auto"/>
        </w:rPr>
      </w:pPr>
    </w:p>
    <w:p>
      <w:pPr>
        <w:ind w:left="840" w:hanging="550"/>
        <w:spacing w:after="0"/>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40" w:right="400"/>
        <w:spacing w:after="0" w:line="260" w:lineRule="auto"/>
        <w:rPr>
          <w:rFonts w:ascii="Arial" w:cs="Arial" w:eastAsia="Arial" w:hAnsi="Arial"/>
          <w:sz w:val="18"/>
          <w:szCs w:val="18"/>
          <w:color w:val="auto"/>
        </w:rPr>
      </w:pPr>
      <w:r>
        <w:rPr>
          <w:rFonts w:ascii="Arial" w:cs="Arial" w:eastAsia="Arial" w:hAnsi="Arial"/>
          <w:sz w:val="18"/>
          <w:szCs w:val="18"/>
          <w:color w:val="auto"/>
        </w:rPr>
        <w:t>Approximately 8.9% (based on 34,270,494 shares of common stock issued and outstanding as of November 1, 2022 pursuant to the CECO Environmental Corp. Form 10-Q filed with the SEC on November 7, 2022)</w:t>
      </w:r>
    </w:p>
    <w:p>
      <w:pPr>
        <w:spacing w:after="0" w:line="293" w:lineRule="exact"/>
        <w:rPr>
          <w:rFonts w:ascii="Arial" w:cs="Arial" w:eastAsia="Arial" w:hAnsi="Arial"/>
          <w:sz w:val="18"/>
          <w:szCs w:val="18"/>
          <w:color w:val="auto"/>
        </w:rPr>
      </w:pPr>
    </w:p>
    <w:p>
      <w:pPr>
        <w:ind w:left="840" w:right="8540" w:hanging="553"/>
        <w:spacing w:after="0" w:line="277" w:lineRule="auto"/>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IA/CO</w:t>
      </w:r>
    </w:p>
    <w:p>
      <w:pPr>
        <w:spacing w:after="0" w:line="176" w:lineRule="exact"/>
        <w:rPr>
          <w:rFonts w:ascii="Arial" w:cs="Arial" w:eastAsia="Arial" w:hAnsi="Arial"/>
          <w:sz w:val="18"/>
          <w:szCs w:val="18"/>
          <w:color w:val="auto"/>
        </w:rPr>
      </w:pPr>
    </w:p>
    <w:p>
      <w:pPr>
        <w:ind w:right="240" w:firstLine="8"/>
        <w:spacing w:after="0" w:line="250" w:lineRule="auto"/>
        <w:tabs>
          <w:tab w:leader="none" w:pos="306"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Reporting Person disclaims beneficial ownership of the shares reported in this Schedule 13G, except to the extent of its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-466090</wp:posOffset>
            </wp:positionV>
            <wp:extent cx="6635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-946150</wp:posOffset>
            </wp:positionV>
            <wp:extent cx="6635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-1563370</wp:posOffset>
            </wp:positionV>
            <wp:extent cx="6635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 w:name="page3"/>
    <w:bookmarkEnd w:id="2"/>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 of 12</w:t>
      </w:r>
    </w:p>
    <w:p>
      <w:pPr>
        <w:spacing w:after="0" w:line="279" w:lineRule="exact"/>
        <w:rPr>
          <w:sz w:val="20"/>
          <w:szCs w:val="20"/>
          <w:color w:val="auto"/>
        </w:rPr>
      </w:pPr>
    </w:p>
    <w:p>
      <w:pPr>
        <w:ind w:left="840" w:hanging="508"/>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40" w:right="688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Douglas Granat</w:t>
      </w:r>
    </w:p>
    <w:p>
      <w:pPr>
        <w:spacing w:after="0" w:line="306" w:lineRule="exact"/>
        <w:rPr>
          <w:rFonts w:ascii="Arial" w:cs="Arial" w:eastAsia="Arial" w:hAnsi="Arial"/>
          <w:sz w:val="18"/>
          <w:szCs w:val="18"/>
          <w:color w:val="auto"/>
        </w:rPr>
      </w:pPr>
    </w:p>
    <w:p>
      <w:pPr>
        <w:ind w:left="840" w:hanging="508"/>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-335915</wp:posOffset>
            </wp:positionV>
            <wp:extent cx="6635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0" w:lineRule="exact"/>
        <w:rPr>
          <w:sz w:val="20"/>
          <w:szCs w:val="20"/>
          <w:color w:val="auto"/>
        </w:rPr>
      </w:pPr>
    </w:p>
    <w:p>
      <w:pPr>
        <w:ind w:left="1420" w:hanging="575"/>
        <w:spacing w:after="0" w:line="207" w:lineRule="exact"/>
        <w:tabs>
          <w:tab w:leader="none" w:pos="14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420" w:hanging="575"/>
        <w:spacing w:after="0" w:line="207" w:lineRule="exact"/>
        <w:tabs>
          <w:tab w:leader="none" w:pos="14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840" w:hanging="508"/>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840" w:right="7780" w:hanging="508"/>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-508000</wp:posOffset>
            </wp:positionV>
            <wp:extent cx="6635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-850900</wp:posOffset>
            </wp:positionV>
            <wp:extent cx="62661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-1030605</wp:posOffset>
            </wp:positionV>
            <wp:extent cx="6266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Number of</w:t>
            </w:r>
          </w:p>
        </w:tc>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6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64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2,873,797 shares of common stock</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Arial" w:cs="Arial" w:eastAsia="Arial" w:hAnsi="Arial"/>
                <w:sz w:val="18"/>
                <w:szCs w:val="18"/>
                <w:color w:val="auto"/>
              </w:rPr>
              <w:t>Owned by</w:t>
            </w:r>
          </w:p>
        </w:tc>
        <w:tc>
          <w:tcPr>
            <w:tcW w:w="6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Each</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Reporting</w:t>
            </w:r>
          </w:p>
        </w:tc>
        <w:tc>
          <w:tcPr>
            <w:tcW w:w="64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64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496"/>
        <w:spacing w:after="0"/>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3,045,064 shares of common stock</w:t>
      </w:r>
    </w:p>
    <w:p>
      <w:pPr>
        <w:spacing w:after="0" w:line="278" w:lineRule="exact"/>
        <w:rPr>
          <w:rFonts w:ascii="Arial" w:cs="Arial" w:eastAsia="Arial" w:hAnsi="Arial"/>
          <w:sz w:val="18"/>
          <w:szCs w:val="18"/>
          <w:color w:val="auto"/>
        </w:rPr>
      </w:pPr>
    </w:p>
    <w:p>
      <w:pPr>
        <w:ind w:left="840" w:right="5600" w:hanging="508"/>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3,045,064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-473710</wp:posOffset>
            </wp:positionV>
            <wp:extent cx="60007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pacing w:after="0" w:line="272" w:lineRule="exact"/>
        <w:rPr>
          <w:sz w:val="20"/>
          <w:szCs w:val="20"/>
          <w:color w:val="auto"/>
        </w:rPr>
      </w:pPr>
    </w:p>
    <w:p>
      <w:pPr>
        <w:ind w:left="840" w:hanging="553"/>
        <w:spacing w:after="0"/>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46" w:lineRule="exact"/>
        <w:rPr>
          <w:rFonts w:ascii="Arial" w:cs="Arial" w:eastAsia="Arial" w:hAnsi="Arial"/>
          <w:sz w:val="18"/>
          <w:szCs w:val="18"/>
          <w:color w:val="auto"/>
        </w:rPr>
      </w:pPr>
    </w:p>
    <w:p>
      <w:pPr>
        <w:ind w:left="840" w:hanging="550"/>
        <w:spacing w:after="0"/>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40" w:right="400"/>
        <w:spacing w:after="0" w:line="260" w:lineRule="auto"/>
        <w:rPr>
          <w:rFonts w:ascii="Arial" w:cs="Arial" w:eastAsia="Arial" w:hAnsi="Arial"/>
          <w:sz w:val="18"/>
          <w:szCs w:val="18"/>
          <w:color w:val="auto"/>
        </w:rPr>
      </w:pPr>
      <w:r>
        <w:rPr>
          <w:rFonts w:ascii="Arial" w:cs="Arial" w:eastAsia="Arial" w:hAnsi="Arial"/>
          <w:sz w:val="18"/>
          <w:szCs w:val="18"/>
          <w:color w:val="auto"/>
        </w:rPr>
        <w:t>Approximately 8.9% (based on 34,270,494 shares of common stock issued and outstanding as of November 1, 2022 pursuant to the CECO Environmental Corp. Form 10-Q filed with the SEC on November 7, 2022)</w:t>
      </w:r>
    </w:p>
    <w:p>
      <w:pPr>
        <w:spacing w:after="0" w:line="306" w:lineRule="exact"/>
        <w:rPr>
          <w:rFonts w:ascii="Arial" w:cs="Arial" w:eastAsia="Arial" w:hAnsi="Arial"/>
          <w:sz w:val="18"/>
          <w:szCs w:val="18"/>
          <w:color w:val="auto"/>
        </w:rPr>
      </w:pPr>
    </w:p>
    <w:p>
      <w:pPr>
        <w:ind w:left="840" w:right="8540" w:hanging="553"/>
        <w:spacing w:after="0" w:line="277" w:lineRule="auto"/>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-260350</wp:posOffset>
            </wp:positionV>
            <wp:extent cx="66351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-748665</wp:posOffset>
            </wp:positionV>
            <wp:extent cx="66351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-1374775</wp:posOffset>
            </wp:positionV>
            <wp:extent cx="6635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 w:name="page4"/>
    <w:bookmarkEnd w:id="3"/>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12</w:t>
      </w:r>
    </w:p>
    <w:p>
      <w:pPr>
        <w:spacing w:after="0" w:line="279" w:lineRule="exact"/>
        <w:rPr>
          <w:sz w:val="20"/>
          <w:szCs w:val="20"/>
          <w:color w:val="auto"/>
        </w:rPr>
      </w:pPr>
    </w:p>
    <w:p>
      <w:pPr>
        <w:ind w:left="840" w:hanging="508"/>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40" w:right="688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Lawrence A. Oberman</w:t>
      </w:r>
    </w:p>
    <w:p>
      <w:pPr>
        <w:spacing w:after="0" w:line="306" w:lineRule="exact"/>
        <w:rPr>
          <w:rFonts w:ascii="Arial" w:cs="Arial" w:eastAsia="Arial" w:hAnsi="Arial"/>
          <w:sz w:val="18"/>
          <w:szCs w:val="18"/>
          <w:color w:val="auto"/>
        </w:rPr>
      </w:pPr>
    </w:p>
    <w:p>
      <w:pPr>
        <w:ind w:left="840" w:hanging="508"/>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-335915</wp:posOffset>
            </wp:positionV>
            <wp:extent cx="6635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0" w:lineRule="exact"/>
        <w:rPr>
          <w:sz w:val="20"/>
          <w:szCs w:val="20"/>
          <w:color w:val="auto"/>
        </w:rPr>
      </w:pPr>
    </w:p>
    <w:p>
      <w:pPr>
        <w:ind w:left="1420" w:hanging="575"/>
        <w:spacing w:after="0" w:line="207" w:lineRule="exact"/>
        <w:tabs>
          <w:tab w:leader="none" w:pos="142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420" w:hanging="575"/>
        <w:spacing w:after="0" w:line="207" w:lineRule="exact"/>
        <w:tabs>
          <w:tab w:leader="none" w:pos="142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79" w:lineRule="exact"/>
        <w:rPr>
          <w:rFonts w:ascii="Arial" w:cs="Arial" w:eastAsia="Arial" w:hAnsi="Arial"/>
          <w:sz w:val="18"/>
          <w:szCs w:val="18"/>
          <w:color w:val="auto"/>
        </w:rPr>
      </w:pPr>
    </w:p>
    <w:p>
      <w:pPr>
        <w:ind w:left="840" w:hanging="508"/>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840" w:right="7780" w:hanging="508"/>
        <w:spacing w:after="0" w:line="277"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-508000</wp:posOffset>
            </wp:positionV>
            <wp:extent cx="6635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-859155</wp:posOffset>
            </wp:positionV>
            <wp:extent cx="6266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-1039495</wp:posOffset>
            </wp:positionV>
            <wp:extent cx="6266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Number of</w:t>
            </w:r>
          </w:p>
        </w:tc>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6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64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2,873,797 shares of common stock</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Arial" w:cs="Arial" w:eastAsia="Arial" w:hAnsi="Arial"/>
                <w:sz w:val="18"/>
                <w:szCs w:val="18"/>
                <w:color w:val="auto"/>
              </w:rPr>
              <w:t>Owned by</w:t>
            </w:r>
          </w:p>
        </w:tc>
        <w:tc>
          <w:tcPr>
            <w:tcW w:w="6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Each</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Reporting</w:t>
            </w:r>
          </w:p>
        </w:tc>
        <w:tc>
          <w:tcPr>
            <w:tcW w:w="64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64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496"/>
        <w:spacing w:after="0"/>
        <w:tabs>
          <w:tab w:leader="none" w:pos="18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3,045,064 shares of common stock</w:t>
      </w:r>
    </w:p>
    <w:p>
      <w:pPr>
        <w:spacing w:after="0" w:line="278" w:lineRule="exact"/>
        <w:rPr>
          <w:rFonts w:ascii="Arial" w:cs="Arial" w:eastAsia="Arial" w:hAnsi="Arial"/>
          <w:sz w:val="18"/>
          <w:szCs w:val="18"/>
          <w:color w:val="auto"/>
        </w:rPr>
      </w:pPr>
    </w:p>
    <w:p>
      <w:pPr>
        <w:ind w:left="840" w:right="5600" w:hanging="508"/>
        <w:spacing w:after="0" w:line="277"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3,045,064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-473710</wp:posOffset>
            </wp:positionV>
            <wp:extent cx="6000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72" w:lineRule="exact"/>
        <w:rPr>
          <w:sz w:val="20"/>
          <w:szCs w:val="20"/>
          <w:color w:val="auto"/>
        </w:rPr>
      </w:pPr>
    </w:p>
    <w:p>
      <w:pPr>
        <w:ind w:left="840" w:hanging="553"/>
        <w:spacing w:after="0"/>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46" w:lineRule="exact"/>
        <w:rPr>
          <w:rFonts w:ascii="Arial" w:cs="Arial" w:eastAsia="Arial" w:hAnsi="Arial"/>
          <w:sz w:val="18"/>
          <w:szCs w:val="18"/>
          <w:color w:val="auto"/>
        </w:rPr>
      </w:pPr>
    </w:p>
    <w:p>
      <w:pPr>
        <w:ind w:left="840" w:hanging="550"/>
        <w:spacing w:after="0"/>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40" w:right="400"/>
        <w:spacing w:after="0" w:line="260" w:lineRule="auto"/>
        <w:rPr>
          <w:rFonts w:ascii="Arial" w:cs="Arial" w:eastAsia="Arial" w:hAnsi="Arial"/>
          <w:sz w:val="18"/>
          <w:szCs w:val="18"/>
          <w:color w:val="auto"/>
        </w:rPr>
      </w:pPr>
      <w:r>
        <w:rPr>
          <w:rFonts w:ascii="Arial" w:cs="Arial" w:eastAsia="Arial" w:hAnsi="Arial"/>
          <w:sz w:val="18"/>
          <w:szCs w:val="18"/>
          <w:color w:val="auto"/>
        </w:rPr>
        <w:t>Approximately 8.9% (based on 34,270,494 shares of common stock issued and outstanding as of November 1, 2022 pursuant to the CECO Environmental Corp. Form 10-Q filed with the SEC on November 7, 2022)</w:t>
      </w:r>
    </w:p>
    <w:p>
      <w:pPr>
        <w:spacing w:after="0" w:line="306" w:lineRule="exact"/>
        <w:rPr>
          <w:rFonts w:ascii="Arial" w:cs="Arial" w:eastAsia="Arial" w:hAnsi="Arial"/>
          <w:sz w:val="18"/>
          <w:szCs w:val="18"/>
          <w:color w:val="auto"/>
        </w:rPr>
      </w:pPr>
    </w:p>
    <w:p>
      <w:pPr>
        <w:ind w:left="840" w:right="8540" w:hanging="553"/>
        <w:spacing w:after="0" w:line="277" w:lineRule="auto"/>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-260350</wp:posOffset>
            </wp:positionV>
            <wp:extent cx="6635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-748665</wp:posOffset>
            </wp:positionV>
            <wp:extent cx="6635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-1374775</wp:posOffset>
            </wp:positionV>
            <wp:extent cx="6635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12</w:t>
      </w:r>
    </w:p>
    <w:p>
      <w:pPr>
        <w:spacing w:after="0" w:line="279" w:lineRule="exact"/>
        <w:rPr>
          <w:sz w:val="20"/>
          <w:szCs w:val="20"/>
          <w:color w:val="auto"/>
        </w:rPr>
      </w:pPr>
    </w:p>
    <w:p>
      <w:pPr>
        <w:ind w:left="840" w:hanging="508"/>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40" w:right="688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Steven G. Simon</w:t>
      </w:r>
    </w:p>
    <w:p>
      <w:pPr>
        <w:spacing w:after="0" w:line="293" w:lineRule="exact"/>
        <w:rPr>
          <w:rFonts w:ascii="Arial" w:cs="Arial" w:eastAsia="Arial" w:hAnsi="Arial"/>
          <w:sz w:val="18"/>
          <w:szCs w:val="18"/>
          <w:color w:val="auto"/>
        </w:rPr>
      </w:pPr>
    </w:p>
    <w:p>
      <w:pPr>
        <w:ind w:left="840" w:hanging="508"/>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-327660</wp:posOffset>
            </wp:positionV>
            <wp:extent cx="6635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0" w:lineRule="exact"/>
        <w:rPr>
          <w:sz w:val="20"/>
          <w:szCs w:val="20"/>
          <w:color w:val="auto"/>
        </w:rPr>
      </w:pPr>
    </w:p>
    <w:p>
      <w:pPr>
        <w:ind w:left="1420" w:hanging="575"/>
        <w:spacing w:after="0" w:line="207" w:lineRule="exact"/>
        <w:tabs>
          <w:tab w:leader="none" w:pos="1420" w:val="left"/>
        </w:tabs>
        <w:numPr>
          <w:ilvl w:val="1"/>
          <w:numId w:val="2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420" w:hanging="575"/>
        <w:spacing w:after="0" w:line="207" w:lineRule="exact"/>
        <w:tabs>
          <w:tab w:leader="none" w:pos="1420" w:val="left"/>
        </w:tabs>
        <w:numPr>
          <w:ilvl w:val="1"/>
          <w:numId w:val="2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840" w:hanging="508"/>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840" w:right="7780" w:hanging="508"/>
        <w:spacing w:after="0" w:line="277"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-499110</wp:posOffset>
            </wp:positionV>
            <wp:extent cx="6635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-842010</wp:posOffset>
            </wp:positionV>
            <wp:extent cx="62661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-1022350</wp:posOffset>
            </wp:positionV>
            <wp:extent cx="6266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Number of</w:t>
            </w:r>
          </w:p>
        </w:tc>
        <w:tc>
          <w:tcPr>
            <w:tcW w:w="580" w:type="dxa"/>
            <w:vAlign w:val="bottom"/>
            <w:vMerge w:val="restart"/>
          </w:tcPr>
          <w:p>
            <w:pPr>
              <w:jc w:val="right"/>
              <w:ind w:right="11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58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2,873,797 shares of common stock</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394"/>
        <w:spacing w:after="0"/>
        <w:tabs>
          <w:tab w:leader="none" w:pos="18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3,045,064 shares of common stock</w:t>
      </w:r>
    </w:p>
    <w:p>
      <w:pPr>
        <w:spacing w:after="0" w:line="278" w:lineRule="exact"/>
        <w:rPr>
          <w:rFonts w:ascii="Arial" w:cs="Arial" w:eastAsia="Arial" w:hAnsi="Arial"/>
          <w:sz w:val="18"/>
          <w:szCs w:val="18"/>
          <w:color w:val="auto"/>
        </w:rPr>
      </w:pPr>
    </w:p>
    <w:p>
      <w:pPr>
        <w:ind w:left="840" w:right="5600" w:hanging="508"/>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3,045,064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-473710</wp:posOffset>
            </wp:positionV>
            <wp:extent cx="6000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26" w:lineRule="exact"/>
        <w:rPr>
          <w:sz w:val="20"/>
          <w:szCs w:val="20"/>
          <w:color w:val="auto"/>
        </w:rPr>
      </w:pPr>
    </w:p>
    <w:p>
      <w:pPr>
        <w:ind w:left="840" w:hanging="553"/>
        <w:spacing w:after="0" w:line="207" w:lineRule="exact"/>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840" w:hanging="550"/>
        <w:spacing w:after="0"/>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40" w:right="400"/>
        <w:spacing w:after="0" w:line="260" w:lineRule="auto"/>
        <w:rPr>
          <w:rFonts w:ascii="Arial" w:cs="Arial" w:eastAsia="Arial" w:hAnsi="Arial"/>
          <w:sz w:val="18"/>
          <w:szCs w:val="18"/>
          <w:color w:val="auto"/>
        </w:rPr>
      </w:pPr>
      <w:r>
        <w:rPr>
          <w:rFonts w:ascii="Arial" w:cs="Arial" w:eastAsia="Arial" w:hAnsi="Arial"/>
          <w:sz w:val="18"/>
          <w:szCs w:val="18"/>
          <w:color w:val="auto"/>
        </w:rPr>
        <w:t>Approximately 8.9% (based on 34,270,494 shares of common stock issued and outstanding as of November 1, 2022 pursuant to the CECO Environmental Corp. Form 10-Q filed with the SEC on November 7, 2022)</w:t>
      </w:r>
    </w:p>
    <w:p>
      <w:pPr>
        <w:spacing w:after="0" w:line="293" w:lineRule="exact"/>
        <w:rPr>
          <w:rFonts w:ascii="Arial" w:cs="Arial" w:eastAsia="Arial" w:hAnsi="Arial"/>
          <w:sz w:val="18"/>
          <w:szCs w:val="18"/>
          <w:color w:val="auto"/>
        </w:rPr>
      </w:pPr>
    </w:p>
    <w:p>
      <w:pPr>
        <w:ind w:left="840" w:right="8540" w:hanging="553"/>
        <w:spacing w:after="0" w:line="277" w:lineRule="auto"/>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-260350</wp:posOffset>
            </wp:positionV>
            <wp:extent cx="66351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-740410</wp:posOffset>
            </wp:positionV>
            <wp:extent cx="6635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-1357630</wp:posOffset>
            </wp:positionV>
            <wp:extent cx="66351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 of 12</w:t>
      </w:r>
    </w:p>
    <w:p>
      <w:pPr>
        <w:spacing w:after="0" w:line="279" w:lineRule="exact"/>
        <w:rPr>
          <w:sz w:val="20"/>
          <w:szCs w:val="20"/>
          <w:color w:val="auto"/>
        </w:rPr>
      </w:pPr>
    </w:p>
    <w:p>
      <w:pPr>
        <w:ind w:left="840" w:hanging="508"/>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40" w:right="688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Bradley F. Simon</w:t>
      </w:r>
    </w:p>
    <w:p>
      <w:pPr>
        <w:spacing w:after="0" w:line="293" w:lineRule="exact"/>
        <w:rPr>
          <w:rFonts w:ascii="Arial" w:cs="Arial" w:eastAsia="Arial" w:hAnsi="Arial"/>
          <w:sz w:val="18"/>
          <w:szCs w:val="18"/>
          <w:color w:val="auto"/>
        </w:rPr>
      </w:pPr>
    </w:p>
    <w:p>
      <w:pPr>
        <w:ind w:left="840" w:hanging="508"/>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-327660</wp:posOffset>
            </wp:positionV>
            <wp:extent cx="6635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43" w:lineRule="exact"/>
        <w:rPr>
          <w:sz w:val="20"/>
          <w:szCs w:val="20"/>
          <w:color w:val="auto"/>
        </w:rPr>
      </w:pPr>
    </w:p>
    <w:p>
      <w:pPr>
        <w:ind w:left="1500" w:hanging="655"/>
        <w:spacing w:after="0"/>
        <w:tabs>
          <w:tab w:leader="none" w:pos="1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500" w:hanging="655"/>
        <w:spacing w:after="0"/>
        <w:tabs>
          <w:tab w:leader="none" w:pos="1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x</w:t>
      </w:r>
    </w:p>
    <w:p>
      <w:pPr>
        <w:spacing w:after="0" w:line="333" w:lineRule="exact"/>
        <w:rPr>
          <w:rFonts w:ascii="Arial" w:cs="Arial" w:eastAsia="Arial" w:hAnsi="Arial"/>
          <w:sz w:val="18"/>
          <w:szCs w:val="18"/>
          <w:color w:val="auto"/>
        </w:rPr>
      </w:pPr>
    </w:p>
    <w:p>
      <w:pPr>
        <w:ind w:left="840" w:hanging="508"/>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840" w:right="7780" w:hanging="508"/>
        <w:spacing w:after="0" w:line="277" w:lineRule="auto"/>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-499110</wp:posOffset>
            </wp:positionV>
            <wp:extent cx="6635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-842010</wp:posOffset>
            </wp:positionV>
            <wp:extent cx="6223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-1022350</wp:posOffset>
            </wp:positionV>
            <wp:extent cx="6223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Number of</w:t>
            </w:r>
          </w:p>
        </w:tc>
        <w:tc>
          <w:tcPr>
            <w:tcW w:w="580" w:type="dxa"/>
            <w:vAlign w:val="bottom"/>
            <w:vMerge w:val="restart"/>
          </w:tcPr>
          <w:p>
            <w:pPr>
              <w:jc w:val="right"/>
              <w:ind w:right="11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58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2,873,797 shares of common stock</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394"/>
        <w:spacing w:after="0"/>
        <w:tabs>
          <w:tab w:leader="none" w:pos="18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3,045,064 shares of common stock</w:t>
      </w:r>
    </w:p>
    <w:p>
      <w:pPr>
        <w:spacing w:after="0" w:line="278" w:lineRule="exact"/>
        <w:rPr>
          <w:rFonts w:ascii="Arial" w:cs="Arial" w:eastAsia="Arial" w:hAnsi="Arial"/>
          <w:sz w:val="18"/>
          <w:szCs w:val="18"/>
          <w:color w:val="auto"/>
        </w:rPr>
      </w:pPr>
    </w:p>
    <w:p>
      <w:pPr>
        <w:ind w:left="840" w:right="5600" w:hanging="508"/>
        <w:spacing w:after="0" w:line="277"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3,045,064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-473710</wp:posOffset>
            </wp:positionV>
            <wp:extent cx="60007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58" w:lineRule="exact"/>
        <w:rPr>
          <w:sz w:val="20"/>
          <w:szCs w:val="20"/>
          <w:color w:val="auto"/>
        </w:rPr>
      </w:pPr>
    </w:p>
    <w:p>
      <w:pPr>
        <w:ind w:left="840" w:hanging="553"/>
        <w:spacing w:after="0"/>
        <w:tabs>
          <w:tab w:leader="none" w:pos="8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33" w:lineRule="exact"/>
        <w:rPr>
          <w:rFonts w:ascii="Arial" w:cs="Arial" w:eastAsia="Arial" w:hAnsi="Arial"/>
          <w:sz w:val="18"/>
          <w:szCs w:val="18"/>
          <w:color w:val="auto"/>
        </w:rPr>
      </w:pPr>
    </w:p>
    <w:p>
      <w:pPr>
        <w:ind w:left="840" w:hanging="550"/>
        <w:spacing w:after="0"/>
        <w:tabs>
          <w:tab w:leader="none" w:pos="8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40" w:right="400"/>
        <w:spacing w:after="0" w:line="260" w:lineRule="auto"/>
        <w:rPr>
          <w:rFonts w:ascii="Arial" w:cs="Arial" w:eastAsia="Arial" w:hAnsi="Arial"/>
          <w:sz w:val="18"/>
          <w:szCs w:val="18"/>
          <w:color w:val="auto"/>
        </w:rPr>
      </w:pPr>
      <w:r>
        <w:rPr>
          <w:rFonts w:ascii="Arial" w:cs="Arial" w:eastAsia="Arial" w:hAnsi="Arial"/>
          <w:sz w:val="18"/>
          <w:szCs w:val="18"/>
          <w:color w:val="auto"/>
        </w:rPr>
        <w:t>Approximately 8.9% (based on 34,270,494 shares of common stock issued and outstanding as of November 1, 2022 pursuant to the CECO Environmental Corp. Form 10-Q filed with the SEC on November 7, 2022)</w:t>
      </w:r>
    </w:p>
    <w:p>
      <w:pPr>
        <w:spacing w:after="0" w:line="293" w:lineRule="exact"/>
        <w:rPr>
          <w:rFonts w:ascii="Arial" w:cs="Arial" w:eastAsia="Arial" w:hAnsi="Arial"/>
          <w:sz w:val="18"/>
          <w:szCs w:val="18"/>
          <w:color w:val="auto"/>
        </w:rPr>
      </w:pPr>
    </w:p>
    <w:p>
      <w:pPr>
        <w:ind w:left="840" w:right="8540" w:hanging="553"/>
        <w:spacing w:after="0" w:line="277" w:lineRule="auto"/>
        <w:tabs>
          <w:tab w:leader="none" w:pos="8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-260350</wp:posOffset>
            </wp:positionV>
            <wp:extent cx="66351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-740410</wp:posOffset>
            </wp:positionV>
            <wp:extent cx="66351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-1357630</wp:posOffset>
            </wp:positionV>
            <wp:extent cx="6635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 of 12</w:t>
      </w:r>
    </w:p>
    <w:p>
      <w:pPr>
        <w:spacing w:after="0" w:line="279" w:lineRule="exact"/>
        <w:rPr>
          <w:sz w:val="20"/>
          <w:szCs w:val="20"/>
          <w:color w:val="auto"/>
        </w:rPr>
      </w:pPr>
    </w:p>
    <w:p>
      <w:pPr>
        <w:ind w:left="840" w:hanging="508"/>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40" w:right="688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Steven R. Monieson</w:t>
      </w:r>
    </w:p>
    <w:p>
      <w:pPr>
        <w:spacing w:after="0" w:line="293" w:lineRule="exact"/>
        <w:rPr>
          <w:rFonts w:ascii="Arial" w:cs="Arial" w:eastAsia="Arial" w:hAnsi="Arial"/>
          <w:sz w:val="18"/>
          <w:szCs w:val="18"/>
          <w:color w:val="auto"/>
        </w:rPr>
      </w:pPr>
    </w:p>
    <w:p>
      <w:pPr>
        <w:ind w:left="840" w:hanging="508"/>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-327660</wp:posOffset>
            </wp:positionV>
            <wp:extent cx="6635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43" w:lineRule="exact"/>
        <w:rPr>
          <w:sz w:val="20"/>
          <w:szCs w:val="20"/>
          <w:color w:val="auto"/>
        </w:rPr>
      </w:pPr>
    </w:p>
    <w:p>
      <w:pPr>
        <w:ind w:left="1500" w:hanging="655"/>
        <w:spacing w:after="0"/>
        <w:tabs>
          <w:tab w:leader="none" w:pos="15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500" w:hanging="655"/>
        <w:spacing w:after="0"/>
        <w:tabs>
          <w:tab w:leader="none" w:pos="15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x</w:t>
      </w:r>
    </w:p>
    <w:p>
      <w:pPr>
        <w:spacing w:after="0" w:line="333" w:lineRule="exact"/>
        <w:rPr>
          <w:rFonts w:ascii="Arial" w:cs="Arial" w:eastAsia="Arial" w:hAnsi="Arial"/>
          <w:sz w:val="18"/>
          <w:szCs w:val="18"/>
          <w:color w:val="auto"/>
        </w:rPr>
      </w:pPr>
    </w:p>
    <w:p>
      <w:pPr>
        <w:ind w:left="840" w:hanging="508"/>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840" w:right="7780" w:hanging="508"/>
        <w:spacing w:after="0" w:line="277"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-499110</wp:posOffset>
            </wp:positionV>
            <wp:extent cx="6635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-842010</wp:posOffset>
            </wp:positionV>
            <wp:extent cx="62236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-1022350</wp:posOffset>
            </wp:positionV>
            <wp:extent cx="62236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Number of</w:t>
            </w:r>
          </w:p>
        </w:tc>
        <w:tc>
          <w:tcPr>
            <w:tcW w:w="580" w:type="dxa"/>
            <w:vAlign w:val="bottom"/>
            <w:vMerge w:val="restart"/>
          </w:tcPr>
          <w:p>
            <w:pPr>
              <w:jc w:val="right"/>
              <w:ind w:right="11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58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94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2,873,797 shares of common stock</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394"/>
        <w:spacing w:after="0"/>
        <w:tabs>
          <w:tab w:leader="none" w:pos="18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3,045,064 shares of common stock</w:t>
      </w:r>
    </w:p>
    <w:p>
      <w:pPr>
        <w:spacing w:after="0" w:line="278" w:lineRule="exact"/>
        <w:rPr>
          <w:rFonts w:ascii="Arial" w:cs="Arial" w:eastAsia="Arial" w:hAnsi="Arial"/>
          <w:sz w:val="18"/>
          <w:szCs w:val="18"/>
          <w:color w:val="auto"/>
        </w:rPr>
      </w:pPr>
    </w:p>
    <w:p>
      <w:pPr>
        <w:ind w:left="840" w:right="5600" w:hanging="508"/>
        <w:spacing w:after="0" w:line="277" w:lineRule="auto"/>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3,045,064 shares of common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-473710</wp:posOffset>
            </wp:positionV>
            <wp:extent cx="60007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6635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58" w:lineRule="exact"/>
        <w:rPr>
          <w:sz w:val="20"/>
          <w:szCs w:val="20"/>
          <w:color w:val="auto"/>
        </w:rPr>
      </w:pPr>
    </w:p>
    <w:p>
      <w:pPr>
        <w:ind w:left="840" w:hanging="553"/>
        <w:spacing w:after="0"/>
        <w:tabs>
          <w:tab w:leader="none" w:pos="8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33" w:lineRule="exact"/>
        <w:rPr>
          <w:rFonts w:ascii="Arial" w:cs="Arial" w:eastAsia="Arial" w:hAnsi="Arial"/>
          <w:sz w:val="18"/>
          <w:szCs w:val="18"/>
          <w:color w:val="auto"/>
        </w:rPr>
      </w:pPr>
    </w:p>
    <w:p>
      <w:pPr>
        <w:ind w:left="840" w:hanging="550"/>
        <w:spacing w:after="0"/>
        <w:tabs>
          <w:tab w:leader="none" w:pos="8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40" w:right="400"/>
        <w:spacing w:after="0" w:line="260" w:lineRule="auto"/>
        <w:rPr>
          <w:rFonts w:ascii="Arial" w:cs="Arial" w:eastAsia="Arial" w:hAnsi="Arial"/>
          <w:sz w:val="18"/>
          <w:szCs w:val="18"/>
          <w:color w:val="auto"/>
        </w:rPr>
      </w:pPr>
      <w:r>
        <w:rPr>
          <w:rFonts w:ascii="Arial" w:cs="Arial" w:eastAsia="Arial" w:hAnsi="Arial"/>
          <w:sz w:val="18"/>
          <w:szCs w:val="18"/>
          <w:color w:val="auto"/>
        </w:rPr>
        <w:t>Approximately 8.9% (based on 34,270,494 shares of common stock issued and outstanding as of November 1, 2022 pursuant to the CECO Environmental Corp. Form 10-Q filed with the SEC on November 7, 2022)</w:t>
      </w:r>
    </w:p>
    <w:p>
      <w:pPr>
        <w:spacing w:after="0" w:line="293" w:lineRule="exact"/>
        <w:rPr>
          <w:rFonts w:ascii="Arial" w:cs="Arial" w:eastAsia="Arial" w:hAnsi="Arial"/>
          <w:sz w:val="18"/>
          <w:szCs w:val="18"/>
          <w:color w:val="auto"/>
        </w:rPr>
      </w:pPr>
    </w:p>
    <w:p>
      <w:pPr>
        <w:ind w:left="840" w:right="8540" w:hanging="553"/>
        <w:spacing w:after="0" w:line="277" w:lineRule="auto"/>
        <w:tabs>
          <w:tab w:leader="none" w:pos="8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-260350</wp:posOffset>
            </wp:positionV>
            <wp:extent cx="66351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-740410</wp:posOffset>
            </wp:positionV>
            <wp:extent cx="66351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-1357630</wp:posOffset>
            </wp:positionV>
            <wp:extent cx="6635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 of 12</w:t>
      </w:r>
    </w:p>
    <w:p>
      <w:pPr>
        <w:sectPr>
          <w:pgSz w:w="11900" w:h="16838" w:orient="portrait"/>
          <w:cols w:equalWidth="0" w:num="1">
            <w:col w:w="11240"/>
          </w:cols>
          <w:pgMar w:left="320" w:top="908" w:right="339" w:bottom="1440" w:gutter="0" w:footer="0" w:header="0"/>
        </w:sectPr>
      </w:pPr>
    </w:p>
    <w:p>
      <w:pPr>
        <w:spacing w:after="0" w:line="27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color w:val="auto"/>
        </w:rPr>
        <w:t>Name of Issuer:</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64122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4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14651 North Dallas Parkway</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Dallas, Texas 75254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40005</wp:posOffset>
            </wp:positionV>
            <wp:extent cx="64122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p>
      <w:pPr>
        <w:spacing w:after="0" w:line="9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2(a)</w:t>
      </w:r>
    </w:p>
    <w:p>
      <w:pPr>
        <w:spacing w:after="0" w:line="30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2(b)</w:t>
      </w:r>
    </w:p>
    <w:p>
      <w:pPr>
        <w:spacing w:after="0" w:line="30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2(d)</w:t>
      </w:r>
    </w:p>
    <w:p>
      <w:pPr>
        <w:spacing w:after="0" w:line="30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2(e)</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288"/>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ind w:left="288"/>
        <w:spacing w:after="0"/>
        <w:rPr>
          <w:sz w:val="20"/>
          <w:szCs w:val="20"/>
          <w:color w:val="auto"/>
        </w:rPr>
      </w:pPr>
      <w:r>
        <w:rPr>
          <w:rFonts w:ascii="Arial" w:cs="Arial" w:eastAsia="Arial" w:hAnsi="Arial"/>
          <w:sz w:val="18"/>
          <w:szCs w:val="18"/>
          <w:color w:val="auto"/>
        </w:rPr>
        <w:t>See Item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5715</wp:posOffset>
            </wp:positionV>
            <wp:extent cx="64122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42" w:lineRule="exact"/>
        <w:rPr>
          <w:sz w:val="20"/>
          <w:szCs w:val="20"/>
          <w:color w:val="auto"/>
        </w:rPr>
      </w:pPr>
    </w:p>
    <w:p>
      <w:pPr>
        <w:ind w:left="288"/>
        <w:spacing w:after="0"/>
        <w:rPr>
          <w:sz w:val="20"/>
          <w:szCs w:val="20"/>
          <w:color w:val="auto"/>
        </w:rPr>
      </w:pPr>
      <w:r>
        <w:rPr>
          <w:rFonts w:ascii="Arial" w:cs="Arial" w:eastAsia="Arial" w:hAnsi="Arial"/>
          <w:sz w:val="18"/>
          <w:szCs w:val="18"/>
          <w:color w:val="auto"/>
        </w:rPr>
        <w:t>Address of Principal Business Office</w:t>
      </w:r>
    </w:p>
    <w:p>
      <w:pPr>
        <w:spacing w:after="0" w:line="23" w:lineRule="exact"/>
        <w:rPr>
          <w:sz w:val="20"/>
          <w:szCs w:val="20"/>
          <w:color w:val="auto"/>
        </w:rPr>
      </w:pPr>
    </w:p>
    <w:p>
      <w:pPr>
        <w:ind w:left="288"/>
        <w:spacing w:after="0"/>
        <w:rPr>
          <w:sz w:val="20"/>
          <w:szCs w:val="20"/>
          <w:color w:val="auto"/>
        </w:rPr>
      </w:pPr>
      <w:r>
        <w:rPr>
          <w:rFonts w:ascii="Arial" w:cs="Arial" w:eastAsia="Arial" w:hAnsi="Arial"/>
          <w:sz w:val="18"/>
          <w:szCs w:val="18"/>
          <w:color w:val="auto"/>
        </w:rPr>
        <w:t>See Item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5715</wp:posOffset>
            </wp:positionV>
            <wp:extent cx="64122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42" w:lineRule="exact"/>
        <w:rPr>
          <w:sz w:val="20"/>
          <w:szCs w:val="20"/>
          <w:color w:val="auto"/>
        </w:rPr>
      </w:pPr>
    </w:p>
    <w:p>
      <w:pPr>
        <w:ind w:left="288"/>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288"/>
        <w:spacing w:after="0"/>
        <w:rPr>
          <w:sz w:val="20"/>
          <w:szCs w:val="20"/>
          <w:color w:val="auto"/>
        </w:rPr>
      </w:pPr>
      <w:r>
        <w:rPr>
          <w:rFonts w:ascii="Arial" w:cs="Arial" w:eastAsia="Arial" w:hAnsi="Arial"/>
          <w:sz w:val="18"/>
          <w:szCs w:val="18"/>
          <w:color w:val="auto"/>
        </w:rPr>
        <w:t>Trigran Investments, Inc.</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Illinois corporation</w:t>
      </w:r>
    </w:p>
    <w:p>
      <w:pPr>
        <w:spacing w:after="0" w:line="211" w:lineRule="exact"/>
        <w:rPr>
          <w:sz w:val="20"/>
          <w:szCs w:val="20"/>
          <w:color w:val="auto"/>
        </w:rPr>
      </w:pPr>
    </w:p>
    <w:p>
      <w:pPr>
        <w:ind w:left="288"/>
        <w:spacing w:after="0"/>
        <w:rPr>
          <w:sz w:val="20"/>
          <w:szCs w:val="20"/>
          <w:color w:val="auto"/>
        </w:rPr>
      </w:pPr>
      <w:r>
        <w:rPr>
          <w:rFonts w:ascii="Arial" w:cs="Arial" w:eastAsia="Arial" w:hAnsi="Arial"/>
          <w:sz w:val="18"/>
          <w:szCs w:val="18"/>
          <w:color w:val="auto"/>
        </w:rPr>
        <w:t>Douglas Granat</w:t>
      </w:r>
    </w:p>
    <w:p>
      <w:pPr>
        <w:spacing w:after="0" w:line="23" w:lineRule="exact"/>
        <w:rPr>
          <w:sz w:val="20"/>
          <w:szCs w:val="20"/>
          <w:color w:val="auto"/>
        </w:rPr>
      </w:pPr>
    </w:p>
    <w:p>
      <w:pPr>
        <w:ind w:left="288"/>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ind w:left="288"/>
        <w:spacing w:after="0"/>
        <w:rPr>
          <w:sz w:val="20"/>
          <w:szCs w:val="20"/>
          <w:color w:val="auto"/>
        </w:rPr>
      </w:pPr>
      <w:r>
        <w:rPr>
          <w:rFonts w:ascii="Arial" w:cs="Arial" w:eastAsia="Arial" w:hAnsi="Arial"/>
          <w:sz w:val="18"/>
          <w:szCs w:val="18"/>
          <w:color w:val="auto"/>
        </w:rPr>
        <w:t>Lawrence A. Oberman</w:t>
      </w:r>
    </w:p>
    <w:p>
      <w:pPr>
        <w:spacing w:after="0" w:line="23" w:lineRule="exact"/>
        <w:rPr>
          <w:sz w:val="20"/>
          <w:szCs w:val="20"/>
          <w:color w:val="auto"/>
        </w:rPr>
      </w:pPr>
    </w:p>
    <w:p>
      <w:pPr>
        <w:ind w:left="288"/>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ind w:left="288"/>
        <w:spacing w:after="0"/>
        <w:rPr>
          <w:sz w:val="20"/>
          <w:szCs w:val="20"/>
          <w:color w:val="auto"/>
        </w:rPr>
      </w:pPr>
      <w:r>
        <w:rPr>
          <w:rFonts w:ascii="Arial" w:cs="Arial" w:eastAsia="Arial" w:hAnsi="Arial"/>
          <w:sz w:val="18"/>
          <w:szCs w:val="18"/>
          <w:color w:val="auto"/>
        </w:rPr>
        <w:t>Steven G. Simon</w:t>
      </w:r>
    </w:p>
    <w:p>
      <w:pPr>
        <w:spacing w:after="0" w:line="23" w:lineRule="exact"/>
        <w:rPr>
          <w:sz w:val="20"/>
          <w:szCs w:val="20"/>
          <w:color w:val="auto"/>
        </w:rPr>
      </w:pPr>
    </w:p>
    <w:p>
      <w:pPr>
        <w:ind w:left="288"/>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ind w:left="288"/>
        <w:spacing w:after="0"/>
        <w:rPr>
          <w:sz w:val="20"/>
          <w:szCs w:val="20"/>
          <w:color w:val="auto"/>
        </w:rPr>
      </w:pPr>
      <w:r>
        <w:rPr>
          <w:rFonts w:ascii="Arial" w:cs="Arial" w:eastAsia="Arial" w:hAnsi="Arial"/>
          <w:sz w:val="18"/>
          <w:szCs w:val="18"/>
          <w:color w:val="auto"/>
        </w:rPr>
        <w:t>Bradley F. Simon</w:t>
      </w:r>
    </w:p>
    <w:p>
      <w:pPr>
        <w:spacing w:after="0" w:line="23" w:lineRule="exact"/>
        <w:rPr>
          <w:sz w:val="20"/>
          <w:szCs w:val="20"/>
          <w:color w:val="auto"/>
        </w:rPr>
      </w:pPr>
    </w:p>
    <w:p>
      <w:pPr>
        <w:ind w:left="288"/>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Northbrook, Illinois 60062</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ind w:left="288"/>
        <w:spacing w:after="0"/>
        <w:rPr>
          <w:sz w:val="20"/>
          <w:szCs w:val="20"/>
          <w:color w:val="auto"/>
        </w:rPr>
      </w:pPr>
      <w:r>
        <w:rPr>
          <w:rFonts w:ascii="Arial" w:cs="Arial" w:eastAsia="Arial" w:hAnsi="Arial"/>
          <w:sz w:val="18"/>
          <w:szCs w:val="18"/>
          <w:color w:val="auto"/>
        </w:rPr>
        <w:t>Steven R. Monieson</w:t>
      </w:r>
    </w:p>
    <w:p>
      <w:pPr>
        <w:spacing w:after="0" w:line="23" w:lineRule="exact"/>
        <w:rPr>
          <w:sz w:val="20"/>
          <w:szCs w:val="20"/>
          <w:color w:val="auto"/>
        </w:rPr>
      </w:pPr>
    </w:p>
    <w:p>
      <w:pPr>
        <w:ind w:left="288"/>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Northbrook, Illinois 60062</w:t>
      </w:r>
    </w:p>
    <w:p>
      <w:pPr>
        <w:spacing w:after="0" w:line="9" w:lineRule="exact"/>
        <w:rPr>
          <w:sz w:val="20"/>
          <w:szCs w:val="20"/>
          <w:color w:val="auto"/>
        </w:rPr>
      </w:pPr>
    </w:p>
    <w:p>
      <w:pPr>
        <w:ind w:left="288"/>
        <w:spacing w:after="0"/>
        <w:rPr>
          <w:sz w:val="20"/>
          <w:szCs w:val="20"/>
          <w:color w:val="auto"/>
        </w:rPr>
      </w:pPr>
      <w:r>
        <w:rPr>
          <w:rFonts w:ascii="Arial" w:cs="Arial" w:eastAsia="Arial" w:hAnsi="Arial"/>
          <w:sz w:val="18"/>
          <w:szCs w:val="18"/>
          <w:color w:val="auto"/>
        </w:rPr>
        <w:t>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40005</wp:posOffset>
            </wp:positionV>
            <wp:extent cx="64122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96" w:lineRule="exact"/>
        <w:rPr>
          <w:sz w:val="20"/>
          <w:szCs w:val="20"/>
          <w:color w:val="auto"/>
        </w:rPr>
      </w:pPr>
    </w:p>
    <w:p>
      <w:pPr>
        <w:ind w:left="288"/>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288"/>
        <w:spacing w:after="0"/>
        <w:rPr>
          <w:sz w:val="20"/>
          <w:szCs w:val="20"/>
          <w:color w:val="auto"/>
        </w:rPr>
      </w:pPr>
      <w:r>
        <w:rPr>
          <w:rFonts w:ascii="Arial" w:cs="Arial" w:eastAsia="Arial" w:hAnsi="Arial"/>
          <w:sz w:val="18"/>
          <w:szCs w:val="18"/>
          <w:color w:val="auto"/>
        </w:rPr>
        <w:t>Common Stock, par value of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5715</wp:posOffset>
            </wp:positionV>
            <wp:extent cx="64122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42" w:lineRule="exact"/>
        <w:rPr>
          <w:sz w:val="20"/>
          <w:szCs w:val="20"/>
          <w:color w:val="auto"/>
        </w:rPr>
      </w:pPr>
    </w:p>
    <w:p>
      <w:pPr>
        <w:ind w:left="288"/>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ind w:left="288"/>
        <w:spacing w:after="0"/>
        <w:rPr>
          <w:sz w:val="20"/>
          <w:szCs w:val="20"/>
          <w:color w:val="auto"/>
        </w:rPr>
      </w:pPr>
      <w:r>
        <w:rPr>
          <w:rFonts w:ascii="Arial" w:cs="Arial" w:eastAsia="Arial" w:hAnsi="Arial"/>
          <w:sz w:val="18"/>
          <w:szCs w:val="18"/>
          <w:color w:val="auto"/>
        </w:rPr>
        <w:t>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5715</wp:posOffset>
            </wp:positionV>
            <wp:extent cx="6412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54" w:lineRule="exact"/>
        <w:rPr>
          <w:sz w:val="20"/>
          <w:szCs w:val="20"/>
          <w:color w:val="auto"/>
        </w:rPr>
      </w:pPr>
    </w:p>
    <w:p>
      <w:pPr>
        <w:ind w:left="48"/>
        <w:spacing w:after="0"/>
        <w:rPr>
          <w:sz w:val="20"/>
          <w:szCs w:val="20"/>
          <w:color w:val="auto"/>
        </w:rPr>
      </w:pPr>
      <w:r>
        <w:rPr>
          <w:rFonts w:ascii="Arial" w:cs="Arial" w:eastAsia="Arial" w:hAnsi="Arial"/>
          <w:sz w:val="16"/>
          <w:szCs w:val="16"/>
          <w:b w:val="1"/>
          <w:bCs w:val="1"/>
          <w:color w:val="auto"/>
        </w:rPr>
        <w:t>If this statement is filed pursuant to Rules 13d-1(b), or 13d-2(b) or (c), check whether the person filing is a:</w:t>
      </w:r>
    </w:p>
    <w:p>
      <w:pPr>
        <w:spacing w:after="0" w:line="57" w:lineRule="exact"/>
        <w:rPr>
          <w:sz w:val="20"/>
          <w:szCs w:val="20"/>
          <w:color w:val="auto"/>
        </w:rPr>
      </w:pPr>
    </w:p>
    <w:p>
      <w:pPr>
        <w:ind w:left="568" w:hanging="568"/>
        <w:spacing w:after="0" w:line="207" w:lineRule="exact"/>
        <w:tabs>
          <w:tab w:leader="none" w:pos="568"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Exchange Act;</w:t>
      </w:r>
    </w:p>
    <w:p>
      <w:pPr>
        <w:spacing w:after="0" w:line="76" w:lineRule="exact"/>
        <w:rPr>
          <w:rFonts w:ascii="Arial" w:cs="Arial" w:eastAsia="Arial" w:hAnsi="Arial"/>
          <w:sz w:val="18"/>
          <w:szCs w:val="18"/>
          <w:color w:val="auto"/>
        </w:rPr>
      </w:pPr>
    </w:p>
    <w:p>
      <w:pPr>
        <w:ind w:left="568" w:hanging="568"/>
        <w:spacing w:after="0" w:line="207" w:lineRule="exact"/>
        <w:tabs>
          <w:tab w:leader="none" w:pos="568"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455930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780" w:space="132"/>
            <w:col w:w="10328"/>
          </w:cols>
          <w:pgMar w:left="320" w:top="908" w:right="339" w:bottom="1440" w:gutter="0" w:footer="0" w:header="0"/>
          <w:type w:val="continuous"/>
        </w:sectPr>
      </w:pPr>
    </w:p>
    <w:bookmarkStart w:id="8" w:name="page9"/>
    <w:bookmarkEnd w:id="8"/>
    <w:p>
      <w:pPr>
        <w:spacing w:after="0"/>
        <w:tabs>
          <w:tab w:leader="none" w:pos="5100" w:val="left"/>
          <w:tab w:leader="none" w:pos="103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9 of 12</w:t>
      </w:r>
    </w:p>
    <w:p>
      <w:pPr>
        <w:sectPr>
          <w:pgSz w:w="11900" w:h="16838" w:orient="portrait"/>
          <w:cols w:equalWidth="0" w:num="1">
            <w:col w:w="11240"/>
          </w:cols>
          <w:pgMar w:left="320" w:top="908" w:right="339" w:bottom="1440" w:gutter="0" w:footer="0" w:header="0"/>
        </w:sectPr>
      </w:pPr>
    </w:p>
    <w:p>
      <w:pPr>
        <w:spacing w:after="0" w:line="246" w:lineRule="exact"/>
        <w:rPr>
          <w:sz w:val="20"/>
          <w:szCs w:val="20"/>
          <w:color w:val="auto"/>
        </w:rPr>
      </w:pPr>
    </w:p>
    <w:p>
      <w:pPr>
        <w:ind w:left="1480" w:hanging="568"/>
        <w:spacing w:after="0" w:line="207" w:lineRule="exact"/>
        <w:tabs>
          <w:tab w:leader="none" w:pos="148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Exchange Act;</w:t>
      </w:r>
    </w:p>
    <w:p>
      <w:pPr>
        <w:spacing w:after="0" w:line="76"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w:t>
      </w:r>
    </w:p>
    <w:p>
      <w:pPr>
        <w:spacing w:after="0" w:line="63"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63"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63"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63"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63" w:lineRule="exact"/>
        <w:rPr>
          <w:rFonts w:ascii="Arial" w:cs="Arial" w:eastAsia="Arial" w:hAnsi="Arial"/>
          <w:sz w:val="18"/>
          <w:szCs w:val="18"/>
          <w:color w:val="auto"/>
        </w:rPr>
      </w:pPr>
    </w:p>
    <w:p>
      <w:pPr>
        <w:ind w:left="2040" w:right="720" w:hanging="1128"/>
        <w:spacing w:after="0" w:line="223" w:lineRule="exact"/>
        <w:tabs>
          <w:tab w:leader="none" w:pos="1486"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7"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13d–1(b)(1)(ii)(J);</w:t>
      </w:r>
    </w:p>
    <w:p>
      <w:pPr>
        <w:spacing w:after="0" w:line="9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80" w:type="dxa"/>
            <w:vAlign w:val="bottom"/>
            <w:vMerge w:val="restart"/>
          </w:tcPr>
          <w:p>
            <w:pPr>
              <w:spacing w:after="0"/>
              <w:rPr>
                <w:sz w:val="20"/>
                <w:szCs w:val="20"/>
                <w:color w:val="auto"/>
              </w:rPr>
            </w:pPr>
            <w:r>
              <w:rPr>
                <w:rFonts w:ascii="Arial" w:cs="Arial" w:eastAsia="Arial" w:hAnsi="Arial"/>
                <w:sz w:val="18"/>
                <w:szCs w:val="18"/>
                <w:color w:val="auto"/>
              </w:rPr>
              <w:t>(k)</w:t>
            </w:r>
          </w:p>
        </w:tc>
        <w:tc>
          <w:tcPr>
            <w:tcW w:w="5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200" w:type="dxa"/>
            <w:vAlign w:val="bottom"/>
          </w:tcPr>
          <w:p>
            <w:pPr>
              <w:ind w:left="200"/>
              <w:spacing w:after="0"/>
              <w:rPr>
                <w:sz w:val="20"/>
                <w:szCs w:val="20"/>
                <w:color w:val="auto"/>
              </w:rPr>
            </w:pPr>
            <w:r>
              <w:rPr>
                <w:rFonts w:ascii="Arial" w:cs="Arial" w:eastAsia="Arial" w:hAnsi="Arial"/>
                <w:sz w:val="18"/>
                <w:szCs w:val="18"/>
                <w:color w:val="auto"/>
                <w:w w:val="93"/>
              </w:rPr>
              <w:t>Group, in accordance with Rule 13d-1(b)(1)(ii)(K). If filing as a non-U.S. institution in accordance with Rule 13d–1(b)(1)(ii)</w:t>
            </w:r>
          </w:p>
        </w:tc>
        <w:tc>
          <w:tcPr>
            <w:tcW w:w="0" w:type="dxa"/>
            <w:vAlign w:val="bottom"/>
          </w:tcPr>
          <w:p>
            <w:pPr>
              <w:spacing w:after="0"/>
              <w:rPr>
                <w:sz w:val="1"/>
                <w:szCs w:val="1"/>
                <w:color w:val="auto"/>
              </w:rPr>
            </w:pPr>
          </w:p>
        </w:tc>
      </w:tr>
      <w:tr>
        <w:trPr>
          <w:trHeight w:val="142"/>
        </w:trPr>
        <w:tc>
          <w:tcPr>
            <w:tcW w:w="3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200" w:type="dxa"/>
            <w:vAlign w:val="bottom"/>
            <w:vMerge w:val="restart"/>
          </w:tcPr>
          <w:p>
            <w:pPr>
              <w:ind w:left="200"/>
              <w:spacing w:after="0"/>
              <w:rPr>
                <w:sz w:val="20"/>
                <w:szCs w:val="20"/>
                <w:color w:val="auto"/>
              </w:rPr>
            </w:pPr>
            <w:r>
              <w:rPr>
                <w:rFonts w:ascii="Arial" w:cs="Arial" w:eastAsia="Arial" w:hAnsi="Arial"/>
                <w:sz w:val="18"/>
                <w:szCs w:val="18"/>
                <w:color w:val="auto"/>
              </w:rPr>
              <w:t>(J), please specify the type of institution:______________</w:t>
            </w:r>
          </w:p>
        </w:tc>
        <w:tc>
          <w:tcPr>
            <w:tcW w:w="0" w:type="dxa"/>
            <w:vAlign w:val="bottom"/>
          </w:tcPr>
          <w:p>
            <w:pPr>
              <w:spacing w:after="0"/>
              <w:rPr>
                <w:sz w:val="1"/>
                <w:szCs w:val="1"/>
                <w:color w:val="auto"/>
              </w:rPr>
            </w:pPr>
          </w:p>
        </w:tc>
      </w:tr>
      <w:tr>
        <w:trPr>
          <w:trHeight w:val="88"/>
        </w:trPr>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254"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Ownership:(2)</w:t>
      </w:r>
    </w:p>
    <w:p>
      <w:pPr>
        <w:spacing w:after="0" w:line="121" w:lineRule="exact"/>
        <w:rPr>
          <w:sz w:val="20"/>
          <w:szCs w:val="20"/>
          <w:color w:val="auto"/>
        </w:rPr>
      </w:pPr>
    </w:p>
    <w:p>
      <w:pPr>
        <w:ind w:left="1540" w:hanging="628"/>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Incorporated by reference to Item 9 of the cover page pertaining to each reporting person.</w:t>
      </w:r>
    </w:p>
    <w:p>
      <w:pPr>
        <w:spacing w:after="0" w:line="252" w:lineRule="exact"/>
        <w:rPr>
          <w:rFonts w:ascii="Arial" w:cs="Arial" w:eastAsia="Arial" w:hAnsi="Arial"/>
          <w:sz w:val="18"/>
          <w:szCs w:val="18"/>
          <w:color w:val="auto"/>
        </w:rPr>
      </w:pPr>
    </w:p>
    <w:p>
      <w:pPr>
        <w:ind w:left="1540" w:hanging="628"/>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Incorporated by reference to Item 11 of the cover page pertaining to each reporting person.</w:t>
      </w:r>
    </w:p>
    <w:p>
      <w:pPr>
        <w:spacing w:after="0" w:line="252" w:lineRule="exact"/>
        <w:rPr>
          <w:rFonts w:ascii="Arial" w:cs="Arial" w:eastAsia="Arial" w:hAnsi="Arial"/>
          <w:sz w:val="18"/>
          <w:szCs w:val="18"/>
          <w:color w:val="auto"/>
        </w:rPr>
      </w:pPr>
    </w:p>
    <w:p>
      <w:pPr>
        <w:ind w:left="1540" w:hanging="628"/>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220345</wp:posOffset>
            </wp:positionV>
            <wp:extent cx="61976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-164465</wp:posOffset>
            </wp:positionV>
            <wp:extent cx="61976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-730250</wp:posOffset>
            </wp:positionV>
            <wp:extent cx="61976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381" w:lineRule="exact"/>
        <w:rPr>
          <w:sz w:val="20"/>
          <w:szCs w:val="20"/>
          <w:color w:val="auto"/>
        </w:rPr>
      </w:pPr>
    </w:p>
    <w:p>
      <w:pPr>
        <w:ind w:left="2080" w:hanging="409"/>
        <w:spacing w:after="0"/>
        <w:tabs>
          <w:tab w:leader="none" w:pos="2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57"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Incorporated by reference to Item 5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126365</wp:posOffset>
            </wp:positionV>
            <wp:extent cx="58464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2" w:lineRule="exact"/>
        <w:rPr>
          <w:sz w:val="20"/>
          <w:szCs w:val="20"/>
          <w:color w:val="auto"/>
        </w:rPr>
      </w:pPr>
    </w:p>
    <w:p>
      <w:pPr>
        <w:ind w:left="2080" w:hanging="434"/>
        <w:spacing w:after="0"/>
        <w:tabs>
          <w:tab w:leader="none" w:pos="2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57"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Incorporated by reference to Item 6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126365</wp:posOffset>
            </wp:positionV>
            <wp:extent cx="58464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2" w:lineRule="exact"/>
        <w:rPr>
          <w:sz w:val="20"/>
          <w:szCs w:val="20"/>
          <w:color w:val="auto"/>
        </w:rPr>
      </w:pPr>
    </w:p>
    <w:p>
      <w:pPr>
        <w:ind w:left="2080" w:hanging="459"/>
        <w:spacing w:after="0"/>
        <w:tabs>
          <w:tab w:leader="none" w:pos="2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57"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Incorporated by reference to Item 7 of the cover page pertaining to each reporting person.</w:t>
      </w:r>
    </w:p>
    <w:p>
      <w:pPr>
        <w:spacing w:after="0" w:line="252" w:lineRule="exact"/>
        <w:rPr>
          <w:rFonts w:ascii="Arial" w:cs="Arial" w:eastAsia="Arial" w:hAnsi="Arial"/>
          <w:sz w:val="18"/>
          <w:szCs w:val="18"/>
          <w:color w:val="auto"/>
        </w:rPr>
      </w:pPr>
    </w:p>
    <w:p>
      <w:pPr>
        <w:ind w:left="2080" w:hanging="454"/>
        <w:spacing w:after="0"/>
        <w:tabs>
          <w:tab w:leader="none" w:pos="2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57"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Incorporated by reference to Item 8 of the cover page pertaining to each reporting person.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0" w:right="60" w:firstLine="2"/>
        <w:spacing w:after="0" w:line="308" w:lineRule="auto"/>
        <w:tabs>
          <w:tab w:leader="none" w:pos="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Douglas Granat, Lawrence A. Oberman, Steven G. Simon, Bradley F. Simon, and Steven R. Monieson are the controlling shareholders and officers of Trigran Investments, Inc. and thus may be considered the beneficial owners of shares beneficially owned by Trigran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-480060</wp:posOffset>
            </wp:positionV>
            <wp:extent cx="58464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644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-1003300</wp:posOffset>
            </wp:positionV>
            <wp:extent cx="58464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9" w:name="page10"/>
    <w:bookmarkEnd w:id="9"/>
    <w:p>
      <w:pPr>
        <w:spacing w:after="0"/>
        <w:tabs>
          <w:tab w:leader="none" w:pos="5100" w:val="left"/>
          <w:tab w:leader="none" w:pos="1022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10 of 12</w:t>
      </w:r>
    </w:p>
    <w:p>
      <w:pPr>
        <w:sectPr>
          <w:pgSz w:w="11900" w:h="16838" w:orient="portrait"/>
          <w:cols w:equalWidth="0" w:num="1">
            <w:col w:w="11240"/>
          </w:cols>
          <w:pgMar w:left="320" w:top="908" w:right="339" w:bottom="1440" w:gutter="0" w:footer="0" w:header="0"/>
        </w:sectPr>
      </w:pPr>
    </w:p>
    <w:p>
      <w:pPr>
        <w:spacing w:after="0" w:line="27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jc w:val="both"/>
        <w:ind w:left="60" w:right="60"/>
        <w:spacing w:after="0" w:line="263" w:lineRule="auto"/>
        <w:rPr>
          <w:sz w:val="20"/>
          <w:szCs w:val="20"/>
          <w:color w:val="auto"/>
        </w:rPr>
      </w:pPr>
      <w:r>
        <w:rPr>
          <w:rFonts w:ascii="Arial" w:cs="Arial" w:eastAsia="Arial" w:hAnsi="Arial"/>
          <w:sz w:val="18"/>
          <w:szCs w:val="18"/>
          <w:color w:val="auto"/>
        </w:rPr>
        <w:t>Owners of accounts managed by Trigran Investments, Inc. have or may have the right to receive or the power to direct the receipt of dividends from, or the proceeds from the sale of, securities held in their accounts. No such account has such power with respect to more than five percent of the class of securities to which this Schedule 13G relates.</w:t>
      </w:r>
    </w:p>
    <w:p>
      <w:pPr>
        <w:spacing w:after="0" w:line="193"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Company:</w:t>
      </w:r>
    </w:p>
    <w:p>
      <w:pPr>
        <w:spacing w:after="0" w:line="103" w:lineRule="exact"/>
        <w:rPr>
          <w:sz w:val="20"/>
          <w:szCs w:val="20"/>
          <w:color w:val="auto"/>
        </w:rPr>
      </w:pPr>
    </w:p>
    <w:p>
      <w:pPr>
        <w:jc w:val="center"/>
        <w:ind w:right="53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60" w:right="60" w:firstLine="1307"/>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0" w:name="page11"/>
    <w:bookmarkEnd w:id="10"/>
    <w:p>
      <w:pPr>
        <w:spacing w:after="0"/>
        <w:tabs>
          <w:tab w:leader="none" w:pos="5100" w:val="left"/>
          <w:tab w:leader="none" w:pos="102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11 of 12</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Reporting Persons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A. Oberman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CUSIP No. 125141101</w:t>
            </w:r>
          </w:p>
        </w:tc>
        <w:tc>
          <w:tcPr>
            <w:tcW w:w="3840" w:type="dxa"/>
            <w:vAlign w:val="bottom"/>
          </w:tcPr>
          <w:p>
            <w:pPr>
              <w:ind w:left="760"/>
              <w:spacing w:after="0"/>
              <w:rPr>
                <w:sz w:val="20"/>
                <w:szCs w:val="20"/>
                <w:color w:val="auto"/>
              </w:rPr>
            </w:pPr>
            <w:r>
              <w:rPr>
                <w:rFonts w:ascii="Arial" w:cs="Arial" w:eastAsia="Arial" w:hAnsi="Arial"/>
                <w:sz w:val="18"/>
                <w:szCs w:val="18"/>
                <w:color w:val="auto"/>
              </w:rPr>
              <w:t>Schedule 13G</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Page 12 of 12</w:t>
            </w:r>
          </w:p>
        </w:tc>
      </w:tr>
      <w:tr>
        <w:trPr>
          <w:trHeight w:val="392"/>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INDEX TO EXHIBITS</w:t>
            </w:r>
          </w:p>
        </w:tc>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3"/>
        </w:trPr>
        <w:tc>
          <w:tcPr>
            <w:tcW w:w="180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42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EXHIBIT 1: Agreement to Make a Joint Filing</w:t>
            </w:r>
          </w:p>
        </w:tc>
        <w:tc>
          <w:tcPr>
            <w:tcW w:w="3840" w:type="dxa"/>
            <w:vAlign w:val="bottom"/>
          </w:tcPr>
          <w:p>
            <w:pPr>
              <w:spacing w:after="0"/>
              <w:rPr>
                <w:sz w:val="24"/>
                <w:szCs w:val="24"/>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r>
      <w:tr>
        <w:trPr>
          <w:trHeight w:val="675"/>
        </w:trPr>
        <w:tc>
          <w:tcPr>
            <w:tcW w:w="18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2" w:name="page13"/>
    <w:bookmarkEnd w:id="12"/>
    <w:p>
      <w:pPr>
        <w:spacing w:after="0"/>
        <w:tabs>
          <w:tab w:leader="none" w:pos="5100" w:val="left"/>
          <w:tab w:leader="none" w:pos="104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 of 1</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 TO SCHEDULE 13G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25, 2023</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Rule 13d-1(k)(1) under the Securities Exchange Act of 1934, as amended, TRIGRAN INVESTMENTS, INC., DOUGLAS GRANAT, LAWRENCE A. OBERMAN, STEVEN G. SIMON, BRADLEY F. SIMON and STEVEN R. MONIESON each hereby agree to the joint filing of this statement on Schedule 13G (including any and all amendments hereto). In addition, each party to this Agreement expressly authorizes each other party to this Agreement to file on its behalf any and all amendments to such Statement on Schedule 13G. A copy of this Agreement shall be attached as an exhibit to the Statement on Schedule 13G filed on behalf of each of the parties hereto, to which this Agreement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executed in multiple counterparts, each of which shall constitute an original, one and the same instrument.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A. Oberman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lvl w:ilvl="1">
      <w:lvlJc w:val="left"/>
      <w:lvlText w:val="(%2)"/>
      <w:numFmt w:val="lowerLetter"/>
      <w:start w:val="1"/>
    </w:lvl>
  </w:abstractNum>
  <w:abstractNum w:abstractNumId="4">
    <w:nsid w:val="2CA88611"/>
    <w:multiLevelType w:val="hybridMultilevel"/>
    <w:lvl w:ilvl="0">
      <w:lvlJc w:val="left"/>
      <w:lvlText w:val="%1."/>
      <w:numFmt w:val="decimal"/>
      <w:start w:val="3"/>
    </w:lvl>
    <w:lvl w:ilvl="1">
      <w:lvlJc w:val="left"/>
      <w:lvlText w:val="%2"/>
      <w:numFmt w:val="lowerLetter"/>
      <w:start w:val="1"/>
    </w:lvl>
  </w:abstractNum>
  <w:abstractNum w:abstractNumId="5">
    <w:nsid w:val="836C40E"/>
    <w:multiLevelType w:val="hybridMultilevel"/>
    <w:lvl w:ilvl="0">
      <w:lvlJc w:val="left"/>
      <w:lvlText w:val="%1"/>
      <w:numFmt w:val="decimal"/>
      <w:start w:val="1"/>
    </w:lvl>
    <w:lvl w:ilvl="1">
      <w:lvlJc w:val="left"/>
      <w:lvlText w:val="%2."/>
      <w:numFmt w:val="decimal"/>
      <w:start w:val="8"/>
    </w:lvl>
  </w:abstractNum>
  <w:abstractNum w:abstractNumId="6">
    <w:nsid w:val="2901D82"/>
    <w:multiLevelType w:val="hybridMultilevel"/>
    <w:lvl w:ilvl="0">
      <w:lvlJc w:val="left"/>
      <w:lvlText w:val="%1."/>
      <w:numFmt w:val="decimal"/>
      <w:start w:val="9"/>
    </w:lvl>
    <w:lvl w:ilvl="1">
      <w:lvlJc w:val="left"/>
      <w:lvlText w:val="%2"/>
      <w:numFmt w:val="decimal"/>
      <w:start w:val="1"/>
    </w:lvl>
  </w:abstractNum>
  <w:abstractNum w:abstractNumId="7">
    <w:nsid w:val="3A95F874"/>
    <w:multiLevelType w:val="hybridMultilevel"/>
    <w:lvl w:ilvl="0">
      <w:lvlJc w:val="left"/>
      <w:lvlText w:val="%1"/>
      <w:numFmt w:val="decimal"/>
      <w:start w:val="1"/>
    </w:lvl>
    <w:lvl w:ilvl="1">
      <w:lvlJc w:val="left"/>
      <w:lvlText w:val="%2."/>
      <w:numFmt w:val="decimal"/>
      <w:start w:val="10"/>
    </w:lvl>
  </w:abstractNum>
  <w:abstractNum w:abstractNumId="8">
    <w:nsid w:val="8138641"/>
    <w:multiLevelType w:val="hybridMultilevel"/>
    <w:lvl w:ilvl="0">
      <w:lvlJc w:val="left"/>
      <w:lvlText w:val="(%1)"/>
      <w:numFmt w:val="decimal"/>
      <w:start w:val="1"/>
    </w:lvl>
    <w:lvl w:ilvl="1">
      <w:lvlJc w:val="left"/>
      <w:lvlText w:val="%2"/>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lvl w:ilvl="1">
      <w:lvlJc w:val="left"/>
      <w:lvlText w:val="(%2)"/>
      <w:numFmt w:val="lowerLetter"/>
      <w:start w:val="1"/>
    </w:lvl>
  </w:abstractNum>
  <w:abstractNum w:abstractNumId="11">
    <w:nsid w:val="737B8DDC"/>
    <w:multiLevelType w:val="hybridMultilevel"/>
    <w:lvl w:ilvl="0">
      <w:lvlJc w:val="left"/>
      <w:lvlText w:val="%1."/>
      <w:numFmt w:val="decimal"/>
      <w:start w:val="3"/>
    </w:lvl>
    <w:lvl w:ilvl="1">
      <w:lvlJc w:val="left"/>
      <w:lvlText w:val="%2"/>
      <w:numFmt w:val="lowerLetter"/>
      <w:start w:val="1"/>
    </w:lvl>
  </w:abstractNum>
  <w:abstractNum w:abstractNumId="12">
    <w:nsid w:val="6CEAF087"/>
    <w:multiLevelType w:val="hybridMultilevel"/>
    <w:lvl w:ilvl="0">
      <w:lvlJc w:val="left"/>
      <w:lvlText w:val="%1"/>
      <w:numFmt w:val="decimal"/>
      <w:start w:val="1"/>
    </w:lvl>
    <w:lvl w:ilvl="1">
      <w:lvlJc w:val="left"/>
      <w:lvlText w:val="%2."/>
      <w:numFmt w:val="decimal"/>
      <w:start w:val="8"/>
    </w:lvl>
  </w:abstractNum>
  <w:abstractNum w:abstractNumId="13">
    <w:nsid w:val="22221A70"/>
    <w:multiLevelType w:val="hybridMultilevel"/>
    <w:lvl w:ilvl="0">
      <w:lvlJc w:val="left"/>
      <w:lvlText w:val="%1."/>
      <w:numFmt w:val="decimal"/>
      <w:start w:val="9"/>
    </w:lvl>
    <w:lvl w:ilvl="1">
      <w:lvlJc w:val="left"/>
      <w:lvlText w:val="%2"/>
      <w:numFmt w:val="decimal"/>
      <w:start w:val="1"/>
    </w:lvl>
  </w:abstractNum>
  <w:abstractNum w:abstractNumId="14">
    <w:nsid w:val="4516DDE9"/>
    <w:multiLevelType w:val="hybridMultilevel"/>
    <w:lvl w:ilvl="0">
      <w:lvlJc w:val="left"/>
      <w:lvlText w:val="%1"/>
      <w:numFmt w:val="decimal"/>
      <w:start w:val="1"/>
    </w:lvl>
    <w:lvl w:ilvl="1">
      <w:lvlJc w:val="left"/>
      <w:lvlText w:val="%2."/>
      <w:numFmt w:val="decimal"/>
      <w:start w:val="10"/>
    </w:lvl>
  </w:abstractNum>
  <w:abstractNum w:abstractNumId="15">
    <w:nsid w:val="3006C83E"/>
    <w:multiLevelType w:val="hybridMultilevel"/>
    <w:lvl w:ilvl="0">
      <w:lvlJc w:val="left"/>
      <w:lvlText w:val="(%1)"/>
      <w:numFmt w:val="decimal"/>
      <w:start w:val="1"/>
    </w:lvl>
    <w:lvl w:ilvl="1">
      <w:lvlJc w:val="left"/>
      <w:lvlText w:val="%2"/>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lvl w:ilvl="1">
      <w:lvlJc w:val="left"/>
      <w:lvlText w:val="(%2)"/>
      <w:numFmt w:val="lowerLetter"/>
      <w:start w:val="1"/>
    </w:lvl>
  </w:abstractNum>
  <w:abstractNum w:abstractNumId="18">
    <w:nsid w:val="5577F8E1"/>
    <w:multiLevelType w:val="hybridMultilevel"/>
    <w:lvl w:ilvl="0">
      <w:lvlJc w:val="left"/>
      <w:lvlText w:val="%1."/>
      <w:numFmt w:val="decimal"/>
      <w:start w:val="3"/>
    </w:lvl>
    <w:lvl w:ilvl="1">
      <w:lvlJc w:val="left"/>
      <w:lvlText w:val="%2"/>
      <w:numFmt w:val="lowerLetter"/>
      <w:start w:val="1"/>
    </w:lvl>
  </w:abstractNum>
  <w:abstractNum w:abstractNumId="19">
    <w:nsid w:val="440BADFC"/>
    <w:multiLevelType w:val="hybridMultilevel"/>
    <w:lvl w:ilvl="0">
      <w:lvlJc w:val="left"/>
      <w:lvlText w:val="%1"/>
      <w:numFmt w:val="decimal"/>
      <w:start w:val="1"/>
    </w:lvl>
    <w:lvl w:ilvl="1">
      <w:lvlJc w:val="left"/>
      <w:lvlText w:val="%2."/>
      <w:numFmt w:val="decimal"/>
      <w:start w:val="8"/>
    </w:lvl>
  </w:abstractNum>
  <w:abstractNum w:abstractNumId="20">
    <w:nsid w:val="5072367"/>
    <w:multiLevelType w:val="hybridMultilevel"/>
    <w:lvl w:ilvl="0">
      <w:lvlJc w:val="left"/>
      <w:lvlText w:val="%1."/>
      <w:numFmt w:val="decimal"/>
      <w:start w:val="9"/>
    </w:lvl>
    <w:lvl w:ilvl="1">
      <w:lvlJc w:val="left"/>
      <w:lvlText w:val="%2"/>
      <w:numFmt w:val="decimal"/>
      <w:start w:val="1"/>
    </w:lvl>
  </w:abstractNum>
  <w:abstractNum w:abstractNumId="21">
    <w:nsid w:val="3804823E"/>
    <w:multiLevelType w:val="hybridMultilevel"/>
    <w:lvl w:ilvl="0">
      <w:lvlJc w:val="left"/>
      <w:lvlText w:val="%1"/>
      <w:numFmt w:val="decimal"/>
      <w:start w:val="1"/>
    </w:lvl>
    <w:lvl w:ilvl="1">
      <w:lvlJc w:val="left"/>
      <w:lvlText w:val="%2."/>
      <w:numFmt w:val="decimal"/>
      <w:start w:val="10"/>
    </w:lvl>
  </w:abstractNum>
  <w:abstractNum w:abstractNumId="22">
    <w:nsid w:val="77465F01"/>
    <w:multiLevelType w:val="hybridMultilevel"/>
    <w:lvl w:ilvl="0">
      <w:lvlJc w:val="left"/>
      <w:lvlText w:val="(%1)"/>
      <w:numFmt w:val="decimal"/>
      <w:start w:val="1"/>
    </w:lvl>
    <w:lvl w:ilvl="1">
      <w:lvlJc w:val="left"/>
      <w:lvlText w:val="%2"/>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lvl w:ilvl="1">
      <w:lvlJc w:val="left"/>
      <w:lvlText w:val="(%2)"/>
      <w:numFmt w:val="lowerLetter"/>
      <w:start w:val="1"/>
    </w:lvl>
  </w:abstractNum>
  <w:abstractNum w:abstractNumId="25">
    <w:nsid w:val="2463B9EA"/>
    <w:multiLevelType w:val="hybridMultilevel"/>
    <w:lvl w:ilvl="0">
      <w:lvlJc w:val="left"/>
      <w:lvlText w:val="%1."/>
      <w:numFmt w:val="decimal"/>
      <w:start w:val="3"/>
    </w:lvl>
    <w:lvl w:ilvl="1">
      <w:lvlJc w:val="left"/>
      <w:lvlText w:val="%2"/>
      <w:numFmt w:val="lowerLetter"/>
      <w:start w:val="1"/>
    </w:lvl>
  </w:abstractNum>
  <w:abstractNum w:abstractNumId="26">
    <w:nsid w:val="5E884ADC"/>
    <w:multiLevelType w:val="hybridMultilevel"/>
    <w:lvl w:ilvl="0">
      <w:lvlJc w:val="left"/>
      <w:lvlText w:val="%1"/>
      <w:numFmt w:val="decimal"/>
      <w:start w:val="1"/>
    </w:lvl>
    <w:lvl w:ilvl="1">
      <w:lvlJc w:val="left"/>
      <w:lvlText w:val="%2."/>
      <w:numFmt w:val="decimal"/>
      <w:start w:val="8"/>
    </w:lvl>
  </w:abstractNum>
  <w:abstractNum w:abstractNumId="27">
    <w:nsid w:val="51EAD36B"/>
    <w:multiLevelType w:val="hybridMultilevel"/>
    <w:lvl w:ilvl="0">
      <w:lvlJc w:val="left"/>
      <w:lvlText w:val="%1."/>
      <w:numFmt w:val="decimal"/>
      <w:start w:val="9"/>
    </w:lvl>
    <w:lvl w:ilvl="1">
      <w:lvlJc w:val="left"/>
      <w:lvlText w:val="%2"/>
      <w:numFmt w:val="decimal"/>
      <w:start w:val="1"/>
    </w:lvl>
  </w:abstractNum>
  <w:abstractNum w:abstractNumId="28">
    <w:nsid w:val="2D517796"/>
    <w:multiLevelType w:val="hybridMultilevel"/>
    <w:lvl w:ilvl="0">
      <w:lvlJc w:val="left"/>
      <w:lvlText w:val="%1"/>
      <w:numFmt w:val="decimal"/>
      <w:start w:val="1"/>
    </w:lvl>
    <w:lvl w:ilvl="1">
      <w:lvlJc w:val="left"/>
      <w:lvlText w:val="%2."/>
      <w:numFmt w:val="decimal"/>
      <w:start w:val="10"/>
    </w:lvl>
  </w:abstractNum>
  <w:abstractNum w:abstractNumId="29">
    <w:nsid w:val="580BD78F"/>
    <w:multiLevelType w:val="hybridMultilevel"/>
    <w:lvl w:ilvl="0">
      <w:lvlJc w:val="left"/>
      <w:lvlText w:val="(%1)"/>
      <w:numFmt w:val="decimal"/>
      <w:start w:val="1"/>
    </w:lvl>
    <w:lvl w:ilvl="1">
      <w:lvlJc w:val="left"/>
      <w:lvlText w:val="%2"/>
      <w:numFmt w:val="decimal"/>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
    </w:lvl>
    <w:lvl w:ilvl="1">
      <w:lvlJc w:val="left"/>
      <w:lvlText w:val="(%2)"/>
      <w:numFmt w:val="lowerLetter"/>
      <w:start w:val="1"/>
    </w:lvl>
  </w:abstractNum>
  <w:abstractNum w:abstractNumId="32">
    <w:nsid w:val="70A64E2A"/>
    <w:multiLevelType w:val="hybridMultilevel"/>
    <w:lvl w:ilvl="0">
      <w:lvlJc w:val="left"/>
      <w:lvlText w:val="%1."/>
      <w:numFmt w:val="decimal"/>
      <w:start w:val="3"/>
    </w:lvl>
    <w:lvl w:ilvl="1">
      <w:lvlJc w:val="left"/>
      <w:lvlText w:val="%2"/>
      <w:numFmt w:val="lowerLetter"/>
      <w:start w:val="1"/>
    </w:lvl>
  </w:abstractNum>
  <w:abstractNum w:abstractNumId="33">
    <w:nsid w:val="6A2342EC"/>
    <w:multiLevelType w:val="hybridMultilevel"/>
    <w:lvl w:ilvl="0">
      <w:lvlJc w:val="left"/>
      <w:lvlText w:val="%1"/>
      <w:numFmt w:val="decimal"/>
      <w:start w:val="1"/>
    </w:lvl>
    <w:lvl w:ilvl="1">
      <w:lvlJc w:val="left"/>
      <w:lvlText w:val="%2."/>
      <w:numFmt w:val="decimal"/>
      <w:start w:val="8"/>
    </w:lvl>
  </w:abstractNum>
  <w:abstractNum w:abstractNumId="34">
    <w:nsid w:val="2A487CB0"/>
    <w:multiLevelType w:val="hybridMultilevel"/>
    <w:lvl w:ilvl="0">
      <w:lvlJc w:val="left"/>
      <w:lvlText w:val="%1."/>
      <w:numFmt w:val="decimal"/>
      <w:start w:val="9"/>
    </w:lvl>
    <w:lvl w:ilvl="1">
      <w:lvlJc w:val="left"/>
      <w:lvlText w:val="%2"/>
      <w:numFmt w:val="decimal"/>
      <w:start w:val="1"/>
    </w:lvl>
  </w:abstractNum>
  <w:abstractNum w:abstractNumId="35">
    <w:nsid w:val="1D4ED43B"/>
    <w:multiLevelType w:val="hybridMultilevel"/>
    <w:lvl w:ilvl="0">
      <w:lvlJc w:val="left"/>
      <w:lvlText w:val="%1"/>
      <w:numFmt w:val="decimal"/>
      <w:start w:val="1"/>
    </w:lvl>
    <w:lvl w:ilvl="1">
      <w:lvlJc w:val="left"/>
      <w:lvlText w:val="%2."/>
      <w:numFmt w:val="decimal"/>
      <w:start w:val="10"/>
    </w:lvl>
  </w:abstractNum>
  <w:abstractNum w:abstractNumId="36">
    <w:nsid w:val="725A06FB"/>
    <w:multiLevelType w:val="hybridMultilevel"/>
    <w:lvl w:ilvl="0">
      <w:lvlJc w:val="left"/>
      <w:lvlText w:val="(%1)"/>
      <w:numFmt w:val="decimal"/>
      <w:start w:val="1"/>
    </w:lvl>
    <w:lvl w:ilvl="1">
      <w:lvlJc w:val="left"/>
      <w:lvlText w:val="%2"/>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lvl w:ilvl="1">
      <w:lvlJc w:val="left"/>
      <w:lvlText w:val="(%2)"/>
      <w:numFmt w:val="lowerLetter"/>
      <w:start w:val="1"/>
    </w:lvl>
  </w:abstractNum>
  <w:abstractNum w:abstractNumId="39">
    <w:nsid w:val="7A6D8D3C"/>
    <w:multiLevelType w:val="hybridMultilevel"/>
    <w:lvl w:ilvl="0">
      <w:lvlJc w:val="left"/>
      <w:lvlText w:val="%1."/>
      <w:numFmt w:val="decimal"/>
      <w:start w:val="3"/>
    </w:lvl>
    <w:lvl w:ilvl="1">
      <w:lvlJc w:val="left"/>
      <w:lvlText w:val="%2"/>
      <w:numFmt w:val="lowerLetter"/>
      <w:start w:val="1"/>
    </w:lvl>
  </w:abstractNum>
  <w:abstractNum w:abstractNumId="40">
    <w:nsid w:val="4B588F54"/>
    <w:multiLevelType w:val="hybridMultilevel"/>
    <w:lvl w:ilvl="0">
      <w:lvlJc w:val="left"/>
      <w:lvlText w:val="%1"/>
      <w:numFmt w:val="decimal"/>
      <w:start w:val="1"/>
    </w:lvl>
    <w:lvl w:ilvl="1">
      <w:lvlJc w:val="left"/>
      <w:lvlText w:val="%2."/>
      <w:numFmt w:val="decimal"/>
      <w:start w:val="8"/>
    </w:lvl>
  </w:abstractNum>
  <w:abstractNum w:abstractNumId="41">
    <w:nsid w:val="542289EC"/>
    <w:multiLevelType w:val="hybridMultilevel"/>
    <w:lvl w:ilvl="0">
      <w:lvlJc w:val="left"/>
      <w:lvlText w:val="%1."/>
      <w:numFmt w:val="decimal"/>
      <w:start w:val="9"/>
    </w:lvl>
    <w:lvl w:ilvl="1">
      <w:lvlJc w:val="left"/>
      <w:lvlText w:val="%2"/>
      <w:numFmt w:val="decimal"/>
      <w:start w:val="1"/>
    </w:lvl>
  </w:abstractNum>
  <w:abstractNum w:abstractNumId="42">
    <w:nsid w:val="6DE91B18"/>
    <w:multiLevelType w:val="hybridMultilevel"/>
    <w:lvl w:ilvl="0">
      <w:lvlJc w:val="left"/>
      <w:lvlText w:val="%1"/>
      <w:numFmt w:val="decimal"/>
      <w:start w:val="1"/>
    </w:lvl>
    <w:lvl w:ilvl="1">
      <w:lvlJc w:val="left"/>
      <w:lvlText w:val="%2."/>
      <w:numFmt w:val="decimal"/>
      <w:start w:val="10"/>
    </w:lvl>
  </w:abstractNum>
  <w:abstractNum w:abstractNumId="43">
    <w:nsid w:val="38437FDB"/>
    <w:multiLevelType w:val="hybridMultilevel"/>
    <w:lvl w:ilvl="0">
      <w:lvlJc w:val="left"/>
      <w:lvlText w:val="(%1)"/>
      <w:numFmt w:val="decimal"/>
      <w:start w:val="1"/>
    </w:lvl>
    <w:lvl w:ilvl="1">
      <w:lvlJc w:val="left"/>
      <w:lvlText w:val="%2"/>
      <w:numFmt w:val="decimal"/>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3"/>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lowerRoman"/>
      <w:start w:val="1"/>
    </w:lvl>
  </w:abstractNum>
  <w:abstractNum w:abstractNumId="48">
    <w:nsid w:val="749ABB43"/>
    <w:multiLevelType w:val="hybridMultilevel"/>
    <w:lvl w:ilvl="0">
      <w:lvlJc w:val="left"/>
      <w:lvlText w:val="(%1)"/>
      <w:numFmt w:val="lowerRoman"/>
      <w:start w:val="2"/>
    </w:lvl>
  </w:abstractNum>
  <w:abstractNum w:abstractNumId="49">
    <w:nsid w:val="3DC240FB"/>
    <w:multiLevelType w:val="hybridMultilevel"/>
    <w:lvl w:ilvl="0">
      <w:lvlJc w:val="left"/>
      <w:lvlText w:val="%1"/>
      <w:numFmt w:val="decimal"/>
      <w:start w:val="1"/>
    </w:lvl>
    <w:lvl w:ilvl="1">
      <w:lvlJc w:val="left"/>
      <w:lvlText w:val="(%2)"/>
      <w:numFmt w:val="lowerRoman"/>
      <w:start w:val="3"/>
    </w:lvl>
  </w:abstractNum>
  <w:abstractNum w:abstractNumId="50">
    <w:nsid w:val="1BA026FA"/>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2023-01-26T05:10:56Z</dcterms:created>
  <dcterms:modified xsi:type="dcterms:W3CDTF">2023-01-26T05:10:56Z</dcterms:modified>
</cp:coreProperties>
</file>