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115570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8-K/A</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79375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130810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116205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5"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3600" w:type="dxa"/>
            <w:vAlign w:val="bottom"/>
          </w:tcPr>
          <w:p>
            <w:pPr>
              <w:jc w:val="center"/>
              <w:ind w:right="1863"/>
              <w:spacing w:after="0"/>
              <w:rPr>
                <w:sz w:val="20"/>
                <w:szCs w:val="20"/>
                <w:color w:val="auto"/>
              </w:rPr>
            </w:pPr>
            <w:r>
              <w:rPr>
                <w:rFonts w:ascii="Arial" w:cs="Arial" w:eastAsia="Arial" w:hAnsi="Arial"/>
                <w:sz w:val="16"/>
                <w:szCs w:val="16"/>
                <w:b w:val="1"/>
                <w:bCs w:val="1"/>
                <w:color w:val="auto"/>
                <w:w w:val="93"/>
              </w:rPr>
              <w:t>Delaware</w:t>
            </w:r>
          </w:p>
        </w:tc>
        <w:tc>
          <w:tcPr>
            <w:tcW w:w="2520" w:type="dxa"/>
            <w:vAlign w:val="bottom"/>
          </w:tcPr>
          <w:p>
            <w:pPr>
              <w:jc w:val="center"/>
              <w:ind w:right="345"/>
              <w:spacing w:after="0"/>
              <w:rPr>
                <w:sz w:val="20"/>
                <w:szCs w:val="20"/>
                <w:color w:val="auto"/>
              </w:rPr>
            </w:pPr>
            <w:r>
              <w:rPr>
                <w:rFonts w:ascii="Arial" w:cs="Arial" w:eastAsia="Arial" w:hAnsi="Arial"/>
                <w:sz w:val="16"/>
                <w:szCs w:val="16"/>
                <w:b w:val="1"/>
                <w:bCs w:val="1"/>
                <w:color w:val="auto"/>
                <w:w w:val="91"/>
              </w:rPr>
              <w:t>000-7099</w:t>
            </w:r>
          </w:p>
        </w:tc>
        <w:tc>
          <w:tcPr>
            <w:tcW w:w="2900" w:type="dxa"/>
            <w:vAlign w:val="bottom"/>
          </w:tcPr>
          <w:p>
            <w:pPr>
              <w:jc w:val="center"/>
              <w:ind w:left="1724"/>
              <w:spacing w:after="0"/>
              <w:rPr>
                <w:sz w:val="20"/>
                <w:szCs w:val="20"/>
                <w:color w:val="auto"/>
              </w:rPr>
            </w:pPr>
            <w:r>
              <w:rPr>
                <w:rFonts w:ascii="Arial" w:cs="Arial" w:eastAsia="Arial" w:hAnsi="Arial"/>
                <w:sz w:val="16"/>
                <w:szCs w:val="16"/>
                <w:b w:val="1"/>
                <w:bCs w:val="1"/>
                <w:color w:val="auto"/>
                <w:w w:val="91"/>
              </w:rPr>
              <w:t>13-2566064</w:t>
            </w:r>
          </w:p>
        </w:tc>
        <w:tc>
          <w:tcPr>
            <w:tcW w:w="0" w:type="dxa"/>
            <w:vAlign w:val="bottom"/>
          </w:tcPr>
          <w:p>
            <w:pPr>
              <w:spacing w:after="0"/>
              <w:rPr>
                <w:sz w:val="1"/>
                <w:szCs w:val="1"/>
                <w:color w:val="auto"/>
              </w:rPr>
            </w:pPr>
          </w:p>
        </w:tc>
      </w:tr>
      <w:tr>
        <w:trPr>
          <w:trHeight w:val="148"/>
        </w:trPr>
        <w:tc>
          <w:tcPr>
            <w:tcW w:w="3600" w:type="dxa"/>
            <w:vAlign w:val="bottom"/>
          </w:tcPr>
          <w:p>
            <w:pPr>
              <w:jc w:val="center"/>
              <w:ind w:right="1863"/>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2520" w:type="dxa"/>
            <w:vAlign w:val="bottom"/>
          </w:tcPr>
          <w:p>
            <w:pPr>
              <w:jc w:val="center"/>
              <w:ind w:right="325"/>
              <w:spacing w:after="0" w:line="149" w:lineRule="exact"/>
              <w:rPr>
                <w:sz w:val="20"/>
                <w:szCs w:val="20"/>
                <w:color w:val="auto"/>
              </w:rPr>
            </w:pPr>
            <w:r>
              <w:rPr>
                <w:rFonts w:ascii="Arial" w:cs="Arial" w:eastAsia="Arial" w:hAnsi="Arial"/>
                <w:sz w:val="14"/>
                <w:szCs w:val="14"/>
                <w:b w:val="1"/>
                <w:bCs w:val="1"/>
                <w:color w:val="auto"/>
                <w:w w:val="90"/>
              </w:rPr>
              <w:t>(Commission</w:t>
            </w:r>
          </w:p>
        </w:tc>
        <w:tc>
          <w:tcPr>
            <w:tcW w:w="2900" w:type="dxa"/>
            <w:vAlign w:val="bottom"/>
          </w:tcPr>
          <w:p>
            <w:pPr>
              <w:jc w:val="center"/>
              <w:ind w:left="1724"/>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3600" w:type="dxa"/>
            <w:vAlign w:val="bottom"/>
          </w:tcPr>
          <w:p>
            <w:pPr>
              <w:jc w:val="center"/>
              <w:ind w:right="1863"/>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325"/>
              <w:spacing w:after="0"/>
              <w:rPr>
                <w:sz w:val="20"/>
                <w:szCs w:val="20"/>
                <w:color w:val="auto"/>
              </w:rPr>
            </w:pPr>
            <w:r>
              <w:rPr>
                <w:rFonts w:ascii="Arial" w:cs="Arial" w:eastAsia="Arial" w:hAnsi="Arial"/>
                <w:sz w:val="14"/>
                <w:szCs w:val="14"/>
                <w:b w:val="1"/>
                <w:bCs w:val="1"/>
                <w:color w:val="auto"/>
                <w:w w:val="98"/>
              </w:rPr>
              <w:t>File Number)</w:t>
            </w:r>
          </w:p>
        </w:tc>
        <w:tc>
          <w:tcPr>
            <w:tcW w:w="2900" w:type="dxa"/>
            <w:vAlign w:val="bottom"/>
          </w:tcPr>
          <w:p>
            <w:pPr>
              <w:jc w:val="center"/>
              <w:ind w:left="170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6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Suite 500</w:t>
            </w:r>
          </w:p>
        </w:tc>
        <w:tc>
          <w:tcPr>
            <w:tcW w:w="2520" w:type="dxa"/>
            <w:vAlign w:val="bottom"/>
          </w:tcPr>
          <w:p>
            <w:pPr>
              <w:spacing w:after="0"/>
              <w:rPr>
                <w:sz w:val="14"/>
                <w:szCs w:val="14"/>
                <w:color w:val="auto"/>
              </w:rPr>
            </w:pPr>
          </w:p>
        </w:tc>
        <w:tc>
          <w:tcPr>
            <w:tcW w:w="2900" w:type="dxa"/>
            <w:vAlign w:val="bottom"/>
            <w:vMerge w:val="restart"/>
          </w:tcPr>
          <w:p>
            <w:pPr>
              <w:jc w:val="right"/>
              <w:ind w:right="1224"/>
              <w:spacing w:after="0"/>
              <w:rPr>
                <w:sz w:val="20"/>
                <w:szCs w:val="20"/>
                <w:color w:val="auto"/>
              </w:rPr>
            </w:pPr>
            <w:r>
              <w:rPr>
                <w:rFonts w:ascii="Arial" w:cs="Arial" w:eastAsia="Arial" w:hAnsi="Arial"/>
                <w:sz w:val="16"/>
                <w:szCs w:val="16"/>
                <w:b w:val="1"/>
                <w:bCs w:val="1"/>
                <w:color w:val="auto"/>
              </w:rPr>
              <w:t>75254</w:t>
            </w:r>
          </w:p>
        </w:tc>
        <w:tc>
          <w:tcPr>
            <w:tcW w:w="0" w:type="dxa"/>
            <w:vAlign w:val="bottom"/>
          </w:tcPr>
          <w:p>
            <w:pPr>
              <w:spacing w:after="0"/>
              <w:rPr>
                <w:sz w:val="1"/>
                <w:szCs w:val="1"/>
                <w:color w:val="auto"/>
              </w:rPr>
            </w:pPr>
          </w:p>
        </w:tc>
      </w:tr>
      <w:tr>
        <w:trPr>
          <w:trHeight w:val="19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6"/>
              </w:rPr>
              <w:t>Dallas, TX</w:t>
            </w:r>
          </w:p>
        </w:tc>
        <w:tc>
          <w:tcPr>
            <w:tcW w:w="2520" w:type="dxa"/>
            <w:vAlign w:val="bottom"/>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760" w:right="3620" w:hanging="3752"/>
        <w:spacing w:after="0" w:line="457"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CECE</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9" w:lineRule="exact"/>
        <w:rPr>
          <w:sz w:val="24"/>
          <w:szCs w:val="24"/>
          <w:color w:val="auto"/>
        </w:rPr>
      </w:pPr>
    </w:p>
    <w:p>
      <w:pPr>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0" w:lineRule="exact"/>
        <w:rPr>
          <w:sz w:val="24"/>
          <w:szCs w:val="24"/>
          <w:color w:val="auto"/>
        </w:rPr>
      </w:pPr>
    </w:p>
    <w:p>
      <w:pPr>
        <w:ind w:right="54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This Amendment No. 1 on Form 8-K/A (this “Form 8-K/A”) is an amendment to the Current Report on Form 8-K of CECO Environmental Corp., filed on January 10, 2022 (the “Original Form 8-K”). The Original Form 8-K was inadvertently filed under Item 1.01, rather than furnished under Item 7.01. This Form 8-K/A is being furnished solely for the purpose of correcting the typographical error in the item number and furnishing the related disclosure under Item 7.01. No disclosure in the text of the Original Form 8-K has been changed as a result of this Amendment.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7.01. Regulation FD Disclosure.</w:t>
      </w:r>
    </w:p>
    <w:p>
      <w:pPr>
        <w:spacing w:after="0" w:line="21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On January 10, 2022, CECO Environmental Corp. (the “Company”) issued a press release announcing that through Effox-Flextor-Mader, Inc. (“EFM”), a joint venture between the Company and Chartwell Investments Entrepreneur &amp; Founder Capital, LLC, it has agreed to definitive terms to acquire General Rubber LLC (“GRC”), a worldwide leader in the engineering and manufacturing of non-metallic (rubber) expansion joints and flow control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Key financial highlights include:</w:t>
      </w:r>
    </w:p>
    <w:p>
      <w:pPr>
        <w:spacing w:after="0" w:line="198" w:lineRule="exact"/>
        <w:rPr>
          <w:sz w:val="20"/>
          <w:szCs w:val="20"/>
          <w:color w:val="auto"/>
        </w:rPr>
      </w:pPr>
    </w:p>
    <w:p>
      <w:pPr>
        <w:ind w:left="340" w:hanging="107"/>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price of approximately $24 million financed using debt, cash, and equity from EFM</w:t>
      </w:r>
    </w:p>
    <w:p>
      <w:pPr>
        <w:spacing w:after="0" w:line="198" w:lineRule="exact"/>
        <w:rPr>
          <w:rFonts w:ascii="Arial" w:cs="Arial" w:eastAsia="Arial" w:hAnsi="Arial"/>
          <w:sz w:val="18"/>
          <w:szCs w:val="18"/>
          <w:color w:val="auto"/>
        </w:rPr>
      </w:pPr>
    </w:p>
    <w:p>
      <w:pPr>
        <w:ind w:left="340" w:hanging="107"/>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GRC generated approximately $12 million of revenue in 2021</w:t>
      </w:r>
    </w:p>
    <w:p>
      <w:pPr>
        <w:spacing w:after="0" w:line="198" w:lineRule="exact"/>
        <w:rPr>
          <w:rFonts w:ascii="Arial" w:cs="Arial" w:eastAsia="Arial" w:hAnsi="Arial"/>
          <w:sz w:val="18"/>
          <w:szCs w:val="18"/>
          <w:color w:val="auto"/>
        </w:rPr>
      </w:pPr>
    </w:p>
    <w:p>
      <w:pPr>
        <w:ind w:left="340" w:hanging="107"/>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GRC has above-average EBITDA margins and cash flows delivering attractive value for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furnished herewith as Exhibit 99.1.</w:t>
      </w:r>
    </w:p>
    <w:p>
      <w:pPr>
        <w:spacing w:after="0" w:line="212"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information furnished under Item 7.01 in this Form 8-K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 Financial Statements and Exhibits.</w:t>
      </w:r>
    </w:p>
    <w:p>
      <w:pPr>
        <w:spacing w:after="0" w:line="202" w:lineRule="exact"/>
        <w:rPr>
          <w:sz w:val="20"/>
          <w:szCs w:val="20"/>
          <w:color w:val="auto"/>
        </w:rPr>
      </w:pPr>
    </w:p>
    <w:p>
      <w:pPr>
        <w:jc w:val="both"/>
        <w:ind w:left="20" w:right="10340" w:hanging="12"/>
        <w:spacing w:after="0" w:line="510" w:lineRule="auto"/>
        <w:tabs>
          <w:tab w:leader="none" w:pos="261"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 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1700" w:type="dxa"/>
            <w:vAlign w:val="bottom"/>
          </w:tcPr>
          <w:p>
            <w:pPr>
              <w:ind w:left="20"/>
              <w:spacing w:after="0" w:line="191" w:lineRule="exact"/>
              <w:rPr>
                <w:sz w:val="20"/>
                <w:szCs w:val="20"/>
                <w:color w:val="auto"/>
              </w:rPr>
            </w:pPr>
            <w:r>
              <w:rPr>
                <w:rFonts w:ascii="Arial" w:cs="Arial" w:eastAsia="Arial" w:hAnsi="Arial"/>
                <w:sz w:val="18"/>
                <w:szCs w:val="18"/>
                <w:color w:val="auto"/>
              </w:rPr>
              <w:t>99.1</w:t>
            </w:r>
          </w:p>
        </w:tc>
        <w:tc>
          <w:tcPr>
            <w:tcW w:w="9540" w:type="dxa"/>
            <w:vAlign w:val="bottom"/>
            <w:gridSpan w:val="2"/>
          </w:tcPr>
          <w:p>
            <w:pPr>
              <w:spacing w:after="0" w:line="191"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January 10, 2022</w:t>
              </w:r>
            </w:hyperlink>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660" w:type="dxa"/>
            <w:vAlign w:val="bottom"/>
            <w:tcBorders>
              <w:right w:val="single" w:sz="8" w:color="0000EE"/>
            </w:tcBorders>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700" w:type="dxa"/>
            <w:vAlign w:val="bottom"/>
            <w:vMerge w:val="continue"/>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48"/>
        </w:trPr>
        <w:tc>
          <w:tcPr>
            <w:tcW w:w="17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March 8, 2022</w:t>
      </w:r>
      <w:r>
        <w:rPr>
          <w:sz w:val="20"/>
          <w:szCs w:val="20"/>
          <w:color w:val="auto"/>
        </w:rPr>
        <w:tab/>
      </w:r>
      <w:r>
        <w:rPr>
          <w:rFonts w:ascii="Arial" w:cs="Arial" w:eastAsia="Arial" w:hAnsi="Arial"/>
          <w:sz w:val="16"/>
          <w:szCs w:val="16"/>
          <w:color w:val="auto"/>
        </w:rPr>
        <w:t>CECO Environmental Corp.</w:t>
      </w:r>
    </w:p>
    <w:p>
      <w:pPr>
        <w:spacing w:after="0" w:line="38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109220</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2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Matthew Eckl</w:t>
      </w:r>
    </w:p>
    <w:p>
      <w:pPr>
        <w:spacing w:after="0" w:line="17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CECO Environmental to Acquire Industrial Flow Control Leader GRC</w:t>
      </w:r>
    </w:p>
    <w:p>
      <w:pPr>
        <w:spacing w:after="0" w:line="49" w:lineRule="exact"/>
        <w:rPr>
          <w:sz w:val="20"/>
          <w:szCs w:val="20"/>
          <w:color w:val="auto"/>
        </w:rPr>
      </w:pPr>
    </w:p>
    <w:p>
      <w:pPr>
        <w:ind w:left="2080"/>
        <w:spacing w:after="0"/>
        <w:rPr>
          <w:sz w:val="20"/>
          <w:szCs w:val="20"/>
          <w:color w:val="auto"/>
        </w:rPr>
      </w:pPr>
      <w:r>
        <w:rPr>
          <w:rFonts w:ascii="Arial" w:cs="Arial" w:eastAsia="Arial" w:hAnsi="Arial"/>
          <w:sz w:val="20"/>
          <w:szCs w:val="20"/>
          <w:b w:val="1"/>
          <w:bCs w:val="1"/>
          <w:i w:val="1"/>
          <w:iCs w:val="1"/>
          <w:color w:val="auto"/>
        </w:rPr>
        <w:t>Expands Infrastructure Expansion Joint Addressable Market by $300 million</w:t>
      </w:r>
    </w:p>
    <w:p>
      <w:pPr>
        <w:spacing w:after="0" w:line="200" w:lineRule="exact"/>
        <w:rPr>
          <w:sz w:val="20"/>
          <w:szCs w:val="20"/>
          <w:color w:val="auto"/>
        </w:rPr>
      </w:pPr>
    </w:p>
    <w:p>
      <w:pPr>
        <w:spacing w:after="0" w:line="317"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DALLAS (Jan. 10, 2022) -- CECO Environmental Corp. (Nasdaq: CECE) (“CECO”)</w:t>
      </w:r>
      <w:r>
        <w:rPr>
          <w:rFonts w:ascii="Arial" w:cs="Arial" w:eastAsia="Arial" w:hAnsi="Arial"/>
          <w:sz w:val="20"/>
          <w:szCs w:val="20"/>
          <w:color w:val="auto"/>
        </w:rPr>
        <w:t>, a leading environmentally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diversified industrial company whose solutions protect people, the environment, and industrial equipment, today announced it has agreed to acquire industrial flow control leader GRC. The acquisition will be integrated into the company’s Effox-Flextor-Mader, Inc. (“EFM”) joint venture with Chartwell Investments Entrepreneur &amp; Founder Capital, LLC (“Chief Capital”). The transaction is expected to close by April 2022, subject to customary closing conditions, and will be financed with a mix of cash, debt, and equity from the joint venture.</w:t>
      </w:r>
    </w:p>
    <w:p>
      <w:pPr>
        <w:spacing w:after="0" w:line="196" w:lineRule="exact"/>
        <w:rPr>
          <w:sz w:val="20"/>
          <w:szCs w:val="20"/>
          <w:color w:val="auto"/>
        </w:rPr>
      </w:pPr>
    </w:p>
    <w:p>
      <w:pPr>
        <w:jc w:val="both"/>
        <w:ind w:right="280"/>
        <w:spacing w:after="0" w:line="244" w:lineRule="auto"/>
        <w:rPr>
          <w:sz w:val="20"/>
          <w:szCs w:val="20"/>
          <w:color w:val="auto"/>
        </w:rPr>
      </w:pPr>
      <w:r>
        <w:rPr>
          <w:rFonts w:ascii="Arial" w:cs="Arial" w:eastAsia="Arial" w:hAnsi="Arial"/>
          <w:sz w:val="19"/>
          <w:szCs w:val="19"/>
          <w:color w:val="auto"/>
        </w:rPr>
        <w:t>GRC is a worldwide leader in the engineering and manufacturing of non-metallic (rubber) expansion joints and flow control products with a highly diversified industrial customer base. With the acquisition, CECO expands its existing offering of EFM dampers and metallic expansion joints to include rubber expansion joints, ducting expansion joints, and industrial pinch and duck bill valves. The addition of GRC expands the addressable market size for CECO from $200 million to $500 million.</w:t>
      </w:r>
    </w:p>
    <w:p>
      <w:pPr>
        <w:spacing w:after="0" w:line="191" w:lineRule="exact"/>
        <w:rPr>
          <w:sz w:val="20"/>
          <w:szCs w:val="20"/>
          <w:color w:val="auto"/>
        </w:rPr>
      </w:pPr>
    </w:p>
    <w:p>
      <w:pPr>
        <w:ind w:right="180"/>
        <w:spacing w:after="0" w:line="230" w:lineRule="auto"/>
        <w:rPr>
          <w:sz w:val="20"/>
          <w:szCs w:val="20"/>
          <w:color w:val="auto"/>
        </w:rPr>
      </w:pPr>
      <w:r>
        <w:rPr>
          <w:rFonts w:ascii="Arial" w:cs="Arial" w:eastAsia="Arial" w:hAnsi="Arial"/>
          <w:sz w:val="20"/>
          <w:szCs w:val="20"/>
          <w:color w:val="auto"/>
        </w:rPr>
        <w:t>“CECO is in the business of protecting people, the environment and industrial equipment, and the acquisition of GRC allows us to significantly enhance these efforts,” said Todd Gleason, CEO of CECO Environmental. “With this acquisition, we will be able to bring turnkey, environmentally-friendly solutions that protect critical infrastructure, piping, and flow controls for the water, wastewater and storm water markets.”</w:t>
      </w:r>
    </w:p>
    <w:p>
      <w:pPr>
        <w:spacing w:after="0" w:line="198" w:lineRule="exact"/>
        <w:rPr>
          <w:sz w:val="20"/>
          <w:szCs w:val="20"/>
          <w:color w:val="auto"/>
        </w:rPr>
      </w:pPr>
    </w:p>
    <w:p>
      <w:pPr>
        <w:jc w:val="both"/>
        <w:ind w:right="160"/>
        <w:spacing w:after="0" w:line="232" w:lineRule="auto"/>
        <w:rPr>
          <w:sz w:val="20"/>
          <w:szCs w:val="20"/>
          <w:color w:val="auto"/>
        </w:rPr>
      </w:pPr>
      <w:r>
        <w:rPr>
          <w:rFonts w:ascii="Arial" w:cs="Arial" w:eastAsia="Arial" w:hAnsi="Arial"/>
          <w:sz w:val="20"/>
          <w:szCs w:val="20"/>
          <w:color w:val="auto"/>
        </w:rPr>
        <w:t>Gleason continued, “The acquisition of GRC also advances CECO’s strategic growth plan to expand into adjacent industrial markets. Additionally, we are excited to work with the GRC management team who will make a strong impact on our focus to deliver environmental solutions for the general infrastructure and water and wastewater sectors.”</w:t>
      </w:r>
    </w:p>
    <w:p>
      <w:pPr>
        <w:spacing w:after="0" w:line="197"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Lloyd Aanonsen, president and CEO, GRC, will be joining CECO as its new vice president and general manager of the newly formed damper and expansion joints platform. “We are excited to join the global and diverse family of CECO companies. With this combination, the platform will offer a full suite of solutions that will benefit from significant investments in infrastructure and well positions us for long-term global growth,” said Aanonsen.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Key highlights of the transaction include:</w:t>
      </w:r>
    </w:p>
    <w:p>
      <w:pPr>
        <w:spacing w:after="0" w:line="119" w:lineRule="exact"/>
        <w:rPr>
          <w:sz w:val="20"/>
          <w:szCs w:val="20"/>
          <w:color w:val="auto"/>
        </w:rPr>
      </w:pP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Brands Maxi-Joint</w:t>
      </w:r>
      <w:r>
        <w:rPr>
          <w:rFonts w:ascii="Arial" w:cs="Arial" w:eastAsia="Arial" w:hAnsi="Arial"/>
          <w:sz w:val="26"/>
          <w:szCs w:val="26"/>
          <w:color w:val="auto"/>
          <w:vertAlign w:val="superscript"/>
        </w:rPr>
        <w:t>®</w:t>
      </w:r>
      <w:r>
        <w:rPr>
          <w:rFonts w:ascii="Arial" w:cs="Arial" w:eastAsia="Arial" w:hAnsi="Arial"/>
          <w:sz w:val="20"/>
          <w:szCs w:val="20"/>
          <w:color w:val="auto"/>
        </w:rPr>
        <w:t>, Flex-Valve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SoundZorber</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are leaders in infrastructure flow control markets</w:t>
      </w:r>
    </w:p>
    <w:p>
      <w:pPr>
        <w:ind w:left="760" w:hanging="378"/>
        <w:spacing w:after="0" w:line="225"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With an average order size of ~$100K, GRC increases CECO’s short cycle mix to 27% from 22%</w:t>
      </w:r>
    </w:p>
    <w:p>
      <w:pPr>
        <w:ind w:left="760" w:hanging="378"/>
        <w:spacing w:after="0" w:line="225"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GRC more than doubles platform addressable market size</w:t>
      </w:r>
    </w:p>
    <w:p>
      <w:pPr>
        <w:ind w:left="760" w:hanging="378"/>
        <w:spacing w:after="0" w:line="225" w:lineRule="auto"/>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Recent $500 billion US Infrastructure Bill to be a significant tailwind for water and pipeline markets</w:t>
      </w:r>
    </w:p>
    <w:p>
      <w:pPr>
        <w:ind w:left="760" w:hanging="378"/>
        <w:spacing w:after="0"/>
        <w:tabs>
          <w:tab w:leader="none" w:pos="7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Strong and predictable free cash flow at &gt;90% EBITDA to free cash flow conversion</w:t>
      </w:r>
    </w:p>
    <w:p>
      <w:pPr>
        <w:spacing w:after="0" w:line="202" w:lineRule="exact"/>
        <w:rPr>
          <w:sz w:val="20"/>
          <w:szCs w:val="20"/>
          <w:color w:val="auto"/>
        </w:rPr>
      </w:pPr>
    </w:p>
    <w:p>
      <w:pPr>
        <w:ind w:right="400"/>
        <w:spacing w:after="0" w:line="230" w:lineRule="auto"/>
        <w:rPr>
          <w:sz w:val="20"/>
          <w:szCs w:val="20"/>
          <w:color w:val="auto"/>
        </w:rPr>
      </w:pPr>
      <w:r>
        <w:rPr>
          <w:rFonts w:ascii="Arial" w:cs="Arial" w:eastAsia="Arial" w:hAnsi="Arial"/>
          <w:sz w:val="20"/>
          <w:szCs w:val="20"/>
          <w:color w:val="auto"/>
        </w:rPr>
        <w:t>As noted earlier in this release, under the terms of the agreement, GRC is to be acquired by EFM, a joint venture between CECO Environmental and Chief Capital formed in July 2020 to enhance the profitability and diversify the dampers and expansion joints platform. GRC adds accretive EBITDA margins, greater recurring cash flows and will leverage CECO’s international footprint to broaden industrial and water, wastewater and storm water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CECO ENVIRONMENTAL</w:t>
      </w:r>
    </w:p>
    <w:p>
      <w:pPr>
        <w:spacing w:after="0" w:line="10" w:lineRule="exact"/>
        <w:rPr>
          <w:sz w:val="20"/>
          <w:szCs w:val="20"/>
          <w:color w:val="auto"/>
        </w:rPr>
      </w:pPr>
    </w:p>
    <w:p>
      <w:pPr>
        <w:ind w:right="220"/>
        <w:spacing w:after="0"/>
        <w:rPr>
          <w:sz w:val="20"/>
          <w:szCs w:val="20"/>
          <w:color w:val="auto"/>
        </w:rPr>
      </w:pPr>
      <w:r>
        <w:rPr>
          <w:rFonts w:ascii="Arial" w:cs="Arial" w:eastAsia="Arial" w:hAnsi="Arial"/>
          <w:sz w:val="19"/>
          <w:szCs w:val="19"/>
          <w:color w:val="auto"/>
        </w:rPr>
        <w:t>CECO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GRC</w:t>
      </w:r>
    </w:p>
    <w:p>
      <w:pPr>
        <w:spacing w:after="0" w:line="10" w:lineRule="exact"/>
        <w:rPr>
          <w:sz w:val="20"/>
          <w:szCs w:val="20"/>
          <w:color w:val="auto"/>
        </w:rPr>
      </w:pPr>
    </w:p>
    <w:p>
      <w:pPr>
        <w:ind w:right="120"/>
        <w:spacing w:after="0" w:line="229" w:lineRule="auto"/>
        <w:rPr>
          <w:sz w:val="20"/>
          <w:szCs w:val="20"/>
          <w:color w:val="auto"/>
        </w:rPr>
      </w:pPr>
      <w:r>
        <w:rPr>
          <w:rFonts w:ascii="Arial" w:cs="Arial" w:eastAsia="Arial" w:hAnsi="Arial"/>
          <w:sz w:val="20"/>
          <w:szCs w:val="20"/>
          <w:color w:val="auto"/>
        </w:rPr>
        <w:t>GRC is a worldwide leader in the engineering, manufacturing, and sales of non-metallic (rubber) expansion joints and other rubber flow control products for a worldwide customer base. The company, otherwise known as General Rubber LLC, is widely recognized for its ability to provide engineered solutions for challenging piping and ducting system applications across multiple industries, executing on large-scale new construction capital works projects, as well as facility improvements on a small, medium, and large scale. The company was the first U.S. manufacturer of rubber expansion joints to become ISO 9001 certified. For more information, please visit www.general-rubber.com.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CHIEF CAPITAL</w:t>
      </w:r>
    </w:p>
    <w:p>
      <w:pPr>
        <w:spacing w:after="0" w:line="10" w:lineRule="exact"/>
        <w:rPr>
          <w:sz w:val="20"/>
          <w:szCs w:val="20"/>
          <w:color w:val="auto"/>
        </w:rPr>
      </w:pPr>
    </w:p>
    <w:p>
      <w:pPr>
        <w:ind w:right="360"/>
        <w:spacing w:after="0" w:line="229" w:lineRule="auto"/>
        <w:rPr>
          <w:sz w:val="20"/>
          <w:szCs w:val="20"/>
          <w:color w:val="auto"/>
        </w:rPr>
      </w:pPr>
      <w:r>
        <w:rPr>
          <w:rFonts w:ascii="Arial" w:cs="Arial" w:eastAsia="Arial" w:hAnsi="Arial"/>
          <w:sz w:val="20"/>
          <w:szCs w:val="20"/>
          <w:color w:val="auto"/>
        </w:rPr>
        <w:t>Chief Capital provides flexible private equity for entrepreneurs, family-owned businesses and corporate carve-outs. The firm partners with management owners to help realize their visions and provide long-term capital, resources and expertise to accelerate growth and provide generational liquidity. Chief Capital customizes each investment to meet the objectives of its entrepreneur and family partners. With 40+ years of experience, Chief Capital focuses on niche lower middle market companies with an emphasis on healthcare services, business services and niche manufacturing segments. Please visit www.chiefcap.com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SAFE HARBOR</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and include, but are not limited to statements about CECO’s expectations regarding the closing of the acquisition and integration of General Rubber LLC into EFM; and the expectations regarding the transaction’s impact on CECO’s strategic growth plan.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surrounding the acquisition of EIS that could cause actual results to differ materially include risks regarding the achievement of the anticipated benefits of the acquisition, including synergies. Additional risks and uncertainties are discussed under "Part I – Item 1A. Risk Factors" of the Company's Annual Report on Form 10-K for the fiscal year ended December 31, 2019 and "Part II – Item 1A. Risk Factors" of the Company's Quarterly Report on Form 10-Q for the quarter ended March 31, 2020, and include, but are not limited to: our ability to successfully integrate acquired businesses and realize the synergies from acquisitions, as well as a number of factors related to our business, including economic and financial market conditions generally and economic conditions in CECO's service areas; the ability to expand operations in both new and existing markets;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and the effect of competition in the air quality and fluid handling industries. Many of these risks are beyond management's ability to control or predict. Should one or more of these risks or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 w:name="page6"/>
    <w:bookmarkEnd w:id="5"/>
    <w:p>
      <w:pPr>
        <w:spacing w:after="0" w:line="229" w:lineRule="auto"/>
        <w:rPr>
          <w:sz w:val="20"/>
          <w:szCs w:val="20"/>
          <w:color w:val="auto"/>
        </w:rPr>
      </w:pPr>
      <w:r>
        <w:rPr>
          <w:rFonts w:ascii="Arial" w:cs="Arial" w:eastAsia="Arial" w:hAnsi="Arial"/>
          <w:sz w:val="20"/>
          <w:szCs w:val="20"/>
          <w:color w:val="auto"/>
        </w:rPr>
        <w:t>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Contact</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Matthew Eckl, Chief Financial Officer</w:t>
      </w:r>
    </w:p>
    <w:p>
      <w:pPr>
        <w:ind w:right="8200" w:firstLine="8"/>
        <w:spacing w:after="0" w:line="257" w:lineRule="auto"/>
        <w:tabs>
          <w:tab w:leader="none" w:pos="517" w:val="left"/>
        </w:tabs>
        <w:numPr>
          <w:ilvl w:val="0"/>
          <w:numId w:val="5"/>
        </w:numPr>
        <w:rPr>
          <w:rFonts w:ascii="Arial" w:cs="Arial" w:eastAsia="Arial" w:hAnsi="Arial"/>
          <w:sz w:val="19"/>
          <w:szCs w:val="19"/>
          <w:color w:val="auto"/>
        </w:rPr>
      </w:pPr>
      <w:r>
        <w:rPr>
          <w:rFonts w:ascii="Arial" w:cs="Arial" w:eastAsia="Arial" w:hAnsi="Arial"/>
          <w:sz w:val="19"/>
          <w:szCs w:val="19"/>
          <w:color w:val="auto"/>
        </w:rPr>
        <w:t>990-6670 investor.relations@onececo.com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News Media</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Kimberly Plaskett, Corporate Communications Director</w:t>
      </w:r>
    </w:p>
    <w:p>
      <w:pPr>
        <w:spacing w:after="0" w:line="225" w:lineRule="auto"/>
        <w:rPr>
          <w:sz w:val="20"/>
          <w:szCs w:val="20"/>
          <w:color w:val="auto"/>
        </w:rPr>
      </w:pPr>
      <w:r>
        <w:rPr>
          <w:rFonts w:ascii="Arial" w:cs="Arial" w:eastAsia="Arial" w:hAnsi="Arial"/>
          <w:sz w:val="20"/>
          <w:szCs w:val="20"/>
          <w:color w:val="auto"/>
        </w:rPr>
        <w:t>(469) 928-1090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CECO-Communications@onececo.com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27" w:right="49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2022-03-08T07:19:18Z</dcterms:created>
  <dcterms:modified xsi:type="dcterms:W3CDTF">2022-03-08T07:19:18Z</dcterms:modified>
</cp:coreProperties>
</file>