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20" w:type="dxa"/>
            <w:vAlign w:val="bottom"/>
          </w:tcPr>
          <w:p>
            <w:pPr>
              <w:jc w:val="center"/>
              <w:ind w:right="19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jc w:val="center"/>
              <w:ind w:right="19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jc w:val="center"/>
              <w:ind w:right="19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620" w:type="dxa"/>
            <w:vAlign w:val="bottom"/>
            <w:vMerge w:val="restart"/>
          </w:tcPr>
          <w:p>
            <w:pPr>
              <w:jc w:val="center"/>
              <w:ind w:right="19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5547360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-1721485</wp:posOffset>
            </wp:positionH>
            <wp:positionV relativeFrom="paragraph">
              <wp:posOffset>21590</wp:posOffset>
            </wp:positionV>
            <wp:extent cx="7388860" cy="6034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88860" cy="60344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80" w:space="320"/>
            <w:col w:w="8900"/>
          </w:cols>
          <w:pgMar w:left="160" w:top="14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Pollack Jonathan</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2"/>
        </w:trPr>
        <w:tc>
          <w:tcPr>
            <w:tcW w:w="40" w:type="dxa"/>
            <w:vAlign w:val="bottom"/>
          </w:tcPr>
          <w:p>
            <w:pPr>
              <w:spacing w:after="0"/>
              <w:rPr>
                <w:sz w:val="24"/>
                <w:szCs w:val="24"/>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0000FF"/>
              </w:rPr>
              <w:t>14651 NORTH DALLAS PARKWAY</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SUITE 500</w:t>
            </w:r>
          </w:p>
        </w:tc>
        <w:tc>
          <w:tcPr>
            <w:tcW w:w="10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DALLAS</w:t>
            </w:r>
          </w:p>
        </w:tc>
        <w:tc>
          <w:tcPr>
            <w:tcW w:w="1080" w:type="dxa"/>
            <w:vAlign w:val="bottom"/>
          </w:tcPr>
          <w:p>
            <w:pPr>
              <w:ind w:left="240"/>
              <w:spacing w:after="0"/>
              <w:rPr>
                <w:sz w:val="20"/>
                <w:szCs w:val="20"/>
                <w:color w:val="auto"/>
              </w:rPr>
            </w:pPr>
            <w:r>
              <w:rPr>
                <w:rFonts w:ascii="Arial" w:cs="Arial" w:eastAsia="Arial" w:hAnsi="Arial"/>
                <w:sz w:val="18"/>
                <w:szCs w:val="18"/>
                <w:color w:val="0000FF"/>
              </w:rPr>
              <w:t>TX</w:t>
            </w:r>
          </w:p>
        </w:tc>
        <w:tc>
          <w:tcPr>
            <w:tcW w:w="1680" w:type="dxa"/>
            <w:vAlign w:val="bottom"/>
          </w:tcPr>
          <w:p>
            <w:pPr>
              <w:ind w:left="440"/>
              <w:spacing w:after="0"/>
              <w:rPr>
                <w:sz w:val="20"/>
                <w:szCs w:val="20"/>
                <w:color w:val="auto"/>
              </w:rPr>
            </w:pPr>
            <w:r>
              <w:rPr>
                <w:rFonts w:ascii="Arial" w:cs="Arial" w:eastAsia="Arial" w:hAnsi="Arial"/>
                <w:sz w:val="18"/>
                <w:szCs w:val="18"/>
                <w:color w:val="0000FF"/>
              </w:rPr>
              <w:t>75254</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8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3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94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CECO ENVIRONMENTAL CORP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CECE</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8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8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8" w:lineRule="exact"/>
              <w:rPr>
                <w:sz w:val="20"/>
                <w:szCs w:val="20"/>
                <w:color w:val="auto"/>
              </w:rPr>
            </w:pPr>
            <w:r>
              <w:rPr>
                <w:rFonts w:ascii="Arial" w:cs="Arial" w:eastAsia="Arial" w:hAnsi="Arial"/>
                <w:sz w:val="13"/>
                <w:szCs w:val="13"/>
                <w:color w:val="auto"/>
              </w:rPr>
              <w:t>below)</w:t>
            </w:r>
          </w:p>
        </w:tc>
        <w:tc>
          <w:tcPr>
            <w:tcW w:w="15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80" w:type="dxa"/>
            <w:vAlign w:val="bottom"/>
            <w:gridSpan w:val="3"/>
          </w:tcPr>
          <w:p>
            <w:pPr>
              <w:ind w:left="80"/>
              <w:spacing w:after="0"/>
              <w:rPr>
                <w:sz w:val="20"/>
                <w:szCs w:val="20"/>
                <w:color w:val="auto"/>
              </w:rPr>
            </w:pPr>
            <w:r>
              <w:rPr>
                <w:rFonts w:ascii="Arial" w:cs="Arial" w:eastAsia="Arial" w:hAnsi="Arial"/>
                <w:sz w:val="18"/>
                <w:szCs w:val="18"/>
                <w:color w:val="0000FF"/>
              </w:rPr>
              <w:t>11/22/2019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8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3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100"/>
        <w:spacing w:after="0"/>
        <w:rPr>
          <w:sz w:val="20"/>
          <w:szCs w:val="20"/>
          <w:color w:val="auto"/>
        </w:rPr>
      </w:pPr>
      <w:r>
        <w:rPr>
          <w:rFonts w:ascii="Arial" w:cs="Arial" w:eastAsia="Arial" w:hAnsi="Arial"/>
          <w:sz w:val="13"/>
          <w:szCs w:val="13"/>
          <w:color w:val="auto"/>
        </w:rPr>
        <w:t>Line)</w:t>
      </w:r>
    </w:p>
    <w:p>
      <w:pPr>
        <w:ind w:left="4300"/>
        <w:spacing w:after="0" w:line="224" w:lineRule="auto"/>
        <w:tabs>
          <w:tab w:leader="none" w:pos="464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660"/>
        <w:spacing w:after="0"/>
        <w:rPr>
          <w:sz w:val="20"/>
          <w:szCs w:val="20"/>
          <w:color w:val="auto"/>
        </w:rPr>
      </w:pPr>
      <w:r>
        <w:rPr>
          <w:rFonts w:ascii="Arial" w:cs="Arial" w:eastAsia="Arial" w:hAnsi="Arial"/>
          <w:sz w:val="13"/>
          <w:szCs w:val="13"/>
          <w:color w:val="auto"/>
        </w:rPr>
        <w:t>Form filed by More than One Reporting</w:t>
      </w:r>
    </w:p>
    <w:p>
      <w:pPr>
        <w:ind w:left="4660"/>
        <w:spacing w:after="0"/>
        <w:rPr>
          <w:sz w:val="20"/>
          <w:szCs w:val="20"/>
          <w:color w:val="auto"/>
        </w:rPr>
      </w:pPr>
      <w:r>
        <w:rPr>
          <w:rFonts w:ascii="Arial" w:cs="Arial" w:eastAsia="Arial" w:hAnsi="Arial"/>
          <w:sz w:val="13"/>
          <w:szCs w:val="13"/>
          <w:color w:val="auto"/>
        </w:rPr>
        <w:t>Person</w:t>
      </w:r>
    </w:p>
    <w:p>
      <w:pPr>
        <w:spacing w:after="0" w:line="494" w:lineRule="exact"/>
        <w:rPr>
          <w:sz w:val="24"/>
          <w:szCs w:val="24"/>
          <w:color w:val="auto"/>
        </w:rPr>
      </w:pPr>
    </w:p>
    <w:p>
      <w:pPr>
        <w:sectPr>
          <w:pgSz w:w="11900" w:h="16838" w:orient="portrait"/>
          <w:cols w:equalWidth="0" w:num="2">
            <w:col w:w="3940" w:space="100"/>
            <w:col w:w="7560"/>
          </w:cols>
          <w:pgMar w:left="160" w:top="146" w:right="1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40" w:type="dxa"/>
            <w:vAlign w:val="bottom"/>
            <w:gridSpan w:val="2"/>
          </w:tcPr>
          <w:p>
            <w:pPr>
              <w:ind w:left="880"/>
              <w:spacing w:after="0"/>
              <w:rPr>
                <w:sz w:val="20"/>
                <w:szCs w:val="20"/>
                <w:color w:val="auto"/>
              </w:rPr>
            </w:pPr>
            <w:r>
              <w:rPr>
                <w:rFonts w:ascii="Arial" w:cs="Arial" w:eastAsia="Arial" w:hAnsi="Arial"/>
                <w:sz w:val="18"/>
                <w:szCs w:val="18"/>
                <w:color w:val="0000FF"/>
              </w:rPr>
              <w:t>11/22/2019</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8"/>
                <w:szCs w:val="18"/>
                <w:color w:val="0000FF"/>
              </w:rPr>
              <w:t>65,000</w:t>
            </w:r>
          </w:p>
        </w:tc>
        <w:tc>
          <w:tcPr>
            <w:tcW w:w="100" w:type="dxa"/>
            <w:vAlign w:val="bottom"/>
          </w:tcPr>
          <w:p>
            <w:pPr>
              <w:spacing w:after="0"/>
              <w:rPr>
                <w:sz w:val="23"/>
                <w:szCs w:val="23"/>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4.05</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9"/>
              </w:rPr>
              <w:t>109,851</w:t>
            </w:r>
          </w:p>
        </w:tc>
        <w:tc>
          <w:tcPr>
            <w:tcW w:w="280" w:type="dxa"/>
            <w:vAlign w:val="bottom"/>
          </w:tcPr>
          <w:p>
            <w:pPr>
              <w:spacing w:after="0"/>
              <w:rPr>
                <w:sz w:val="23"/>
                <w:szCs w:val="23"/>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8"/>
                <w:szCs w:val="18"/>
                <w:color w:val="0000FF"/>
              </w:rPr>
              <w:t>11/22/2019</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33,772</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7.795</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76,079</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85,200</w:t>
            </w:r>
          </w:p>
        </w:tc>
        <w:tc>
          <w:tcPr>
            <w:tcW w:w="280" w:type="dxa"/>
            <w:vAlign w:val="bottom"/>
          </w:tcPr>
          <w:p>
            <w:pPr>
              <w:spacing w:after="0"/>
              <w:rPr>
                <w:sz w:val="22"/>
                <w:szCs w:val="22"/>
                <w:color w:val="auto"/>
              </w:rPr>
            </w:pPr>
          </w:p>
        </w:tc>
        <w:tc>
          <w:tcPr>
            <w:tcW w:w="72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00" w:type="dxa"/>
            <w:vAlign w:val="bottom"/>
          </w:tcPr>
          <w:p>
            <w:pPr>
              <w:spacing w:after="0"/>
              <w:rPr>
                <w:sz w:val="20"/>
                <w:szCs w:val="20"/>
                <w:color w:val="auto"/>
              </w:rPr>
            </w:pPr>
            <w:r>
              <w:rPr>
                <w:rFonts w:ascii="Arial" w:cs="Arial" w:eastAsia="Arial" w:hAnsi="Arial"/>
                <w:sz w:val="18"/>
                <w:szCs w:val="18"/>
                <w:color w:val="0000FF"/>
              </w:rPr>
              <w:t>See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2,300</w:t>
            </w:r>
          </w:p>
        </w:tc>
        <w:tc>
          <w:tcPr>
            <w:tcW w:w="280" w:type="dxa"/>
            <w:vAlign w:val="bottom"/>
          </w:tcPr>
          <w:p>
            <w:pPr>
              <w:spacing w:after="0"/>
              <w:rPr>
                <w:sz w:val="22"/>
                <w:szCs w:val="22"/>
                <w:color w:val="auto"/>
              </w:rPr>
            </w:pPr>
          </w:p>
        </w:tc>
        <w:tc>
          <w:tcPr>
            <w:tcW w:w="72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00" w:type="dxa"/>
            <w:vAlign w:val="bottom"/>
          </w:tcPr>
          <w:p>
            <w:pPr>
              <w:spacing w:after="0"/>
              <w:rPr>
                <w:sz w:val="20"/>
                <w:szCs w:val="20"/>
                <w:color w:val="auto"/>
              </w:rPr>
            </w:pPr>
            <w:r>
              <w:rPr>
                <w:rFonts w:ascii="Arial" w:cs="Arial" w:eastAsia="Arial" w:hAnsi="Arial"/>
                <w:sz w:val="18"/>
                <w:szCs w:val="18"/>
                <w:color w:val="0000FF"/>
              </w:rPr>
              <w:t>By</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rPr>
              <w:t>Spouse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1"/>
          </w:tcPr>
          <w:p>
            <w:pPr>
              <w:ind w:left="7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65,000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3"/>
                <w:szCs w:val="13"/>
                <w:color w:val="0000FF"/>
              </w:rPr>
              <w:t>(right to</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4.05</w:t>
            </w:r>
          </w:p>
        </w:tc>
        <w:tc>
          <w:tcPr>
            <w:tcW w:w="1080" w:type="dxa"/>
            <w:vAlign w:val="bottom"/>
          </w:tcPr>
          <w:p>
            <w:pPr>
              <w:jc w:val="right"/>
              <w:ind w:right="138"/>
              <w:spacing w:after="0" w:line="133" w:lineRule="exact"/>
              <w:rPr>
                <w:sz w:val="20"/>
                <w:szCs w:val="20"/>
                <w:color w:val="auto"/>
              </w:rPr>
            </w:pPr>
            <w:r>
              <w:rPr>
                <w:rFonts w:ascii="Arial" w:cs="Arial" w:eastAsia="Arial" w:hAnsi="Arial"/>
                <w:sz w:val="13"/>
                <w:szCs w:val="13"/>
                <w:color w:val="0000FF"/>
              </w:rPr>
              <w:t>11/22/2019</w:t>
            </w:r>
          </w:p>
        </w:tc>
        <w:tc>
          <w:tcPr>
            <w:tcW w:w="1180" w:type="dxa"/>
            <w:vAlign w:val="bottom"/>
          </w:tcPr>
          <w:p>
            <w:pPr>
              <w:spacing w:after="0"/>
              <w:rPr>
                <w:sz w:val="11"/>
                <w:szCs w:val="11"/>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3"/>
                <w:szCs w:val="13"/>
                <w:color w:val="0000FF"/>
              </w:rPr>
              <w:t>65,000</w:t>
            </w:r>
          </w:p>
        </w:tc>
        <w:tc>
          <w:tcPr>
            <w:tcW w:w="820" w:type="dxa"/>
            <w:vAlign w:val="bottom"/>
            <w:gridSpan w:val="2"/>
          </w:tcPr>
          <w:p>
            <w:pPr>
              <w:ind w:left="40"/>
              <w:spacing w:after="0" w:line="133" w:lineRule="exact"/>
              <w:rPr>
                <w:sz w:val="20"/>
                <w:szCs w:val="20"/>
                <w:color w:val="auto"/>
              </w:rPr>
            </w:pPr>
            <w:r>
              <w:rPr>
                <w:rFonts w:ascii="Arial" w:cs="Arial" w:eastAsia="Arial" w:hAnsi="Arial"/>
                <w:sz w:val="13"/>
                <w:szCs w:val="13"/>
                <w:color w:val="0000FF"/>
              </w:rPr>
              <w:t>12/13/2010</w:t>
            </w:r>
          </w:p>
        </w:tc>
        <w:tc>
          <w:tcPr>
            <w:tcW w:w="740" w:type="dxa"/>
            <w:vAlign w:val="bottom"/>
          </w:tcPr>
          <w:p>
            <w:pPr>
              <w:ind w:left="20"/>
              <w:spacing w:after="0" w:line="133" w:lineRule="exact"/>
              <w:rPr>
                <w:sz w:val="20"/>
                <w:szCs w:val="20"/>
                <w:color w:val="auto"/>
              </w:rPr>
            </w:pPr>
            <w:r>
              <w:rPr>
                <w:rFonts w:ascii="Arial" w:cs="Arial" w:eastAsia="Arial" w:hAnsi="Arial"/>
                <w:sz w:val="13"/>
                <w:szCs w:val="13"/>
                <w:color w:val="0000FF"/>
              </w:rPr>
              <w:t>12/13/2019</w:t>
            </w:r>
          </w:p>
        </w:tc>
        <w:tc>
          <w:tcPr>
            <w:tcW w:w="6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400"/>
              <w:spacing w:after="0" w:line="13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3"/>
                <w:szCs w:val="13"/>
                <w:color w:val="0000FF"/>
              </w:rPr>
              <w:t>D</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120" w:firstLine="8"/>
        <w:spacing w:after="0" w:line="256"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November 22, 2019, the reporting person exercised in full an option to purchase 65,000 shares of common stock of CECO Environmental Corp. ("CECO") for $4.05 per share on a cashless basis, resulting in the net issuance of 31,228 shares to the reporting person. The payment of the exercise price of the option on a cashless basis was previously approved by the Compensation Committee of the Board of Directors of CECO for purposes of Rule 16b-3(e) under the Securities Exchange Act of 1934.</w:t>
      </w:r>
    </w:p>
    <w:p>
      <w:pPr>
        <w:spacing w:after="0" w:line="21" w:lineRule="exact"/>
        <w:rPr>
          <w:rFonts w:ascii="Arial" w:cs="Arial" w:eastAsia="Arial" w:hAnsi="Arial"/>
          <w:sz w:val="13"/>
          <w:szCs w:val="13"/>
          <w:color w:val="008000"/>
        </w:rPr>
      </w:pPr>
    </w:p>
    <w:p>
      <w:pPr>
        <w:ind w:left="40" w:right="42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940" w:type="dxa"/>
        <w:tblCellMar>
          <w:top w:w="0" w:type="dxa"/>
          <w:left w:w="0" w:type="dxa"/>
          <w:bottom w:w="0" w:type="dxa"/>
          <w:right w:w="0" w:type="dxa"/>
        </w:tblCellMar>
      </w:tblPr>
      <w:tr>
        <w:trPr>
          <w:trHeight w:val="20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Paul M. Gohr, Attorney-in-</w:t>
            </w:r>
          </w:p>
        </w:tc>
        <w:tc>
          <w:tcPr>
            <w:tcW w:w="1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11/25/2019</w:t>
            </w:r>
          </w:p>
        </w:tc>
        <w:tc>
          <w:tcPr>
            <w:tcW w:w="0" w:type="dxa"/>
            <w:vAlign w:val="bottom"/>
          </w:tcPr>
          <w:p>
            <w:pPr>
              <w:spacing w:after="0"/>
              <w:rPr>
                <w:sz w:val="1"/>
                <w:szCs w:val="1"/>
                <w:color w:val="auto"/>
              </w:rPr>
            </w:pPr>
          </w:p>
        </w:tc>
      </w:tr>
      <w:tr>
        <w:trPr>
          <w:trHeight w:val="93"/>
        </w:trPr>
        <w:tc>
          <w:tcPr>
            <w:tcW w:w="18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Jonathan Pollack</w:t>
            </w:r>
          </w:p>
        </w:tc>
        <w:tc>
          <w:tcPr>
            <w:tcW w:w="52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60" w:firstLine="8"/>
        <w:spacing w:after="0" w:line="323" w:lineRule="auto"/>
        <w:tabs>
          <w:tab w:leader="none" w:pos="183"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00"/>
      </w:cols>
      <w:pgMar w:left="160" w:top="14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403564" TargetMode="External"/><Relationship Id="rId13" Type="http://schemas.openxmlformats.org/officeDocument/2006/relationships/hyperlink" Target="file:///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2019-11-26T12:02:02Z</dcterms:created>
  <dcterms:modified xsi:type="dcterms:W3CDTF">2019-11-26T12:02:02Z</dcterms:modified>
</cp:coreProperties>
</file>