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As filed with the Securities and Exchange Commission on May 2, 2022</w:t>
      </w:r>
    </w:p>
    <w:p>
      <w:pPr>
        <w:spacing w:after="0" w:line="26" w:lineRule="exact"/>
        <w:rPr>
          <w:sz w:val="24"/>
          <w:szCs w:val="24"/>
          <w:color w:val="auto"/>
        </w:rPr>
      </w:pPr>
    </w:p>
    <w:p>
      <w:pPr>
        <w:ind w:left="90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8"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S-3</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CECO ENVIRONMENTAL CORP.</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60"/>
          </w:cols>
          <w:pgMar w:left="320" w:top="230" w:right="519" w:bottom="589" w:gutter="0" w:footer="0" w:header="0"/>
        </w:sectPr>
      </w:pPr>
    </w:p>
    <w:p>
      <w:pPr>
        <w:spacing w:after="0" w:line="298" w:lineRule="exact"/>
        <w:rPr>
          <w:sz w:val="24"/>
          <w:szCs w:val="24"/>
          <w:color w:val="auto"/>
        </w:rPr>
      </w:pPr>
    </w:p>
    <w:p>
      <w:pPr>
        <w:ind w:left="25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13-2566064</w:t>
      </w:r>
    </w:p>
    <w:p>
      <w:pPr>
        <w:spacing w:after="0" w:line="36" w:lineRule="exact"/>
        <w:rPr>
          <w:sz w:val="24"/>
          <w:szCs w:val="24"/>
          <w:color w:val="auto"/>
        </w:rPr>
      </w:pPr>
    </w:p>
    <w:p>
      <w:pPr>
        <w:sectPr>
          <w:pgSz w:w="11900" w:h="16838" w:orient="portrait"/>
          <w:cols w:equalWidth="0" w:num="2">
            <w:col w:w="7340" w:space="720"/>
            <w:col w:w="3000"/>
          </w:cols>
          <w:pgMar w:left="320" w:top="230" w:right="519" w:bottom="589"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4"/>
          <w:szCs w:val="14"/>
          <w:b w:val="1"/>
          <w:bCs w:val="1"/>
          <w:color w:val="auto"/>
        </w:rPr>
        <w:t>(I.R.S. Employer</w:t>
      </w:r>
    </w:p>
    <w:p>
      <w:pPr>
        <w:jc w:val="center"/>
        <w:ind w:right="1880"/>
        <w:spacing w:after="0"/>
        <w:rPr>
          <w:sz w:val="20"/>
          <w:szCs w:val="20"/>
          <w:color w:val="auto"/>
        </w:rPr>
      </w:pPr>
      <w:r>
        <w:rPr>
          <w:rFonts w:ascii="Arial" w:cs="Arial" w:eastAsia="Arial" w:hAnsi="Arial"/>
          <w:sz w:val="13"/>
          <w:szCs w:val="13"/>
          <w:b w:val="1"/>
          <w:bCs w:val="1"/>
          <w:color w:val="auto"/>
        </w:rPr>
        <w:t>Identification Number)</w:t>
      </w:r>
    </w:p>
    <w:p>
      <w:pPr>
        <w:spacing w:after="0" w:line="21" w:lineRule="exact"/>
        <w:rPr>
          <w:sz w:val="24"/>
          <w:szCs w:val="24"/>
          <w:color w:val="auto"/>
        </w:rPr>
      </w:pPr>
    </w:p>
    <w:p>
      <w:pPr>
        <w:sectPr>
          <w:pgSz w:w="11900" w:h="16838" w:orient="portrait"/>
          <w:cols w:equalWidth="0" w:num="2">
            <w:col w:w="7020" w:space="720"/>
            <w:col w:w="3320"/>
          </w:cols>
          <w:pgMar w:left="320" w:top="230" w:right="519" w:bottom="589" w:gutter="0" w:footer="0" w:header="0"/>
          <w:type w:val="continuous"/>
        </w:sectPr>
      </w:pPr>
    </w:p>
    <w:p>
      <w:pPr>
        <w:jc w:val="center"/>
        <w:ind w:right="-199"/>
        <w:spacing w:after="0"/>
        <w:rPr>
          <w:sz w:val="20"/>
          <w:szCs w:val="20"/>
          <w:color w:val="auto"/>
        </w:rPr>
      </w:pPr>
      <w:r>
        <w:rPr>
          <w:rFonts w:ascii="Arial" w:cs="Arial" w:eastAsia="Arial" w:hAnsi="Arial"/>
          <w:sz w:val="14"/>
          <w:szCs w:val="14"/>
          <w:b w:val="1"/>
          <w:bCs w:val="1"/>
          <w:color w:val="auto"/>
        </w:rPr>
        <w:t>14651 North Dallas Parkway, Suite 500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Dallas, Texas 75254</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Phone: (214) 357-6181</w:t>
      </w:r>
    </w:p>
    <w:p>
      <w:pPr>
        <w:sectPr>
          <w:pgSz w:w="11900" w:h="16838" w:orient="portrait"/>
          <w:cols w:equalWidth="0" w:num="1">
            <w:col w:w="11060"/>
          </w:cols>
          <w:pgMar w:left="320" w:top="230" w:right="519" w:bottom="589" w:gutter="0" w:footer="0" w:header="0"/>
          <w:type w:val="continuous"/>
        </w:sectPr>
      </w:pP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Matthew Eckl</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Chief Financial Officer</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CECO Environmental Corp.</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14651 North Dallas Parkway, Suite 500</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Dallas, Texas 75254</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Telephone: (214) 357-6181</w:t>
      </w: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Copies to:</w:t>
      </w:r>
    </w:p>
    <w:p>
      <w:pPr>
        <w:spacing w:after="0" w:line="6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Bryan K. Brown</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Amy S. Chen</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Jones Day</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717 Texas Avenue, Suite 3300</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Houston, Texas 77002</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Phone: (832) 239-3939</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Fax: (832) 239-3600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127000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4"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this registration statement becomes effective.</w:t>
      </w:r>
    </w:p>
    <w:p>
      <w:pPr>
        <w:spacing w:after="0" w:line="47" w:lineRule="exact"/>
        <w:rPr>
          <w:sz w:val="24"/>
          <w:szCs w:val="24"/>
          <w:color w:val="auto"/>
        </w:rPr>
      </w:pPr>
    </w:p>
    <w:p>
      <w:pPr>
        <w:ind w:left="560"/>
        <w:spacing w:after="0" w:line="173"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14" w:lineRule="exact"/>
        <w:rPr>
          <w:sz w:val="24"/>
          <w:szCs w:val="24"/>
          <w:color w:val="auto"/>
        </w:rPr>
      </w:pPr>
    </w:p>
    <w:p>
      <w:pPr>
        <w:ind w:left="120" w:right="280" w:firstLine="44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left="120" w:right="200" w:firstLine="44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left="120" w:right="100" w:firstLine="4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left="120" w:right="80" w:firstLine="440"/>
        <w:spacing w:after="0" w:line="214"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left="120" w:right="100" w:firstLine="440"/>
        <w:spacing w:after="0" w:line="214"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left="120" w:right="40" w:firstLine="4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120" w:type="dxa"/>
        <w:tblCellMar>
          <w:top w:w="0" w:type="dxa"/>
          <w:left w:w="0" w:type="dxa"/>
          <w:bottom w:w="0" w:type="dxa"/>
          <w:right w:w="0" w:type="dxa"/>
        </w:tblCellMar>
      </w:tblPr>
      <w:tr>
        <w:trPr>
          <w:trHeight w:val="254"/>
        </w:trPr>
        <w:tc>
          <w:tcPr>
            <w:tcW w:w="16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2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6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2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6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260" w:type="dxa"/>
            <w:vAlign w:val="bottom"/>
          </w:tcPr>
          <w:p>
            <w:pPr>
              <w:ind w:left="3220"/>
              <w:spacing w:after="0"/>
              <w:rPr>
                <w:sz w:val="20"/>
                <w:szCs w:val="20"/>
                <w:color w:val="auto"/>
              </w:rPr>
            </w:pPr>
            <w:r>
              <w:rPr>
                <w:rFonts w:ascii="Arial" w:cs="Arial" w:eastAsia="Arial" w:hAnsi="Arial"/>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112395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5" w:lineRule="exact"/>
        <w:rPr>
          <w:sz w:val="24"/>
          <w:szCs w:val="24"/>
          <w:color w:val="auto"/>
        </w:rPr>
      </w:pPr>
    </w:p>
    <w:p>
      <w:pPr>
        <w:ind w:left="120" w:right="30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9" w:lineRule="exact"/>
        <w:rPr>
          <w:sz w:val="24"/>
          <w:szCs w:val="24"/>
          <w:color w:val="auto"/>
        </w:rPr>
      </w:pPr>
    </w:p>
    <w:p>
      <w:pPr>
        <w:ind w:left="120" w:right="20"/>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60"/>
          </w:cols>
          <w:pgMar w:left="320" w:top="230" w:right="519" w:bottom="589"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20"/>
        <w:spacing w:after="0" w:line="289" w:lineRule="auto"/>
        <w:rPr>
          <w:sz w:val="20"/>
          <w:szCs w:val="20"/>
          <w:color w:val="auto"/>
        </w:rPr>
      </w:pPr>
      <w:r>
        <w:rPr>
          <w:rFonts w:ascii="Arial" w:cs="Arial" w:eastAsia="Arial" w:hAnsi="Arial"/>
          <w:sz w:val="17"/>
          <w:szCs w:val="17"/>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FF4338"/>
        </w:rPr>
        <w:t>SUBJECT TO COMPLETION, DATED MAY 2,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179"/>
        <w:spacing w:after="0"/>
        <w:rPr>
          <w:sz w:val="20"/>
          <w:szCs w:val="20"/>
          <w:color w:val="auto"/>
        </w:rPr>
      </w:pPr>
      <w:r>
        <w:rPr>
          <w:rFonts w:ascii="Arial" w:cs="Arial" w:eastAsia="Arial" w:hAnsi="Arial"/>
          <w:sz w:val="43"/>
          <w:szCs w:val="43"/>
          <w:b w:val="1"/>
          <w:bCs w:val="1"/>
          <w:color w:val="auto"/>
        </w:rPr>
        <w:t>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184785</wp:posOffset>
            </wp:positionV>
            <wp:extent cx="1251585"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158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$150,000,000</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Depositary Shares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both"/>
        <w:ind w:left="120" w:right="160" w:firstLine="440"/>
        <w:spacing w:after="0" w:line="342" w:lineRule="auto"/>
        <w:rPr>
          <w:sz w:val="20"/>
          <w:szCs w:val="20"/>
          <w:color w:val="auto"/>
        </w:rPr>
      </w:pPr>
      <w:r>
        <w:rPr>
          <w:rFonts w:ascii="Arial" w:cs="Arial" w:eastAsia="Arial" w:hAnsi="Arial"/>
          <w:sz w:val="16"/>
          <w:szCs w:val="16"/>
          <w:color w:val="auto"/>
        </w:rPr>
        <w:t>We may offer and sell from time to time our common stock, preferred stock, depositary shares, warrants, subscription rights, debt securities and purchase contracts, as well as units that include any of these securities. We may sell any combination of these securities in one or more offerings.</w:t>
      </w:r>
    </w:p>
    <w:p>
      <w:pPr>
        <w:spacing w:after="0" w:line="124"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We will provide the specific terms of the securities to be offered in one or more supplements to this prospectus. You should read this prospectus and the applicable prospectus supplement carefully before you invest in our securities. This prospectus may not be used to offer and sell our securities unless accompanied by a prospectus supplement describing the method and terms of the offering of those securities.</w:t>
      </w:r>
    </w:p>
    <w:p>
      <w:pPr>
        <w:spacing w:after="0" w:line="16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may sell the securities directly or to or through underwriters or dealers, and also to other purchasers or through agents. The names of any underwriters or agents that are included in a sale of securities to you, and any applicable commissions or discounts, will be stated in an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Our common stock is listed on the NASDAQ Stock Market under the symbol “CECE.” On April 29, 2022, the closing price of our common stock on the NASDAQ Stock Market was $4.75 per share. None of the other securities that we may offer under this prospectus are currently publicly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173355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20" w:right="8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194945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2022.</w:t>
            </w:r>
          </w:p>
        </w:tc>
      </w:tr>
    </w:tbl>
    <w:p>
      <w:pPr>
        <w:sectPr>
          <w:pgSz w:w="11900" w:h="16838" w:orient="portrait"/>
          <w:cols w:equalWidth="0" w:num="1">
            <w:col w:w="11060"/>
          </w:cols>
          <w:pgMar w:left="320" w:top="459"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80" w:type="dxa"/>
            <w:vAlign w:val="bottom"/>
          </w:tcPr>
          <w:p>
            <w:pPr>
              <w:jc w:val="right"/>
              <w:ind w:right="4691"/>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640" w:type="dxa"/>
            <w:vAlign w:val="bottom"/>
            <w:tcBorders>
              <w:bottom w:val="single" w:sz="8" w:color="0000EE"/>
            </w:tcBorders>
            <w:gridSpan w:val="8"/>
          </w:tcPr>
          <w:p>
            <w:pPr>
              <w:spacing w:after="0" w:line="190"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w:t>
              </w:r>
            </w:hyperlink>
          </w:p>
        </w:tc>
        <w:tc>
          <w:tcPr>
            <w:tcW w:w="2640" w:type="dxa"/>
            <w:vAlign w:val="bottom"/>
            <w:gridSpan w:val="10"/>
          </w:tcPr>
          <w:p>
            <w:pPr>
              <w:spacing w:after="0"/>
              <w:rPr>
                <w:sz w:val="16"/>
                <w:szCs w:val="16"/>
                <w:color w:val="auto"/>
              </w:rPr>
            </w:pPr>
          </w:p>
        </w:tc>
        <w:tc>
          <w:tcPr>
            <w:tcW w:w="66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304"/>
        </w:trPr>
        <w:tc>
          <w:tcPr>
            <w:tcW w:w="42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6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304"/>
        </w:trPr>
        <w:tc>
          <w:tcPr>
            <w:tcW w:w="304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Information We Incorporate By Reference</w:t>
              </w:r>
            </w:hyperlink>
          </w:p>
        </w:tc>
        <w:tc>
          <w:tcPr>
            <w:tcW w:w="1240" w:type="dxa"/>
            <w:vAlign w:val="bottom"/>
            <w:gridSpan w:val="2"/>
          </w:tcPr>
          <w:p>
            <w:pPr>
              <w:spacing w:after="0"/>
              <w:rPr>
                <w:sz w:val="24"/>
                <w:szCs w:val="24"/>
                <w:color w:val="auto"/>
              </w:rPr>
            </w:pPr>
          </w:p>
        </w:tc>
        <w:tc>
          <w:tcPr>
            <w:tcW w:w="6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428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The Company</w:t>
              </w:r>
            </w:hyperlink>
          </w:p>
        </w:tc>
        <w:tc>
          <w:tcPr>
            <w:tcW w:w="6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20" w:type="dxa"/>
            <w:vAlign w:val="bottom"/>
            <w:tcBorders>
              <w:top w:val="single" w:sz="8" w:color="0000EE"/>
            </w:tcBorders>
            <w:gridSpan w:val="4"/>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Risk Factors</w:t>
              </w:r>
            </w:hyperlink>
          </w:p>
        </w:tc>
        <w:tc>
          <w:tcPr>
            <w:tcW w:w="3260" w:type="dxa"/>
            <w:vAlign w:val="bottom"/>
            <w:gridSpan w:val="14"/>
          </w:tcPr>
          <w:p>
            <w:pPr>
              <w:spacing w:after="0"/>
              <w:rPr>
                <w:sz w:val="24"/>
                <w:szCs w:val="24"/>
                <w:color w:val="auto"/>
              </w:rPr>
            </w:pPr>
          </w:p>
        </w:tc>
        <w:tc>
          <w:tcPr>
            <w:tcW w:w="6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304"/>
        </w:trPr>
        <w:tc>
          <w:tcPr>
            <w:tcW w:w="372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Disclosure Regarding Forward-Looking Statements</w:t>
              </w:r>
            </w:hyperlink>
          </w:p>
        </w:tc>
        <w:tc>
          <w:tcPr>
            <w:tcW w:w="560" w:type="dxa"/>
            <w:vAlign w:val="bottom"/>
          </w:tcPr>
          <w:p>
            <w:pPr>
              <w:spacing w:after="0"/>
              <w:rPr>
                <w:sz w:val="24"/>
                <w:szCs w:val="24"/>
                <w:color w:val="auto"/>
              </w:rPr>
            </w:pPr>
          </w:p>
        </w:tc>
        <w:tc>
          <w:tcPr>
            <w:tcW w:w="6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28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6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304"/>
        </w:trPr>
        <w:tc>
          <w:tcPr>
            <w:tcW w:w="4280" w:type="dxa"/>
            <w:vAlign w:val="bottom"/>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Description of Capital Stock</w:t>
              </w:r>
            </w:hyperlink>
          </w:p>
        </w:tc>
        <w:tc>
          <w:tcPr>
            <w:tcW w:w="6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304"/>
        </w:trPr>
        <w:tc>
          <w:tcPr>
            <w:tcW w:w="4280" w:type="dxa"/>
            <w:vAlign w:val="bottom"/>
            <w:gridSpan w:val="1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Description of Depositary Shares</w:t>
              </w:r>
            </w:hyperlink>
          </w:p>
        </w:tc>
        <w:tc>
          <w:tcPr>
            <w:tcW w:w="6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2380" w:type="dxa"/>
            <w:vAlign w:val="bottom"/>
            <w:tcBorders>
              <w:top w:val="single" w:sz="8" w:color="0000EE"/>
            </w:tcBorders>
            <w:gridSpan w:val="1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Description of Warrants</w:t>
              </w:r>
            </w:hyperlink>
          </w:p>
        </w:tc>
        <w:tc>
          <w:tcPr>
            <w:tcW w:w="1900" w:type="dxa"/>
            <w:vAlign w:val="bottom"/>
            <w:gridSpan w:val="6"/>
          </w:tcPr>
          <w:p>
            <w:pPr>
              <w:spacing w:after="0"/>
              <w:rPr>
                <w:sz w:val="24"/>
                <w:szCs w:val="24"/>
                <w:color w:val="auto"/>
              </w:rPr>
            </w:pPr>
          </w:p>
        </w:tc>
        <w:tc>
          <w:tcPr>
            <w:tcW w:w="6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304"/>
        </w:trPr>
        <w:tc>
          <w:tcPr>
            <w:tcW w:w="250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Description of Subscription Rights</w:t>
              </w:r>
            </w:hyperlink>
          </w:p>
        </w:tc>
        <w:tc>
          <w:tcPr>
            <w:tcW w:w="1780" w:type="dxa"/>
            <w:vAlign w:val="bottom"/>
            <w:gridSpan w:val="4"/>
          </w:tcPr>
          <w:p>
            <w:pPr>
              <w:spacing w:after="0"/>
              <w:rPr>
                <w:sz w:val="24"/>
                <w:szCs w:val="24"/>
                <w:color w:val="auto"/>
              </w:rPr>
            </w:pPr>
          </w:p>
        </w:tc>
        <w:tc>
          <w:tcPr>
            <w:tcW w:w="6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218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Description of Debt Securities</w:t>
              </w:r>
            </w:hyperlink>
          </w:p>
        </w:tc>
        <w:tc>
          <w:tcPr>
            <w:tcW w:w="2100" w:type="dxa"/>
            <w:vAlign w:val="bottom"/>
            <w:gridSpan w:val="7"/>
          </w:tcPr>
          <w:p>
            <w:pPr>
              <w:spacing w:after="0"/>
              <w:rPr>
                <w:sz w:val="24"/>
                <w:szCs w:val="24"/>
                <w:color w:val="auto"/>
              </w:rPr>
            </w:pPr>
          </w:p>
        </w:tc>
        <w:tc>
          <w:tcPr>
            <w:tcW w:w="6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24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Description of Purchase Contracts</w:t>
              </w:r>
            </w:hyperlink>
          </w:p>
        </w:tc>
        <w:tc>
          <w:tcPr>
            <w:tcW w:w="1820" w:type="dxa"/>
            <w:vAlign w:val="bottom"/>
            <w:gridSpan w:val="5"/>
          </w:tcPr>
          <w:p>
            <w:pPr>
              <w:spacing w:after="0"/>
              <w:rPr>
                <w:sz w:val="24"/>
                <w:szCs w:val="24"/>
                <w:color w:val="auto"/>
              </w:rPr>
            </w:pPr>
          </w:p>
        </w:tc>
        <w:tc>
          <w:tcPr>
            <w:tcW w:w="6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428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Description of Units</w:t>
              </w:r>
            </w:hyperlink>
          </w:p>
        </w:tc>
        <w:tc>
          <w:tcPr>
            <w:tcW w:w="6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460" w:type="dxa"/>
            <w:vAlign w:val="bottom"/>
            <w:tcBorders>
              <w:top w:val="single" w:sz="8" w:color="0000EE"/>
            </w:tcBorders>
            <w:gridSpan w:val="7"/>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Plan of Distribution</w:t>
              </w:r>
            </w:hyperlink>
          </w:p>
        </w:tc>
        <w:tc>
          <w:tcPr>
            <w:tcW w:w="2820" w:type="dxa"/>
            <w:vAlign w:val="bottom"/>
            <w:gridSpan w:val="11"/>
          </w:tcPr>
          <w:p>
            <w:pPr>
              <w:spacing w:after="0"/>
              <w:rPr>
                <w:sz w:val="24"/>
                <w:szCs w:val="24"/>
                <w:color w:val="auto"/>
              </w:rPr>
            </w:pPr>
          </w:p>
        </w:tc>
        <w:tc>
          <w:tcPr>
            <w:tcW w:w="6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420" w:type="dxa"/>
            <w:vAlign w:val="bottom"/>
            <w:tcBorders>
              <w:top w:val="single" w:sz="8" w:color="0000EE"/>
            </w:tcBorders>
            <w:gridSpan w:val="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Matters</w:t>
              </w:r>
            </w:hyperlink>
          </w:p>
        </w:tc>
        <w:tc>
          <w:tcPr>
            <w:tcW w:w="2860" w:type="dxa"/>
            <w:vAlign w:val="bottom"/>
            <w:gridSpan w:val="12"/>
          </w:tcPr>
          <w:p>
            <w:pPr>
              <w:spacing w:after="0"/>
              <w:rPr>
                <w:sz w:val="24"/>
                <w:szCs w:val="24"/>
                <w:color w:val="auto"/>
              </w:rPr>
            </w:pPr>
          </w:p>
        </w:tc>
        <w:tc>
          <w:tcPr>
            <w:tcW w:w="6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000" w:type="dxa"/>
            <w:vAlign w:val="bottom"/>
            <w:tcBorders>
              <w:top w:val="single" w:sz="8" w:color="0000EE"/>
            </w:tcBorders>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Experts</w:t>
              </w:r>
            </w:hyperlink>
          </w:p>
        </w:tc>
        <w:tc>
          <w:tcPr>
            <w:tcW w:w="3280" w:type="dxa"/>
            <w:vAlign w:val="bottom"/>
            <w:gridSpan w:val="15"/>
          </w:tcPr>
          <w:p>
            <w:pPr>
              <w:spacing w:after="0"/>
              <w:rPr>
                <w:sz w:val="24"/>
                <w:szCs w:val="24"/>
                <w:color w:val="auto"/>
              </w:rPr>
            </w:pPr>
          </w:p>
        </w:tc>
        <w:tc>
          <w:tcPr>
            <w:tcW w:w="6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85"/>
        </w:trPr>
        <w:tc>
          <w:tcPr>
            <w:tcW w:w="5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80" w:type="dxa"/>
            <w:vAlign w:val="bottom"/>
          </w:tcPr>
          <w:p>
            <w:pPr>
              <w:jc w:val="right"/>
              <w:ind w:right="5291"/>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process, we may from time to time sell any combination of the securities described in this prospectus in one or more offerings.</w:t>
      </w:r>
    </w:p>
    <w:p>
      <w:pPr>
        <w:spacing w:after="0" w:line="184"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a prospectus supplement that will contain specific information about the terms of that offering. For a more complete understanding of the offering of the securities, you should refer to the registration statement, including its exhibits. The prospectus supplement may also add, update or change information contained in this prospectus. You should read both this prospectus and any prospectus supplement together with additional information under the heading “Where You Can Find More Information” and “Information We Incorporate By Reference.”</w:t>
      </w:r>
    </w:p>
    <w:p>
      <w:pPr>
        <w:spacing w:after="0" w:line="1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not authorized anyone to provide you with different information from the information contained or incorporated by reference in this prospectus and in any prospectus supplement or in any free writing prospectus that we may provide you. You should not assume that the information contained in this prospectus, any prospectus supplement, any document incorporated by reference or any free writing prospectus is accurate as of any date, other than the date mentioned on the cover page of these documents.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92"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Unless we otherwise state or the context otherwise indicates, all references in this prospectus to “CECO,” “us,” “our,” or “we” mean CECO Environmental Corp. and its consolidated subsidiaries.</w:t>
      </w: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We are subject to the information and periodic reporting requirements of the Securities Exchange Act of 1934, as amended (the “Exchange Act”). We file annual, quarterly and current reports, proxy statements and other information with the SEC. Our SEC filings are available at the SEC’s website at http://www.sec.gov. You may also inspect our SEC reports and other information at our website at http://www.cecoenviro.com as soon as reasonably practicable after we electronically file such materials with, or furnish them to, the SEC. The information contained on or accessible through our website is not a part of this prospectus, other than the documents that we file with the SEC that are expressly incorporated by reference into this prospectus.</w:t>
      </w: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We Incorporate By Reference</w:t>
      </w:r>
    </w:p>
    <w:p>
      <w:pPr>
        <w:spacing w:after="0" w:line="22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SEC allows us to “incorporate by reference” into this prospectus the information in documents we file with it, which means that we can disclose important information to you by referring you to those documents. The information incorporated by reference is considered to be a part of this prospectus, and information that we file later with the SEC will automatically update and supersede this information. Any statement contained in any document incorporated or deemed to be incorporated by reference herein shall be deemed to be modified or superseded for purposes of this prospectus to the extent that a statement contained in or omitted from this prospectus or any accompanying prospectus supplement,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w:t>
      </w:r>
    </w:p>
    <w:p>
      <w:pPr>
        <w:spacing w:after="0" w:line="16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incorporate by reference the documents listed below and any future documents that we file with the SEC under Sections 13(a), 13(c), 14 or 15(d) of the Exchange Act (1) after the date of the initial filing of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registration statement of which this prospectus forms a part prior to the effectiveness of the registration statement and (2) after the date of this prospectus until the offering of the securities is terminated:</w:t>
      </w:r>
    </w:p>
    <w:p>
      <w:pPr>
        <w:spacing w:after="0" w:line="76"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and</w:t>
      </w:r>
    </w:p>
    <w:p>
      <w:pPr>
        <w:spacing w:after="0" w:line="130"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10 filed with the SEC on December 13, 1992 pursuant to Section 12(g) of the Exchange Act, together with all amendments or reports filed for the purpose of updating such description.</w:t>
      </w:r>
    </w:p>
    <w:p>
      <w:pPr>
        <w:spacing w:after="0" w:line="12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will not, however, incorporate by reference in this prospectus any documents or portions thereof that are not deemed “filed” with the SEC, including any information furnished pursuant to Item 2.02 or Item 7.01 of our current reports on Form 8-K unless, and except to the extent, specified in such current reports.</w:t>
      </w:r>
    </w:p>
    <w:p>
      <w:pPr>
        <w:spacing w:after="0" w:line="184"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We will provide you with a copy of any of these filings (other than an exhibit to these filings, unless the exhibit is specifically incorporated by reference into the filing requested) at no cost, if you submit a request to us by writing or telephoning us at the following address and telephone number:</w:t>
      </w:r>
    </w:p>
    <w:p>
      <w:pPr>
        <w:spacing w:after="0" w:line="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CECO Environmental Corp.</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14651 North Dallas Parkway, Suite 500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Dallas, Texas 75254</w:t>
      </w:r>
    </w:p>
    <w:p>
      <w:pPr>
        <w:spacing w:after="0" w:line="9" w:lineRule="exact"/>
        <w:rPr>
          <w:sz w:val="20"/>
          <w:szCs w:val="20"/>
          <w:color w:val="auto"/>
        </w:rPr>
      </w:pPr>
    </w:p>
    <w:p>
      <w:pPr>
        <w:ind w:left="5500" w:hanging="438"/>
        <w:spacing w:after="0"/>
        <w:tabs>
          <w:tab w:leader="none" w:pos="5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990-6670</w:t>
      </w:r>
    </w:p>
    <w:p>
      <w:pPr>
        <w:spacing w:after="0" w:line="9" w:lineRule="exact"/>
        <w:rPr>
          <w:rFonts w:ascii="Arial" w:cs="Arial" w:eastAsia="Arial" w:hAnsi="Arial"/>
          <w:sz w:val="18"/>
          <w:szCs w:val="18"/>
          <w:color w:val="auto"/>
        </w:rPr>
      </w:pPr>
    </w:p>
    <w:p>
      <w:pPr>
        <w:ind w:left="458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CECO is a leading environmentally focused, diversified industrial company whose solutions protect people, the environment, and industrial equipment. We focus on engineering, designing, building, and installing systems that capture, clean and destroy air- and water-borne emissions from industrial facilities as well as fluid handling, gas separation, and filtration systems. CECO provides innovative technology and application expertise that helps companies grow their businesses with safe, clean, and more efficient solutions to protect our shared environment.</w:t>
      </w:r>
    </w:p>
    <w:p>
      <w:pPr>
        <w:spacing w:after="0" w:line="17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CECO serves diverse industries globally by working to improve air and water quality, protect customer’s equipment, and provide customized engineered solutions in our customers’ mission critical applications. The industries CECO serves include power generation, petrochemical processing, general industrial, refining, midstream oil &amp; gas, electric vehicle production, poly silicon fabrication, battery recycling, and wastewater treatment, along with a wide range of other industries.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operate through two reportable segments, as follows:</w:t>
      </w:r>
    </w:p>
    <w:p>
      <w:pPr>
        <w:spacing w:after="0" w:line="131" w:lineRule="exact"/>
        <w:rPr>
          <w:sz w:val="20"/>
          <w:szCs w:val="20"/>
          <w:color w:val="auto"/>
        </w:rPr>
      </w:pPr>
    </w:p>
    <w:p>
      <w:pPr>
        <w:ind w:left="1080" w:right="240" w:hanging="424"/>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Engineered Systems segment: Our Engineered Systems segment serves the power generation, refinery, water/wastewater and midstream oil &amp; gas markets. We are a key part of helping meet the global demand for environmental and equipment protection through our highly engineered platforms including emissions management, fluid bed cyclones, thermal acoustics, separation &amp; filtration, and dampers &amp; expansion joints.</w:t>
      </w:r>
    </w:p>
    <w:p>
      <w:pPr>
        <w:spacing w:after="0" w:line="92" w:lineRule="exact"/>
        <w:rPr>
          <w:rFonts w:ascii="Arial" w:cs="Arial" w:eastAsia="Arial" w:hAnsi="Arial"/>
          <w:sz w:val="18"/>
          <w:szCs w:val="18"/>
          <w:color w:val="auto"/>
        </w:rPr>
      </w:pPr>
    </w:p>
    <w:p>
      <w:pPr>
        <w:ind w:left="1080" w:right="180" w:hanging="424"/>
        <w:spacing w:after="0" w:line="273"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Industrial Process Solutions segment: Our Industrial Process Solutions segment which serves the broad industrial air pollution control, beverage can, fluid handling, electric vehicle production, food and beverage, semi-conductor, process filtration, pharmaceutical, petrochemical, wastewater treatment, wood manufacturing, desalination, and aquaculture markets. We protect the air we collectively breathe, maintain clean and safe operations for employees, lower energy consumption, minimize waste for customers, and ensure they meet regulatory compliance standards for toxic emissions, fumes, volatile organic compounds and odors through our platforms including duct &amp; installation, industrial air, and fluid handling.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CECO is a Delaware corporation and has been publicly traded since January 1, 1978. Our common stock trades on the NASDAQ Stock Market under the symbol “CECE.” Our principal executive offices are located at 14651 North Dallas Parkway, Suite 500, Dallas, Texas 75254. Our telephone number is (214) 357-6181. Our website is http://www.cecoenviro.com. The information contained on or accessible through our website is not part of this prospectus, other than the documents that we file with the SEC that are expressly incorporated by reference into this prospectus.</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contained or incorporated by reference into this prospectus and in any applicable prospectus supplement.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prospectus, including the documents incorporated by reference, contains, and any prospectus supplement may contain, “forward-looking statements” as defined in the Private Securities Litigation Reform Act of 1995. Forward-looking statements speak only as of the date they are made and give our current expectations or forecasts of future events. These forward-looking statements can be identified by the use of forward-looking words, such as “anticipate,” “believe,” “estimate,” “expect,” “forecast,” “goal,” “intend,” “plan,” “predict,” “project,” “seek,” “target,” “could,” “may,” “should” or “would” or other similar expressions that convey the uncertainty of future events or outcomes. When we discuss our strategies and/or plans, we are making projections, forecasts or forward-looking statements. Such statements are based on the beliefs of, as well as assumptions made by and information currently available to, our management. While management believes that these forward-looking statements are reasonable as and when made, there can be no assurance that future developments affecting us will be those that we anticipate.</w:t>
      </w:r>
    </w:p>
    <w:p>
      <w:pPr>
        <w:spacing w:after="0" w:line="17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Potential risks and uncertainties, among others, that could cause actual results to differ materially include, but are not limited to:</w:t>
      </w:r>
    </w:p>
    <w:p>
      <w:pPr>
        <w:spacing w:after="0" w:line="71"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sensitivity of our business to economic and financial market conditions generally and economic conditions in CECO’s service areas;</w:t>
      </w:r>
    </w:p>
    <w:p>
      <w:pPr>
        <w:spacing w:after="0" w:line="153" w:lineRule="exact"/>
        <w:rPr>
          <w:rFonts w:ascii="Arial" w:cs="Arial" w:eastAsia="Arial" w:hAnsi="Arial"/>
          <w:sz w:val="16"/>
          <w:szCs w:val="16"/>
          <w:color w:val="auto"/>
        </w:rPr>
      </w:pPr>
    </w:p>
    <w:p>
      <w:pPr>
        <w:ind w:left="1080" w:right="7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fixed price contracts and the risks associated therewith, including actual costs exceeding estimates and method of accounting for revenue;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growth on CECO’s infrastructure, resources and existing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expand operations in both new and existing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for contract delay or cancellation as a result of on-going or worsening supply chain challenges;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liabilities arising from faulty services or products that could result in significant professional or product liability, warranty or other claims;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or developments with respect to any litigation or investigation;</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meet timely completion or performance standards that could result in higher cost and reduced profits or, in some cases, losses on projects;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for fluctuations in prices for manufactured components and raw materials, including as a result of tariffs and surcharges;</w:t>
      </w:r>
    </w:p>
    <w:p>
      <w:pPr>
        <w:spacing w:after="0" w:line="142" w:lineRule="exact"/>
        <w:rPr>
          <w:rFonts w:ascii="Arial" w:cs="Arial" w:eastAsia="Arial" w:hAnsi="Arial"/>
          <w:sz w:val="17"/>
          <w:szCs w:val="17"/>
          <w:color w:val="auto"/>
        </w:rPr>
      </w:pPr>
    </w:p>
    <w:p>
      <w:pPr>
        <w:ind w:left="1080" w:right="5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substantial amount of debt incurred in connection with our strategic transactions and our ability to repay or refinance it or incur additional debt in the future;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federal, state or local government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repurchase shares of our common stock and the amounts and timing of repurchases,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political conditions generally;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realize the expected benefits of our restructuring program;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integrate acquired businesses and realize the synergies from strategic transactions;</w:t>
      </w:r>
    </w:p>
    <w:p>
      <w:pPr>
        <w:spacing w:after="0" w:line="130" w:lineRule="exact"/>
        <w:rPr>
          <w:rFonts w:ascii="Arial" w:cs="Arial" w:eastAsia="Arial" w:hAnsi="Arial"/>
          <w:sz w:val="18"/>
          <w:szCs w:val="18"/>
          <w:color w:val="auto"/>
        </w:rPr>
      </w:pPr>
    </w:p>
    <w:p>
      <w:pPr>
        <w:jc w:val="both"/>
        <w:ind w:left="1080" w:right="20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unpredictability and severity of catastrophic events, including cybersecurity threats, acts of terrorism or outbreak of war or hostilities or public health crises, such as uncertainties regarding the extent and duration of impacts of matters associated with COVID-19, as well as management’s response to any of the aforementioned factors; and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32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and uncertainties indicated in our Annual Report on Form 10-K for the fiscal year ended December 31, 2021, including those under “Item 1A. Risk Factors.”</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Many of these risks are beyond management’s ability to control or predict. Should one or more of these risks or uncertainties materialize, or should the assumptions prove incorrect, actual results may vary in material aspects from those currently anticipated.</w:t>
      </w:r>
    </w:p>
    <w:p>
      <w:pPr>
        <w:spacing w:after="0" w:line="170"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disclose important factors that could cause our actual results to differ materially from our expectations implied by our forward-looking statements under “Risk Factors” and “Management’s Discussion and Analysis of Financial Condition and Results of Operations” of the documents we incorporate by reference.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 results of operations, prospects and ability to service our debt.</w:t>
      </w:r>
    </w:p>
    <w:p>
      <w:pPr>
        <w:spacing w:after="0" w:line="17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prospectus. We do not undertake any obligation to update or revise any forward-looking statement to reflect any changes in our expectations or any change in events, conditions, or circumstances on which any statement is based, except as may be required under applicable law.</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Unless we inform you otherwise in the applicable prospectus supplement, we expect to use the net proceeds from the sale of securities for general corporate purposes. These purposes may include, but are not limited to:</w:t>
      </w:r>
    </w:p>
    <w:p>
      <w:pPr>
        <w:spacing w:after="0" w:line="76"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reduction or refinancing of outstanding indebtedness or other corporate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additions to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 strategic transactions including acquisitions;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Pending any specific application, we may initially invest funds in short-term marketable securities or apply them to the reduction of short-term indebtedness.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9" w:right="5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the discussion that follows, we have summarized selected provisions of our certificate of incorporation and bylaws relating to our capital stock. This summary is not complete. This discussion is qualified in its entirety by reference to our certificate of incorporation and bylaws. You should read the provisions of our certificate of incorporation and bylaws as currently in effect for provisions that may be important to you. We have filed copies of those documents with the SEC, and they are incorporated by reference as exhibits to the registration statement of which this prospectus forms a part. See “Information We Incorporate By Reference.”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authorized capital stock consists of:</w:t>
      </w:r>
    </w:p>
    <w:p>
      <w:pPr>
        <w:spacing w:after="0" w:line="131"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100,000,000 shares of common stock, $0.01 par value per share;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10,000 shares of preferred stock, $0.01 par value per share, issuable in series.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our stockholders and do not have cumulative voting rights. Holders of a majority of the shares of common stock entitled to vote in any election of our directors may elect all of the directors standing for election. Holders of our common stock are entitled to receive ratably such dividends, if any, as may be declared by our board of directors out of funds legally available therefor, subject to any preferential dividend rights of outstanding preferred stock. Upon our liquidation, dissolution or winding up, the holders of common stock are entitled to receive ratably our net assets available after the payment of all debts and other liabilities and subject to the prior rights of any outstanding preferred stock. Holders of our common stock have no preemptive, subscription, redemption or conversion rights.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outstanding shares of our common stock are fully paid and non-assessable.</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rights, preferences and privileges of holders of our common stock are subject to, and may be adversely affected by, the rights of the holders of shares of any series of preferred stock which we may designate and issue.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have no outstanding shares of preferred stock. Our board of directors, without further action by our stockholders, is authorized to issue an aggregate of 10,000 shares of preferred stock. Our board of directors may issue preferred stock with dividend rates, redemption prices, preferences on liquidation or dissolution, conversion rights, voting rights and any other preferences, which rights and preferences could adversely affect the voting power of the holders of common stock. The issuance of preferred stock, while providing desirable flexibility in connection with possible acquisitions or other corporate purposes, could have the effect of making it more difficult for a third party to acquire us, or could discourage or delay a third party from acquiring control of 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Directors’ Liability</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Pursuant to the provisions of the General Corporation Law of the State of Delaware (“DGCL”), we have adopted provisions in our certificate of incorporation and bylaws that require us to indemnify our officers and directors to the fullest extent permitted by law, and eliminate the personal liability of our directors to us or our stockholders for monetary damages for breach of their duty of due care except (a) for any breach of the directors’ duty of loyalty to the corporation or its stockholders, (b) for acts or omissions not in good faith or which involve intentional misconduct or a knowing violation of law, (c) for acts relating to unlawful payment of a dividend or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an unlawful stock purchase or redemption or (d) for any transaction from which the director derived an improper personal benefit. These provisions do not eliminate a director’s duty of care. Moreover, the provisions do not apply to claims against a director for violation of certain laws, including federal securities laws. We believe that these provisions will assist it in attracting or retaining qualified individuals to serve as directors and officers.</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certificate of incorporation and bylaws provide for mandatory indemnification of officers and directors of the corporation, including a director or officer of the corporation who is serving at the request of the corporation as a director, officer, employee or agent of another corporation, partnership, joint venture, trust or other enterprise, to the fullest extent permitted under the DGCL. We may also, at its discretion, provide the same benefits of indemnification to any employee or agent of the corporation.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Some of the provisions of our certificate of incorporation and bylaws may have the effect of making it more difficult for a third party to acquire, or of discouraging a third party from attempting to acquire, control of us. These provisions are expected to discourage coercive takeover practices and inadequate takeover bids and to encourage persons seeking to acquire control of us to first negotiate with us. These provisions could limit the price investors might be willing to pay in the future for our common stock. We believe that the benefits of increased protection of our ability to negotiate with the proponent of an unfriendly or unsolicited acquisition proposal outweigh the disadvantage of discouraging these proposals, because among other things, negotiation may result in an improvement of their terms. These provisions could limit the price that investors might be willing to pay in the future for shares of our common stock. These provisions include:</w:t>
      </w:r>
    </w:p>
    <w:p>
      <w:pPr>
        <w:spacing w:after="0" w:line="83"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Procedures for advance notification of stockholder nominations and proposals;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board of directors to alter our bylaws without stockholder approval.</w:t>
      </w:r>
    </w:p>
    <w:p>
      <w:pPr>
        <w:spacing w:after="0" w:line="225" w:lineRule="exact"/>
        <w:rPr>
          <w:sz w:val="20"/>
          <w:szCs w:val="20"/>
          <w:color w:val="auto"/>
        </w:rPr>
      </w:pPr>
    </w:p>
    <w:p>
      <w:pPr>
        <w:ind w:left="120" w:right="400" w:firstLine="440"/>
        <w:spacing w:after="0" w:line="296" w:lineRule="auto"/>
        <w:rPr>
          <w:sz w:val="20"/>
          <w:szCs w:val="20"/>
          <w:color w:val="auto"/>
        </w:rPr>
      </w:pPr>
      <w:r>
        <w:rPr>
          <w:rFonts w:ascii="Arial" w:cs="Arial" w:eastAsia="Arial" w:hAnsi="Arial"/>
          <w:sz w:val="16"/>
          <w:szCs w:val="16"/>
          <w:color w:val="auto"/>
        </w:rPr>
        <w:t>In addition, subject to applicable limitations, our board of directors has the authority to issue up to 10,000 shares of preferred stock and to determine the price, rights, preferences, privileges and restrictions, including voting rights, of those shares without any further vote or action by the stockholders. The issuance of preferred stock, while providing flexibility in connection with possible financings or acquisitions or other corporate purposes, could have the effect of making it more difficult for a third party to acquire a majority of our outstanding voting stock. These and other provisions contained in our certificate of incorporation and bylaws could have the effect of delaying or preventing a change in control.</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Depositary Shares</w:t>
      </w:r>
    </w:p>
    <w:p>
      <w:pPr>
        <w:spacing w:after="0" w:line="229"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may offer depositary shares representing fractional shares of our preferred stock of any series. The following description sets forth certain general terms and provisions of the depositary shares that we may offer pursuant to this prospectus. The particular terms of the depositary shares, including the fraction of a preferred share that such depositary share will represent, and the extent, if any, to which the general terms and provisions may apply to the depositary shares so offered, will be described in the applicable prospectus supplement.</w:t>
      </w:r>
    </w:p>
    <w:p>
      <w:pPr>
        <w:spacing w:after="0" w:line="17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shares of preferred stock represented by depositary shares will be deposited under a depositary agreement between us and a bank or trust company that meets certain requirements and is selected by us, which we refer to as the bank depositary. Each owner of a depositary share will be entitled to all the rights and preferences of the shares of preferred stock represented by the depositary share. The depositary shares will be evidenced by depositary receipts issued pursuant to the depositary agreement. Depositary receipts will be distributed to those persons purchasing the fractional shares of preferred stock in accordance with the terms of the offering. The deposit agreement will also contain provisions relating to the manner in which any subscription or similar rights we offer to holders of the preferred stock will be made available to the holders of depositary shares.</w:t>
      </w:r>
    </w:p>
    <w:p>
      <w:pPr>
        <w:spacing w:after="0" w:line="164"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The following description is a general summary of some common provisions of a depositary agreement and the related depositary receipts. The description below and in any prospectus supplement does not include all of the terms of the depositary agreement and the related depositary receipts. Copies of the form of depositary agreement and the depositary receipts relating to any particular issue of depositary shares will be filed with the SEC each time we issue depositary shares, and you should read those documents for provisions that may be important to you. For more information on how you can obtain copies of the forms of the depositary agreement and the related depositary receipts, see “Where You Can Find More Information.”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If we pay a cash distribution or dividend on a series of preferred stock represented by depositary shares, the bank depositary will distribute these dividends to the record holders of these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this property and distribute the net proceeds from this sale to the record holders of the depositary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the Preferred Stock</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Upon receipt of notice of any meeting at which the holders of the preferred stock represented by depositary shares are entitled to vote, the bank depositary will mail the notice to the record holders of the depositary shares relating to the preferred stock. Each record holder of these depositary shares on the record date (which will be the same date as the record date for the preferred stock) may instruct the bank depositary as to how to vote the preferred stock represented by this holder’s depositary shares. The bank depositary will endeavor, insofar as practicable, to vote the amount of the preferred stock represented by such depositary shares in accordance with these instructions, and we will take all action which the bank depositary deems necessary in order to enable the bank depositary to do so. The bank depositary will abstain from voting shares of the preferred stock to the extent it does not receive specific instructions from the holders of depositary shares representing this preferred stock.</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 of the Depositary Agreement</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this amendment has been approved by the holders of at least a majority of the depositary shares then outstanding. The depositary agreement may be terminated by the bank depositary or us only if:</w:t>
      </w:r>
    </w:p>
    <w:p>
      <w:pPr>
        <w:spacing w:after="0" w:line="92"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has been a final distribution in respect of the preferred stock in connection with any liquidation, dissolution or winding up of CECO and this distribution has been distributed to the holders of depositary receipts.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Charges of Bank Depositary</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We will pay all transfer and other taxes and governmental charges arising solely from the existence of the depositary arrangements. We will pay charges of the bank depositary in connection with the initial deposit of the preferred stock and any redemption of the preferred stock. Holders of depositary receipts will pay other transfer and other taxes and governmental charges and any other charges, including a fee for the withdrawal of shares of preferred stock upon surrender of depositary receipts, as are expressly provided in the depositary agreement to be for their accounts.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Preferred Stock</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Except as may be provided otherwise in the applicable prospectus supplement, upon surrender of depositary receipts at the principal office of the bank depositary, subject to the terms of the depositary agreement, the owner of the depositary shares may demand delivery of the number of whole shares of preferred stock and all money and other property, if any, represented by those depositary shares. Fractional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this holder at the same time a new depositary receipt evidencing the excess number of depositary shares. Holders of preferred stock thus withdrawn may not thereafter deposit those shares under the depositary agreement or receive depositary receipts evidencing depositary shares therefor.</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The bank depositary will forward to holders of depositary receipts all reports and communications from us that are delivered to the bank depositary and that we are required to furnish to the holders of preferred stock.</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Neither the bank depositary nor we will be liable if we are prevented or delayed by law or any circumstance beyond our control in performing our obligations under the depositary agreement. The obligations of the bank depositary and us under the depositary agreement will be limited to performance in good faith of our duties thereunder, and we will not be obligated to prosecute or defend any legal proceeding in respect of any depositary shares or shares of preferred stock unless satisfactory indemnity is furnished. We may rely upon written advice of counsel or accountants, or upon information provided by persons presenting shares of preferred stock for deposit, holders of depositary receipts or other persons believed to be competent and on documents believed to be genuine.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and Removal of Bank Depositary</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bank depositary may resign at any time by delivering to us notice of its election to do so, and we may at any time remove the bank depositary. Any such resignation or removal will take effect upon the appointment of a successor bank depositary and the successor’s acceptance of this appointment. The successor bank depositary must be appointed within 60 days after delivery of the notice of resignation or removal and must be a bank or trust company meeting the requirements of the depositary agreement.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may issue warrants for the purchase of common stock, preferred stock, depositary shares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4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8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Warrants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relating to a particular issue of warrants to issue debt securities will describe the terms of those warrants, including the following:</w:t>
      </w:r>
    </w:p>
    <w:p>
      <w:pPr>
        <w:spacing w:after="0" w:line="76"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the warrants;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that the warrants are issued with and the number of warrants issued with each debt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debt securities issued with them will be separately transferable;</w:t>
      </w:r>
    </w:p>
    <w:p>
      <w:pPr>
        <w:spacing w:after="0" w:line="142"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warrant and the price at which the debt securities may be purchased upon exercise;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warrants represented by the warrant certificates or debt securities that may be issued upon exercise of the warrants will be issued in registered or bearer form;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relating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Warrants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prospectus supplement relating to a particular issue of warrants to issue common stock, preferred stock or depositary shares will describe the terms of the common stock warrants and preferred stock warrants, including the following:</w:t>
      </w:r>
    </w:p>
    <w:p>
      <w:pPr>
        <w:spacing w:after="0" w:line="76"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designation and terms of the common stock, preferred stock or depositary shares that may be purchased upon exercise of the warrants;</w:t>
      </w:r>
    </w:p>
    <w:p>
      <w:pPr>
        <w:spacing w:after="0" w:line="153" w:lineRule="exact"/>
        <w:rPr>
          <w:rFonts w:ascii="Arial" w:cs="Arial" w:eastAsia="Arial" w:hAnsi="Arial"/>
          <w:sz w:val="16"/>
          <w:szCs w:val="16"/>
          <w:color w:val="auto"/>
        </w:rPr>
      </w:pPr>
    </w:p>
    <w:p>
      <w:pPr>
        <w:ind w:left="1080" w:right="4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that the warrants are issued with and the number of warrants issued with each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142"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or depositary shares that may be purchased upon exercise of a warrant and the price at which the shares may be purchased upon exercise;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Each warrant will entitle the holder of the warrant to purchase at the exercise price set forth in the applicable prospectus supplement the number of shares of common stock, preferred stock or depositary shares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57" w:lineRule="exact"/>
        <w:rPr>
          <w:sz w:val="20"/>
          <w:szCs w:val="20"/>
          <w:color w:val="auto"/>
        </w:rPr>
      </w:pPr>
    </w:p>
    <w:p>
      <w:pPr>
        <w:jc w:val="both"/>
        <w:ind w:left="120" w:right="40" w:firstLine="440"/>
        <w:spacing w:after="0" w:line="342" w:lineRule="auto"/>
        <w:rPr>
          <w:sz w:val="20"/>
          <w:szCs w:val="20"/>
          <w:color w:val="auto"/>
        </w:rPr>
      </w:pPr>
      <w:r>
        <w:rPr>
          <w:rFonts w:ascii="Arial" w:cs="Arial" w:eastAsia="Arial" w:hAnsi="Arial"/>
          <w:sz w:val="16"/>
          <w:szCs w:val="16"/>
          <w:color w:val="auto"/>
        </w:rPr>
        <w:t>Until a holder exercises the warrants to purchase our common stock, preferred stock, depositary shares or debt securities, the holder will not have any rights as a holder of our common stock, preferred stock, depositary shares or debt securities, as the case may be, by virtue of ownership of warrants.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issue to our stockholders subscription rights to purchase our common stock, preferred stock, depositary shares or debt securities. The following description sets forth certain general terms and provisions of the subscription rights that we may offer pursuant to this prospectus. The particular terms of the subscription rights and the extent, if any, to which the general terms and provisions may apply to the subscription rights so offered will be described in the applicable prospectus supplement.</w:t>
      </w:r>
    </w:p>
    <w:p>
      <w:pPr>
        <w:spacing w:after="0" w:line="18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Subscription rights may be issued independently or together with any other security offered by this prospectus and may or may not be transferable by the stockholder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 or offer these securities to other parties who are not our stockholders. A copy of the form of subscription rights certificate will be filed with the SEC each time we issue subscription rights, and you should read that document for provisions that may be important to you. For more information on how you can obtain a copy of any subscription rights certificate, see “Where You Can Find More Information.”</w:t>
      </w:r>
    </w:p>
    <w:p>
      <w:pPr>
        <w:spacing w:after="0" w:line="16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applicable prospectus supplement relating to any subscription rights will describe the terms of the offered subscription rights, including, where applicable, the following:</w:t>
      </w:r>
    </w:p>
    <w:p>
      <w:pPr>
        <w:spacing w:after="0" w:line="76"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exercise price for the subscription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subscription rights issued to each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130"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terms, procedures and limitations relating to the exchange and exercise of the subscription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on which the right to exercise the subscription rights will commence and the date on which the right will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the subscription rights include an over-subscription privilege with respect to unsubscribed securities; and</w:t>
      </w:r>
    </w:p>
    <w:p>
      <w:pPr>
        <w:spacing w:after="0" w:line="130" w:lineRule="exact"/>
        <w:rPr>
          <w:rFonts w:ascii="Arial" w:cs="Arial" w:eastAsia="Arial" w:hAnsi="Arial"/>
          <w:sz w:val="18"/>
          <w:szCs w:val="18"/>
          <w:color w:val="auto"/>
        </w:rPr>
      </w:pPr>
    </w:p>
    <w:p>
      <w:pPr>
        <w:jc w:val="center"/>
        <w:ind w:left="5540" w:right="680" w:hanging="4884"/>
        <w:spacing w:after="0" w:line="449" w:lineRule="auto"/>
        <w:tabs>
          <w:tab w:leader="none" w:pos="10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material terms of any standby underwriting arrangement entered into by us in connection with the subscription rights offering. 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400" w:firstLine="440"/>
        <w:spacing w:after="0" w:line="286" w:lineRule="auto"/>
        <w:rPr>
          <w:sz w:val="20"/>
          <w:szCs w:val="20"/>
          <w:color w:val="auto"/>
        </w:rPr>
      </w:pPr>
      <w:r>
        <w:rPr>
          <w:rFonts w:ascii="Arial" w:cs="Arial" w:eastAsia="Arial" w:hAnsi="Arial"/>
          <w:sz w:val="17"/>
          <w:szCs w:val="17"/>
          <w:color w:val="auto"/>
        </w:rPr>
        <w:t>The following description sets forth certain general terms and provisions of the debt securities that we may issue, which may be issued as convertible or exchangeable debt securities. We will set forth the particular terms of the debt securities we offer in a prospectus supplement and the extent, if any, to which the following general terms and provisions will apply to particular debt securities.</w:t>
      </w:r>
    </w:p>
    <w:p>
      <w:pPr>
        <w:spacing w:after="0" w:line="16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debt securities will be issued under an indenture to be entered into between us and Wilmington Trust, National Association, as trustee. The indenture, and any supplemental indentures thereto, will be subject to, and governed by, the Trust Indenture Act of 1939, as amended. The following description of general terms and provisions relating to the debt securities and the indenture under which the debt securities may be issued is a summary only and therefore is not complete and is subject to, and qualified in its entirety by reference to, the terms and provisions of the indenture. The form of the indenture has been filed with the SEC as an exhibit to the registration statement, of which this prospectus forms a part, and you should read the indenture for provisions that may be important to you. For more information on how you can obtain a copy of the form of the indenture, see “Where You Can Find More Information.”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Unless otherwise specified in a prospectus supplement, the debt securities will be our direct, unsecured obligations and will rank equally with all of our existing and future senior unsecured indebtedness senior in right of payment to all of our subordinated indebtedness.</w:t>
      </w:r>
    </w:p>
    <w:p>
      <w:pPr>
        <w:spacing w:after="0" w:line="146"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 indenture does not limit the aggregate principal amount of debt securities that may be issued under it and provides that debt securities may be issued under it from time to time in one or more series. We may specify a maximum aggregate principal amount for the debt securities of any series.</w:t>
      </w:r>
    </w:p>
    <w:p>
      <w:pPr>
        <w:spacing w:after="0" w:line="12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Unless otherwise specified in the applicable prospectus supplement, the indenture does not afford the holders of the debt securities the right to require us to repurchase or redeem the debt securities in the event of a highly-leveraged transaction.</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We are not obligated to issue all debt securities of one series at the same time and, unless otherwise provided in the applicable prospectus supplement, we may reopen a series, without the consent of the holders of the outstanding debt securities of that series, for the issuance of additional debt securities of that series. Additional debt securities of a particular series will have the same terms and conditions as outstanding debt securities of such series, except for the issue date and, in some cases, the public offering price and the first interest payment date, and will be consolidated with, and form a single series with, such outstanding debt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such additional debt securities are not fungible with the outstanding debt securities of such series for U.S. federal income tax purposes, the additional debt securities will have a separate CUSIP number.</w:t>
      </w:r>
    </w:p>
    <w:p>
      <w:pPr>
        <w:spacing w:after="0" w:line="16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will set forth in a prospectus supplement relating to any debt securities being offered, the aggregate principal amount and the following terms of the debt securities, if applicable:</w:t>
      </w:r>
    </w:p>
    <w:p>
      <w:pPr>
        <w:spacing w:after="0" w:line="76"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the debt securities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series of debt securities;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debt securities will be senior debt securities or subordinated debt securities, and if they are subordinated debt securities, the terms of the subordination;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or dates on which the principal on the series of debt securities is payable;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such rate or rates (including any commodity, commodity index, stock exchange index or financial index) at which the series of debt securities will bear interest, if any, the date or dates from which such interest, if any, will accrue, the date or dates on which such interest, if any,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right, if any to extend the interest periods and the duration of that extension;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and interest, if any, on, the debt securities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and conditions upon which the debt securities may be redeemed;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obligation we may have to redeem or purchase the debt securities pursuant to any sinking fund or analogous provisions or at the option of a holder of the debt securities;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the debt securities at the option of the holders of the debt securities and other detailed terms and provisions of such repurchase obligations;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minimum denominations of $2,000 and integral multiples of $1,000 in excess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if any, on the debt securities will be made if other than U.S. dollars;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described in this prospectus or in the indenture and any change in the acceleration provisions described in this prospectus or in the indenture with respect to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addition to or change in the covenants described in this prospectus or in the indenture with respect to the debt securities;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such debt securities);</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series of debt securities, if other than appointed in the indenture;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provisions relating to conversion of the debt securities.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is not intended to be an exclusive list of the terms that may be applicable to any offered debt securities.</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addition, the indenture does not limit our ability to issue convertible, exchangeable or subordinated debt securities. Any conversion, exchange or subordination provisions of debt securities will be described in the relevant prospectus supplement. Such terms may include provisions for conversion or exchange, either mandatory, at the option of the holder or at our option, in which case the number of shares of common stock or other securities to be received by the holders of debt securities would be calculated as of a time and in the manner stated in the prospectus supplement.</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and Transfer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Debt securities may be transferred or exchanged at the office of the registrar or co-registrar designated by us.</w:t>
      </w:r>
    </w:p>
    <w:p>
      <w:pPr>
        <w:spacing w:after="0" w:line="22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event of any redemption of debt securities of any series, we will not be required to:</w:t>
      </w:r>
    </w:p>
    <w:p>
      <w:pPr>
        <w:spacing w:after="0" w:line="131" w:lineRule="exact"/>
        <w:rPr>
          <w:sz w:val="20"/>
          <w:szCs w:val="20"/>
          <w:color w:val="auto"/>
        </w:rPr>
      </w:pPr>
    </w:p>
    <w:p>
      <w:pPr>
        <w:ind w:left="1080" w:right="300" w:hanging="424"/>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issue, register the transfer of, or exchange, any debt security of that series during a period beginning at the opening of 15 business days before the day of sending of a notice of redemption and ending at the close of business on the day such notice is sent; or</w:t>
      </w:r>
    </w:p>
    <w:p>
      <w:pPr>
        <w:spacing w:after="0" w:line="29"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called or being called for redemption, in whole or in part, except the unredeemed portion of any series being redeemed in part.</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may initially appoint the trustee as the registrar. Any transfer agent, in addition to the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securities. Each global security will:</w:t>
      </w:r>
    </w:p>
    <w:p>
      <w:pPr>
        <w:spacing w:after="0" w:line="131"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registered in the name of a depositary that we will identify in a prospectus supplement;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deposited with the trustee as custodian for the depositary or its nominee;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No global security may be exchanged in whole or in part for debt securities registered in the name of any person other than the depositary or any nominee unless:</w:t>
      </w:r>
    </w:p>
    <w:p>
      <w:pPr>
        <w:spacing w:after="0" w:line="76" w:lineRule="exact"/>
        <w:rPr>
          <w:sz w:val="20"/>
          <w:szCs w:val="20"/>
          <w:color w:val="auto"/>
        </w:rPr>
      </w:pPr>
    </w:p>
    <w:p>
      <w:pPr>
        <w:ind w:left="1080" w:right="12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depositary has notified us that it is unwilling or unable to continue as depositary or has ceased to be qualified to act as depositary, and in either case we fail to appoint a successor depositary registered as a clearing agency under the Exchange Act within 90 days of such event;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execute and deliver to the trustee an officer’s certificate to the effect that such global securities shall be so exchangeable;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event of default with respect to the debt securities represented by such global securities shall have occurred and be continuing.</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w:t>
      </w:r>
    </w:p>
    <w:p>
      <w:pPr>
        <w:spacing w:after="0" w:line="8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registered in their names;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 not be entitled to physical delivery of certificated debt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 not be considered to be holders of those debt securities under the indenture.</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 Each person owning a beneficial interest in a global security must rely on the procedures of the depositary (and, if such person is not a participant, on procedures of the participant through which such person owns its interest) to exercise any rights of a holder under the indenture.</w:t>
      </w:r>
    </w:p>
    <w:p>
      <w:pPr>
        <w:spacing w:after="0" w:line="16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Ownership of beneficial interests in a global security will be shown on and effected through records maintained by the depositary, with respect to participants’ interests, or by any participant, with respect to interests of persons held by participants on their behalf. Payments, transfers and exchanges relating to beneficial interests in a global security will be subject to policies and procedures of the depositary. The depositary policies and procedures may change from time to time. Neither we nor the trustee will have any responsibility or liability for the depositary’s acts or omissions or any participant’s records with respect to beneficial interests in a global security.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provisions of this subsection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w:t>
      </w:r>
    </w:p>
    <w:p>
      <w:pPr>
        <w:spacing w:after="0" w:line="18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84"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Subject to any applicable abandoned property law, all moneys paid by us to a paying agent for payment on any debt security that remain unclaimed at the end of two years after such payment was due will be repaid to us. Thereafter, the holder may look only to us for such payment.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Except as otherwise set forth in the applicable prospectus supplement, we may not merge or consolidate with or into any other person, in a transaction in which we are not the surviving corporation, or sell, convey,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transfer, lease or otherwise dispose of all or substantially all of the properties and assets of us and our subsidiaries, taken as a whole, to any person, unless:</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successor or transferee is a U.S. corporation, limited liability company, partnership, trust or other entity;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successor or transferee assumes our obligations on the debt securities and under the indenture pursuant to a supplemental indenture in form reasonably satisfactory to the trustee;</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and treating our obligations in connection with or as a result of such transaction as having been incurred as of the time of such transaction, no default or event of default under the indenture shall have occurred and be continuing;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have been delivered to the trustee in connection with the foregoing.</w:t>
      </w:r>
    </w:p>
    <w:p>
      <w:pPr>
        <w:spacing w:after="0" w:line="22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the event of the above transaction, if there is a successor or transferee, then the successor or transferee will expressly assume all of our obligations under the indenture and automatically be substituted for us in the indenture and as issuer of the debt securities and may exercise every right and power of ours under the indenture with the same effect as if such successor or transferee had been named in our place in the indenture; provided, however, that the predecessor company will not be relieved of the obligation to pay principal and interest on the debt securities except in the case of a sale of all of the assets of us and our subsidiaries.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in the payment of any interest on any debt security of that series when it becomes due and payable, and continuance of that default for a period of 30 days;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on, any debt security of that series when due and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on our part to comply with the covenant described under “—Consolidation, Merger and Sale of Assets”;</w:t>
      </w:r>
    </w:p>
    <w:p>
      <w:pPr>
        <w:spacing w:after="0" w:line="130"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default in the performance or breach of any other covenant or warranty by us in the indenture or any supplemental indenture with respect to such series (other than a covenant or warranty that has been included in the indenture or supplemental indenture solely for the benefit of a series of debt securities other than that series), which default continues uncured for a period of 60 days after (1) we receive written notice from the trustee or (2) we and the trustee receive written notice from the holders of not less than 25% in aggregate principal amount of the outstanding debt securities of that series as provided in the indenture;</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our company or our significant subsidiaries;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other event of default provided with respect to debt securities of that series that is described in the applicable prospectus supplement.</w:t>
      </w:r>
    </w:p>
    <w:p>
      <w:pPr>
        <w:spacing w:after="0" w:line="248"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will promptly deliver to the trustee written notice of any event which with the giving of notice and the lapse of time would become a covenant event of default, or any other event of default provided with respect to debt securities of that series that is described in the applicable prospectus supplement, along with a description of the status and what action we are taking or propose to take with respect to such event of default.</w:t>
      </w:r>
    </w:p>
    <w:p>
      <w:pPr>
        <w:spacing w:after="0" w:line="14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If an event of default (other than an event of default resulting from certain events of bankruptcy, insolvency or reorganization of our company) with respect to debt securities of any series at the time outstanding occurs and is continuing, then the trustee or the holders of not less than 25% in aggregate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of our company,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the holders of a majority in aggregate principal amount of the outstanding debt securities of that series may rescind and annul the acceleration if the rescission and annulment would not conflict with any judgment or decree already rendered and if all events of default with respect to that series, other than the non-payment of principal and interest, if any, with respect to debt securities of that series that has become due and payable solely because of the acceleration, have been cured or waived and all sums paid or advanced by the trustee and the reasonable compensation expenses and disbursements of the trustee and its agents and counsel have been paid as provided in the indenture.</w:t>
      </w:r>
    </w:p>
    <w:p>
      <w:pPr>
        <w:spacing w:after="0" w:line="17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indenture provides that the trustee will be under no obligation to exercise any of its rights or powers under the indenture at the request of any holder of outstanding debt securities, unless the trustee receives security or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80" w:right="2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080" w:right="240" w:hanging="424"/>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 and offered security or indemnity satisfactory to the trustee, to institute the proceeding as trustee, and the trustee has not received from the holders of a majority in aggregate principal amount of the outstanding debt securities of that series a direction inconsistent with that request and has failed to institute the proceeding within 60 days.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Notwithstanding the foregoing, the holder of any debt security will have an absolute and unconditional right to receive payment of the principal of, and premium and any interest on, that debt security on or after the due dates expressed in that debt security and to institute suit for the enforcement of such payment.</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We may amend or modify the indenture without the consent of any holder of debt securities of the series affected by the modifications or amendments in order to:</w:t>
      </w:r>
    </w:p>
    <w:p>
      <w:pPr>
        <w:spacing w:after="0" w:line="76"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cure any ambiguity, defect or inconsistency;</w:t>
      </w:r>
    </w:p>
    <w:p>
      <w:pPr>
        <w:spacing w:after="0" w:line="130" w:lineRule="exact"/>
        <w:rPr>
          <w:rFonts w:ascii="Arial" w:cs="Arial" w:eastAsia="Arial" w:hAnsi="Arial"/>
          <w:sz w:val="18"/>
          <w:szCs w:val="18"/>
          <w:color w:val="auto"/>
        </w:rPr>
      </w:pPr>
    </w:p>
    <w:p>
      <w:pPr>
        <w:jc w:val="both"/>
        <w:ind w:left="1080" w:right="46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conform the text of the indenture, including any supplemental indenture, or the debt securities to any corresponding provision of this “Description of Debt Securities” or description of the debt securities found in the prospectus supplement as evidenced by an officer’s certificate;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for the issuance of additional debt securities;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for the assumption of our obligations in the case of a merger or consolidation and our discharge upon such assumption provided that the provision under “Consolidation, Merger and Sale of Assets” of the indenture is complied with;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 covenants or make any change that would provide any additional rights or benefits to the holders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 guarantees with respect to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for uncertificated debt securities in addition to or in place of certificated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secure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 or appoint a successor or separate trustee;</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of debt securities in any material respect, as evidenced by an officer’s certificate;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or maintain the qualification of the indenture under the Trust Indenture Act of 1939, as amended.</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Other amendments and modifications of the indenture or the debt securities issued may be made with the consent of the holders of at least a majority of the aggregate principal amount of the outstanding debt securities of the affected series, and our compliance with any provision of the indenture with respect to the debt securities may be waived by written notice to the trustee by the holders of a majority of the aggregate principal amount of the outstanding debt securities of the affected series. However, no modification or amendment may, without the consent of the holder of each outstanding debt security of the affected series:</w:t>
      </w:r>
    </w:p>
    <w:p>
      <w:pPr>
        <w:spacing w:after="0" w:line="93" w:lineRule="exact"/>
        <w:rPr>
          <w:sz w:val="20"/>
          <w:szCs w:val="20"/>
          <w:color w:val="auto"/>
        </w:rPr>
      </w:pPr>
    </w:p>
    <w:p>
      <w:pPr>
        <w:ind w:left="1080" w:right="2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the principal amount, any premium or change the stated maturity of any debt security or alter or waive any of the provisions with respect to the redemption or repurchase of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the place of payment or currency in which principal, any premium or interest is paid;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waive a payment default with respect to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any change to the amendment and modification provisions in the indenture; or</w:t>
      </w:r>
    </w:p>
    <w:p>
      <w:pPr>
        <w:spacing w:after="0" w:line="130" w:lineRule="exact"/>
        <w:rPr>
          <w:rFonts w:ascii="Arial" w:cs="Arial" w:eastAsia="Arial" w:hAnsi="Arial"/>
          <w:sz w:val="18"/>
          <w:szCs w:val="18"/>
          <w:color w:val="auto"/>
        </w:rPr>
      </w:pPr>
    </w:p>
    <w:p>
      <w:pPr>
        <w:ind w:left="1080" w:right="400" w:hanging="424"/>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reduce the percentage in principal amount outstanding of debt securities, the consent of the holders of which is required for any of the foregoing modifications or otherwise necessary to modify, supplement or amend the indenture or to waive any past default.</w:t>
      </w:r>
    </w:p>
    <w:p>
      <w:pPr>
        <w:spacing w:after="0" w:line="12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 affected series may, on behalf of the holders of all debt securities of such series, waive our compliance with provisions of the indenture. Prior to the acceleration of the maturity of the debt securities of any series pursuant to the terms of the indenture, the holders of a majority in aggregate principal amount of the outstanding debt securities of such series may, on behalf of the holders of all the debt securities of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such series, waive any past default under the indenture with respect to such debt securities and its consequences, except (i) a default with respect to such series in the payment of the principal of, or premium or any interest on, the debt securities of such series or (ii) a default or event of default in respect of a covenant or provision that cannot be modified or amended without the consent of all of the holders of the outstanding debt securities of the affected series.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Legal Defeasance</w:t>
      </w:r>
      <w:r>
        <w:rPr>
          <w:rFonts w:ascii="Arial" w:cs="Arial" w:eastAsia="Arial" w:hAnsi="Arial"/>
          <w:sz w:val="17"/>
          <w:szCs w:val="17"/>
          <w:color w:val="auto"/>
        </w:rPr>
        <w:t>. The indenture provides that, in certain circumstances, we may be discharged from any and all obligations in respect of the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of any series (except for certain obligations to register the transfer or exchange of debt securities, to replace stolen, lost or mutilated debt securities, and to maintain paying agencies and certain provisions relating to the treatment of funds held by paying agents). We will be so discharged upon the deposit with the trustee, in trust, of money and/or U.S. government obligations that, through the payment of interest and principal in accordance with their terms, will provide money in an amount sufficient in the written opinion of a nationally recognized firm of independent public accountants, a nationally recognized investment bank or a nationally recognized appraisal firm to pay and discharge each installment of principal, premium and interest in accordance with the terms of the indenture and the debt securities of that series.</w:t>
      </w:r>
    </w:p>
    <w:p>
      <w:pPr>
        <w:spacing w:after="0" w:line="17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U.S. federal income tax law, in either case to the effect that, and based thereon such opinion shall confirm that, the beneficial owners of the debt securities of the applicable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w:t>
      </w:r>
    </w:p>
    <w:p>
      <w:pPr>
        <w:spacing w:after="0" w:line="17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Defeasance of Certain Covenants</w:t>
      </w:r>
      <w:r>
        <w:rPr>
          <w:rFonts w:ascii="Arial" w:cs="Arial" w:eastAsia="Arial" w:hAnsi="Arial"/>
          <w:sz w:val="17"/>
          <w:szCs w:val="17"/>
          <w:color w:val="auto"/>
        </w:rPr>
        <w:t>. The indenture provides that, upon compliance with certain conditions, we may be released from our obligation</w:t>
      </w:r>
      <w:r>
        <w:rPr>
          <w:rFonts w:ascii="Arial" w:cs="Arial" w:eastAsia="Arial" w:hAnsi="Arial"/>
          <w:sz w:val="17"/>
          <w:szCs w:val="17"/>
          <w:i w:val="1"/>
          <w:iCs w:val="1"/>
          <w:color w:val="auto"/>
        </w:rPr>
        <w:t xml:space="preserve"> </w:t>
      </w:r>
      <w:r>
        <w:rPr>
          <w:rFonts w:ascii="Arial" w:cs="Arial" w:eastAsia="Arial" w:hAnsi="Arial"/>
          <w:sz w:val="17"/>
          <w:szCs w:val="17"/>
          <w:color w:val="auto"/>
        </w:rPr>
        <w:t>to comply with certain covenants set forth in the indenture and any supplemental indenture, and any failure to comply with those covenants will not constitute a default or an event of default with respect to the debt securities of the applicable series, or covenant defeasance. If we exercise our covenant defeasance option with respect to a series of debt securities, payment of such debt securities may not be accelerated because of an event of default related to certain events of bankruptcy, insolvency or reorganization of our significant subsidiaries.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conditions include:</w:t>
      </w:r>
    </w:p>
    <w:p>
      <w:pPr>
        <w:spacing w:after="0" w:line="131" w:lineRule="exact"/>
        <w:rPr>
          <w:sz w:val="20"/>
          <w:szCs w:val="20"/>
          <w:color w:val="auto"/>
        </w:rPr>
      </w:pPr>
    </w:p>
    <w:p>
      <w:pPr>
        <w:ind w:left="1080" w:right="160" w:hanging="424"/>
        <w:spacing w:after="0" w:line="301"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depositing with the trustee money and/or U.S. government obligations that, through the payment of interest and principal in accordance with their terms, will provide money in an amount sufficient in the written opinion of a nationally recognized firm of independent public accountants, a nationally recognized investment bank or a nationally recognized appraisal firm to pay and discharge each installment of principal of, premium and interest in accordance with the terms of the indenture and the debt securities of the applicable series; and</w:t>
      </w:r>
    </w:p>
    <w:p>
      <w:pPr>
        <w:spacing w:after="0" w:line="62" w:lineRule="exact"/>
        <w:rPr>
          <w:rFonts w:ascii="Arial" w:cs="Arial" w:eastAsia="Arial" w:hAnsi="Arial"/>
          <w:sz w:val="16"/>
          <w:szCs w:val="16"/>
          <w:color w:val="auto"/>
        </w:rPr>
      </w:pPr>
    </w:p>
    <w:p>
      <w:pPr>
        <w:jc w:val="both"/>
        <w:ind w:left="1080" w:right="60" w:hanging="424"/>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beneficial owners of the debt securities of the applicable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issue purchase contracts, including contracts obligating holders to purchase from us, and obligating us to sell to the holders, a specified number of common shares or other securities at a future date or dates. The price per security of the securities and the number of securities may be fixed at the time the purchase contracts are issued or may be determined by reference to a specific formula set forth in the purchase contracts. The purchase contracts also may require us to make periodic payments to the holders of the purchase contracts, or vice versa, and those payments may be unsecured or refunded on some basis. The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purchase contracts.</w:t>
      </w:r>
    </w:p>
    <w:p>
      <w:pPr>
        <w:spacing w:after="0" w:line="19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securities related to the purchase contracts may be pledged to a collateral agent for our benefit pursuant to a pledge agreement to secure the obligations of holders of purchase contracts to purchase the underlying security or property under the related purchase contracts. The rights of holders of purchase contracts to the related pledged securities will be subject to our security interest therein created by the pledge agreement. No holder of purchase contracts will be permitted to withdraw the pledged securities related to such purchase contracts from the pledge arrangement.</w:t>
      </w:r>
    </w:p>
    <w:p>
      <w:pPr>
        <w:spacing w:after="0" w:line="15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prospectus supplement relating to any particular issuance of purchase contracts will describe the terms of the purchase contracts. The description in the prospectus supplement will not necessarily be complete, and reference will be made to the purchase contracts, and, if applicable, collateral or depositary arrangements, relating to the purchase contracts, which will be filed with the SEC each time we issue purchase contracts. U.S. federal income tax considerations applicable to the purchase contracts will also be discussed in the prospectus supplement.</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6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76" w:lineRule="exact"/>
        <w:rPr>
          <w:sz w:val="20"/>
          <w:szCs w:val="20"/>
          <w:color w:val="auto"/>
        </w:rPr>
      </w:pPr>
    </w:p>
    <w:p>
      <w:pPr>
        <w:ind w:left="1080" w:right="4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provision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offered securities in and outside the United States:</w:t>
      </w:r>
    </w:p>
    <w:p>
      <w:pPr>
        <w:spacing w:after="0" w:line="131"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 rights offering;</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block trades in which dealers will attempt to sell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purchases by a dealer as principal and resales by the dealer for its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a combination of any of these methods.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prospectus supplement will include the following information:</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purchase price or initial public offering price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underwriters are used in the sale,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95"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agreement, we may retain a dealer-manager to manage a subscription rights offering for us.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64"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dealers are used in the sale of securities, we will sell the securities to them as principals. They may then resell those securities to the public at varying prices determined by the dealers at the time of resale. We will include in the prospectus supplement the names of the dealers and the terms of the transaction.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may sell the securities directly. In this case, no underwriters or agents would be involved. We may also sell the securities through agents designated from time to time at fixed prices or at varying prices determined at the time of sale. In the prospectus supplement, we will name any agent involved in the offer or sale of the offered securities, and we will describe any commissions payable to the agent. Unless we inform you otherwise in the prospectus supplement, any agent will agree to use its reasonable best efforts to solicit purchases for the period of its appointment.</w:t>
      </w:r>
    </w:p>
    <w:p>
      <w:pPr>
        <w:spacing w:after="0" w:line="157"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We may sell the securities directly to institutional investors or others who may be deemed to be underwriters within the meaning of the Securities Act with respect to any sale of those securities. We will describe the terms of any sales of these securities in the prospectus supplement.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Remarketing Arrangements</w:t>
      </w:r>
    </w:p>
    <w:p>
      <w:pPr>
        <w:spacing w:after="0" w:line="12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Offered 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Delayed Delivery Contracts</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underwriters or remarketing firms may be required to make. Agents, dealers, underwriters and remarketing firms may be customers of, engage in transactions with or perform services for us in the ordinary course of their businesses.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Jones Day will pass upon the validity of the securities being offered hereby. Any underwriters will be advised about other issues to any offering by their own legal counsel.</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consolidated financial statements as of December 31, 2021 and 2020 and for each of the three years in the period ended December 31, 2021 and management’s assessment of the effectiveness of internal control over financial reporting as of December 31, 2021 incorporated by reference in this Prospectus have been so incorporated in reliance on the reports of BDO USA, LLP, an independent registered public accounting firm, incorporated herein by reference, given on the authority of said firm as experts in auditing and accounting.</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following table sets forth the estimated expenses in connection with the issuance and distribution of an assumed amount of $150,000,000 of securities registered under this registration statement, other than any underwriting discounts and commissions. All of the expenses will be borne by us except as otherwise indicated.</w:t>
      </w:r>
    </w:p>
    <w:p>
      <w:pPr>
        <w:spacing w:after="0" w:line="22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13,905</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Trustee’s fees and expenses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Printing expenses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4480" w:type="dxa"/>
            <w:vAlign w:val="bottom"/>
          </w:tcPr>
          <w:p>
            <w:pPr>
              <w:ind w:left="360"/>
              <w:spacing w:after="0"/>
              <w:rPr>
                <w:sz w:val="20"/>
                <w:szCs w:val="20"/>
                <w:color w:val="auto"/>
              </w:rPr>
            </w:pPr>
            <w:r>
              <w:rPr>
                <w:rFonts w:ascii="Arial" w:cs="Arial" w:eastAsia="Arial" w:hAnsi="Arial"/>
                <w:sz w:val="18"/>
                <w:szCs w:val="18"/>
                <w:color w:val="auto"/>
              </w:rPr>
              <w:t>Total</w:t>
            </w:r>
          </w:p>
        </w:tc>
        <w:tc>
          <w:tcPr>
            <w:tcW w:w="2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4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340" w:hanging="224"/>
        <w:spacing w:after="0" w:line="25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Estimated expenses are not presently known. The foregoing sets forth the general categories of expenses (other than underwriting discounts and commissions) that we anticipate we will incur in connection with the offering of securities under this registration statement on Form S-3. An estimate of the aggregate expenses in connection with the issuance and distribution of the securities being offered will be included in the applicable prospectus supplement.</w:t>
      </w:r>
    </w:p>
    <w:p>
      <w:pPr>
        <w:spacing w:after="0" w:line="331"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Pursuant to the provisions of the General Corporation Law of the State of Delaware (“DGCL”), CECO has adopted provisions in its certificate of incorporation and bylaws that require CECO to indemnify its officers and directors to the fullest extent permitted by law, and eliminate the personal liability of its directors to CECO or CECO’s stockholders for monetary damages for breach of their duty of due care except (a) for any breach of the directors’ duty of loyalty to the corporation or its stockholders, (b) for acts or omissions not in good faith or which involve intentional misconduct or a knowing violation of law, (c) for acts relating to unlawful payment of a dividend or an unlawful stock purchase or redemption or (d) for any transaction from which the director derived an improper personal benefit. These provisions do not eliminate a director’s duty of care. Moreover, the provisions do not apply to claims against a director for violation of certain laws, including federal securities laws.</w:t>
      </w:r>
    </w:p>
    <w:p>
      <w:pPr>
        <w:spacing w:after="0" w:line="17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CECO’s certificate of incorporation and bylaws provide for mandatory indemnification of officers and directors of the corporation, including a director or officer of the corporation who is serving at the request of the corporation as a director, officer, employee or agent of another corporation, partnership, joint venture, trust or other enterprise, to the fullest extent permitted under the DGCL. CECO may also, at its discretion, provide the same benefits of indemnification to any employee or agent of the corporation. Also, CECO is authorized to purchase insurance on behalf of an individual for liabilities incurred whether or not CECO would have the power or obligation to indemnify him or her under our bylaws.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documents are exhibits to the registration statement: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40" w:type="dxa"/>
            <w:vAlign w:val="bottom"/>
            <w:gridSpan w:val="7"/>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5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4"/>
                <w:szCs w:val="24"/>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9040" w:type="dxa"/>
            <w:vAlign w:val="bottom"/>
            <w:tcBorders>
              <w:bottom w:val="single" w:sz="8" w:color="0000EE"/>
            </w:tcBorders>
            <w:gridSpan w:val="11"/>
          </w:tcPr>
          <w:p>
            <w:pPr>
              <w:spacing w:after="0"/>
              <w:rPr>
                <w:rFonts w:ascii="Arial" w:cs="Arial" w:eastAsia="Arial" w:hAnsi="Arial"/>
                <w:sz w:val="18"/>
                <w:szCs w:val="18"/>
                <w:color w:val="0000EE"/>
                <w:w w:val="92"/>
              </w:rPr>
            </w:pPr>
            <w:hyperlink r:id="rId56">
              <w:r>
                <w:rPr>
                  <w:rFonts w:ascii="Arial" w:cs="Arial" w:eastAsia="Arial" w:hAnsi="Arial"/>
                  <w:sz w:val="18"/>
                  <w:szCs w:val="18"/>
                  <w:color w:val="0000EE"/>
                  <w:w w:val="92"/>
                </w:rPr>
                <w:t>Certificate of Incorporation (Incorporated by reference to Exhibit 3(i) to CECO’s Annual Report on Form 10-K (Commission</w:t>
              </w:r>
            </w:hyperlink>
          </w:p>
        </w:tc>
        <w:tc>
          <w:tcPr>
            <w:tcW w:w="8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No. 000-07099) for the fiscal year ended December 31, 2001).</w:t>
              </w:r>
            </w:hyperlink>
          </w:p>
        </w:tc>
        <w:tc>
          <w:tcPr>
            <w:tcW w:w="5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9860" w:type="dxa"/>
            <w:vAlign w:val="bottom"/>
            <w:gridSpan w:val="14"/>
          </w:tcPr>
          <w:p>
            <w:pPr>
              <w:spacing w:after="0"/>
              <w:rPr>
                <w:rFonts w:ascii="Arial" w:cs="Arial" w:eastAsia="Arial" w:hAnsi="Arial"/>
                <w:sz w:val="18"/>
                <w:szCs w:val="18"/>
                <w:color w:val="0000EE"/>
                <w:w w:val="97"/>
              </w:rPr>
            </w:pPr>
            <w:hyperlink r:id="rId57">
              <w:r>
                <w:rPr>
                  <w:rFonts w:ascii="Arial" w:cs="Arial" w:eastAsia="Arial" w:hAnsi="Arial"/>
                  <w:sz w:val="18"/>
                  <w:szCs w:val="18"/>
                  <w:color w:val="0000EE"/>
                  <w:w w:val="97"/>
                </w:rPr>
                <w:t>Amended and Restated Bylaws (Incorporated by reference to Exhibit 3.1 to CECO’s Current Report on Form 8-K (Commission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No. 000-07099) filed with the SEC on December 13, 2017).</w:t>
              </w:r>
            </w:hyperlink>
          </w:p>
        </w:tc>
        <w:tc>
          <w:tcPr>
            <w:tcW w:w="6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9860" w:type="dxa"/>
            <w:vAlign w:val="bottom"/>
            <w:tcBorders>
              <w:bottom w:val="single" w:sz="8" w:color="0000EE"/>
            </w:tcBorders>
            <w:gridSpan w:val="14"/>
          </w:tcPr>
          <w:p>
            <w:pPr>
              <w:spacing w:after="0"/>
              <w:rPr>
                <w:rFonts w:ascii="Arial" w:cs="Arial" w:eastAsia="Arial" w:hAnsi="Arial"/>
                <w:sz w:val="18"/>
                <w:szCs w:val="18"/>
                <w:color w:val="0000EE"/>
                <w:w w:val="92"/>
              </w:rPr>
            </w:pPr>
            <w:hyperlink r:id="rId58">
              <w:r>
                <w:rPr>
                  <w:rFonts w:ascii="Arial" w:cs="Arial" w:eastAsia="Arial" w:hAnsi="Arial"/>
                  <w:sz w:val="18"/>
                  <w:szCs w:val="18"/>
                  <w:color w:val="0000EE"/>
                  <w:w w:val="92"/>
                </w:rPr>
                <w:t>Form of Debt Securities Indenture (Incorporated by reference to Exhibit 4.3 of the Registrant’s Form S-3 filed with the SEC on April 24,</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4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2019 (File No. 333-231001)).</w:t>
              </w:r>
            </w:hyperlink>
          </w:p>
        </w:tc>
        <w:tc>
          <w:tcPr>
            <w:tcW w:w="77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Form of Debt Securities.</w:t>
            </w:r>
          </w:p>
        </w:tc>
        <w:tc>
          <w:tcPr>
            <w:tcW w:w="0" w:type="dxa"/>
            <w:vAlign w:val="bottom"/>
          </w:tcPr>
          <w:p>
            <w:pPr>
              <w:spacing w:after="0"/>
              <w:rPr>
                <w:sz w:val="1"/>
                <w:szCs w:val="1"/>
                <w:color w:val="auto"/>
              </w:rPr>
            </w:pPr>
          </w:p>
        </w:tc>
      </w:tr>
      <w:tr>
        <w:trPr>
          <w:trHeight w:val="324"/>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4"/>
                <w:szCs w:val="24"/>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Preferred Stock Certificate of Amendment.</w:t>
            </w:r>
          </w:p>
        </w:tc>
        <w:tc>
          <w:tcPr>
            <w:tcW w:w="0" w:type="dxa"/>
            <w:vAlign w:val="bottom"/>
          </w:tcPr>
          <w:p>
            <w:pPr>
              <w:spacing w:after="0"/>
              <w:rPr>
                <w:sz w:val="1"/>
                <w:szCs w:val="1"/>
                <w:color w:val="auto"/>
              </w:rPr>
            </w:pPr>
          </w:p>
        </w:tc>
      </w:tr>
      <w:tr>
        <w:trPr>
          <w:trHeight w:val="324"/>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4"/>
                <w:szCs w:val="24"/>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324"/>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4"/>
                <w:szCs w:val="24"/>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Form of Warrant Certificate.</w:t>
            </w:r>
          </w:p>
        </w:tc>
        <w:tc>
          <w:tcPr>
            <w:tcW w:w="0" w:type="dxa"/>
            <w:vAlign w:val="bottom"/>
          </w:tcPr>
          <w:p>
            <w:pPr>
              <w:spacing w:after="0"/>
              <w:rPr>
                <w:sz w:val="1"/>
                <w:szCs w:val="1"/>
                <w:color w:val="auto"/>
              </w:rPr>
            </w:pPr>
          </w:p>
        </w:tc>
      </w:tr>
      <w:tr>
        <w:trPr>
          <w:trHeight w:val="324"/>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24"/>
                <w:szCs w:val="24"/>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Form of Depositary Agreement.</w:t>
            </w:r>
          </w:p>
        </w:tc>
        <w:tc>
          <w:tcPr>
            <w:tcW w:w="0" w:type="dxa"/>
            <w:vAlign w:val="bottom"/>
          </w:tcPr>
          <w:p>
            <w:pPr>
              <w:spacing w:after="0"/>
              <w:rPr>
                <w:sz w:val="1"/>
                <w:szCs w:val="1"/>
                <w:color w:val="auto"/>
              </w:rPr>
            </w:pPr>
          </w:p>
        </w:tc>
      </w:tr>
      <w:tr>
        <w:trPr>
          <w:trHeight w:val="324"/>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24"/>
                <w:szCs w:val="24"/>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Form of Depositary Receipt.</w:t>
            </w:r>
          </w:p>
        </w:tc>
        <w:tc>
          <w:tcPr>
            <w:tcW w:w="0" w:type="dxa"/>
            <w:vAlign w:val="bottom"/>
          </w:tcPr>
          <w:p>
            <w:pPr>
              <w:spacing w:after="0"/>
              <w:rPr>
                <w:sz w:val="1"/>
                <w:szCs w:val="1"/>
                <w:color w:val="auto"/>
              </w:rPr>
            </w:pPr>
          </w:p>
        </w:tc>
      </w:tr>
      <w:tr>
        <w:trPr>
          <w:trHeight w:val="324"/>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4.10*</w:t>
            </w:r>
          </w:p>
        </w:tc>
        <w:tc>
          <w:tcPr>
            <w:tcW w:w="560" w:type="dxa"/>
            <w:vAlign w:val="bottom"/>
          </w:tcPr>
          <w:p>
            <w:pPr>
              <w:spacing w:after="0"/>
              <w:rPr>
                <w:sz w:val="24"/>
                <w:szCs w:val="24"/>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Form of Subscription Rights Certificate.</w:t>
            </w:r>
          </w:p>
        </w:tc>
        <w:tc>
          <w:tcPr>
            <w:tcW w:w="0" w:type="dxa"/>
            <w:vAlign w:val="bottom"/>
          </w:tcPr>
          <w:p>
            <w:pPr>
              <w:spacing w:after="0"/>
              <w:rPr>
                <w:sz w:val="1"/>
                <w:szCs w:val="1"/>
                <w:color w:val="auto"/>
              </w:rPr>
            </w:pPr>
          </w:p>
        </w:tc>
      </w:tr>
      <w:tr>
        <w:trPr>
          <w:trHeight w:val="324"/>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4.11*</w:t>
            </w:r>
          </w:p>
        </w:tc>
        <w:tc>
          <w:tcPr>
            <w:tcW w:w="560" w:type="dxa"/>
            <w:vAlign w:val="bottom"/>
          </w:tcPr>
          <w:p>
            <w:pPr>
              <w:spacing w:after="0"/>
              <w:rPr>
                <w:sz w:val="24"/>
                <w:szCs w:val="24"/>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Form of Purchase Contract.</w:t>
            </w:r>
          </w:p>
        </w:tc>
        <w:tc>
          <w:tcPr>
            <w:tcW w:w="0" w:type="dxa"/>
            <w:vAlign w:val="bottom"/>
          </w:tcPr>
          <w:p>
            <w:pPr>
              <w:spacing w:after="0"/>
              <w:rPr>
                <w:sz w:val="1"/>
                <w:szCs w:val="1"/>
                <w:color w:val="auto"/>
              </w:rPr>
            </w:pPr>
          </w:p>
        </w:tc>
      </w:tr>
      <w:tr>
        <w:trPr>
          <w:trHeight w:val="324"/>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4.12*</w:t>
            </w:r>
          </w:p>
        </w:tc>
        <w:tc>
          <w:tcPr>
            <w:tcW w:w="560" w:type="dxa"/>
            <w:vAlign w:val="bottom"/>
          </w:tcPr>
          <w:p>
            <w:pPr>
              <w:spacing w:after="0"/>
              <w:rPr>
                <w:sz w:val="24"/>
                <w:szCs w:val="24"/>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324"/>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4.13*</w:t>
            </w:r>
          </w:p>
        </w:tc>
        <w:tc>
          <w:tcPr>
            <w:tcW w:w="560" w:type="dxa"/>
            <w:vAlign w:val="bottom"/>
          </w:tcPr>
          <w:p>
            <w:pPr>
              <w:spacing w:after="0"/>
              <w:rPr>
                <w:sz w:val="24"/>
                <w:szCs w:val="24"/>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Form of Unit Certificate.</w:t>
            </w:r>
          </w:p>
        </w:tc>
        <w:tc>
          <w:tcPr>
            <w:tcW w:w="0" w:type="dxa"/>
            <w:vAlign w:val="bottom"/>
          </w:tcPr>
          <w:p>
            <w:pPr>
              <w:spacing w:after="0"/>
              <w:rPr>
                <w:sz w:val="1"/>
                <w:szCs w:val="1"/>
                <w:color w:val="auto"/>
              </w:rPr>
            </w:pPr>
          </w:p>
        </w:tc>
      </w:tr>
      <w:tr>
        <w:trPr>
          <w:trHeight w:val="283"/>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620" w:type="dxa"/>
            <w:vAlign w:val="bottom"/>
            <w:tcBorders>
              <w:bottom w:val="single" w:sz="8" w:color="0000EE"/>
            </w:tcBorders>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Opinion of Jones Day.</w:t>
              </w:r>
            </w:hyperlink>
          </w:p>
        </w:tc>
        <w:tc>
          <w:tcPr>
            <w:tcW w:w="82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986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Consent of Independent Registered Public Accounting Firm.</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60" w:type="dxa"/>
            <w:vAlign w:val="bottom"/>
            <w:gridSpan w:val="4"/>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w w:val="85"/>
              </w:rPr>
              <w:t>23.2</w:t>
            </w:r>
          </w:p>
        </w:tc>
        <w:tc>
          <w:tcPr>
            <w:tcW w:w="560" w:type="dxa"/>
            <w:vAlign w:val="bottom"/>
          </w:tcPr>
          <w:p>
            <w:pPr>
              <w:spacing w:after="0"/>
              <w:rPr>
                <w:sz w:val="24"/>
                <w:szCs w:val="24"/>
                <w:color w:val="auto"/>
              </w:rPr>
            </w:pPr>
          </w:p>
        </w:tc>
        <w:tc>
          <w:tcPr>
            <w:tcW w:w="986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Consent of Jones Day (Included in Exhibit 5.1 to this Registration Statement).</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20" w:type="dxa"/>
            <w:vAlign w:val="bottom"/>
            <w:gridSpan w:val="8"/>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w w:val="85"/>
              </w:rPr>
              <w:t>24.1</w:t>
            </w:r>
          </w:p>
        </w:tc>
        <w:tc>
          <w:tcPr>
            <w:tcW w:w="560" w:type="dxa"/>
            <w:vAlign w:val="bottom"/>
          </w:tcPr>
          <w:p>
            <w:pPr>
              <w:spacing w:after="0"/>
              <w:rPr>
                <w:sz w:val="24"/>
                <w:szCs w:val="24"/>
                <w:color w:val="auto"/>
              </w:rPr>
            </w:pPr>
          </w:p>
        </w:tc>
        <w:tc>
          <w:tcPr>
            <w:tcW w:w="9860" w:type="dxa"/>
            <w:vAlign w:val="bottom"/>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Power of Attorney (Included as part of the signature page to this Registration Statement).</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20" w:type="dxa"/>
            <w:vAlign w:val="bottom"/>
            <w:gridSpan w:val="9"/>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w w:val="85"/>
              </w:rPr>
              <w:t>25.1</w:t>
            </w:r>
          </w:p>
        </w:tc>
        <w:tc>
          <w:tcPr>
            <w:tcW w:w="560" w:type="dxa"/>
            <w:vAlign w:val="bottom"/>
          </w:tcPr>
          <w:p>
            <w:pPr>
              <w:spacing w:after="0"/>
              <w:rPr>
                <w:sz w:val="24"/>
                <w:szCs w:val="24"/>
                <w:color w:val="auto"/>
              </w:rPr>
            </w:pPr>
          </w:p>
        </w:tc>
        <w:tc>
          <w:tcPr>
            <w:tcW w:w="9860" w:type="dxa"/>
            <w:vAlign w:val="bottom"/>
            <w:gridSpan w:val="14"/>
          </w:tcPr>
          <w:p>
            <w:pPr>
              <w:spacing w:after="0"/>
              <w:rPr>
                <w:rFonts w:ascii="Arial" w:cs="Arial" w:eastAsia="Arial" w:hAnsi="Arial"/>
                <w:sz w:val="18"/>
                <w:szCs w:val="18"/>
                <w:color w:val="0000EE"/>
                <w:w w:val="97"/>
              </w:rPr>
            </w:pPr>
            <w:hyperlink r:id="rId59">
              <w:r>
                <w:rPr>
                  <w:rFonts w:ascii="Arial" w:cs="Arial" w:eastAsia="Arial" w:hAnsi="Arial"/>
                  <w:sz w:val="18"/>
                  <w:szCs w:val="18"/>
                  <w:color w:val="0000EE"/>
                  <w:w w:val="97"/>
                </w:rPr>
                <w:t>Form T-1 Statement of Eligibility under Trust Indenture Act of 1939 of Trustee under Debt Securities Indenture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reference to Exhibit 25.1 of CECO’s Form S-3 filed with the SEC on April 24, 2019 (File No. 333-231001)).</w:t>
              </w:r>
            </w:hyperlink>
          </w:p>
        </w:tc>
        <w:tc>
          <w:tcPr>
            <w:tcW w:w="1440" w:type="dxa"/>
            <w:vAlign w:val="bottom"/>
            <w:tcBorders>
              <w:top w:val="single" w:sz="8" w:color="0000EE"/>
            </w:tcBorders>
            <w:gridSpan w:val="3"/>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220" w:hanging="1104"/>
        <w:spacing w:after="0"/>
        <w:tabs>
          <w:tab w:leader="none" w:pos="1220" w:val="left"/>
        </w:tabs>
        <w:numPr>
          <w:ilvl w:val="0"/>
          <w:numId w:val="29"/>
        </w:numPr>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To be filed either by amendment or as an exhibit to a report filed under the Exchange Act, and incorporated herein by reference.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5480" w:right="900" w:hanging="4379"/>
        <w:spacing w:after="0" w:line="449" w:lineRule="auto"/>
        <w:tabs>
          <w:tab w:leader="none" w:pos="1524"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 II-2</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 w:hanging="439"/>
        <w:spacing w:after="0" w:line="272" w:lineRule="auto"/>
        <w:tabs>
          <w:tab w:leader="none" w:pos="1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82" w:lineRule="exact"/>
        <w:rPr>
          <w:rFonts w:ascii="Arial" w:cs="Arial" w:eastAsia="Arial" w:hAnsi="Arial"/>
          <w:sz w:val="17"/>
          <w:szCs w:val="17"/>
          <w:color w:val="auto"/>
        </w:rPr>
      </w:pPr>
    </w:p>
    <w:p>
      <w:pPr>
        <w:ind w:left="1540" w:right="160" w:hanging="439"/>
        <w:spacing w:after="0" w:line="277"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w:t>
      </w:r>
    </w:p>
    <w:p>
      <w:pPr>
        <w:spacing w:after="0" w:line="131" w:lineRule="exact"/>
        <w:rPr>
          <w:sz w:val="20"/>
          <w:szCs w:val="20"/>
          <w:color w:val="auto"/>
        </w:rPr>
      </w:pPr>
    </w:p>
    <w:p>
      <w:pPr>
        <w:ind w:left="2080" w:right="420" w:hanging="533"/>
        <w:spacing w:after="0" w:line="257" w:lineRule="auto"/>
        <w:tabs>
          <w:tab w:leader="none" w:pos="20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Paragraphs (1)(i), (ii), and (iii) of this Item 17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under the Exchange Act that is part of the registration statement.</w:t>
      </w:r>
    </w:p>
    <w:p>
      <w:pPr>
        <w:spacing w:after="0" w:line="93"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540" w:right="220" w:hanging="439"/>
        <w:spacing w:after="0" w:line="277"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540" w:hanging="439"/>
        <w:spacing w:after="0" w:line="269" w:lineRule="auto"/>
        <w:tabs>
          <w:tab w:leader="none" w:pos="15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 xml:space="preserve">bona fide </w:t>
      </w:r>
      <w:r>
        <w:rPr>
          <w:rFonts w:ascii="Arial" w:cs="Arial" w:eastAsia="Arial" w:hAnsi="Arial"/>
          <w:sz w:val="17"/>
          <w:szCs w:val="17"/>
          <w:color w:val="auto"/>
        </w:rPr>
        <w:t>offering thereof.</w:t>
      </w:r>
      <w:r>
        <w:rPr>
          <w:rFonts w:ascii="Arial" w:cs="Arial" w:eastAsia="Arial" w:hAnsi="Arial"/>
          <w:sz w:val="17"/>
          <w:szCs w:val="17"/>
          <w:i w:val="1"/>
          <w:iCs w:val="1"/>
          <w:color w:val="auto"/>
        </w:rPr>
        <w:t xml:space="preserve"> Provided, however</w:t>
      </w:r>
      <w:r>
        <w:rPr>
          <w:rFonts w:ascii="Arial" w:cs="Arial" w:eastAsia="Arial" w:hAnsi="Arial"/>
          <w:sz w:val="17"/>
          <w:szCs w:val="17"/>
          <w:color w:val="auto"/>
        </w:rPr>
        <w:t>, that no statement made in a registration statement or prospectus that is part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or made in a document incorporated or deemed incorporated by reference into the registration statement or prospectus that is a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w:t>
      </w:r>
    </w:p>
    <w:p>
      <w:pPr>
        <w:spacing w:after="0" w:line="62" w:lineRule="exact"/>
        <w:rPr>
          <w:rFonts w:ascii="Arial" w:cs="Arial" w:eastAsia="Arial" w:hAnsi="Arial"/>
          <w:sz w:val="18"/>
          <w:szCs w:val="18"/>
          <w:color w:val="auto"/>
        </w:rPr>
      </w:pPr>
    </w:p>
    <w:p>
      <w:pPr>
        <w:ind w:left="1100" w:right="340"/>
        <w:spacing w:after="0" w:line="259" w:lineRule="auto"/>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2" w:lineRule="exact"/>
        <w:rPr>
          <w:rFonts w:ascii="Arial" w:cs="Arial" w:eastAsia="Arial" w:hAnsi="Arial"/>
          <w:sz w:val="18"/>
          <w:szCs w:val="18"/>
          <w:color w:val="auto"/>
        </w:rPr>
      </w:pPr>
    </w:p>
    <w:p>
      <w:pPr>
        <w:ind w:left="1540" w:right="140" w:hanging="439"/>
        <w:spacing w:after="0" w:line="277" w:lineRule="auto"/>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540" w:right="200" w:hanging="439"/>
        <w:spacing w:after="0" w:line="277" w:lineRule="auto"/>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540" w:right="500" w:hanging="439"/>
        <w:spacing w:after="0" w:line="277" w:lineRule="auto"/>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1080" w:right="40" w:hanging="532"/>
        <w:spacing w:after="0" w:line="25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jc w:val="both"/>
        <w:ind w:left="1080" w:right="100" w:hanging="532"/>
        <w:spacing w:after="0" w:line="25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undersigned registrant hereby undertakes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93" w:lineRule="exact"/>
        <w:rPr>
          <w:rFonts w:ascii="Arial" w:cs="Arial" w:eastAsia="Arial" w:hAnsi="Arial"/>
          <w:sz w:val="18"/>
          <w:szCs w:val="18"/>
          <w:color w:val="auto"/>
        </w:rPr>
      </w:pPr>
    </w:p>
    <w:p>
      <w:pPr>
        <w:ind w:left="1080" w:hanging="532"/>
        <w:spacing w:after="0" w:line="290"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Dallas, State of Texas, on April 29, 2022.</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CECO ENVIRONMENTAL CORP.</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KNOW ALL MEN BY THESE PRESENTS, that each individual whose signature appears below constitutes and appoints Todd Gleason, Ramesh Nuggihalli, Matthew Eckl, Paul Gohr and Alyson Gregory Richter, and each of them, his or her true and lawful attorneys-in-fact and agents with full power of 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U.S.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her or their substitutes, may lawfully do or cause to be done by virtue hereof.</w:t>
      </w:r>
    </w:p>
    <w:p>
      <w:pPr>
        <w:spacing w:after="0" w:line="192"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S-3 has been signed below by the following persons in the capacities indicated as of the dates indicated below:</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246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92"/>
              </w:rPr>
              <w:t>Signature</w:t>
            </w:r>
          </w:p>
        </w:tc>
        <w:tc>
          <w:tcPr>
            <w:tcW w:w="214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240" w:type="dxa"/>
            <w:vAlign w:val="bottom"/>
            <w:gridSpan w:val="3"/>
          </w:tcPr>
          <w:p>
            <w:pPr>
              <w:jc w:val="center"/>
              <w:ind w:left="109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8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6"/>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Todd Gleason</w:t>
            </w: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2240" w:type="dxa"/>
            <w:vAlign w:val="bottom"/>
            <w:gridSpan w:val="3"/>
          </w:tcPr>
          <w:p>
            <w:pPr>
              <w:jc w:val="center"/>
              <w:ind w:left="1092"/>
              <w:spacing w:after="0"/>
              <w:rPr>
                <w:sz w:val="20"/>
                <w:szCs w:val="20"/>
                <w:color w:val="auto"/>
              </w:rPr>
            </w:pPr>
            <w:r>
              <w:rPr>
                <w:rFonts w:ascii="Arial" w:cs="Arial" w:eastAsia="Arial" w:hAnsi="Arial"/>
                <w:sz w:val="18"/>
                <w:szCs w:val="18"/>
                <w:color w:val="auto"/>
                <w:w w:val="95"/>
              </w:rPr>
              <w:t>April 29, 2022</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88"/>
              </w:rPr>
              <w:t>Todd Gleason</w:t>
            </w: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Matthew Eckl</w:t>
            </w: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240" w:type="dxa"/>
            <w:vAlign w:val="bottom"/>
            <w:gridSpan w:val="3"/>
          </w:tcPr>
          <w:p>
            <w:pPr>
              <w:jc w:val="center"/>
              <w:ind w:left="1092"/>
              <w:spacing w:after="0"/>
              <w:rPr>
                <w:sz w:val="20"/>
                <w:szCs w:val="20"/>
                <w:color w:val="auto"/>
              </w:rPr>
            </w:pPr>
            <w:r>
              <w:rPr>
                <w:rFonts w:ascii="Arial" w:cs="Arial" w:eastAsia="Arial" w:hAnsi="Arial"/>
                <w:sz w:val="18"/>
                <w:szCs w:val="18"/>
                <w:color w:val="auto"/>
                <w:w w:val="95"/>
              </w:rPr>
              <w:t>April 29, 2022</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5"/>
              </w:rPr>
              <w:t>Matthew Eckl</w:t>
            </w: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Paul Gohr</w:t>
            </w: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Chief Accounting Officer</w:t>
            </w:r>
          </w:p>
        </w:tc>
        <w:tc>
          <w:tcPr>
            <w:tcW w:w="2240" w:type="dxa"/>
            <w:vAlign w:val="bottom"/>
            <w:gridSpan w:val="3"/>
          </w:tcPr>
          <w:p>
            <w:pPr>
              <w:jc w:val="center"/>
              <w:ind w:left="1092"/>
              <w:spacing w:after="0"/>
              <w:rPr>
                <w:sz w:val="20"/>
                <w:szCs w:val="20"/>
                <w:color w:val="auto"/>
              </w:rPr>
            </w:pPr>
            <w:r>
              <w:rPr>
                <w:rFonts w:ascii="Arial" w:cs="Arial" w:eastAsia="Arial" w:hAnsi="Arial"/>
                <w:sz w:val="18"/>
                <w:szCs w:val="18"/>
                <w:color w:val="auto"/>
                <w:w w:val="95"/>
              </w:rPr>
              <w:t>April 29, 2022</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1"/>
              </w:rPr>
              <w:t>Paul Gohr</w:t>
            </w: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Jason DeZwirek</w:t>
            </w: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Chairman of the Board and Director</w:t>
            </w:r>
          </w:p>
        </w:tc>
        <w:tc>
          <w:tcPr>
            <w:tcW w:w="2240" w:type="dxa"/>
            <w:vAlign w:val="bottom"/>
            <w:gridSpan w:val="3"/>
          </w:tcPr>
          <w:p>
            <w:pPr>
              <w:jc w:val="center"/>
              <w:ind w:left="1092"/>
              <w:spacing w:after="0"/>
              <w:rPr>
                <w:sz w:val="20"/>
                <w:szCs w:val="20"/>
                <w:color w:val="auto"/>
              </w:rPr>
            </w:pPr>
            <w:r>
              <w:rPr>
                <w:rFonts w:ascii="Arial" w:cs="Arial" w:eastAsia="Arial" w:hAnsi="Arial"/>
                <w:sz w:val="18"/>
                <w:szCs w:val="18"/>
                <w:color w:val="auto"/>
                <w:w w:val="95"/>
              </w:rPr>
              <w:t>April 29, 2022</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1"/>
              </w:rPr>
              <w:t>Jason DeZwirek</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Eric M. Goldberg</w:t>
            </w: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jc w:val="center"/>
              <w:ind w:left="1092"/>
              <w:spacing w:after="0"/>
              <w:rPr>
                <w:sz w:val="20"/>
                <w:szCs w:val="20"/>
                <w:color w:val="auto"/>
              </w:rPr>
            </w:pPr>
            <w:r>
              <w:rPr>
                <w:rFonts w:ascii="Arial" w:cs="Arial" w:eastAsia="Arial" w:hAnsi="Arial"/>
                <w:sz w:val="18"/>
                <w:szCs w:val="18"/>
                <w:color w:val="auto"/>
                <w:w w:val="95"/>
              </w:rPr>
              <w:t>April 29, 2022</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4"/>
              </w:rPr>
              <w:t>Eric M. Goldberg</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David B. Liner</w:t>
            </w: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jc w:val="center"/>
              <w:ind w:left="1092"/>
              <w:spacing w:after="0"/>
              <w:rPr>
                <w:sz w:val="20"/>
                <w:szCs w:val="20"/>
                <w:color w:val="auto"/>
              </w:rPr>
            </w:pPr>
            <w:r>
              <w:rPr>
                <w:rFonts w:ascii="Arial" w:cs="Arial" w:eastAsia="Arial" w:hAnsi="Arial"/>
                <w:sz w:val="18"/>
                <w:szCs w:val="18"/>
                <w:color w:val="auto"/>
                <w:w w:val="95"/>
              </w:rPr>
              <w:t>April 29, 2022</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5"/>
              </w:rPr>
              <w:t>David B. Liner</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Claudio A. Mannarino</w:t>
            </w: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jc w:val="center"/>
              <w:ind w:left="1092"/>
              <w:spacing w:after="0"/>
              <w:rPr>
                <w:sz w:val="20"/>
                <w:szCs w:val="20"/>
                <w:color w:val="auto"/>
              </w:rPr>
            </w:pPr>
            <w:r>
              <w:rPr>
                <w:rFonts w:ascii="Arial" w:cs="Arial" w:eastAsia="Arial" w:hAnsi="Arial"/>
                <w:sz w:val="18"/>
                <w:szCs w:val="18"/>
                <w:color w:val="auto"/>
                <w:w w:val="95"/>
              </w:rPr>
              <w:t>April 29, 2022</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3"/>
              </w:rPr>
              <w:t>Claudio A. Mannarino</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64"/>
        </w:trPr>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980" w:type="dxa"/>
            <w:vAlign w:val="bottom"/>
            <w:gridSpan w:val="3"/>
          </w:tcPr>
          <w:p>
            <w:pPr>
              <w:ind w:left="1040"/>
              <w:spacing w:after="0"/>
              <w:rPr>
                <w:sz w:val="20"/>
                <w:szCs w:val="20"/>
                <w:color w:val="auto"/>
              </w:rPr>
            </w:pPr>
            <w:r>
              <w:rPr>
                <w:rFonts w:ascii="Arial" w:cs="Arial" w:eastAsia="Arial" w:hAnsi="Arial"/>
                <w:sz w:val="18"/>
                <w:szCs w:val="18"/>
                <w:color w:val="auto"/>
              </w:rPr>
              <w:t>II-5</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246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92"/>
              </w:rPr>
              <w:t>Signature</w:t>
            </w:r>
          </w:p>
        </w:tc>
        <w:tc>
          <w:tcPr>
            <w:tcW w:w="21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3780" w:type="dxa"/>
            <w:vAlign w:val="bottom"/>
            <w:gridSpan w:val="3"/>
          </w:tcPr>
          <w:p>
            <w:pPr>
              <w:jc w:val="center"/>
              <w:ind w:left="2634"/>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8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5"/>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Munish Nanda</w:t>
            </w: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780" w:type="dxa"/>
            <w:vAlign w:val="bottom"/>
            <w:gridSpan w:val="3"/>
          </w:tcPr>
          <w:p>
            <w:pPr>
              <w:jc w:val="center"/>
              <w:ind w:left="2634"/>
              <w:spacing w:after="0"/>
              <w:rPr>
                <w:sz w:val="20"/>
                <w:szCs w:val="20"/>
                <w:color w:val="auto"/>
              </w:rPr>
            </w:pPr>
            <w:r>
              <w:rPr>
                <w:rFonts w:ascii="Arial" w:cs="Arial" w:eastAsia="Arial" w:hAnsi="Arial"/>
                <w:sz w:val="18"/>
                <w:szCs w:val="18"/>
                <w:color w:val="auto"/>
                <w:w w:val="95"/>
              </w:rPr>
              <w:t>April 29, 2022</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1"/>
              </w:rPr>
              <w:t>Munish Nanda</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Jonathan Pollack</w:t>
            </w: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780" w:type="dxa"/>
            <w:vAlign w:val="bottom"/>
            <w:gridSpan w:val="3"/>
          </w:tcPr>
          <w:p>
            <w:pPr>
              <w:jc w:val="center"/>
              <w:ind w:left="2634"/>
              <w:spacing w:after="0"/>
              <w:rPr>
                <w:sz w:val="20"/>
                <w:szCs w:val="20"/>
                <w:color w:val="auto"/>
              </w:rPr>
            </w:pPr>
            <w:r>
              <w:rPr>
                <w:rFonts w:ascii="Arial" w:cs="Arial" w:eastAsia="Arial" w:hAnsi="Arial"/>
                <w:sz w:val="18"/>
                <w:szCs w:val="18"/>
                <w:color w:val="auto"/>
                <w:w w:val="95"/>
              </w:rPr>
              <w:t>April 29, 2022</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88"/>
              </w:rPr>
              <w:t>Jonathan Pollack</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Valerie Gentile Sachs</w:t>
            </w: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780" w:type="dxa"/>
            <w:vAlign w:val="bottom"/>
            <w:gridSpan w:val="3"/>
          </w:tcPr>
          <w:p>
            <w:pPr>
              <w:jc w:val="center"/>
              <w:ind w:left="2634"/>
              <w:spacing w:after="0"/>
              <w:rPr>
                <w:sz w:val="20"/>
                <w:szCs w:val="20"/>
                <w:color w:val="auto"/>
              </w:rPr>
            </w:pPr>
            <w:r>
              <w:rPr>
                <w:rFonts w:ascii="Arial" w:cs="Arial" w:eastAsia="Arial" w:hAnsi="Arial"/>
                <w:sz w:val="18"/>
                <w:szCs w:val="18"/>
                <w:color w:val="auto"/>
                <w:w w:val="95"/>
              </w:rPr>
              <w:t>April 29, 2022</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0"/>
              </w:rPr>
              <w:t>Valerie Gentile Sachs</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Richard F. Wallman</w:t>
            </w: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780" w:type="dxa"/>
            <w:vAlign w:val="bottom"/>
            <w:gridSpan w:val="3"/>
          </w:tcPr>
          <w:p>
            <w:pPr>
              <w:jc w:val="center"/>
              <w:ind w:left="2634"/>
              <w:spacing w:after="0"/>
              <w:rPr>
                <w:sz w:val="20"/>
                <w:szCs w:val="20"/>
                <w:color w:val="auto"/>
              </w:rPr>
            </w:pPr>
            <w:r>
              <w:rPr>
                <w:rFonts w:ascii="Arial" w:cs="Arial" w:eastAsia="Arial" w:hAnsi="Arial"/>
                <w:sz w:val="18"/>
                <w:szCs w:val="18"/>
                <w:color w:val="auto"/>
                <w:w w:val="95"/>
              </w:rPr>
              <w:t>April 29, 2022</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1"/>
              </w:rPr>
              <w:t>Richard F. Wallman</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64"/>
        </w:trPr>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40" w:type="dxa"/>
            <w:vAlign w:val="bottom"/>
            <w:gridSpan w:val="2"/>
          </w:tcPr>
          <w:p>
            <w:pPr>
              <w:ind w:left="1040"/>
              <w:spacing w:after="0"/>
              <w:rPr>
                <w:sz w:val="20"/>
                <w:szCs w:val="20"/>
                <w:color w:val="auto"/>
              </w:rPr>
            </w:pPr>
            <w:r>
              <w:rPr>
                <w:rFonts w:ascii="Arial" w:cs="Arial" w:eastAsia="Arial" w:hAnsi="Arial"/>
                <w:sz w:val="18"/>
                <w:szCs w:val="18"/>
                <w:color w:val="auto"/>
              </w:rPr>
              <w:t>II-6</w:t>
            </w:r>
          </w:p>
        </w:tc>
        <w:tc>
          <w:tcPr>
            <w:tcW w:w="3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0660"/>
          </w:cols>
          <w:pgMar w:left="320" w:top="459" w:right="9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171450</wp:posOffset>
            </wp:positionV>
            <wp:extent cx="1148715"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114871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NORTH POINT • 901 LAKESIDE AVENUE • CLEVELAND, OHIO 44114.1190</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TELEPHONE: +1.216.586.3939 • FACSIMILE: +1.216.579.0212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May 2, 2022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CECO Environmental Corp.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14651 North Dallas Parkway, Suite 500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Dallas, Texas 75254</w:t>
      </w:r>
    </w:p>
    <w:p>
      <w:pPr>
        <w:spacing w:after="0" w:line="23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S-3 Filed by CECO Environmental Corp.</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140" w:firstLine="440"/>
        <w:spacing w:after="0" w:line="286" w:lineRule="auto"/>
        <w:rPr>
          <w:sz w:val="20"/>
          <w:szCs w:val="20"/>
          <w:color w:val="auto"/>
        </w:rPr>
      </w:pPr>
      <w:r>
        <w:rPr>
          <w:rFonts w:ascii="Arial" w:cs="Arial" w:eastAsia="Arial" w:hAnsi="Arial"/>
          <w:sz w:val="16"/>
          <w:szCs w:val="16"/>
          <w:color w:val="auto"/>
        </w:rPr>
        <w:t>We have acted as counsel for CECO Environmental Corp.,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authorization of the possible issuance and sale from time to time, on a delayed basis, by the Company of up to $150,000,000 in initial aggregate offering price of: (i) shares of common stock, par value $0.01 per share,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(ii) shares of preferred stock, par value $0.01 per share, of the Company (the “</w:t>
      </w:r>
      <w:r>
        <w:rPr>
          <w:rFonts w:ascii="Arial" w:cs="Arial" w:eastAsia="Arial" w:hAnsi="Arial"/>
          <w:sz w:val="16"/>
          <w:szCs w:val="16"/>
          <w:b w:val="1"/>
          <w:bCs w:val="1"/>
          <w:color w:val="auto"/>
        </w:rPr>
        <w:t>Preferred Stock</w:t>
      </w:r>
      <w:r>
        <w:rPr>
          <w:rFonts w:ascii="Arial" w:cs="Arial" w:eastAsia="Arial" w:hAnsi="Arial"/>
          <w:sz w:val="16"/>
          <w:szCs w:val="16"/>
          <w:color w:val="auto"/>
        </w:rPr>
        <w:t>”), in one or more series, certain of which may be convertible into or exchangeable for shares of Common Stock;</w:t>
      </w:r>
    </w:p>
    <w:p>
      <w:pPr>
        <w:spacing w:after="0" w:line="1" w:lineRule="exact"/>
        <w:rPr>
          <w:sz w:val="20"/>
          <w:szCs w:val="20"/>
          <w:color w:val="auto"/>
        </w:rPr>
      </w:pPr>
    </w:p>
    <w:p>
      <w:pPr>
        <w:ind w:left="4" w:right="60" w:hanging="4"/>
        <w:spacing w:after="0" w:line="268" w:lineRule="auto"/>
        <w:tabs>
          <w:tab w:leader="none" w:pos="319"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debt securities of the Company (the “</w:t>
      </w:r>
      <w:r>
        <w:rPr>
          <w:rFonts w:ascii="Arial" w:cs="Arial" w:eastAsia="Arial" w:hAnsi="Arial"/>
          <w:sz w:val="17"/>
          <w:szCs w:val="17"/>
          <w:b w:val="1"/>
          <w:bCs w:val="1"/>
          <w:i w:val="1"/>
          <w:iCs w:val="1"/>
          <w:color w:val="auto"/>
        </w:rPr>
        <w:t>Debt Securities</w:t>
      </w:r>
      <w:r>
        <w:rPr>
          <w:rFonts w:ascii="Arial" w:cs="Arial" w:eastAsia="Arial" w:hAnsi="Arial"/>
          <w:sz w:val="17"/>
          <w:szCs w:val="17"/>
          <w:color w:val="auto"/>
        </w:rPr>
        <w:t>”), in one or more series, certain of which may be convertible into or exchangeable for shares of Common Stock; (iv) depositary shares representing fractional interests in shares of Preferred Stock (the “</w:t>
      </w:r>
      <w:r>
        <w:rPr>
          <w:rFonts w:ascii="Arial" w:cs="Arial" w:eastAsia="Arial" w:hAnsi="Arial"/>
          <w:sz w:val="17"/>
          <w:szCs w:val="17"/>
          <w:b w:val="1"/>
          <w:bCs w:val="1"/>
          <w:i w:val="1"/>
          <w:iCs w:val="1"/>
          <w:color w:val="auto"/>
        </w:rPr>
        <w:t>Depositary Shares</w:t>
      </w:r>
      <w:r>
        <w:rPr>
          <w:rFonts w:ascii="Arial" w:cs="Arial" w:eastAsia="Arial" w:hAnsi="Arial"/>
          <w:sz w:val="17"/>
          <w:szCs w:val="17"/>
          <w:color w:val="auto"/>
        </w:rPr>
        <w:t>”); (v) warrants to purchase shares of Common Stock, shares of Preferred Stock, Depositary Shares or Debt Securities or any combination thereof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(vi) subscription rights to purchase shares of Common Stock, shares of Preferred Stock, Depositary Shares or Debt Securities or any combination thereof (the “</w:t>
      </w:r>
      <w:r>
        <w:rPr>
          <w:rFonts w:ascii="Arial" w:cs="Arial" w:eastAsia="Arial" w:hAnsi="Arial"/>
          <w:sz w:val="17"/>
          <w:szCs w:val="17"/>
          <w:b w:val="1"/>
          <w:bCs w:val="1"/>
          <w:i w:val="1"/>
          <w:iCs w:val="1"/>
          <w:color w:val="auto"/>
        </w:rPr>
        <w:t>Subscription Rights</w:t>
      </w:r>
      <w:r>
        <w:rPr>
          <w:rFonts w:ascii="Arial" w:cs="Arial" w:eastAsia="Arial" w:hAnsi="Arial"/>
          <w:sz w:val="17"/>
          <w:szCs w:val="17"/>
          <w:color w:val="auto"/>
        </w:rPr>
        <w:t>”); (vii) purchase contracts (the “</w:t>
      </w:r>
      <w:r>
        <w:rPr>
          <w:rFonts w:ascii="Arial" w:cs="Arial" w:eastAsia="Arial" w:hAnsi="Arial"/>
          <w:sz w:val="17"/>
          <w:szCs w:val="17"/>
          <w:b w:val="1"/>
          <w:bCs w:val="1"/>
          <w:i w:val="1"/>
          <w:iCs w:val="1"/>
          <w:color w:val="auto"/>
        </w:rPr>
        <w:t>Purchase Contracts</w:t>
      </w:r>
      <w:r>
        <w:rPr>
          <w:rFonts w:ascii="Arial" w:cs="Arial" w:eastAsia="Arial" w:hAnsi="Arial"/>
          <w:sz w:val="17"/>
          <w:szCs w:val="17"/>
          <w:color w:val="auto"/>
        </w:rPr>
        <w:t>”) to purchase securities at a future date or dates; and (viii) units consisting of one or more of the securities described in clauses (i) through (vii) above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in each case as contemplated by the Company’s Registration Statement on Form S-3 to which this opinion is filed as an exhibit (as the same may be amended from time to time, the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The Common Stock, the Preferred Stock, the Debt Securities, the Depositary Shares, the Warrants, the Subscription Rights, the 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Contracts and the Units are collectively referred to herein as the “Securities.” The Securities may be offered and sold from time to time pursuant to Rule 415 under the Securities Act of 1933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w:t>
      </w:r>
    </w:p>
    <w:p>
      <w:pPr>
        <w:spacing w:after="0" w:line="179" w:lineRule="exact"/>
        <w:rPr>
          <w:sz w:val="20"/>
          <w:szCs w:val="20"/>
          <w:color w:val="auto"/>
        </w:rPr>
      </w:pPr>
    </w:p>
    <w:p>
      <w:pPr>
        <w:jc w:val="both"/>
        <w:ind w:left="4" w:right="180" w:firstLine="440"/>
        <w:spacing w:after="0" w:line="263" w:lineRule="auto"/>
        <w:rPr>
          <w:sz w:val="20"/>
          <w:szCs w:val="20"/>
          <w:color w:val="auto"/>
        </w:rPr>
      </w:pPr>
      <w:r>
        <w:rPr>
          <w:rFonts w:ascii="Arial" w:cs="Arial" w:eastAsia="Arial" w:hAnsi="Arial"/>
          <w:sz w:val="18"/>
          <w:szCs w:val="18"/>
          <w:color w:val="auto"/>
        </w:rPr>
        <w:t>In connection with the opinions expressed herein, we have examined such documents, records and matters of law as we have deemed relevant or necessary for purposes of such opinions. Based on the foregoing, and subject to the further limitations, qualifications and assumptions set forth herein, we are of the opinion that:</w:t>
      </w:r>
    </w:p>
    <w:p>
      <w:pPr>
        <w:spacing w:after="0" w:line="89" w:lineRule="exact"/>
        <w:rPr>
          <w:sz w:val="20"/>
          <w:szCs w:val="20"/>
          <w:color w:val="auto"/>
        </w:rPr>
      </w:pPr>
    </w:p>
    <w:p>
      <w:pPr>
        <w:jc w:val="both"/>
        <w:ind w:left="1424" w:right="180" w:hanging="439"/>
        <w:spacing w:after="0" w:line="263" w:lineRule="auto"/>
        <w:tabs>
          <w:tab w:leader="none" w:pos="14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shares of Common Stock, upon receipt by the Company of such lawful consideration therefor having a value not less than the par value thereof as the Company’s Board of Directors (or an authorized committee thereof) may determine, will be validly issued, fully paid and nonassessable.</w:t>
      </w:r>
    </w:p>
    <w:p>
      <w:pPr>
        <w:spacing w:after="0" w:line="89" w:lineRule="exact"/>
        <w:rPr>
          <w:rFonts w:ascii="Arial" w:cs="Arial" w:eastAsia="Arial" w:hAnsi="Arial"/>
          <w:sz w:val="18"/>
          <w:szCs w:val="18"/>
          <w:color w:val="auto"/>
        </w:rPr>
      </w:pPr>
    </w:p>
    <w:p>
      <w:pPr>
        <w:jc w:val="both"/>
        <w:ind w:left="1424" w:right="180" w:hanging="439"/>
        <w:spacing w:after="0" w:line="263" w:lineRule="auto"/>
        <w:tabs>
          <w:tab w:leader="none" w:pos="14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shares of Preferred Stock, upon receipt by the Company of such lawful consideration therefor having a value not less than the par value thereof as the Company’s Board of Directors (or an authorized committee thereof) may determine, will be validly issued, fully paid and nonassessable.</w:t>
      </w:r>
    </w:p>
    <w:p>
      <w:pPr>
        <w:spacing w:after="0" w:line="89" w:lineRule="exact"/>
        <w:rPr>
          <w:rFonts w:ascii="Arial" w:cs="Arial" w:eastAsia="Arial" w:hAnsi="Arial"/>
          <w:sz w:val="18"/>
          <w:szCs w:val="18"/>
          <w:color w:val="auto"/>
        </w:rPr>
      </w:pPr>
    </w:p>
    <w:p>
      <w:pPr>
        <w:ind w:left="1424" w:right="60" w:hanging="439"/>
        <w:spacing w:after="0" w:line="308" w:lineRule="auto"/>
        <w:tabs>
          <w:tab w:leader="none" w:pos="142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Debt Securities, upon receipt by the Company of such lawful consideration therefor as the Company’s Board of Directors (or an authorized committee thereof) may determine, will constitute valid and binding obligations of the Company.</w:t>
      </w:r>
    </w:p>
    <w:p>
      <w:pPr>
        <w:spacing w:after="0" w:line="51" w:lineRule="exact"/>
        <w:rPr>
          <w:rFonts w:ascii="Arial" w:cs="Arial" w:eastAsia="Arial" w:hAnsi="Arial"/>
          <w:sz w:val="17"/>
          <w:szCs w:val="17"/>
          <w:color w:val="auto"/>
        </w:rPr>
      </w:pPr>
    </w:p>
    <w:p>
      <w:pPr>
        <w:ind w:left="1424" w:right="80" w:hanging="439"/>
        <w:spacing w:after="0" w:line="277" w:lineRule="auto"/>
        <w:tabs>
          <w:tab w:leader="none" w:pos="14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Depositary Shares, upon receipt by the Company of such lawful consideration therefor as the Company’s Board of Directors (or an authorized committee thereof) may determine, will be</w:t>
      </w:r>
    </w:p>
    <w:p>
      <w:pPr>
        <w:spacing w:after="0" w:line="98" w:lineRule="exact"/>
        <w:rPr>
          <w:sz w:val="20"/>
          <w:szCs w:val="20"/>
          <w:color w:val="auto"/>
        </w:rPr>
      </w:pPr>
    </w:p>
    <w:p>
      <w:pPr>
        <w:jc w:val="center"/>
        <w:ind w:right="16"/>
        <w:spacing w:after="0" w:line="233" w:lineRule="auto"/>
        <w:rPr>
          <w:sz w:val="20"/>
          <w:szCs w:val="20"/>
          <w:color w:val="auto"/>
        </w:rPr>
      </w:pPr>
      <w:r>
        <w:rPr>
          <w:rFonts w:ascii="Arial" w:cs="Arial" w:eastAsia="Arial" w:hAnsi="Arial"/>
          <w:sz w:val="14"/>
          <w:szCs w:val="14"/>
          <w:color w:val="auto"/>
        </w:rPr>
        <w:t>AMSTERDAM • ATLANTA • BEIJING • BOSTON • BRISBANE • BRUSSELS • CHICAGO • CLEVELAND • COLUMBUS • DALLAS • DETROIT DUBAI • DÜSSELDORF • FRANKFURT • HONG KONG • HOUSTON • IRVINE • LONDON • LOS ANGELES • MADRID • MELBOURNE MEXICO CITY • MIAMI • MILAN • MINNEAPOLIS • MUNICH • NEW YORK • PARIS • PERTH • PITTSBURGH • SAN DIEGO • SAN FRANCISCO SĂO PAULO • SAUDI ARABIA • SHANGHAI • SILICON VALLEY • SINGAPORE • SYDNEY • TAIPEI • TOKYO • WASHINGTON</w:t>
      </w:r>
    </w:p>
    <w:p>
      <w:pPr>
        <w:sectPr>
          <w:pgSz w:w="11900" w:h="16838" w:orient="portrait"/>
          <w:cols w:equalWidth="0" w:num="1">
            <w:col w:w="11024"/>
          </w:cols>
          <w:pgMar w:left="436" w:top="121"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6371590</wp:posOffset>
            </wp:positionH>
            <wp:positionV relativeFrom="page">
              <wp:posOffset>182880</wp:posOffset>
            </wp:positionV>
            <wp:extent cx="90043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900430" cy="188595"/>
                    </a:xfrm>
                    <a:prstGeom prst="rect">
                      <a:avLst/>
                    </a:prstGeom>
                    <a:noFill/>
                  </pic:spPr>
                </pic:pic>
              </a:graphicData>
            </a:graphic>
          </wp:anchor>
        </w:drawing>
        <w:t>CECO Environmental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78" w:lineRule="exact"/>
        <w:rPr>
          <w:sz w:val="20"/>
          <w:szCs w:val="20"/>
          <w:color w:val="auto"/>
        </w:rPr>
      </w:pPr>
    </w:p>
    <w:p>
      <w:pPr>
        <w:ind w:left="1420" w:right="200"/>
        <w:spacing w:after="0" w:line="277" w:lineRule="auto"/>
        <w:rPr>
          <w:sz w:val="20"/>
          <w:szCs w:val="20"/>
          <w:color w:val="auto"/>
        </w:rPr>
      </w:pPr>
      <w:r>
        <w:rPr>
          <w:rFonts w:ascii="Arial" w:cs="Arial" w:eastAsia="Arial" w:hAnsi="Arial"/>
          <w:sz w:val="18"/>
          <w:szCs w:val="18"/>
          <w:color w:val="auto"/>
        </w:rPr>
        <w:t>validly issued, and the depositary receipts representing the Depositary Shares will entitle the holders thereof to the rights specified therein and in the deposit agreement pursuant to which they are issued.</w:t>
      </w:r>
    </w:p>
    <w:p>
      <w:pPr>
        <w:spacing w:after="0" w:line="76" w:lineRule="exact"/>
        <w:rPr>
          <w:sz w:val="20"/>
          <w:szCs w:val="20"/>
          <w:color w:val="auto"/>
        </w:rPr>
      </w:pPr>
    </w:p>
    <w:p>
      <w:pPr>
        <w:ind w:left="1420" w:right="500" w:hanging="439"/>
        <w:spacing w:after="0" w:line="308" w:lineRule="auto"/>
        <w:tabs>
          <w:tab w:leader="none" w:pos="1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Warrants, upon receipt by the Company of such lawful consideration therefor as the Company’s Board of Directors (or an authorized committee thereof) may determine, will constitute valid and binding obligations of the Company.</w:t>
      </w:r>
    </w:p>
    <w:p>
      <w:pPr>
        <w:spacing w:after="0" w:line="51" w:lineRule="exact"/>
        <w:rPr>
          <w:rFonts w:ascii="Arial" w:cs="Arial" w:eastAsia="Arial" w:hAnsi="Arial"/>
          <w:sz w:val="17"/>
          <w:szCs w:val="17"/>
          <w:color w:val="auto"/>
        </w:rPr>
      </w:pPr>
    </w:p>
    <w:p>
      <w:pPr>
        <w:ind w:left="1420" w:right="200" w:hanging="439"/>
        <w:spacing w:after="0" w:line="308" w:lineRule="auto"/>
        <w:tabs>
          <w:tab w:leader="none" w:pos="1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Subscription Rights, upon receipt by the Company of such lawful consideration therefor as the Company’s Board of Directors (or an authorized committee thereof) may determine, will constitute valid and binding obligations of the Company.</w:t>
      </w:r>
    </w:p>
    <w:p>
      <w:pPr>
        <w:spacing w:after="0" w:line="51" w:lineRule="exact"/>
        <w:rPr>
          <w:rFonts w:ascii="Arial" w:cs="Arial" w:eastAsia="Arial" w:hAnsi="Arial"/>
          <w:sz w:val="17"/>
          <w:szCs w:val="17"/>
          <w:color w:val="auto"/>
        </w:rPr>
      </w:pPr>
    </w:p>
    <w:p>
      <w:pPr>
        <w:ind w:left="1420" w:right="240" w:hanging="439"/>
        <w:spacing w:after="0" w:line="308" w:lineRule="auto"/>
        <w:tabs>
          <w:tab w:leader="none" w:pos="1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Purchase Contracts, upon receipt by the Company of such lawful consideration therefor as the Company’s Board of Directors (or an authorized committee thereof) may determine, will constitute valid and binding obligations of the Company.</w:t>
      </w:r>
    </w:p>
    <w:p>
      <w:pPr>
        <w:spacing w:after="0" w:line="51" w:lineRule="exact"/>
        <w:rPr>
          <w:rFonts w:ascii="Arial" w:cs="Arial" w:eastAsia="Arial" w:hAnsi="Arial"/>
          <w:sz w:val="17"/>
          <w:szCs w:val="17"/>
          <w:color w:val="auto"/>
        </w:rPr>
      </w:pPr>
    </w:p>
    <w:p>
      <w:pPr>
        <w:ind w:left="1420" w:right="760" w:hanging="439"/>
        <w:spacing w:after="0" w:line="308" w:lineRule="auto"/>
        <w:tabs>
          <w:tab w:leader="none" w:pos="1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Units, upon receipt by the Company of such lawful consideration therefor as the Company’s Board of Directors (or an authorized committee thereof) may determine, will constitute valid and binding obligations of the Company.</w:t>
      </w:r>
    </w:p>
    <w:p>
      <w:pPr>
        <w:spacing w:after="0" w:line="146"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In rendering the foregoing opinions, we have assumed that: (i) the Registration Statement, and any amendments thereto, will have become effective (and will remain effective at the time of issuance of any Securities thereunder); (ii) a prospectus supplement describing each class and/or series of Securities offered pursuant to the Registration Statement, to the extent required by applicable law and relevant rules and regulations of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will be timely filed with the Commission; (iii) the definitive terms of each class and/or series of Securities will have been established in accordance with the authorizing resolutions adopted by the Company’s Board of Directors (or an authorized committee thereof), the Company’s Certificate of Incorporation (the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 and applicable law; (iv) the Company will issue and deliver the Securities in the manner contemplated by the Registration Statement and any Securities that consist of shares of capital stock will have been authorized and reserved for issuance, in each case within the limits of the then remaining authorized but unissued and unreserved amounts of such capital stock; (v) the resolutions authorizing the Company to issue, offer and sell the Securities will have been adopted by the Company’s Board of Directors (or an authorized committee thereof) and will be in full force and effect at all times at which the Securities are offered or sold by the Company; (vi) all Securities will be issued in compliance with applicable federal and state securities laws and (vii) the Indenture (as defined below) and any Deposit Agreement, Warrant Agreement, Subscription Rights Agreement, Purchase Contract Agreement (each as defined below) or unit agreement will be governed by and construed in accordance with the laws of the State of New York and will constitute a valid and binding obligation of each party thereto other than the Company.</w:t>
      </w:r>
    </w:p>
    <w:p>
      <w:pPr>
        <w:spacing w:after="0" w:line="18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With respect to any Securities consisting of Preferred Stock, we have further assumed that the Company will issue and deliver the shares of the Preferred Stock being issued and delivered after the filing with the Secretary of State of the State of Delaware of a certificate of designation to the Certificate of Incorporation, in a form approved by us, establishing the designations, preferences and rights of the class or series of the Preferred Stock being issued and delivered.</w:t>
      </w:r>
    </w:p>
    <w:p>
      <w:pPr>
        <w:spacing w:after="0" w:line="18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With respect to any Securities consisting of any series of Debt Securities, we have further assumed that: (i) an indenture with respect to such Debt Securities will have been authorized, executed and delivered by the Company and the applicable trustee in a form approved by us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and the Indenture will have been qualified</w:t>
      </w:r>
    </w:p>
    <w:p>
      <w:pPr>
        <w:sectPr>
          <w:pgSz w:w="11900" w:h="16838" w:orient="portrait"/>
          <w:cols w:equalWidth="0" w:num="1">
            <w:col w:w="11000"/>
          </w:cols>
          <w:pgMar w:left="440" w:top="517"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6371590</wp:posOffset>
            </wp:positionH>
            <wp:positionV relativeFrom="page">
              <wp:posOffset>182880</wp:posOffset>
            </wp:positionV>
            <wp:extent cx="90043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900430" cy="188595"/>
                    </a:xfrm>
                    <a:prstGeom prst="rect">
                      <a:avLst/>
                    </a:prstGeom>
                    <a:noFill/>
                  </pic:spPr>
                </pic:pic>
              </a:graphicData>
            </a:graphic>
          </wp:anchor>
        </w:drawing>
        <w:t>CECO Environmental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5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under the Trust Indenture Act of 1939; (ii) such Debt Securities will have been issued pursuant to the Indenture; (iii) all terms of such Debt Securities not provided for in the applicable Indenture will have been established in accordance with the provisions of the Indenture and reflected in appropriate documentation approved by us and, if applicable, executed and delivered by the Company and the trustee; and (iv) such Debt Securities will be executed, authenticated, issued and delivered in accordance with the provisions of the Indenture.</w:t>
      </w:r>
    </w:p>
    <w:p>
      <w:pPr>
        <w:spacing w:after="0" w:line="171"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With respect to any Securities consisting of Depositary Shares, we have further assumed that the Depositary Shares will be: (i) issued and delivered after authorization, execution and delivery of the deposit agreement, approved by us, relating to the Depositary Shares to be entered into between the Company and an entity (the “</w:t>
      </w:r>
      <w:r>
        <w:rPr>
          <w:rFonts w:ascii="Arial" w:cs="Arial" w:eastAsia="Arial" w:hAnsi="Arial"/>
          <w:sz w:val="17"/>
          <w:szCs w:val="17"/>
          <w:b w:val="1"/>
          <w:bCs w:val="1"/>
          <w:i w:val="1"/>
          <w:iCs w:val="1"/>
          <w:color w:val="auto"/>
        </w:rPr>
        <w:t>Depositary</w:t>
      </w:r>
      <w:r>
        <w:rPr>
          <w:rFonts w:ascii="Arial" w:cs="Arial" w:eastAsia="Arial" w:hAnsi="Arial"/>
          <w:sz w:val="17"/>
          <w:szCs w:val="17"/>
          <w:color w:val="auto"/>
        </w:rPr>
        <w:t>”) selected by the Company to act as depositary (the “</w:t>
      </w:r>
      <w:r>
        <w:rPr>
          <w:rFonts w:ascii="Arial" w:cs="Arial" w:eastAsia="Arial" w:hAnsi="Arial"/>
          <w:sz w:val="17"/>
          <w:szCs w:val="17"/>
          <w:b w:val="1"/>
          <w:bCs w:val="1"/>
          <w:i w:val="1"/>
          <w:iCs w:val="1"/>
          <w:color w:val="auto"/>
        </w:rPr>
        <w:t>Deposit Agreement</w:t>
      </w:r>
      <w:r>
        <w:rPr>
          <w:rFonts w:ascii="Arial" w:cs="Arial" w:eastAsia="Arial" w:hAnsi="Arial"/>
          <w:sz w:val="17"/>
          <w:szCs w:val="17"/>
          <w:color w:val="auto"/>
        </w:rPr>
        <w:t>”); and (ii) issued after the Company deposits with the Depositary shares of the Preferred Stock to be represented by such Depositary Shares that are authorized, validly issued, fully paid and nonassessable as contemplated by the Registration Statement and the Deposit Agreement.</w:t>
      </w:r>
    </w:p>
    <w:p>
      <w:pPr>
        <w:spacing w:after="0" w:line="176" w:lineRule="exact"/>
        <w:rPr>
          <w:sz w:val="20"/>
          <w:szCs w:val="20"/>
          <w:color w:val="auto"/>
        </w:rPr>
      </w:pPr>
    </w:p>
    <w:p>
      <w:pPr>
        <w:jc w:val="both"/>
        <w:ind w:right="160" w:firstLine="440"/>
        <w:spacing w:after="0" w:line="301" w:lineRule="auto"/>
        <w:rPr>
          <w:sz w:val="20"/>
          <w:szCs w:val="20"/>
          <w:color w:val="auto"/>
        </w:rPr>
      </w:pPr>
      <w:r>
        <w:rPr>
          <w:rFonts w:ascii="Arial" w:cs="Arial" w:eastAsia="Arial" w:hAnsi="Arial"/>
          <w:sz w:val="16"/>
          <w:szCs w:val="16"/>
          <w:color w:val="auto"/>
        </w:rPr>
        <w:t>With respect to any Securities consisting of Warrants, we have further assumed that: (i) the warrant agreement, approved by us, relating to the Warrants (the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to be entered into between the Company and an entity selected by the Company to act as the warrant agent (the “</w:t>
      </w:r>
      <w:r>
        <w:rPr>
          <w:rFonts w:ascii="Arial" w:cs="Arial" w:eastAsia="Arial" w:hAnsi="Arial"/>
          <w:sz w:val="16"/>
          <w:szCs w:val="16"/>
          <w:b w:val="1"/>
          <w:bCs w:val="1"/>
          <w:i w:val="1"/>
          <w:iCs w:val="1"/>
          <w:color w:val="auto"/>
        </w:rPr>
        <w:t>Warrant Agent</w:t>
      </w:r>
      <w:r>
        <w:rPr>
          <w:rFonts w:ascii="Arial" w:cs="Arial" w:eastAsia="Arial" w:hAnsi="Arial"/>
          <w:sz w:val="16"/>
          <w:szCs w:val="16"/>
          <w:color w:val="auto"/>
        </w:rPr>
        <w:t>”) will have been authorized, executed and delivered by the Company and the Warrant Agent; and (ii) the Warrants will be authorized, executed and delivered by the Company and the Warrant Agent in accordance with the provisions of the Warrant Agreement.</w:t>
      </w:r>
    </w:p>
    <w:p>
      <w:pPr>
        <w:spacing w:after="0" w:line="157"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With respect to any Securities consisting of Subscription Rights, we have further assumed that: (i) the subscription rights agreement, approved by us, relating to the Subscription Rights (the “</w:t>
      </w:r>
      <w:r>
        <w:rPr>
          <w:rFonts w:ascii="Arial" w:cs="Arial" w:eastAsia="Arial" w:hAnsi="Arial"/>
          <w:sz w:val="17"/>
          <w:szCs w:val="17"/>
          <w:b w:val="1"/>
          <w:bCs w:val="1"/>
          <w:i w:val="1"/>
          <w:iCs w:val="1"/>
          <w:color w:val="auto"/>
        </w:rPr>
        <w:t>Subscription Rights Agreement</w:t>
      </w:r>
      <w:r>
        <w:rPr>
          <w:rFonts w:ascii="Arial" w:cs="Arial" w:eastAsia="Arial" w:hAnsi="Arial"/>
          <w:sz w:val="17"/>
          <w:szCs w:val="17"/>
          <w:color w:val="auto"/>
        </w:rPr>
        <w:t>”) to be entered into between the Company and an entity selected by the Company to act as the subscription rights agent (the “</w:t>
      </w:r>
      <w:r>
        <w:rPr>
          <w:rFonts w:ascii="Arial" w:cs="Arial" w:eastAsia="Arial" w:hAnsi="Arial"/>
          <w:sz w:val="17"/>
          <w:szCs w:val="17"/>
          <w:b w:val="1"/>
          <w:bCs w:val="1"/>
          <w:i w:val="1"/>
          <w:iCs w:val="1"/>
          <w:color w:val="auto"/>
        </w:rPr>
        <w:t>Subscription Rights Agent</w:t>
      </w:r>
      <w:r>
        <w:rPr>
          <w:rFonts w:ascii="Arial" w:cs="Arial" w:eastAsia="Arial" w:hAnsi="Arial"/>
          <w:sz w:val="17"/>
          <w:szCs w:val="17"/>
          <w:color w:val="auto"/>
        </w:rPr>
        <w:t>”) will have been authorized, executed and delivered by the Company and the Subscription Rights Agent; and (ii) the Subscription Rights will be authorized, executed and delivered by the Company and the Subscription Rights Agent in accordance with the provisions of the Subscription Rights Agreement.</w:t>
      </w:r>
    </w:p>
    <w:p>
      <w:pPr>
        <w:spacing w:after="0" w:line="17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With respect to any Securities consisting of Purchase Contracts, we have further assumed that: (i) the purchase contract agreement, approved by us, relating to the Purchase Contracts (the “</w:t>
      </w:r>
      <w:r>
        <w:rPr>
          <w:rFonts w:ascii="Arial" w:cs="Arial" w:eastAsia="Arial" w:hAnsi="Arial"/>
          <w:sz w:val="18"/>
          <w:szCs w:val="18"/>
          <w:b w:val="1"/>
          <w:bCs w:val="1"/>
          <w:i w:val="1"/>
          <w:iCs w:val="1"/>
          <w:color w:val="auto"/>
        </w:rPr>
        <w:t>Purchase Contract Agreement</w:t>
      </w:r>
      <w:r>
        <w:rPr>
          <w:rFonts w:ascii="Arial" w:cs="Arial" w:eastAsia="Arial" w:hAnsi="Arial"/>
          <w:sz w:val="18"/>
          <w:szCs w:val="18"/>
          <w:color w:val="auto"/>
        </w:rPr>
        <w:t>”) to be entered into between the Company and an entity selected by the Company to act as the purchase contract agent (the “</w:t>
      </w:r>
      <w:r>
        <w:rPr>
          <w:rFonts w:ascii="Arial" w:cs="Arial" w:eastAsia="Arial" w:hAnsi="Arial"/>
          <w:sz w:val="18"/>
          <w:szCs w:val="18"/>
          <w:b w:val="1"/>
          <w:bCs w:val="1"/>
          <w:i w:val="1"/>
          <w:iCs w:val="1"/>
          <w:color w:val="auto"/>
        </w:rPr>
        <w:t>Purchase Contract Agent</w:t>
      </w:r>
      <w:r>
        <w:rPr>
          <w:rFonts w:ascii="Arial" w:cs="Arial" w:eastAsia="Arial" w:hAnsi="Arial"/>
          <w:sz w:val="18"/>
          <w:szCs w:val="18"/>
          <w:color w:val="auto"/>
        </w:rPr>
        <w:t>”) will have been authorized, executed and delivered by the Company and the Purchase Contract Agent; and (ii) the Purchase Contracts will be authorized, executed and delivered by the Company and the Purchase Contract Agent in accordance with the provisions of the Purchase Contract Agreement.</w:t>
      </w:r>
    </w:p>
    <w:p>
      <w:pPr>
        <w:spacing w:after="0" w:line="188"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With respect to any Securities consisting of Units, we have further assumed that each component of such Unit will be authorized, validly issued, fully paid and nonassessable (to the extent applicable) and will constitute a valid and binding obligation of the Company or any third party (to the extent applicable) as contemplated by the Registration Statement and the applicable unit agreement, if any.</w:t>
      </w:r>
    </w:p>
    <w:p>
      <w:pPr>
        <w:spacing w:after="0" w:line="18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The opinions expressed herein are limited by bankruptcy, insolvency, reorganization, fraudulent transfer and fraudulent conveyance, voidable preference, moratorium or other similar laws and related regulations and judicial doctrines from time to time in effect relating to or affecting creditors’ rights generally, and by general equitable principles and public policy considerations, whether such principles and considerations are considered in a proceeding at law or at equity.</w:t>
      </w:r>
    </w:p>
    <w:p>
      <w:pPr>
        <w:sectPr>
          <w:pgSz w:w="11900" w:h="16838" w:orient="portrait"/>
          <w:cols w:equalWidth="0" w:num="1">
            <w:col w:w="11000"/>
          </w:cols>
          <w:pgMar w:left="440" w:top="787"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6371590</wp:posOffset>
            </wp:positionH>
            <wp:positionV relativeFrom="page">
              <wp:posOffset>183515</wp:posOffset>
            </wp:positionV>
            <wp:extent cx="90043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900430" cy="188595"/>
                    </a:xfrm>
                    <a:prstGeom prst="rect">
                      <a:avLst/>
                    </a:prstGeom>
                    <a:noFill/>
                  </pic:spPr>
                </pic:pic>
              </a:graphicData>
            </a:graphic>
          </wp:anchor>
        </w:drawing>
        <w:t>CECO Environmental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5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As to facts material to the opinions and assumptions expressed herein, we have relied upon oral or written statements and representations of officers and other representatives of the Company and others. The opinions expressed herein are limited to the General Corporation Law of the State of Delaware and the laws of the State of New York, in each case as currently in effect, and we express no opinion as to the effect of the laws of any other jurisdiction.</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We hereby consent to the filing of this opinion as Exhibit 5.1 to the Registration Statement and to the reference to Jones Day under the caption “Legal Matters” in the prospectus constituting a part of the Registration Statement. In giving such consent, we do not thereby admit that we are included in the category of persons whose consent is required under Section 7 of the Securities Act or the rules and regulations of the Commission promulgated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Jones Day</w:t>
      </w:r>
    </w:p>
    <w:p>
      <w:pPr>
        <w:sectPr>
          <w:pgSz w:w="11900" w:h="16838" w:orient="portrait"/>
          <w:cols w:equalWidth="0" w:num="1">
            <w:col w:w="10960"/>
          </w:cols>
          <w:pgMar w:left="440" w:top="787" w:right="4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1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hereby consent to the incorporation by reference in the Prospectus constituting a part of this Registration Statement of our reports dated March 14, 2022, relating to the consolidated financial statements and the effectiveness of CECO Environmental Corp. and Subsidiaries’ internal control over financial reporting appearing in the Company’s Annual Report on Form 10-K for the year ended December 31,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 2022</w:t>
      </w:r>
    </w:p>
    <w:p>
      <w:pPr>
        <w:sectPr>
          <w:pgSz w:w="11900" w:h="16838" w:orient="portrait"/>
          <w:cols w:equalWidth="0" w:num="1">
            <w:col w:w="11020"/>
          </w:cols>
          <w:pgMar w:left="440" w:top="121"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S-3</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CECO Environmental Corp.</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Table 1: Newly Registered and Carry Forward Securities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1300" w:type="dxa"/>
            <w:vAlign w:val="bottom"/>
            <w:tcBorders>
              <w:top w:val="single" w:sz="8" w:color="auto"/>
              <w:left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1"/>
              </w:rPr>
              <w:t>Filing Fee</w:t>
            </w: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Previously</w:t>
            </w: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Paid In</w:t>
            </w: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Connection</w:t>
            </w: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with</w:t>
            </w: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7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Proposed</w:t>
            </w:r>
          </w:p>
        </w:tc>
        <w:tc>
          <w:tcPr>
            <w:tcW w:w="13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Unsold</w:t>
            </w: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7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8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62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color w:val="auto"/>
                <w:w w:val="88"/>
              </w:rPr>
              <w:t>Forward</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Securities</w:t>
            </w: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Security</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or Carry</w:t>
            </w:r>
          </w:p>
        </w:tc>
        <w:tc>
          <w:tcPr>
            <w:tcW w:w="7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8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Amount of</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54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color w:val="auto"/>
                <w:w w:val="88"/>
              </w:rPr>
              <w:t>Forward</w:t>
            </w:r>
          </w:p>
        </w:tc>
        <w:tc>
          <w:tcPr>
            <w:tcW w:w="62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color w:val="auto"/>
                <w:w w:val="98"/>
              </w:rPr>
              <w:t>Initial</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to be</w:t>
            </w: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Class</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Forward</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Amount</w:t>
            </w: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Form</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File</w:t>
            </w: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effective</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Carried</w:t>
            </w:r>
          </w:p>
        </w:tc>
      </w:tr>
      <w:tr>
        <w:trPr>
          <w:trHeight w:val="170"/>
        </w:trPr>
        <w:tc>
          <w:tcPr>
            <w:tcW w:w="130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Type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Title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Registered</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Unit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Price</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9"/>
              </w:rPr>
              <w:t>Rate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54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3"/>
                <w:szCs w:val="13"/>
                <w:color w:val="auto"/>
                <w:w w:val="90"/>
              </w:rPr>
              <w:t>Number</w:t>
            </w:r>
          </w:p>
        </w:tc>
        <w:tc>
          <w:tcPr>
            <w:tcW w:w="62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3"/>
                <w:szCs w:val="13"/>
                <w:color w:val="auto"/>
                <w:w w:val="86"/>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Forward</w:t>
            </w:r>
          </w:p>
        </w:tc>
      </w:tr>
      <w:tr>
        <w:trPr>
          <w:trHeight w:val="215"/>
        </w:trPr>
        <w:tc>
          <w:tcPr>
            <w:tcW w:w="13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Stock,</w:t>
            </w: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$0.01 par</w:t>
            </w: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30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Fees to Be</w:t>
            </w:r>
          </w:p>
        </w:tc>
        <w:tc>
          <w:tcPr>
            <w:tcW w:w="6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value per</w:t>
            </w: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51"/>
        </w:trPr>
        <w:tc>
          <w:tcPr>
            <w:tcW w:w="13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share</w:t>
            </w:r>
          </w:p>
        </w:tc>
        <w:tc>
          <w:tcPr>
            <w:tcW w:w="74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84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r>
      <w:tr>
        <w:trPr>
          <w:trHeight w:val="215"/>
        </w:trPr>
        <w:tc>
          <w:tcPr>
            <w:tcW w:w="13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Preferred</w:t>
            </w: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$0.01</w:t>
            </w: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par value per</w:t>
            </w: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130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share</w:t>
            </w: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8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7"/>
        </w:trPr>
        <w:tc>
          <w:tcPr>
            <w:tcW w:w="130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Warrants</w:t>
            </w: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8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13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Depositary</w:t>
            </w: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130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8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13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Subscription</w:t>
            </w: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130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Rights</w:t>
            </w: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8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13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Debt</w:t>
            </w: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51"/>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Debt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Securities</w:t>
            </w:r>
          </w:p>
        </w:tc>
        <w:tc>
          <w:tcPr>
            <w:tcW w:w="74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84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r>
      <w:tr>
        <w:trPr>
          <w:trHeight w:val="215"/>
        </w:trPr>
        <w:tc>
          <w:tcPr>
            <w:tcW w:w="13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Purchase</w:t>
            </w: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130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Contracts</w:t>
            </w: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8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7"/>
        </w:trPr>
        <w:tc>
          <w:tcPr>
            <w:tcW w:w="130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Units</w:t>
            </w: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8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29"/>
        </w:trPr>
        <w:tc>
          <w:tcPr>
            <w:tcW w:w="130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r>
      <w:tr>
        <w:trPr>
          <w:trHeight w:val="230"/>
        </w:trPr>
        <w:tc>
          <w:tcPr>
            <w:tcW w:w="298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Unallocated (Universal) Shelf</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7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9"/>
              </w:rPr>
              <w:t>$150,000,000.00</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.0000927</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$13,905.00 (1)</w:t>
            </w: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7"/>
        </w:trPr>
        <w:tc>
          <w:tcPr>
            <w:tcW w:w="130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9"/>
              </w:rPr>
              <w:t>$150,000,000.00</w:t>
            </w:r>
          </w:p>
        </w:tc>
        <w:tc>
          <w:tcPr>
            <w:tcW w:w="8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$13,905.00 (1)</w:t>
            </w: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bl>
    <w:p>
      <w:pPr>
        <w:spacing w:after="0" w:line="229" w:lineRule="exact"/>
        <w:rPr>
          <w:sz w:val="20"/>
          <w:szCs w:val="20"/>
          <w:color w:val="auto"/>
        </w:rPr>
      </w:pPr>
    </w:p>
    <w:p>
      <w:pPr>
        <w:ind w:left="424" w:right="20" w:hanging="424"/>
        <w:spacing w:after="0" w:line="266" w:lineRule="auto"/>
        <w:tabs>
          <w:tab w:leader="none" w:pos="424" w:val="left"/>
        </w:tabs>
        <w:numPr>
          <w:ilvl w:val="0"/>
          <w:numId w:val="39"/>
        </w:numPr>
        <w:rPr>
          <w:rFonts w:ascii="Arial" w:cs="Arial" w:eastAsia="Arial" w:hAnsi="Arial"/>
          <w:sz w:val="17"/>
          <w:szCs w:val="17"/>
          <w:color w:val="auto"/>
        </w:rPr>
      </w:pPr>
      <w:r>
        <w:rPr>
          <w:rFonts w:ascii="Arial" w:cs="Arial" w:eastAsia="Arial" w:hAnsi="Arial"/>
          <w:sz w:val="17"/>
          <w:szCs w:val="17"/>
          <w:color w:val="auto"/>
        </w:rPr>
        <w:t>Pursuant to Rule 457(p) promulgated under the Securities Act, the fee that remained unused on the Registrant’s registration statement on Form S-3 (File No. 333-231001) (the “Expired Registration Statement”) originally filed with the Securities and Exchange Commission (the “SEC”) on April 24, 2019, declared effective by the SEC on May 3, 2019 and expired on May 3, 2022 is being used to offset the fee due upon the registration of the securities registered hereby. The Expired Registration Statement registered the offer and sale by the Registrant of an indeterminate number or amount of common stock, preferred stock, depositary shares, warrants, subscription rights, debt securities, and units to purchase any combination of the foregoing securities, having an aggregate offering price of $150,000,000, all of which remains unsold. The registrant has determined to include in this registration statement an indeterminate number or amount of newly issued common stock, preferred stock, debt securities, warrants and units to purchase any combination of the foregoing securities, and rights, having an aggregate offering price of $150,000,000 (the “Primary Securities”). Pursuant to Rule 457(p) promulgated under the Securities Act, the Registrant is applying the previously paid filing fee associated with the Expired Registration Statement to this registration statement. Accordingly, the previously paid filing fee of $18,180.00 relating to the Expired Registration Statement is offset against the currently due filing fee of $13,905.00. Pursuant to Rule 416 under the Securities Act, this registration statement also covers any additional securities that may be offered or issued in connection with any stock split, stock dividend or pursuant to anti-dilution provisions of any of the securities.</w:t>
      </w:r>
    </w:p>
    <w:p>
      <w:pPr>
        <w:spacing w:after="0" w:line="5" w:lineRule="exact"/>
        <w:rPr>
          <w:rFonts w:ascii="Arial" w:cs="Arial" w:eastAsia="Arial" w:hAnsi="Arial"/>
          <w:sz w:val="17"/>
          <w:szCs w:val="17"/>
          <w:color w:val="auto"/>
        </w:rPr>
      </w:pPr>
    </w:p>
    <w:p>
      <w:pPr>
        <w:ind w:left="424" w:right="20" w:hanging="424"/>
        <w:spacing w:after="0" w:line="250" w:lineRule="auto"/>
        <w:tabs>
          <w:tab w:leader="none" w:pos="4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 Pursuant to Rule 416 under the Securities Act, this registration statement also covers any additional securities that may be offered or issued in connection with any stock split, stock dividend or pursuant to anti-dilution provisions of any of the securities.</w:t>
      </w:r>
    </w:p>
    <w:p>
      <w:pPr>
        <w:spacing w:after="0" w:line="1" w:lineRule="exact"/>
        <w:rPr>
          <w:rFonts w:ascii="Arial" w:cs="Arial" w:eastAsia="Arial" w:hAnsi="Arial"/>
          <w:sz w:val="18"/>
          <w:szCs w:val="18"/>
          <w:color w:val="auto"/>
        </w:rPr>
      </w:pPr>
    </w:p>
    <w:p>
      <w:pPr>
        <w:ind w:left="424" w:right="60" w:hanging="424"/>
        <w:spacing w:after="0" w:line="290" w:lineRule="auto"/>
        <w:tabs>
          <w:tab w:leader="none" w:pos="424" w:val="left"/>
        </w:tabs>
        <w:numPr>
          <w:ilvl w:val="0"/>
          <w:numId w:val="39"/>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457(o) under the Securities Act. In no event will the aggregate offering price of all securities sold by the registrant from time to time pursuant to this registration statement exceed $150,000,000.</w:t>
      </w:r>
    </w:p>
    <w:p>
      <w:pPr>
        <w:sectPr>
          <w:pgSz w:w="11900" w:h="16838" w:orient="portrait"/>
          <w:cols w:equalWidth="0" w:num="1">
            <w:col w:w="11024"/>
          </w:cols>
          <w:pgMar w:left="436" w:top="121" w:right="439" w:bottom="1440" w:gutter="0" w:footer="0" w:header="0"/>
        </w:sectPr>
      </w:pPr>
    </w:p>
    <w:bookmarkStart w:id="41" w:name="page42"/>
    <w:bookmarkEnd w:id="41"/>
    <w:p>
      <w:pPr>
        <w:jc w:val="center"/>
        <w:ind w:right="-103"/>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2: Fee Offset Claims and Sources</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1120" w:type="dxa"/>
            <w:vAlign w:val="bottom"/>
            <w:tcBorders>
              <w:top w:val="single" w:sz="8" w:color="auto"/>
              <w:left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jc w:val="center"/>
              <w:ind w:left="24"/>
              <w:spacing w:after="0" w:line="148" w:lineRule="exact"/>
              <w:rPr>
                <w:sz w:val="20"/>
                <w:szCs w:val="20"/>
                <w:color w:val="auto"/>
              </w:rPr>
            </w:pPr>
            <w:r>
              <w:rPr>
                <w:rFonts w:ascii="Arial" w:cs="Arial" w:eastAsia="Arial" w:hAnsi="Arial"/>
                <w:sz w:val="13"/>
                <w:szCs w:val="13"/>
                <w:color w:val="auto"/>
                <w:w w:val="93"/>
              </w:rPr>
              <w:t>Unsold</w:t>
            </w:r>
          </w:p>
        </w:tc>
        <w:tc>
          <w:tcPr>
            <w:tcW w:w="920" w:type="dxa"/>
            <w:vAlign w:val="bottom"/>
            <w:tcBorders>
              <w:top w:val="single" w:sz="8" w:color="auto"/>
              <w:right w:val="single" w:sz="8" w:color="auto"/>
            </w:tcBorders>
          </w:tcPr>
          <w:p>
            <w:pPr>
              <w:spacing w:after="0"/>
              <w:rPr>
                <w:sz w:val="12"/>
                <w:szCs w:val="12"/>
                <w:color w:val="auto"/>
              </w:rPr>
            </w:pPr>
          </w:p>
        </w:tc>
      </w:tr>
      <w:tr>
        <w:trPr>
          <w:trHeight w:val="135"/>
        </w:trPr>
        <w:tc>
          <w:tcPr>
            <w:tcW w:w="1120" w:type="dxa"/>
            <w:vAlign w:val="bottom"/>
            <w:tcBorders>
              <w:left w:val="single" w:sz="8" w:color="auto"/>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ind w:left="24"/>
              <w:spacing w:after="0" w:line="135" w:lineRule="exact"/>
              <w:rPr>
                <w:sz w:val="20"/>
                <w:szCs w:val="20"/>
                <w:color w:val="auto"/>
              </w:rPr>
            </w:pPr>
            <w:r>
              <w:rPr>
                <w:rFonts w:ascii="Arial" w:cs="Arial" w:eastAsia="Arial" w:hAnsi="Arial"/>
                <w:sz w:val="13"/>
                <w:szCs w:val="13"/>
                <w:color w:val="auto"/>
                <w:w w:val="89"/>
              </w:rPr>
              <w:t>Aggregate</w:t>
            </w:r>
          </w:p>
        </w:tc>
        <w:tc>
          <w:tcPr>
            <w:tcW w:w="920" w:type="dxa"/>
            <w:vAlign w:val="bottom"/>
            <w:tcBorders>
              <w:right w:val="single" w:sz="8" w:color="auto"/>
            </w:tcBorders>
          </w:tcPr>
          <w:p>
            <w:pPr>
              <w:spacing w:after="0"/>
              <w:rPr>
                <w:sz w:val="11"/>
                <w:szCs w:val="11"/>
                <w:color w:val="auto"/>
              </w:rPr>
            </w:pPr>
          </w:p>
        </w:tc>
      </w:tr>
      <w:tr>
        <w:trPr>
          <w:trHeight w:val="135"/>
        </w:trPr>
        <w:tc>
          <w:tcPr>
            <w:tcW w:w="1120" w:type="dxa"/>
            <w:vAlign w:val="bottom"/>
            <w:tcBorders>
              <w:left w:val="single" w:sz="8" w:color="auto"/>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1040" w:type="dxa"/>
            <w:vAlign w:val="bottom"/>
            <w:tcBorders>
              <w:right w:val="single" w:sz="8" w:color="auto"/>
            </w:tcBorders>
          </w:tcPr>
          <w:p>
            <w:pPr>
              <w:jc w:val="center"/>
              <w:ind w:left="16"/>
              <w:spacing w:after="0" w:line="135" w:lineRule="exact"/>
              <w:rPr>
                <w:sz w:val="20"/>
                <w:szCs w:val="20"/>
                <w:color w:val="auto"/>
              </w:rPr>
            </w:pPr>
            <w:r>
              <w:rPr>
                <w:rFonts w:ascii="Arial" w:cs="Arial" w:eastAsia="Arial" w:hAnsi="Arial"/>
                <w:sz w:val="13"/>
                <w:szCs w:val="13"/>
                <w:color w:val="auto"/>
                <w:w w:val="89"/>
              </w:rPr>
              <w:t>Security</w:t>
            </w:r>
          </w:p>
        </w:tc>
        <w:tc>
          <w:tcPr>
            <w:tcW w:w="820" w:type="dxa"/>
            <w:vAlign w:val="bottom"/>
            <w:tcBorders>
              <w:right w:val="single" w:sz="8" w:color="auto"/>
            </w:tcBorders>
          </w:tcPr>
          <w:p>
            <w:pPr>
              <w:jc w:val="center"/>
              <w:ind w:left="37"/>
              <w:spacing w:after="0" w:line="135" w:lineRule="exact"/>
              <w:rPr>
                <w:sz w:val="20"/>
                <w:szCs w:val="20"/>
                <w:color w:val="auto"/>
              </w:rPr>
            </w:pPr>
            <w:r>
              <w:rPr>
                <w:rFonts w:ascii="Arial" w:cs="Arial" w:eastAsia="Arial" w:hAnsi="Arial"/>
                <w:sz w:val="13"/>
                <w:szCs w:val="13"/>
                <w:color w:val="auto"/>
                <w:w w:val="88"/>
              </w:rPr>
              <w:t>Unsold</w:t>
            </w:r>
          </w:p>
        </w:tc>
        <w:tc>
          <w:tcPr>
            <w:tcW w:w="800" w:type="dxa"/>
            <w:vAlign w:val="bottom"/>
            <w:tcBorders>
              <w:right w:val="single" w:sz="8" w:color="auto"/>
            </w:tcBorders>
          </w:tcPr>
          <w:p>
            <w:pPr>
              <w:jc w:val="center"/>
              <w:ind w:left="24"/>
              <w:spacing w:after="0" w:line="135" w:lineRule="exact"/>
              <w:rPr>
                <w:sz w:val="20"/>
                <w:szCs w:val="20"/>
                <w:color w:val="auto"/>
              </w:rPr>
            </w:pPr>
            <w:r>
              <w:rPr>
                <w:rFonts w:ascii="Arial" w:cs="Arial" w:eastAsia="Arial" w:hAnsi="Arial"/>
                <w:sz w:val="13"/>
                <w:szCs w:val="13"/>
                <w:color w:val="auto"/>
                <w:w w:val="90"/>
              </w:rPr>
              <w:t>Offering</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r>
      <w:tr>
        <w:trPr>
          <w:trHeight w:val="135"/>
        </w:trPr>
        <w:tc>
          <w:tcPr>
            <w:tcW w:w="1120" w:type="dxa"/>
            <w:vAlign w:val="bottom"/>
            <w:tcBorders>
              <w:left w:val="single" w:sz="8" w:color="auto"/>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Type</w:t>
            </w:r>
          </w:p>
        </w:tc>
        <w:tc>
          <w:tcPr>
            <w:tcW w:w="1040" w:type="dxa"/>
            <w:vAlign w:val="bottom"/>
            <w:tcBorders>
              <w:right w:val="single" w:sz="8" w:color="auto"/>
            </w:tcBorders>
          </w:tcPr>
          <w:p>
            <w:pPr>
              <w:jc w:val="center"/>
              <w:ind w:left="16"/>
              <w:spacing w:after="0" w:line="135" w:lineRule="exact"/>
              <w:rPr>
                <w:sz w:val="20"/>
                <w:szCs w:val="20"/>
                <w:color w:val="auto"/>
              </w:rPr>
            </w:pPr>
            <w:r>
              <w:rPr>
                <w:rFonts w:ascii="Arial" w:cs="Arial" w:eastAsia="Arial" w:hAnsi="Arial"/>
                <w:sz w:val="13"/>
                <w:szCs w:val="13"/>
                <w:color w:val="auto"/>
                <w:w w:val="89"/>
              </w:rPr>
              <w:t>Title</w:t>
            </w:r>
          </w:p>
        </w:tc>
        <w:tc>
          <w:tcPr>
            <w:tcW w:w="820" w:type="dxa"/>
            <w:vAlign w:val="bottom"/>
            <w:tcBorders>
              <w:right w:val="single" w:sz="8" w:color="auto"/>
            </w:tcBorders>
          </w:tcPr>
          <w:p>
            <w:pPr>
              <w:jc w:val="center"/>
              <w:ind w:left="37"/>
              <w:spacing w:after="0" w:line="135" w:lineRule="exact"/>
              <w:rPr>
                <w:sz w:val="20"/>
                <w:szCs w:val="20"/>
                <w:color w:val="auto"/>
              </w:rPr>
            </w:pPr>
            <w:r>
              <w:rPr>
                <w:rFonts w:ascii="Arial" w:cs="Arial" w:eastAsia="Arial" w:hAnsi="Arial"/>
                <w:sz w:val="13"/>
                <w:szCs w:val="13"/>
                <w:color w:val="auto"/>
                <w:w w:val="84"/>
              </w:rPr>
              <w:t>Securities</w:t>
            </w:r>
          </w:p>
        </w:tc>
        <w:tc>
          <w:tcPr>
            <w:tcW w:w="800" w:type="dxa"/>
            <w:vAlign w:val="bottom"/>
            <w:tcBorders>
              <w:right w:val="single" w:sz="8" w:color="auto"/>
            </w:tcBorders>
          </w:tcPr>
          <w:p>
            <w:pPr>
              <w:jc w:val="center"/>
              <w:ind w:left="24"/>
              <w:spacing w:after="0" w:line="135" w:lineRule="exact"/>
              <w:rPr>
                <w:sz w:val="20"/>
                <w:szCs w:val="20"/>
                <w:color w:val="auto"/>
              </w:rPr>
            </w:pPr>
            <w:r>
              <w:rPr>
                <w:rFonts w:ascii="Arial" w:cs="Arial" w:eastAsia="Arial" w:hAnsi="Arial"/>
                <w:sz w:val="13"/>
                <w:szCs w:val="13"/>
                <w:color w:val="auto"/>
                <w:w w:val="93"/>
              </w:rPr>
              <w:t>Amount</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4"/>
              </w:rPr>
              <w:t>Paid</w:t>
            </w:r>
          </w:p>
        </w:tc>
      </w:tr>
      <w:tr>
        <w:trPr>
          <w:trHeight w:val="135"/>
        </w:trPr>
        <w:tc>
          <w:tcPr>
            <w:tcW w:w="1120" w:type="dxa"/>
            <w:vAlign w:val="bottom"/>
            <w:tcBorders>
              <w:left w:val="single" w:sz="8" w:color="auto"/>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Form</w:t>
            </w:r>
          </w:p>
        </w:tc>
        <w:tc>
          <w:tcPr>
            <w:tcW w:w="10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w w:val="94"/>
              </w:rPr>
              <w:t>Associated</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Associated</w:t>
            </w:r>
          </w:p>
        </w:tc>
        <w:tc>
          <w:tcPr>
            <w:tcW w:w="820" w:type="dxa"/>
            <w:vAlign w:val="bottom"/>
            <w:tcBorders>
              <w:right w:val="single" w:sz="8" w:color="auto"/>
            </w:tcBorders>
          </w:tcPr>
          <w:p>
            <w:pPr>
              <w:jc w:val="center"/>
              <w:ind w:left="37"/>
              <w:spacing w:after="0" w:line="135" w:lineRule="exact"/>
              <w:rPr>
                <w:sz w:val="20"/>
                <w:szCs w:val="20"/>
                <w:color w:val="auto"/>
              </w:rPr>
            </w:pPr>
            <w:r>
              <w:rPr>
                <w:rFonts w:ascii="Arial" w:cs="Arial" w:eastAsia="Arial" w:hAnsi="Arial"/>
                <w:sz w:val="13"/>
                <w:szCs w:val="13"/>
                <w:color w:val="auto"/>
                <w:w w:val="87"/>
              </w:rPr>
              <w:t>Associated</w:t>
            </w:r>
          </w:p>
        </w:tc>
        <w:tc>
          <w:tcPr>
            <w:tcW w:w="800" w:type="dxa"/>
            <w:vAlign w:val="bottom"/>
            <w:tcBorders>
              <w:right w:val="single" w:sz="8" w:color="auto"/>
            </w:tcBorders>
          </w:tcPr>
          <w:p>
            <w:pPr>
              <w:jc w:val="center"/>
              <w:ind w:left="4"/>
              <w:spacing w:after="0" w:line="135" w:lineRule="exact"/>
              <w:rPr>
                <w:sz w:val="20"/>
                <w:szCs w:val="20"/>
                <w:color w:val="auto"/>
              </w:rPr>
            </w:pPr>
            <w:r>
              <w:rPr>
                <w:rFonts w:ascii="Arial" w:cs="Arial" w:eastAsia="Arial" w:hAnsi="Arial"/>
                <w:sz w:val="13"/>
                <w:szCs w:val="13"/>
                <w:color w:val="auto"/>
                <w:w w:val="87"/>
              </w:rPr>
              <w:t>Associated</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with</w:t>
            </w:r>
          </w:p>
        </w:tc>
      </w:tr>
      <w:tr>
        <w:trPr>
          <w:trHeight w:val="135"/>
        </w:trPr>
        <w:tc>
          <w:tcPr>
            <w:tcW w:w="1120" w:type="dxa"/>
            <w:vAlign w:val="bottom"/>
            <w:tcBorders>
              <w:left w:val="single" w:sz="8" w:color="auto"/>
              <w:right w:val="single" w:sz="8" w:color="auto"/>
            </w:tcBorders>
          </w:tcPr>
          <w:p>
            <w:pPr>
              <w:spacing w:after="0"/>
              <w:rPr>
                <w:sz w:val="11"/>
                <w:szCs w:val="11"/>
                <w:color w:val="auto"/>
              </w:rPr>
            </w:pPr>
          </w:p>
        </w:tc>
        <w:tc>
          <w:tcPr>
            <w:tcW w:w="12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Registrant</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or</w:t>
            </w:r>
          </w:p>
        </w:tc>
        <w:tc>
          <w:tcPr>
            <w:tcW w:w="10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color w:val="auto"/>
                <w:w w:val="98"/>
              </w:rPr>
              <w:t>Initial</w:t>
            </w:r>
          </w:p>
        </w:tc>
        <w:tc>
          <w:tcPr>
            <w:tcW w:w="9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color w:val="auto"/>
                <w:w w:val="80"/>
              </w:rPr>
              <w:t>Fee</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with Fee</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with Fee</w:t>
            </w:r>
          </w:p>
        </w:tc>
        <w:tc>
          <w:tcPr>
            <w:tcW w:w="820" w:type="dxa"/>
            <w:vAlign w:val="bottom"/>
            <w:tcBorders>
              <w:right w:val="single" w:sz="8" w:color="auto"/>
            </w:tcBorders>
          </w:tcPr>
          <w:p>
            <w:pPr>
              <w:jc w:val="center"/>
              <w:ind w:left="37"/>
              <w:spacing w:after="0" w:line="135" w:lineRule="exact"/>
              <w:rPr>
                <w:sz w:val="20"/>
                <w:szCs w:val="20"/>
                <w:color w:val="auto"/>
              </w:rPr>
            </w:pPr>
            <w:r>
              <w:rPr>
                <w:rFonts w:ascii="Arial" w:cs="Arial" w:eastAsia="Arial" w:hAnsi="Arial"/>
                <w:sz w:val="13"/>
                <w:szCs w:val="13"/>
                <w:color w:val="auto"/>
                <w:w w:val="89"/>
              </w:rPr>
              <w:t>with Fee</w:t>
            </w:r>
          </w:p>
        </w:tc>
        <w:tc>
          <w:tcPr>
            <w:tcW w:w="800" w:type="dxa"/>
            <w:vAlign w:val="bottom"/>
            <w:tcBorders>
              <w:right w:val="single" w:sz="8" w:color="auto"/>
            </w:tcBorders>
          </w:tcPr>
          <w:p>
            <w:pPr>
              <w:jc w:val="center"/>
              <w:ind w:left="24"/>
              <w:spacing w:after="0" w:line="135" w:lineRule="exact"/>
              <w:rPr>
                <w:sz w:val="20"/>
                <w:szCs w:val="20"/>
                <w:color w:val="auto"/>
              </w:rPr>
            </w:pPr>
            <w:r>
              <w:rPr>
                <w:rFonts w:ascii="Arial" w:cs="Arial" w:eastAsia="Arial" w:hAnsi="Arial"/>
                <w:sz w:val="13"/>
                <w:szCs w:val="13"/>
                <w:color w:val="auto"/>
                <w:w w:val="85"/>
              </w:rPr>
              <w:t>with Fee</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r>
      <w:tr>
        <w:trPr>
          <w:trHeight w:val="135"/>
        </w:trPr>
        <w:tc>
          <w:tcPr>
            <w:tcW w:w="1120" w:type="dxa"/>
            <w:vAlign w:val="bottom"/>
            <w:tcBorders>
              <w:left w:val="single" w:sz="8" w:color="auto"/>
              <w:right w:val="single" w:sz="8" w:color="auto"/>
            </w:tcBorders>
          </w:tcPr>
          <w:p>
            <w:pPr>
              <w:spacing w:after="0"/>
              <w:rPr>
                <w:sz w:val="11"/>
                <w:szCs w:val="11"/>
                <w:color w:val="auto"/>
              </w:rPr>
            </w:pPr>
          </w:p>
        </w:tc>
        <w:tc>
          <w:tcPr>
            <w:tcW w:w="1200" w:type="dxa"/>
            <w:vAlign w:val="bottom"/>
            <w:tcBorders>
              <w:right w:val="single" w:sz="8" w:color="auto"/>
            </w:tcBorders>
          </w:tcPr>
          <w:p>
            <w:pPr>
              <w:jc w:val="center"/>
              <w:ind w:left="13"/>
              <w:spacing w:after="0" w:line="135" w:lineRule="exact"/>
              <w:rPr>
                <w:sz w:val="20"/>
                <w:szCs w:val="20"/>
                <w:color w:val="auto"/>
              </w:rPr>
            </w:pPr>
            <w:r>
              <w:rPr>
                <w:rFonts w:ascii="Arial" w:cs="Arial" w:eastAsia="Arial" w:hAnsi="Arial"/>
                <w:sz w:val="13"/>
                <w:szCs w:val="13"/>
                <w:color w:val="auto"/>
                <w:w w:val="93"/>
              </w:rPr>
              <w:t>or Filer</w:t>
            </w:r>
          </w:p>
        </w:tc>
        <w:tc>
          <w:tcPr>
            <w:tcW w:w="52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3"/>
                <w:szCs w:val="13"/>
                <w:color w:val="auto"/>
              </w:rPr>
              <w:t>Filing</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File</w:t>
            </w:r>
          </w:p>
        </w:tc>
        <w:tc>
          <w:tcPr>
            <w:tcW w:w="120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color w:val="auto"/>
                <w:w w:val="96"/>
              </w:rPr>
              <w:t>Filing</w:t>
            </w:r>
          </w:p>
        </w:tc>
        <w:tc>
          <w:tcPr>
            <w:tcW w:w="940" w:type="dxa"/>
            <w:vAlign w:val="bottom"/>
            <w:tcBorders>
              <w:right w:val="single" w:sz="8" w:color="auto"/>
            </w:tcBorders>
          </w:tcPr>
          <w:p>
            <w:pPr>
              <w:jc w:val="center"/>
              <w:ind w:left="4"/>
              <w:spacing w:after="0" w:line="135" w:lineRule="exact"/>
              <w:rPr>
                <w:sz w:val="20"/>
                <w:szCs w:val="20"/>
                <w:color w:val="auto"/>
              </w:rPr>
            </w:pPr>
            <w:r>
              <w:rPr>
                <w:rFonts w:ascii="Arial" w:cs="Arial" w:eastAsia="Arial" w:hAnsi="Arial"/>
                <w:sz w:val="13"/>
                <w:szCs w:val="13"/>
                <w:color w:val="auto"/>
                <w:w w:val="96"/>
              </w:rPr>
              <w:t>Filing</w:t>
            </w:r>
          </w:p>
        </w:tc>
        <w:tc>
          <w:tcPr>
            <w:tcW w:w="64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color w:val="auto"/>
                <w:w w:val="86"/>
              </w:rPr>
              <w:t>Offset</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Offset</w:t>
            </w:r>
          </w:p>
        </w:tc>
        <w:tc>
          <w:tcPr>
            <w:tcW w:w="1040" w:type="dxa"/>
            <w:vAlign w:val="bottom"/>
            <w:tcBorders>
              <w:right w:val="single" w:sz="8" w:color="auto"/>
            </w:tcBorders>
          </w:tcPr>
          <w:p>
            <w:pPr>
              <w:jc w:val="center"/>
              <w:ind w:left="16"/>
              <w:spacing w:after="0" w:line="135" w:lineRule="exact"/>
              <w:rPr>
                <w:sz w:val="20"/>
                <w:szCs w:val="20"/>
                <w:color w:val="auto"/>
              </w:rPr>
            </w:pPr>
            <w:r>
              <w:rPr>
                <w:rFonts w:ascii="Arial" w:cs="Arial" w:eastAsia="Arial" w:hAnsi="Arial"/>
                <w:sz w:val="13"/>
                <w:szCs w:val="13"/>
                <w:color w:val="auto"/>
                <w:w w:val="86"/>
              </w:rPr>
              <w:t>Offset</w:t>
            </w:r>
          </w:p>
        </w:tc>
        <w:tc>
          <w:tcPr>
            <w:tcW w:w="820" w:type="dxa"/>
            <w:vAlign w:val="bottom"/>
            <w:tcBorders>
              <w:right w:val="single" w:sz="8" w:color="auto"/>
            </w:tcBorders>
          </w:tcPr>
          <w:p>
            <w:pPr>
              <w:jc w:val="center"/>
              <w:ind w:left="37"/>
              <w:spacing w:after="0" w:line="135" w:lineRule="exact"/>
              <w:rPr>
                <w:sz w:val="20"/>
                <w:szCs w:val="20"/>
                <w:color w:val="auto"/>
              </w:rPr>
            </w:pPr>
            <w:r>
              <w:rPr>
                <w:rFonts w:ascii="Arial" w:cs="Arial" w:eastAsia="Arial" w:hAnsi="Arial"/>
                <w:sz w:val="13"/>
                <w:szCs w:val="13"/>
                <w:color w:val="auto"/>
                <w:w w:val="92"/>
              </w:rPr>
              <w:t>Offset</w:t>
            </w:r>
          </w:p>
        </w:tc>
        <w:tc>
          <w:tcPr>
            <w:tcW w:w="800" w:type="dxa"/>
            <w:vAlign w:val="bottom"/>
            <w:tcBorders>
              <w:right w:val="single" w:sz="8" w:color="auto"/>
            </w:tcBorders>
          </w:tcPr>
          <w:p>
            <w:pPr>
              <w:jc w:val="center"/>
              <w:ind w:left="24"/>
              <w:spacing w:after="0" w:line="135" w:lineRule="exact"/>
              <w:rPr>
                <w:sz w:val="20"/>
                <w:szCs w:val="20"/>
                <w:color w:val="auto"/>
              </w:rPr>
            </w:pPr>
            <w:r>
              <w:rPr>
                <w:rFonts w:ascii="Arial" w:cs="Arial" w:eastAsia="Arial" w:hAnsi="Arial"/>
                <w:sz w:val="13"/>
                <w:szCs w:val="13"/>
                <w:color w:val="auto"/>
                <w:w w:val="86"/>
              </w:rPr>
              <w:t>Offset</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Offset</w:t>
            </w:r>
          </w:p>
        </w:tc>
      </w:tr>
      <w:tr>
        <w:trPr>
          <w:trHeight w:val="161"/>
        </w:trPr>
        <w:tc>
          <w:tcPr>
            <w:tcW w:w="1120" w:type="dxa"/>
            <w:vAlign w:val="bottom"/>
            <w:tcBorders>
              <w:left w:val="single" w:sz="8" w:color="auto"/>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jc w:val="center"/>
              <w:ind w:left="13"/>
              <w:spacing w:after="0"/>
              <w:rPr>
                <w:sz w:val="20"/>
                <w:szCs w:val="20"/>
                <w:color w:val="auto"/>
              </w:rPr>
            </w:pPr>
            <w:r>
              <w:rPr>
                <w:rFonts w:ascii="Arial" w:cs="Arial" w:eastAsia="Arial" w:hAnsi="Arial"/>
                <w:sz w:val="13"/>
                <w:szCs w:val="13"/>
                <w:color w:val="auto"/>
                <w:w w:val="86"/>
              </w:rPr>
              <w:t>Name</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Type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Number</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Date</w:t>
            </w:r>
          </w:p>
        </w:tc>
        <w:tc>
          <w:tcPr>
            <w:tcW w:w="94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3"/>
                <w:szCs w:val="13"/>
                <w:color w:val="auto"/>
                <w:w w:val="87"/>
              </w:rPr>
              <w:t>Date</w:t>
            </w:r>
          </w:p>
        </w:tc>
        <w:tc>
          <w:tcPr>
            <w:tcW w:w="6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Claimed</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Claimed</w:t>
            </w:r>
          </w:p>
        </w:tc>
        <w:tc>
          <w:tcPr>
            <w:tcW w:w="1040" w:type="dxa"/>
            <w:vAlign w:val="bottom"/>
            <w:tcBorders>
              <w:bottom w:val="single" w:sz="8" w:color="auto"/>
              <w:right w:val="single" w:sz="8" w:color="auto"/>
            </w:tcBorders>
          </w:tcPr>
          <w:p>
            <w:pPr>
              <w:jc w:val="center"/>
              <w:ind w:left="16"/>
              <w:spacing w:after="0"/>
              <w:rPr>
                <w:sz w:val="20"/>
                <w:szCs w:val="20"/>
                <w:color w:val="auto"/>
              </w:rPr>
            </w:pPr>
            <w:r>
              <w:rPr>
                <w:rFonts w:ascii="Arial" w:cs="Arial" w:eastAsia="Arial" w:hAnsi="Arial"/>
                <w:sz w:val="13"/>
                <w:szCs w:val="13"/>
                <w:color w:val="auto"/>
                <w:w w:val="88"/>
              </w:rPr>
              <w:t>Claimed</w:t>
            </w:r>
          </w:p>
        </w:tc>
        <w:tc>
          <w:tcPr>
            <w:tcW w:w="820" w:type="dxa"/>
            <w:vAlign w:val="bottom"/>
            <w:tcBorders>
              <w:bottom w:val="single" w:sz="8" w:color="auto"/>
              <w:right w:val="single" w:sz="8" w:color="auto"/>
            </w:tcBorders>
          </w:tcPr>
          <w:p>
            <w:pPr>
              <w:jc w:val="center"/>
              <w:ind w:left="37"/>
              <w:spacing w:after="0"/>
              <w:rPr>
                <w:sz w:val="20"/>
                <w:szCs w:val="20"/>
                <w:color w:val="auto"/>
              </w:rPr>
            </w:pPr>
            <w:r>
              <w:rPr>
                <w:rFonts w:ascii="Arial" w:cs="Arial" w:eastAsia="Arial" w:hAnsi="Arial"/>
                <w:sz w:val="13"/>
                <w:szCs w:val="13"/>
                <w:color w:val="auto"/>
                <w:w w:val="92"/>
              </w:rPr>
              <w:t>Claimed</w:t>
            </w:r>
          </w:p>
        </w:tc>
        <w:tc>
          <w:tcPr>
            <w:tcW w:w="8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3"/>
                <w:szCs w:val="13"/>
                <w:color w:val="auto"/>
                <w:w w:val="88"/>
              </w:rPr>
              <w:t>Claimed</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Source</w:t>
            </w:r>
          </w:p>
        </w:tc>
      </w:tr>
      <w:tr>
        <w:trPr>
          <w:trHeight w:val="211"/>
        </w:trPr>
        <w:tc>
          <w:tcPr>
            <w:tcW w:w="1120" w:type="dxa"/>
            <w:vAlign w:val="bottom"/>
            <w:tcBorders>
              <w:left w:val="single" w:sz="8" w:color="auto"/>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8"/>
              </w:rPr>
              <w:t>Rule 457(p)</w:t>
            </w: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r>
      <w:tr>
        <w:trPr>
          <w:trHeight w:val="209"/>
        </w:trPr>
        <w:tc>
          <w:tcPr>
            <w:tcW w:w="11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 Offset</w:t>
            </w:r>
          </w:p>
        </w:tc>
        <w:tc>
          <w:tcPr>
            <w:tcW w:w="12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ind w:left="16"/>
              <w:spacing w:after="0"/>
              <w:rPr>
                <w:sz w:val="20"/>
                <w:szCs w:val="20"/>
                <w:color w:val="auto"/>
              </w:rPr>
            </w:pPr>
            <w:r>
              <w:rPr>
                <w:rFonts w:ascii="Arial" w:cs="Arial" w:eastAsia="Arial" w:hAnsi="Arial"/>
                <w:sz w:val="18"/>
                <w:szCs w:val="18"/>
                <w:color w:val="auto"/>
                <w:w w:val="90"/>
              </w:rPr>
              <w:t>Common</w:t>
            </w: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1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Claims</w:t>
            </w:r>
          </w:p>
        </w:tc>
        <w:tc>
          <w:tcPr>
            <w:tcW w:w="12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ind w:left="16"/>
              <w:spacing w:after="0"/>
              <w:rPr>
                <w:sz w:val="20"/>
                <w:szCs w:val="20"/>
                <w:color w:val="auto"/>
              </w:rPr>
            </w:pPr>
            <w:r>
              <w:rPr>
                <w:rFonts w:ascii="Arial" w:cs="Arial" w:eastAsia="Arial" w:hAnsi="Arial"/>
                <w:sz w:val="18"/>
                <w:szCs w:val="18"/>
                <w:color w:val="auto"/>
                <w:w w:val="91"/>
              </w:rPr>
              <w:t>Stock,</w:t>
            </w: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CECO</w:t>
            </w: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$0.01 par</w:t>
            </w: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Environmental</w:t>
            </w: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ind w:left="16"/>
              <w:spacing w:after="0"/>
              <w:rPr>
                <w:sz w:val="20"/>
                <w:szCs w:val="20"/>
                <w:color w:val="auto"/>
              </w:rPr>
            </w:pPr>
            <w:r>
              <w:rPr>
                <w:rFonts w:ascii="Arial" w:cs="Arial" w:eastAsia="Arial" w:hAnsi="Arial"/>
                <w:sz w:val="18"/>
                <w:szCs w:val="18"/>
                <w:color w:val="auto"/>
                <w:w w:val="89"/>
              </w:rPr>
              <w:t>value per</w:t>
            </w: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37"/>
        </w:trPr>
        <w:tc>
          <w:tcPr>
            <w:tcW w:w="1120" w:type="dxa"/>
            <w:vAlign w:val="bottom"/>
            <w:tcBorders>
              <w:left w:val="single" w:sz="8" w:color="auto"/>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Corp.</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S-3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333—</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May 2, 2022</w:t>
            </w:r>
          </w:p>
        </w:tc>
        <w:tc>
          <w:tcPr>
            <w:tcW w:w="9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8"/>
                <w:szCs w:val="18"/>
                <w:color w:val="auto"/>
                <w:w w:val="99"/>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040" w:type="dxa"/>
            <w:vAlign w:val="bottom"/>
            <w:tcBorders>
              <w:bottom w:val="single" w:sz="8" w:color="auto"/>
              <w:right w:val="single" w:sz="8" w:color="auto"/>
            </w:tcBorders>
          </w:tcPr>
          <w:p>
            <w:pPr>
              <w:jc w:val="center"/>
              <w:ind w:left="16"/>
              <w:spacing w:after="0"/>
              <w:rPr>
                <w:sz w:val="20"/>
                <w:szCs w:val="20"/>
                <w:color w:val="auto"/>
              </w:rPr>
            </w:pPr>
            <w:r>
              <w:rPr>
                <w:rFonts w:ascii="Arial" w:cs="Arial" w:eastAsia="Arial" w:hAnsi="Arial"/>
                <w:sz w:val="18"/>
                <w:szCs w:val="18"/>
                <w:color w:val="auto"/>
                <w:w w:val="84"/>
              </w:rPr>
              <w:t>share</w:t>
            </w:r>
          </w:p>
        </w:tc>
        <w:tc>
          <w:tcPr>
            <w:tcW w:w="8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99"/>
              </w:rPr>
              <w:t>(1)</w:t>
            </w:r>
          </w:p>
        </w:tc>
        <w:tc>
          <w:tcPr>
            <w:tcW w:w="920" w:type="dxa"/>
            <w:vAlign w:val="bottom"/>
            <w:tcBorders>
              <w:bottom w:val="single" w:sz="8" w:color="auto"/>
              <w:right w:val="single" w:sz="8" w:color="auto"/>
            </w:tcBorders>
          </w:tcPr>
          <w:p>
            <w:pPr>
              <w:spacing w:after="0"/>
              <w:rPr>
                <w:sz w:val="20"/>
                <w:szCs w:val="20"/>
                <w:color w:val="auto"/>
              </w:rPr>
            </w:pPr>
          </w:p>
        </w:tc>
      </w:tr>
      <w:tr>
        <w:trPr>
          <w:trHeight w:val="215"/>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ind w:left="16"/>
              <w:spacing w:after="0"/>
              <w:rPr>
                <w:sz w:val="20"/>
                <w:szCs w:val="20"/>
                <w:color w:val="auto"/>
              </w:rPr>
            </w:pPr>
            <w:r>
              <w:rPr>
                <w:rFonts w:ascii="Arial" w:cs="Arial" w:eastAsia="Arial" w:hAnsi="Arial"/>
                <w:sz w:val="18"/>
                <w:szCs w:val="18"/>
                <w:color w:val="auto"/>
                <w:w w:val="87"/>
              </w:rPr>
              <w:t>Preferred</w:t>
            </w: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ind w:left="16"/>
              <w:spacing w:after="0"/>
              <w:rPr>
                <w:sz w:val="20"/>
                <w:szCs w:val="20"/>
                <w:color w:val="auto"/>
              </w:rPr>
            </w:pPr>
            <w:r>
              <w:rPr>
                <w:rFonts w:ascii="Arial" w:cs="Arial" w:eastAsia="Arial" w:hAnsi="Arial"/>
                <w:sz w:val="18"/>
                <w:szCs w:val="18"/>
                <w:color w:val="auto"/>
                <w:w w:val="91"/>
              </w:rPr>
              <w:t>Stock,</w:t>
            </w: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CECO</w:t>
            </w: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$0.01 par</w:t>
            </w: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Environmental</w:t>
            </w: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ind w:left="16"/>
              <w:spacing w:after="0"/>
              <w:rPr>
                <w:sz w:val="20"/>
                <w:szCs w:val="20"/>
                <w:color w:val="auto"/>
              </w:rPr>
            </w:pPr>
            <w:r>
              <w:rPr>
                <w:rFonts w:ascii="Arial" w:cs="Arial" w:eastAsia="Arial" w:hAnsi="Arial"/>
                <w:sz w:val="18"/>
                <w:szCs w:val="18"/>
                <w:color w:val="auto"/>
                <w:w w:val="89"/>
              </w:rPr>
              <w:t>value per</w:t>
            </w: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37"/>
        </w:trPr>
        <w:tc>
          <w:tcPr>
            <w:tcW w:w="1120" w:type="dxa"/>
            <w:vAlign w:val="bottom"/>
            <w:tcBorders>
              <w:left w:val="single" w:sz="8" w:color="auto"/>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Corp.</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S-3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333—</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May 2, 2022</w:t>
            </w:r>
          </w:p>
        </w:tc>
        <w:tc>
          <w:tcPr>
            <w:tcW w:w="9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8"/>
                <w:szCs w:val="18"/>
                <w:color w:val="auto"/>
                <w:w w:val="99"/>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040" w:type="dxa"/>
            <w:vAlign w:val="bottom"/>
            <w:tcBorders>
              <w:bottom w:val="single" w:sz="8" w:color="auto"/>
              <w:right w:val="single" w:sz="8" w:color="auto"/>
            </w:tcBorders>
          </w:tcPr>
          <w:p>
            <w:pPr>
              <w:jc w:val="center"/>
              <w:ind w:left="16"/>
              <w:spacing w:after="0"/>
              <w:rPr>
                <w:sz w:val="20"/>
                <w:szCs w:val="20"/>
                <w:color w:val="auto"/>
              </w:rPr>
            </w:pPr>
            <w:r>
              <w:rPr>
                <w:rFonts w:ascii="Arial" w:cs="Arial" w:eastAsia="Arial" w:hAnsi="Arial"/>
                <w:sz w:val="18"/>
                <w:szCs w:val="18"/>
                <w:color w:val="auto"/>
                <w:w w:val="84"/>
              </w:rPr>
              <w:t>share</w:t>
            </w:r>
          </w:p>
        </w:tc>
        <w:tc>
          <w:tcPr>
            <w:tcW w:w="8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99"/>
              </w:rPr>
              <w:t>(1)</w:t>
            </w:r>
          </w:p>
        </w:tc>
        <w:tc>
          <w:tcPr>
            <w:tcW w:w="920" w:type="dxa"/>
            <w:vAlign w:val="bottom"/>
            <w:tcBorders>
              <w:bottom w:val="single" w:sz="8" w:color="auto"/>
              <w:right w:val="single" w:sz="8" w:color="auto"/>
            </w:tcBorders>
          </w:tcPr>
          <w:p>
            <w:pPr>
              <w:spacing w:after="0"/>
              <w:rPr>
                <w:sz w:val="20"/>
                <w:szCs w:val="20"/>
                <w:color w:val="auto"/>
              </w:rPr>
            </w:pPr>
          </w:p>
        </w:tc>
      </w:tr>
      <w:tr>
        <w:trPr>
          <w:trHeight w:val="215"/>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CECO</w:t>
            </w: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Environmental</w:t>
            </w: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37"/>
        </w:trPr>
        <w:tc>
          <w:tcPr>
            <w:tcW w:w="1120" w:type="dxa"/>
            <w:vAlign w:val="bottom"/>
            <w:tcBorders>
              <w:left w:val="single" w:sz="8" w:color="auto"/>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Corp.</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S-3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333-</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May 2, 2022</w:t>
            </w:r>
          </w:p>
        </w:tc>
        <w:tc>
          <w:tcPr>
            <w:tcW w:w="9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8"/>
                <w:szCs w:val="18"/>
                <w:color w:val="auto"/>
                <w:w w:val="99"/>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Warrants</w:t>
            </w:r>
          </w:p>
        </w:tc>
        <w:tc>
          <w:tcPr>
            <w:tcW w:w="8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99"/>
              </w:rPr>
              <w:t>(1)</w:t>
            </w:r>
          </w:p>
        </w:tc>
        <w:tc>
          <w:tcPr>
            <w:tcW w:w="920" w:type="dxa"/>
            <w:vAlign w:val="bottom"/>
            <w:tcBorders>
              <w:bottom w:val="single" w:sz="8" w:color="auto"/>
              <w:right w:val="single" w:sz="8" w:color="auto"/>
            </w:tcBorders>
          </w:tcPr>
          <w:p>
            <w:pPr>
              <w:spacing w:after="0"/>
              <w:rPr>
                <w:sz w:val="20"/>
                <w:szCs w:val="20"/>
                <w:color w:val="auto"/>
              </w:rPr>
            </w:pPr>
          </w:p>
        </w:tc>
      </w:tr>
      <w:tr>
        <w:trPr>
          <w:trHeight w:val="215"/>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CECO</w:t>
            </w: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Environmental</w:t>
            </w: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ind w:left="16"/>
              <w:spacing w:after="0"/>
              <w:rPr>
                <w:sz w:val="20"/>
                <w:szCs w:val="20"/>
                <w:color w:val="auto"/>
              </w:rPr>
            </w:pPr>
            <w:r>
              <w:rPr>
                <w:rFonts w:ascii="Arial" w:cs="Arial" w:eastAsia="Arial" w:hAnsi="Arial"/>
                <w:sz w:val="18"/>
                <w:szCs w:val="18"/>
                <w:color w:val="auto"/>
                <w:w w:val="90"/>
              </w:rPr>
              <w:t>Depositary</w:t>
            </w: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37"/>
        </w:trPr>
        <w:tc>
          <w:tcPr>
            <w:tcW w:w="1120" w:type="dxa"/>
            <w:vAlign w:val="bottom"/>
            <w:tcBorders>
              <w:left w:val="single" w:sz="8" w:color="auto"/>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Corp.</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S-3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333-</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May 2, 2022</w:t>
            </w:r>
          </w:p>
        </w:tc>
        <w:tc>
          <w:tcPr>
            <w:tcW w:w="9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8"/>
                <w:szCs w:val="18"/>
                <w:color w:val="auto"/>
                <w:w w:val="99"/>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8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99"/>
              </w:rPr>
              <w:t>(1)</w:t>
            </w:r>
          </w:p>
        </w:tc>
        <w:tc>
          <w:tcPr>
            <w:tcW w:w="920" w:type="dxa"/>
            <w:vAlign w:val="bottom"/>
            <w:tcBorders>
              <w:bottom w:val="single" w:sz="8" w:color="auto"/>
              <w:right w:val="single" w:sz="8" w:color="auto"/>
            </w:tcBorders>
          </w:tcPr>
          <w:p>
            <w:pPr>
              <w:spacing w:after="0"/>
              <w:rPr>
                <w:sz w:val="20"/>
                <w:szCs w:val="20"/>
                <w:color w:val="auto"/>
              </w:rPr>
            </w:pPr>
          </w:p>
        </w:tc>
      </w:tr>
      <w:tr>
        <w:trPr>
          <w:trHeight w:val="215"/>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CECO</w:t>
            </w: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Environmental</w:t>
            </w: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ind w:left="16"/>
              <w:spacing w:after="0"/>
              <w:rPr>
                <w:sz w:val="20"/>
                <w:szCs w:val="20"/>
                <w:color w:val="auto"/>
              </w:rPr>
            </w:pPr>
            <w:r>
              <w:rPr>
                <w:rFonts w:ascii="Arial" w:cs="Arial" w:eastAsia="Arial" w:hAnsi="Arial"/>
                <w:sz w:val="18"/>
                <w:szCs w:val="18"/>
                <w:color w:val="auto"/>
                <w:w w:val="90"/>
              </w:rPr>
              <w:t>Subscription</w:t>
            </w: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37"/>
        </w:trPr>
        <w:tc>
          <w:tcPr>
            <w:tcW w:w="1120" w:type="dxa"/>
            <w:vAlign w:val="bottom"/>
            <w:tcBorders>
              <w:left w:val="single" w:sz="8" w:color="auto"/>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Corp.</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S-3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333-</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May 2, 2022</w:t>
            </w:r>
          </w:p>
        </w:tc>
        <w:tc>
          <w:tcPr>
            <w:tcW w:w="9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8"/>
                <w:szCs w:val="18"/>
                <w:color w:val="auto"/>
                <w:w w:val="99"/>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040" w:type="dxa"/>
            <w:vAlign w:val="bottom"/>
            <w:tcBorders>
              <w:bottom w:val="single" w:sz="8" w:color="auto"/>
              <w:right w:val="single" w:sz="8" w:color="auto"/>
            </w:tcBorders>
          </w:tcPr>
          <w:p>
            <w:pPr>
              <w:jc w:val="center"/>
              <w:ind w:left="16"/>
              <w:spacing w:after="0"/>
              <w:rPr>
                <w:sz w:val="20"/>
                <w:szCs w:val="20"/>
                <w:color w:val="auto"/>
              </w:rPr>
            </w:pPr>
            <w:r>
              <w:rPr>
                <w:rFonts w:ascii="Arial" w:cs="Arial" w:eastAsia="Arial" w:hAnsi="Arial"/>
                <w:sz w:val="18"/>
                <w:szCs w:val="18"/>
                <w:color w:val="auto"/>
                <w:w w:val="90"/>
              </w:rPr>
              <w:t>Rights</w:t>
            </w:r>
          </w:p>
        </w:tc>
        <w:tc>
          <w:tcPr>
            <w:tcW w:w="8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99"/>
              </w:rPr>
              <w:t>(1)</w:t>
            </w:r>
          </w:p>
        </w:tc>
        <w:tc>
          <w:tcPr>
            <w:tcW w:w="920" w:type="dxa"/>
            <w:vAlign w:val="bottom"/>
            <w:tcBorders>
              <w:bottom w:val="single" w:sz="8" w:color="auto"/>
              <w:right w:val="single" w:sz="8" w:color="auto"/>
            </w:tcBorders>
          </w:tcPr>
          <w:p>
            <w:pPr>
              <w:spacing w:after="0"/>
              <w:rPr>
                <w:sz w:val="20"/>
                <w:szCs w:val="20"/>
                <w:color w:val="auto"/>
              </w:rPr>
            </w:pPr>
          </w:p>
        </w:tc>
      </w:tr>
      <w:tr>
        <w:trPr>
          <w:trHeight w:val="215"/>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CECO</w:t>
            </w: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Environmental</w:t>
            </w: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ind w:left="16"/>
              <w:spacing w:after="0"/>
              <w:rPr>
                <w:sz w:val="20"/>
                <w:szCs w:val="20"/>
                <w:color w:val="auto"/>
              </w:rPr>
            </w:pPr>
            <w:r>
              <w:rPr>
                <w:rFonts w:ascii="Arial" w:cs="Arial" w:eastAsia="Arial" w:hAnsi="Arial"/>
                <w:sz w:val="18"/>
                <w:szCs w:val="18"/>
                <w:color w:val="auto"/>
                <w:w w:val="89"/>
              </w:rPr>
              <w:t>Debt</w:t>
            </w: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37"/>
        </w:trPr>
        <w:tc>
          <w:tcPr>
            <w:tcW w:w="1120" w:type="dxa"/>
            <w:vAlign w:val="bottom"/>
            <w:tcBorders>
              <w:left w:val="single" w:sz="8" w:color="auto"/>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Corp.</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S-3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333—</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May 2, 2022</w:t>
            </w:r>
          </w:p>
        </w:tc>
        <w:tc>
          <w:tcPr>
            <w:tcW w:w="9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8"/>
                <w:szCs w:val="18"/>
                <w:color w:val="auto"/>
                <w:w w:val="99"/>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Debt</w:t>
            </w:r>
          </w:p>
        </w:tc>
        <w:tc>
          <w:tcPr>
            <w:tcW w:w="1040" w:type="dxa"/>
            <w:vAlign w:val="bottom"/>
            <w:tcBorders>
              <w:bottom w:val="single" w:sz="8" w:color="auto"/>
              <w:right w:val="single" w:sz="8" w:color="auto"/>
            </w:tcBorders>
          </w:tcPr>
          <w:p>
            <w:pPr>
              <w:jc w:val="center"/>
              <w:ind w:left="16"/>
              <w:spacing w:after="0"/>
              <w:rPr>
                <w:sz w:val="20"/>
                <w:szCs w:val="20"/>
                <w:color w:val="auto"/>
              </w:rPr>
            </w:pPr>
            <w:r>
              <w:rPr>
                <w:rFonts w:ascii="Arial" w:cs="Arial" w:eastAsia="Arial" w:hAnsi="Arial"/>
                <w:sz w:val="18"/>
                <w:szCs w:val="18"/>
                <w:color w:val="auto"/>
                <w:w w:val="88"/>
              </w:rPr>
              <w:t>Securities</w:t>
            </w:r>
          </w:p>
        </w:tc>
        <w:tc>
          <w:tcPr>
            <w:tcW w:w="8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99"/>
              </w:rPr>
              <w:t>(1)</w:t>
            </w:r>
          </w:p>
        </w:tc>
        <w:tc>
          <w:tcPr>
            <w:tcW w:w="920" w:type="dxa"/>
            <w:vAlign w:val="bottom"/>
            <w:tcBorders>
              <w:bottom w:val="single" w:sz="8" w:color="auto"/>
              <w:right w:val="single" w:sz="8" w:color="auto"/>
            </w:tcBorders>
          </w:tcPr>
          <w:p>
            <w:pPr>
              <w:spacing w:after="0"/>
              <w:rPr>
                <w:sz w:val="20"/>
                <w:szCs w:val="20"/>
                <w:color w:val="auto"/>
              </w:rPr>
            </w:pPr>
          </w:p>
        </w:tc>
      </w:tr>
      <w:tr>
        <w:trPr>
          <w:trHeight w:val="215"/>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CECO</w:t>
            </w: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Environmental</w:t>
            </w: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ind w:left="16"/>
              <w:spacing w:after="0"/>
              <w:rPr>
                <w:sz w:val="20"/>
                <w:szCs w:val="20"/>
                <w:color w:val="auto"/>
              </w:rPr>
            </w:pPr>
            <w:r>
              <w:rPr>
                <w:rFonts w:ascii="Arial" w:cs="Arial" w:eastAsia="Arial" w:hAnsi="Arial"/>
                <w:sz w:val="18"/>
                <w:szCs w:val="18"/>
                <w:color w:val="auto"/>
                <w:w w:val="86"/>
              </w:rPr>
              <w:t>Purchase</w:t>
            </w: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37"/>
        </w:trPr>
        <w:tc>
          <w:tcPr>
            <w:tcW w:w="1120" w:type="dxa"/>
            <w:vAlign w:val="bottom"/>
            <w:tcBorders>
              <w:left w:val="single" w:sz="8" w:color="auto"/>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Corp.</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S-3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333—</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May 2, 2022</w:t>
            </w:r>
          </w:p>
        </w:tc>
        <w:tc>
          <w:tcPr>
            <w:tcW w:w="9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8"/>
                <w:szCs w:val="18"/>
                <w:color w:val="auto"/>
                <w:w w:val="99"/>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040" w:type="dxa"/>
            <w:vAlign w:val="bottom"/>
            <w:tcBorders>
              <w:bottom w:val="single" w:sz="8" w:color="auto"/>
              <w:right w:val="single" w:sz="8" w:color="auto"/>
            </w:tcBorders>
          </w:tcPr>
          <w:p>
            <w:pPr>
              <w:jc w:val="center"/>
              <w:ind w:left="16"/>
              <w:spacing w:after="0"/>
              <w:rPr>
                <w:sz w:val="20"/>
                <w:szCs w:val="20"/>
                <w:color w:val="auto"/>
              </w:rPr>
            </w:pPr>
            <w:r>
              <w:rPr>
                <w:rFonts w:ascii="Arial" w:cs="Arial" w:eastAsia="Arial" w:hAnsi="Arial"/>
                <w:sz w:val="18"/>
                <w:szCs w:val="18"/>
                <w:color w:val="auto"/>
                <w:w w:val="90"/>
              </w:rPr>
              <w:t>Contracts</w:t>
            </w:r>
          </w:p>
        </w:tc>
        <w:tc>
          <w:tcPr>
            <w:tcW w:w="8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99"/>
              </w:rPr>
              <w:t>(1)</w:t>
            </w:r>
          </w:p>
        </w:tc>
        <w:tc>
          <w:tcPr>
            <w:tcW w:w="920" w:type="dxa"/>
            <w:vAlign w:val="bottom"/>
            <w:tcBorders>
              <w:bottom w:val="single" w:sz="8" w:color="auto"/>
              <w:right w:val="single" w:sz="8" w:color="auto"/>
            </w:tcBorders>
          </w:tcPr>
          <w:p>
            <w:pPr>
              <w:spacing w:after="0"/>
              <w:rPr>
                <w:sz w:val="20"/>
                <w:szCs w:val="20"/>
                <w:color w:val="auto"/>
              </w:rPr>
            </w:pPr>
          </w:p>
        </w:tc>
      </w:tr>
      <w:tr>
        <w:trPr>
          <w:trHeight w:val="215"/>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CECO</w:t>
            </w: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Environmental</w:t>
            </w: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37"/>
        </w:trPr>
        <w:tc>
          <w:tcPr>
            <w:tcW w:w="1120" w:type="dxa"/>
            <w:vAlign w:val="bottom"/>
            <w:tcBorders>
              <w:left w:val="single" w:sz="8" w:color="auto"/>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Corp.</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S-3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333—</w:t>
            </w:r>
          </w:p>
        </w:tc>
        <w:tc>
          <w:tcPr>
            <w:tcW w:w="120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8"/>
                <w:szCs w:val="18"/>
                <w:color w:val="auto"/>
                <w:w w:val="92"/>
              </w:rPr>
              <w:t>March 2, 2022</w:t>
            </w:r>
          </w:p>
        </w:tc>
        <w:tc>
          <w:tcPr>
            <w:tcW w:w="9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8"/>
                <w:szCs w:val="18"/>
                <w:color w:val="auto"/>
                <w:w w:val="99"/>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040" w:type="dxa"/>
            <w:vAlign w:val="bottom"/>
            <w:tcBorders>
              <w:bottom w:val="single" w:sz="8" w:color="auto"/>
              <w:right w:val="single" w:sz="8" w:color="auto"/>
            </w:tcBorders>
          </w:tcPr>
          <w:p>
            <w:pPr>
              <w:jc w:val="center"/>
              <w:ind w:left="16"/>
              <w:spacing w:after="0"/>
              <w:rPr>
                <w:sz w:val="20"/>
                <w:szCs w:val="20"/>
                <w:color w:val="auto"/>
              </w:rPr>
            </w:pPr>
            <w:r>
              <w:rPr>
                <w:rFonts w:ascii="Arial" w:cs="Arial" w:eastAsia="Arial" w:hAnsi="Arial"/>
                <w:sz w:val="18"/>
                <w:szCs w:val="18"/>
                <w:color w:val="auto"/>
                <w:w w:val="92"/>
              </w:rPr>
              <w:t>Units</w:t>
            </w:r>
          </w:p>
        </w:tc>
        <w:tc>
          <w:tcPr>
            <w:tcW w:w="8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99"/>
              </w:rPr>
              <w:t>(1)</w:t>
            </w:r>
          </w:p>
        </w:tc>
        <w:tc>
          <w:tcPr>
            <w:tcW w:w="920" w:type="dxa"/>
            <w:vAlign w:val="bottom"/>
            <w:tcBorders>
              <w:bottom w:val="single" w:sz="8" w:color="auto"/>
              <w:right w:val="single" w:sz="8" w:color="auto"/>
            </w:tcBorders>
          </w:tcPr>
          <w:p>
            <w:pPr>
              <w:spacing w:after="0"/>
              <w:rPr>
                <w:sz w:val="20"/>
                <w:szCs w:val="20"/>
                <w:color w:val="auto"/>
              </w:rPr>
            </w:pPr>
          </w:p>
        </w:tc>
      </w:tr>
      <w:tr>
        <w:trPr>
          <w:trHeight w:val="215"/>
        </w:trPr>
        <w:tc>
          <w:tcPr>
            <w:tcW w:w="11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 Offset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CECO</w:t>
            </w: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11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Source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Environmental</w:t>
            </w:r>
          </w:p>
        </w:tc>
        <w:tc>
          <w:tcPr>
            <w:tcW w:w="5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37"/>
        </w:trPr>
        <w:tc>
          <w:tcPr>
            <w:tcW w:w="1120" w:type="dxa"/>
            <w:vAlign w:val="bottom"/>
            <w:tcBorders>
              <w:left w:val="single" w:sz="8" w:color="auto"/>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Corp.</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S-3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333-231001</w:t>
            </w:r>
          </w:p>
        </w:tc>
        <w:tc>
          <w:tcPr>
            <w:tcW w:w="120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8"/>
                <w:szCs w:val="18"/>
                <w:color w:val="auto"/>
                <w:w w:val="95"/>
              </w:rPr>
              <w:t>April 24, 2019</w:t>
            </w:r>
          </w:p>
        </w:tc>
        <w:tc>
          <w:tcPr>
            <w:tcW w:w="94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88"/>
              </w:rPr>
              <w:t>$18,180.00</w:t>
            </w:r>
          </w:p>
        </w:tc>
        <w:tc>
          <w:tcPr>
            <w:tcW w:w="6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$13,905.00</w:t>
            </w:r>
          </w:p>
        </w:tc>
      </w:tr>
    </w:tbl>
    <w:p>
      <w:pPr>
        <w:spacing w:after="0" w:line="229" w:lineRule="exact"/>
        <w:rPr>
          <w:sz w:val="20"/>
          <w:szCs w:val="20"/>
          <w:color w:val="auto"/>
        </w:rPr>
      </w:pPr>
    </w:p>
    <w:p>
      <w:pPr>
        <w:ind w:left="424" w:hanging="424"/>
        <w:spacing w:after="0" w:line="286" w:lineRule="auto"/>
        <w:tabs>
          <w:tab w:leader="none" w:pos="424" w:val="left"/>
        </w:tabs>
        <w:numPr>
          <w:ilvl w:val="0"/>
          <w:numId w:val="40"/>
        </w:numPr>
        <w:rPr>
          <w:rFonts w:ascii="Arial" w:cs="Arial" w:eastAsia="Arial" w:hAnsi="Arial"/>
          <w:sz w:val="17"/>
          <w:szCs w:val="17"/>
          <w:color w:val="auto"/>
        </w:rPr>
      </w:pPr>
      <w:r>
        <w:rPr>
          <w:rFonts w:ascii="Arial" w:cs="Arial" w:eastAsia="Arial" w:hAnsi="Arial"/>
          <w:sz w:val="17"/>
          <w:szCs w:val="17"/>
          <w:color w:val="auto"/>
        </w:rPr>
        <w:t>Pursuant to Rule 457(p) promulgated under the Securities Act, this registration statement includes all of the Primary Securities and the Registrant is applying the previously paid filing fee associated with the Primary Securities to this registration statement. Accordingly, the previously paid filing fee of $18,180.00 relating to the Primary Securities is offset against the currently due filing fee of $13,905.00.</w:t>
      </w:r>
    </w:p>
    <w:sectPr>
      <w:pgSz w:w="11900" w:h="16838" w:orient="portrait"/>
      <w:cols w:equalWidth="0" w:num="1">
        <w:col w:w="10904"/>
      </w:cols>
      <w:pgMar w:left="436"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decimal"/>
      <w:start w:val="888"/>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decimal"/>
      <w:start w:val="107"/>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decimal"/>
      <w:start w:val="1"/>
    </w:lvl>
    <w:lvl w:ilvl="1">
      <w:lvlJc w:val="left"/>
      <w:lvlText w:val="(%2)"/>
      <w:numFmt w:val="lowerRoman"/>
      <w:start w:val="1"/>
    </w:lvl>
  </w:abstractNum>
  <w:abstractNum w:abstractNumId="31">
    <w:nsid w:val="5072367"/>
    <w:multiLevelType w:val="hybridMultilevel"/>
    <w:lvl w:ilvl="0">
      <w:lvlJc w:val="left"/>
      <w:lvlText w:val="(%1)"/>
      <w:numFmt w:val="lowerRoman"/>
      <w:start w:val="2"/>
    </w:lvl>
  </w:abstractNum>
  <w:abstractNum w:abstractNumId="32">
    <w:nsid w:val="3804823E"/>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33">
    <w:nsid w:val="77465F01"/>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34">
    <w:nsid w:val="7724C67E"/>
    <w:multiLevelType w:val="hybridMultilevel"/>
    <w:lvl w:ilvl="0">
      <w:lvlJc w:val="left"/>
      <w:lvlText w:val="(%1)"/>
      <w:numFmt w:val="decimal"/>
      <w:start w:val="5"/>
    </w:lvl>
    <w:lvl w:ilvl="1">
      <w:lvlJc w:val="left"/>
      <w:lvlText w:val="(%2)"/>
      <w:numFmt w:val="lowerRoman"/>
      <w:start w:val="1"/>
    </w:lvl>
  </w:abstractNum>
  <w:abstractNum w:abstractNumId="35">
    <w:nsid w:val="5C482A97"/>
    <w:multiLevelType w:val="hybridMultilevel"/>
    <w:lvl w:ilvl="0">
      <w:lvlJc w:val="left"/>
      <w:lvlText w:val="(%1)"/>
      <w:numFmt w:val="lowerRoman"/>
      <w:start w:val="3"/>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5"/>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jpeg"/><Relationship Id="rId67" Type="http://schemas.openxmlformats.org/officeDocument/2006/relationships/image" Target="media/image55.png"/><Relationship Id="rId68" Type="http://schemas.openxmlformats.org/officeDocument/2006/relationships/image" Target="media/image56.jpeg"/><Relationship Id="rId69" Type="http://schemas.openxmlformats.org/officeDocument/2006/relationships/image" Target="media/image57.png"/><Relationship Id="rId70" Type="http://schemas.openxmlformats.org/officeDocument/2006/relationships/image" Target="media/image58.jpeg"/><Relationship Id="rId71" Type="http://schemas.openxmlformats.org/officeDocument/2006/relationships/image" Target="media/image59.png"/><Relationship Id="rId72" Type="http://schemas.openxmlformats.org/officeDocument/2006/relationships/image" Target="media/image60.jpeg"/><Relationship Id="rId73" Type="http://schemas.openxmlformats.org/officeDocument/2006/relationships/image" Target="media/image61.png"/><Relationship Id="rId28" Type="http://schemas.openxmlformats.org/officeDocument/2006/relationships/hyperlink" Target="http://www.sec.gov/ix?doc=/Archives/edgar/data/3197/000095017022003502/cece-20211231.htm" TargetMode="External"/><Relationship Id="rId56" Type="http://schemas.openxmlformats.org/officeDocument/2006/relationships/hyperlink" Target="http://www.sec.gov/Archives/edgar/data/3197/000095013102001241/dex3i.txt" TargetMode="External"/><Relationship Id="rId57" Type="http://schemas.openxmlformats.org/officeDocument/2006/relationships/hyperlink" Target="http://www.sec.gov/Archives/edgar/data/3197/000119312517368365/d477604dex31.htm" TargetMode="External"/><Relationship Id="rId58" Type="http://schemas.openxmlformats.org/officeDocument/2006/relationships/hyperlink" Target="http://www.sec.gov/Archives/edgar/data/3197/000119312519115615/d696754dex43.htm" TargetMode="External"/><Relationship Id="rId59" Type="http://schemas.openxmlformats.org/officeDocument/2006/relationships/hyperlink" Target="http://www.sec.gov/Archives/edgar/data/3197/000119312519115615/d696754dex2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2022-05-02T17:03:06Z</dcterms:created>
  <dcterms:modified xsi:type="dcterms:W3CDTF">2022-05-02T17:03:06Z</dcterms:modified>
</cp:coreProperties>
</file>