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124460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151765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6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Date of Report (Date of earliest event reported): August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645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6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133350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ectPr>
          <w:pgSz w:w="11900" w:h="16838" w:orient="portrait"/>
          <w:cols w:equalWidth="0" w:num="1">
            <w:col w:w="11080"/>
          </w:cols>
          <w:pgMar w:left="320" w:top="391" w:right="49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580" w:space="720"/>
            <w:col w:w="2980" w:space="720"/>
            <w:col w:w="2080"/>
          </w:cols>
          <w:pgMar w:left="320" w:top="391" w:right="499" w:bottom="1440" w:gutter="0" w:footer="0" w:header="0"/>
          <w:type w:val="continuous"/>
        </w:sectPr>
      </w:pPr>
    </w:p>
    <w:p>
      <w:pPr>
        <w:spacing w:after="0" w:line="12" w:lineRule="exact"/>
        <w:rPr>
          <w:sz w:val="24"/>
          <w:szCs w:val="24"/>
          <w:color w:val="auto"/>
        </w:rPr>
      </w:pPr>
    </w:p>
    <w:p>
      <w:pPr>
        <w:jc w:val="center"/>
        <w:ind w:right="880"/>
        <w:spacing w:after="0"/>
        <w:rPr>
          <w:sz w:val="20"/>
          <w:szCs w:val="20"/>
          <w:color w:val="auto"/>
        </w:rPr>
      </w:pPr>
      <w:r>
        <w:rPr>
          <w:rFonts w:ascii="Arial" w:cs="Arial" w:eastAsia="Arial" w:hAnsi="Arial"/>
          <w:sz w:val="13"/>
          <w:szCs w:val="13"/>
          <w:b w:val="1"/>
          <w:bCs w:val="1"/>
          <w:color w:val="auto"/>
        </w:rPr>
        <w:t>(State or other jurisdiction</w:t>
      </w:r>
    </w:p>
    <w:p>
      <w:pPr>
        <w:jc w:val="center"/>
        <w:ind w:right="8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500" w:space="720"/>
            <w:col w:w="2940" w:space="720"/>
            <w:col w:w="2200"/>
          </w:cols>
          <w:pgMar w:left="320" w:top="391" w:right="499" w:bottom="1440" w:gutter="0" w:footer="0" w:header="0"/>
          <w:type w:val="continuous"/>
        </w:sectPr>
      </w:pPr>
    </w:p>
    <w:p>
      <w:pPr>
        <w:jc w:val="center"/>
        <w:ind w:right="2020"/>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Suite 500</w:t>
      </w:r>
    </w:p>
    <w:p>
      <w:pPr>
        <w:spacing w:after="0" w:line="9"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75254</w:t>
      </w:r>
    </w:p>
    <w:p>
      <w:pPr>
        <w:spacing w:after="0" w:line="50" w:lineRule="exact"/>
        <w:rPr>
          <w:sz w:val="24"/>
          <w:szCs w:val="24"/>
          <w:color w:val="auto"/>
        </w:rPr>
      </w:pPr>
    </w:p>
    <w:p>
      <w:pPr>
        <w:sectPr>
          <w:pgSz w:w="11900" w:h="16838" w:orient="portrait"/>
          <w:cols w:equalWidth="0" w:num="2">
            <w:col w:w="7540" w:space="720"/>
            <w:col w:w="2820"/>
          </w:cols>
          <w:pgMar w:left="320" w:top="391" w:right="49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440" w:space="720"/>
            <w:col w:w="2920"/>
          </w:cols>
          <w:pgMar w:left="320" w:top="391"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560" w:right="2460" w:hanging="3552"/>
        <w:spacing w:after="0" w:line="428" w:lineRule="auto"/>
        <w:tabs>
          <w:tab w:leader="none" w:pos="59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100" w:type="dxa"/>
        <w:tblCellMar>
          <w:top w:w="0" w:type="dxa"/>
          <w:left w:w="0" w:type="dxa"/>
          <w:bottom w:w="0" w:type="dxa"/>
          <w:right w:w="0" w:type="dxa"/>
        </w:tblCellMar>
      </w:tblPr>
      <w:tr>
        <w:trPr>
          <w:trHeight w:val="182"/>
        </w:trPr>
        <w:tc>
          <w:tcPr>
            <w:tcW w:w="3100" w:type="dxa"/>
            <w:vAlign w:val="bottom"/>
          </w:tcPr>
          <w:p>
            <w:pPr>
              <w:jc w:val="center"/>
              <w:ind w:right="588"/>
              <w:spacing w:after="0"/>
              <w:rPr>
                <w:sz w:val="20"/>
                <w:szCs w:val="20"/>
                <w:color w:val="auto"/>
              </w:rPr>
            </w:pPr>
            <w:r>
              <w:rPr>
                <w:rFonts w:ascii="Arial" w:cs="Arial" w:eastAsia="Arial" w:hAnsi="Arial"/>
                <w:sz w:val="14"/>
                <w:szCs w:val="14"/>
                <w:color w:val="auto"/>
                <w:w w:val="92"/>
              </w:rPr>
              <w:t>Title of each class</w:t>
            </w:r>
          </w:p>
        </w:tc>
        <w:tc>
          <w:tcPr>
            <w:tcW w:w="2380" w:type="dxa"/>
            <w:vAlign w:val="bottom"/>
          </w:tcPr>
          <w:p>
            <w:pPr>
              <w:jc w:val="center"/>
              <w:ind w:right="48"/>
              <w:spacing w:after="0"/>
              <w:rPr>
                <w:sz w:val="20"/>
                <w:szCs w:val="20"/>
                <w:color w:val="auto"/>
              </w:rPr>
            </w:pPr>
            <w:r>
              <w:rPr>
                <w:rFonts w:ascii="Arial" w:cs="Arial" w:eastAsia="Arial" w:hAnsi="Arial"/>
                <w:sz w:val="14"/>
                <w:szCs w:val="14"/>
                <w:color w:val="auto"/>
                <w:w w:val="95"/>
              </w:rPr>
              <w:t>Trading Symbol</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203"/>
        </w:trPr>
        <w:tc>
          <w:tcPr>
            <w:tcW w:w="3100" w:type="dxa"/>
            <w:vAlign w:val="bottom"/>
          </w:tcPr>
          <w:p>
            <w:pPr>
              <w:jc w:val="center"/>
              <w:ind w:right="608"/>
              <w:spacing w:after="0"/>
              <w:rPr>
                <w:sz w:val="20"/>
                <w:szCs w:val="20"/>
                <w:color w:val="auto"/>
              </w:rPr>
            </w:pPr>
            <w:r>
              <w:rPr>
                <w:rFonts w:ascii="Arial" w:cs="Arial" w:eastAsia="Arial" w:hAnsi="Arial"/>
                <w:sz w:val="14"/>
                <w:szCs w:val="14"/>
                <w:color w:val="auto"/>
                <w:w w:val="91"/>
              </w:rPr>
              <w:t>Common Stock, par value $0.01 per share</w:t>
            </w:r>
          </w:p>
        </w:tc>
        <w:tc>
          <w:tcPr>
            <w:tcW w:w="2380" w:type="dxa"/>
            <w:vAlign w:val="bottom"/>
          </w:tcPr>
          <w:p>
            <w:pPr>
              <w:jc w:val="center"/>
              <w:ind w:right="28"/>
              <w:spacing w:after="0"/>
              <w:rPr>
                <w:sz w:val="20"/>
                <w:szCs w:val="20"/>
                <w:color w:val="auto"/>
              </w:rPr>
            </w:pPr>
            <w:r>
              <w:rPr>
                <w:rFonts w:ascii="Arial" w:cs="Arial" w:eastAsia="Arial" w:hAnsi="Arial"/>
                <w:sz w:val="14"/>
                <w:szCs w:val="14"/>
                <w:color w:val="auto"/>
                <w:w w:val="92"/>
              </w:rPr>
              <w:t>CECE</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7"/>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-240665</wp:posOffset>
            </wp:positionV>
            <wp:extent cx="672084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265430"/>
                    </a:xfrm>
                    <a:prstGeom prst="rect">
                      <a:avLst/>
                    </a:prstGeom>
                    <a:noFill/>
                  </pic:spPr>
                </pic:pic>
              </a:graphicData>
            </a:graphic>
          </wp:anchor>
        </w:drawing>
      </w:r>
    </w:p>
    <w:p>
      <w:pPr>
        <w:spacing w:after="0" w:line="16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4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391"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40" w:firstLine="589"/>
        <w:spacing w:after="0" w:line="342" w:lineRule="auto"/>
        <w:rPr>
          <w:sz w:val="20"/>
          <w:szCs w:val="20"/>
          <w:color w:val="auto"/>
        </w:rPr>
      </w:pPr>
      <w:r>
        <w:rPr>
          <w:rFonts w:ascii="Arial" w:cs="Arial" w:eastAsia="Arial" w:hAnsi="Arial"/>
          <w:sz w:val="16"/>
          <w:szCs w:val="16"/>
          <w:color w:val="auto"/>
        </w:rPr>
        <w:t>On August 5, 2020, CECO Environmental Corp., a Delaware corporation, issued a press release announcing its financial results for the three and six months ended June 30, 2020. A copy of the press release is furnished as Exhibit 99.1 to this report and is incorporated herein by reference.</w:t>
      </w:r>
    </w:p>
    <w:p>
      <w:pPr>
        <w:spacing w:after="0" w:line="124"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10220" w:type="dxa"/>
            <w:vAlign w:val="bottom"/>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20" w:type="dxa"/>
            <w:vAlign w:val="bottom"/>
            <w:tcBorders>
              <w:top w:val="single" w:sz="8" w:color="auto"/>
            </w:tcBorders>
          </w:tcPr>
          <w:p>
            <w:pPr>
              <w:jc w:val="right"/>
              <w:ind w:right="522"/>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24"/>
                <w:szCs w:val="24"/>
                <w:color w:val="auto"/>
              </w:rPr>
            </w:pPr>
          </w:p>
        </w:tc>
        <w:tc>
          <w:tcPr>
            <w:tcW w:w="1022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August 5, 2020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676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678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80"/>
          </w:cols>
          <w:pgMar w:left="320" w:top="121"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9728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 Reports Second Quarter and Year-to-Date 2020 Results;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Initiatives Implemented Generated Cost Savings and Delivered Improved Operating Income</w:t>
      </w:r>
    </w:p>
    <w:p>
      <w:pPr>
        <w:spacing w:after="0" w:line="243" w:lineRule="exact"/>
        <w:rPr>
          <w:sz w:val="20"/>
          <w:szCs w:val="20"/>
          <w:color w:val="auto"/>
        </w:rPr>
      </w:pPr>
    </w:p>
    <w:p>
      <w:pPr>
        <w:jc w:val="both"/>
        <w:ind w:left="120" w:right="60"/>
        <w:spacing w:after="0" w:line="241" w:lineRule="auto"/>
        <w:rPr>
          <w:sz w:val="20"/>
          <w:szCs w:val="20"/>
          <w:color w:val="auto"/>
        </w:rPr>
      </w:pPr>
      <w:r>
        <w:rPr>
          <w:rFonts w:ascii="Arial" w:cs="Arial" w:eastAsia="Arial" w:hAnsi="Arial"/>
          <w:sz w:val="20"/>
          <w:szCs w:val="20"/>
          <w:b w:val="1"/>
          <w:bCs w:val="1"/>
          <w:color w:val="auto"/>
        </w:rPr>
        <w:t xml:space="preserve">DALLAS, Texas, August 5, 2020 -- CECO Environmental Corp. (Nasdaq: CECE), </w:t>
      </w:r>
      <w:r>
        <w:rPr>
          <w:rFonts w:ascii="Arial" w:cs="Arial" w:eastAsia="Arial" w:hAnsi="Arial"/>
          <w:sz w:val="20"/>
          <w:szCs w:val="20"/>
          <w:color w:val="auto"/>
        </w:rPr>
        <w:t>a leading global air quality and fluid</w:t>
      </w:r>
      <w:r>
        <w:rPr>
          <w:rFonts w:ascii="Arial" w:cs="Arial" w:eastAsia="Arial" w:hAnsi="Arial"/>
          <w:sz w:val="20"/>
          <w:szCs w:val="20"/>
          <w:b w:val="1"/>
          <w:bCs w:val="1"/>
          <w:color w:val="auto"/>
        </w:rPr>
        <w:t xml:space="preserve"> </w:t>
      </w:r>
      <w:r>
        <w:rPr>
          <w:rFonts w:ascii="Arial" w:cs="Arial" w:eastAsia="Arial" w:hAnsi="Arial"/>
          <w:sz w:val="20"/>
          <w:szCs w:val="20"/>
          <w:color w:val="auto"/>
        </w:rPr>
        <w:t>handling company serving the energy, industrial and other niche markets, today reported its financial results for the second quarter and first six months of 2020.</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Highlights of the Second Quarter 2020*</w:t>
      </w:r>
    </w:p>
    <w:p>
      <w:pPr>
        <w:ind w:left="740" w:hanging="368"/>
        <w:spacing w:after="0" w:line="225" w:lineRule="auto"/>
        <w:tabs>
          <w:tab w:leader="none" w:pos="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Revenue of $75.2 million, compared with $81.2 million</w:t>
      </w:r>
    </w:p>
    <w:p>
      <w:pPr>
        <w:ind w:left="740" w:hanging="368"/>
        <w:spacing w:after="0" w:line="225" w:lineRule="auto"/>
        <w:tabs>
          <w:tab w:leader="none" w:pos="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Gross profit of $25.8 million (34.3% margin), compared with $26.8 million (33.0% margin)</w:t>
      </w:r>
    </w:p>
    <w:p>
      <w:pPr>
        <w:ind w:left="740" w:hanging="368"/>
        <w:spacing w:after="0" w:line="225" w:lineRule="auto"/>
        <w:tabs>
          <w:tab w:leader="none" w:pos="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Operating income of $4.4 million, compared with $2.0 million</w:t>
      </w:r>
    </w:p>
    <w:p>
      <w:pPr>
        <w:ind w:left="740" w:hanging="368"/>
        <w:spacing w:after="0" w:line="225" w:lineRule="auto"/>
        <w:tabs>
          <w:tab w:leader="none" w:pos="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Non-GAAP operating income of $7.4 million, compared with $4.4 million</w:t>
      </w:r>
    </w:p>
    <w:p>
      <w:pPr>
        <w:ind w:left="740" w:hanging="368"/>
        <w:spacing w:after="0" w:line="225" w:lineRule="auto"/>
        <w:tabs>
          <w:tab w:leader="none" w:pos="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Net income of $3.3 million, compared with $5.5 million</w:t>
      </w:r>
    </w:p>
    <w:p>
      <w:pPr>
        <w:ind w:left="740" w:hanging="368"/>
        <w:spacing w:after="0" w:line="225" w:lineRule="auto"/>
        <w:tabs>
          <w:tab w:leader="none" w:pos="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Non-GAAP net income of $5.1 million, compared with $3.0 million</w:t>
      </w:r>
    </w:p>
    <w:p>
      <w:pPr>
        <w:ind w:left="740" w:hanging="368"/>
        <w:spacing w:after="0" w:line="225" w:lineRule="auto"/>
        <w:tabs>
          <w:tab w:leader="none" w:pos="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Net income per diluted share was $0.09, compared with $0.15</w:t>
      </w:r>
    </w:p>
    <w:p>
      <w:pPr>
        <w:ind w:left="740" w:hanging="368"/>
        <w:spacing w:after="0" w:line="225" w:lineRule="auto"/>
        <w:tabs>
          <w:tab w:leader="none" w:pos="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Non-GAAP net income per diluted share of $0.14, compared with $0.08</w:t>
      </w:r>
    </w:p>
    <w:p>
      <w:pPr>
        <w:ind w:left="740" w:hanging="368"/>
        <w:spacing w:after="0" w:line="225" w:lineRule="auto"/>
        <w:tabs>
          <w:tab w:leader="none" w:pos="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Adjusted EBITDA of $8.2 million, compared with $6.0 million</w:t>
      </w:r>
    </w:p>
    <w:p>
      <w:pPr>
        <w:ind w:left="740" w:hanging="368"/>
        <w:spacing w:after="0" w:line="225" w:lineRule="auto"/>
        <w:tabs>
          <w:tab w:leader="none" w:pos="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Bookings of $60.0 million, compared with $103.0 million</w:t>
      </w:r>
    </w:p>
    <w:p>
      <w:pPr>
        <w:ind w:right="3780" w:firstLine="372"/>
        <w:spacing w:after="0" w:line="457" w:lineRule="auto"/>
        <w:tabs>
          <w:tab w:leader="none" w:pos="729" w:val="left"/>
        </w:tabs>
        <w:numPr>
          <w:ilvl w:val="1"/>
          <w:numId w:val="3"/>
        </w:numPr>
        <w:rPr>
          <w:rFonts w:ascii="Arial" w:cs="Arial" w:eastAsia="Arial" w:hAnsi="Arial"/>
          <w:sz w:val="20"/>
          <w:szCs w:val="20"/>
          <w:color w:val="auto"/>
        </w:rPr>
      </w:pPr>
      <w:r>
        <w:rPr>
          <w:rFonts w:ascii="Arial" w:cs="Arial" w:eastAsia="Arial" w:hAnsi="Arial"/>
          <w:sz w:val="20"/>
          <w:szCs w:val="20"/>
          <w:color w:val="auto"/>
        </w:rPr>
        <w:t xml:space="preserve">Backlog of $204.6 million, compared with $208.9 million as of March 31, 2020 * </w:t>
      </w:r>
      <w:r>
        <w:rPr>
          <w:rFonts w:ascii="Arial" w:cs="Arial" w:eastAsia="Arial" w:hAnsi="Arial"/>
          <w:sz w:val="16"/>
          <w:szCs w:val="16"/>
          <w:color w:val="auto"/>
        </w:rPr>
        <w:t>All comparisons are versus the comparable prior-year period, unless otherwise stated</w:t>
      </w:r>
    </w:p>
    <w:p>
      <w:pPr>
        <w:spacing w:after="0" w:line="2" w:lineRule="exact"/>
        <w:rPr>
          <w:sz w:val="20"/>
          <w:szCs w:val="20"/>
          <w:color w:val="auto"/>
        </w:rPr>
      </w:pPr>
    </w:p>
    <w:p>
      <w:pPr>
        <w:ind w:left="120" w:right="200"/>
        <w:spacing w:after="0" w:line="242" w:lineRule="auto"/>
        <w:rPr>
          <w:sz w:val="20"/>
          <w:szCs w:val="20"/>
          <w:color w:val="auto"/>
        </w:rPr>
      </w:pPr>
      <w:r>
        <w:rPr>
          <w:rFonts w:ascii="Arial" w:cs="Arial" w:eastAsia="Arial" w:hAnsi="Arial"/>
          <w:sz w:val="19"/>
          <w:szCs w:val="19"/>
          <w:color w:val="auto"/>
        </w:rPr>
        <w:t>Todd Gleason, CECO’s Chief Executive Officer, commented, “During the second quarter, the CECO team delivered focused execution and solid customer service while adjusting for the disruptions associated with the wide-spread COVID-19 pandemic. The Company enacted proactive measures to reduce costs in anticipation of the market declines, which maintained strong profitability and margin rates while streamlining operations for future quarters. Additionally, we executed the EIS acquisition, which advances our industrial solutions portfolio and positions us for growth in the European industrial markets.”</w:t>
      </w:r>
    </w:p>
    <w:p>
      <w:pPr>
        <w:spacing w:after="0" w:line="208" w:lineRule="exact"/>
        <w:rPr>
          <w:sz w:val="20"/>
          <w:szCs w:val="20"/>
          <w:color w:val="auto"/>
        </w:rPr>
      </w:pPr>
    </w:p>
    <w:p>
      <w:pPr>
        <w:ind w:left="120" w:right="520"/>
        <w:spacing w:after="0" w:line="230" w:lineRule="auto"/>
        <w:rPr>
          <w:sz w:val="20"/>
          <w:szCs w:val="20"/>
          <w:color w:val="auto"/>
        </w:rPr>
      </w:pPr>
      <w:r>
        <w:rPr>
          <w:rFonts w:ascii="Arial" w:cs="Arial" w:eastAsia="Arial" w:hAnsi="Arial"/>
          <w:sz w:val="20"/>
          <w:szCs w:val="20"/>
          <w:color w:val="auto"/>
        </w:rPr>
        <w:t>Mr. Gleason added, “As I come to the end of my first month with the Company, I have enjoyed connecting with our talented team members, and immersing myself in how we will collectively create more value – for our customers, employees, and shareholders. I am excited to be on the CECO team and look forward to driving new growth and sustainable business processes as we build upon our strong foundation.”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SECOND QUARTER RESULTS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Revenue in the second quarter of 2020 was $75.2 million, down 7.4% from $81.2 million in the prior-year period.</w:t>
      </w:r>
    </w:p>
    <w:p>
      <w:pPr>
        <w:spacing w:after="0" w:line="216"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Operating income was $ 4.4 million for the second quarter of 2020, compared with $2.0 million in the prior-year period. Non-GAAP operating income was $7.4 million for the second quarter of 2020 (9.8% margin), compared with $4.4 million in the prior-year period (5.4% margin).</w:t>
      </w:r>
    </w:p>
    <w:p>
      <w:pPr>
        <w:spacing w:after="0" w:line="211"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20"/>
          <w:szCs w:val="20"/>
          <w:color w:val="auto"/>
        </w:rPr>
        <w:t>Net income was $3.3 million for the second quarter of 2020, compared with $5.5 million in the prior-year period. Net income on a non-GAAP basis was $5.1 million for the second quarter of 2020, compared with $3.0 million in the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ind w:left="10360"/>
        <w:spacing w:after="0"/>
        <w:rPr>
          <w:sz w:val="20"/>
          <w:szCs w:val="20"/>
          <w:color w:val="auto"/>
        </w:rPr>
      </w:pPr>
      <w:r>
        <w:rPr>
          <w:rFonts w:ascii="Arial" w:cs="Arial" w:eastAsia="Arial" w:hAnsi="Arial"/>
          <w:sz w:val="16"/>
          <w:szCs w:val="16"/>
          <w:color w:val="auto"/>
        </w:rPr>
        <w:t>Exhibit 99.1</w:t>
      </w:r>
    </w:p>
    <w:p>
      <w:pPr>
        <w:spacing w:after="0" w:line="43"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20"/>
          <w:szCs w:val="20"/>
          <w:color w:val="auto"/>
        </w:rPr>
        <w:t>Net income per diluted share was $0.09 for the second quarter of 2020, compared with $0.15 in the prior-year period. Non-GAAP net income per diluted share was $0.14 for the second quarter of 2020, compared with $0.08 for the prior-year period.</w:t>
      </w:r>
    </w:p>
    <w:p>
      <w:pPr>
        <w:spacing w:after="0" w:line="196"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Cash and cash equivalents were $41.5 million and bank debt was $79.5 million as of June 30, 2020, compared with $35.6 million and $67.3 million, respectively, as of December 31, 2019. In the quarter, the Company repaid the entirety of the $40.0 million dollar cash drawdown from its credit revolver which was announced in April as a proactive measure.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BACKLOG AND BOOKINGS</w:t>
      </w:r>
    </w:p>
    <w:p>
      <w:pPr>
        <w:spacing w:after="0" w:line="240"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20"/>
          <w:szCs w:val="20"/>
          <w:color w:val="auto"/>
        </w:rPr>
        <w:t>Total backlog at June 30, 2020 was $204.6 million as compared with $208.9 million on March 31, 2020 and $208.8 million on June 30, 2019. Backlog acquired from the EIS acquisition was $8.8 million.</w:t>
      </w:r>
    </w:p>
    <w:p>
      <w:pPr>
        <w:spacing w:after="0" w:line="209"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20"/>
          <w:szCs w:val="20"/>
          <w:color w:val="auto"/>
        </w:rPr>
        <w:t>Bookings were $60.0 million for the second quarter of 2020, compared with $103.0 million in the prior-year period. Bookings were $135.7 million for the first six months of 2020, compared with $200.3 million in the prior year period.</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YEAR-TO-DATE RESULTS</w:t>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Revenue in the first six months of 2020 was $155.7 million, down 6.9% from $167.2 million in the prior-year period.</w:t>
      </w:r>
    </w:p>
    <w:p>
      <w:pPr>
        <w:spacing w:after="0" w:line="202" w:lineRule="exact"/>
        <w:rPr>
          <w:sz w:val="20"/>
          <w:szCs w:val="20"/>
          <w:color w:val="auto"/>
        </w:rPr>
      </w:pPr>
    </w:p>
    <w:p>
      <w:pPr>
        <w:jc w:val="both"/>
        <w:ind w:left="100" w:right="60"/>
        <w:spacing w:after="0" w:line="232" w:lineRule="auto"/>
        <w:rPr>
          <w:sz w:val="20"/>
          <w:szCs w:val="20"/>
          <w:color w:val="auto"/>
        </w:rPr>
      </w:pPr>
      <w:r>
        <w:rPr>
          <w:rFonts w:ascii="Arial" w:cs="Arial" w:eastAsia="Arial" w:hAnsi="Arial"/>
          <w:sz w:val="20"/>
          <w:szCs w:val="20"/>
          <w:color w:val="auto"/>
        </w:rPr>
        <w:t>Operating income was $8.6 million for the first six months of 2020 (5.5% margin), compared with $6.9 million in the prior-year period (4.1% margin). Operating income on a non-GAAP basis was $13.7 million for the first six months of 2020 (8.8% margin), compared with $11.5 million in the prior-year period (6.9% margin).</w:t>
      </w:r>
    </w:p>
    <w:p>
      <w:pPr>
        <w:spacing w:after="0" w:line="197" w:lineRule="exact"/>
        <w:rPr>
          <w:sz w:val="20"/>
          <w:szCs w:val="20"/>
          <w:color w:val="auto"/>
        </w:rPr>
      </w:pPr>
    </w:p>
    <w:p>
      <w:pPr>
        <w:jc w:val="both"/>
        <w:ind w:left="100" w:right="80"/>
        <w:spacing w:after="0" w:line="236" w:lineRule="auto"/>
        <w:rPr>
          <w:sz w:val="20"/>
          <w:szCs w:val="20"/>
          <w:color w:val="auto"/>
        </w:rPr>
      </w:pPr>
      <w:r>
        <w:rPr>
          <w:rFonts w:ascii="Arial" w:cs="Arial" w:eastAsia="Arial" w:hAnsi="Arial"/>
          <w:sz w:val="20"/>
          <w:szCs w:val="20"/>
          <w:color w:val="auto"/>
        </w:rPr>
        <w:t>Net income was $6.7 million for the first six months of 2020, compared with $7.4 million in the prior-year period. Net income on a non-GAAP basis was $10.4 million for the first six months of 2020, compared with $7.0 million in the prior-year period.</w:t>
      </w:r>
    </w:p>
    <w:p>
      <w:pPr>
        <w:spacing w:after="0" w:line="209" w:lineRule="exact"/>
        <w:rPr>
          <w:sz w:val="20"/>
          <w:szCs w:val="20"/>
          <w:color w:val="auto"/>
        </w:rPr>
      </w:pPr>
    </w:p>
    <w:p>
      <w:pPr>
        <w:ind w:left="100" w:right="700"/>
        <w:spacing w:after="0" w:line="285" w:lineRule="auto"/>
        <w:rPr>
          <w:sz w:val="20"/>
          <w:szCs w:val="20"/>
          <w:color w:val="auto"/>
        </w:rPr>
      </w:pPr>
      <w:r>
        <w:rPr>
          <w:rFonts w:ascii="Arial" w:cs="Arial" w:eastAsia="Arial" w:hAnsi="Arial"/>
          <w:sz w:val="18"/>
          <w:szCs w:val="18"/>
          <w:color w:val="auto"/>
        </w:rPr>
        <w:t>Net income per diluted share was $ 0.19 for the first six months of 2020, compared with $0.21 in the prior-year period. Non-GAAP net income per diluted share was $0.29 for the first six months of 2020, compared with $0.20 for the prior-year period.</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240"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A conference call is scheduled for today at 8:30 a.m. ET to discuss the second quarter 2020 financial results. The conference call may also be accessed by dialing (888) 346-4547 (Toll-Free) within the U.S., (855) 669-9657 (Toll-Free) within Canada or Toll/International (412) 317-5251.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The live webcast and slides can also be accessed at </w:t>
      </w:r>
      <w:r>
        <w:rPr>
          <w:rFonts w:ascii="Arial" w:cs="Arial" w:eastAsia="Arial" w:hAnsi="Arial"/>
          <w:sz w:val="20"/>
          <w:szCs w:val="20"/>
          <w:u w:val="single" w:color="auto"/>
          <w:color w:val="auto"/>
        </w:rPr>
        <w:t>https://investors.cecoenviro.com/events-webcasts-and-presentations</w:t>
      </w:r>
    </w:p>
    <w:p>
      <w:pPr>
        <w:spacing w:after="0" w:line="216" w:lineRule="exact"/>
        <w:rPr>
          <w:sz w:val="20"/>
          <w:szCs w:val="20"/>
          <w:color w:val="auto"/>
        </w:rPr>
      </w:pPr>
    </w:p>
    <w:p>
      <w:pPr>
        <w:ind w:left="120" w:right="140"/>
        <w:spacing w:after="0" w:line="236" w:lineRule="auto"/>
        <w:rPr>
          <w:sz w:val="20"/>
          <w:szCs w:val="20"/>
          <w:color w:val="auto"/>
        </w:rPr>
      </w:pPr>
      <w:r>
        <w:rPr>
          <w:rFonts w:ascii="Arial" w:cs="Arial" w:eastAsia="Arial" w:hAnsi="Arial"/>
          <w:sz w:val="20"/>
          <w:szCs w:val="20"/>
          <w:color w:val="auto"/>
        </w:rPr>
        <w:t>A replay of the conference call will be available on the Company’s website for 7 days. The replay may be accessed by dialing toll free (877) 344-7529 within North America or Toll/International (412) 317-0088 and entering passcode 10146531.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CECO ENVIRONMENTAL</w:t>
      </w:r>
    </w:p>
    <w:p>
      <w:pPr>
        <w:spacing w:after="0" w:line="216" w:lineRule="exact"/>
        <w:rPr>
          <w:sz w:val="20"/>
          <w:szCs w:val="20"/>
          <w:color w:val="auto"/>
        </w:rPr>
      </w:pPr>
    </w:p>
    <w:p>
      <w:pPr>
        <w:jc w:val="both"/>
        <w:ind w:left="120" w:right="80"/>
        <w:spacing w:after="0" w:line="228" w:lineRule="auto"/>
        <w:rPr>
          <w:sz w:val="20"/>
          <w:szCs w:val="20"/>
          <w:color w:val="auto"/>
        </w:rPr>
      </w:pPr>
      <w:r>
        <w:rPr>
          <w:rFonts w:ascii="Arial" w:cs="Arial" w:eastAsia="Arial" w:hAnsi="Arial"/>
          <w:sz w:val="20"/>
          <w:szCs w:val="20"/>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 CECO is listed on Nasdaq under the ticker symbol "CECE". For more information, please visit www.cecoenviro.com.</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ind w:right="8360" w:firstLine="8"/>
        <w:spacing w:after="0" w:line="257"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5508625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5662930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7980" w:type="dxa"/>
            <w:vAlign w:val="bottom"/>
            <w:gridSpan w:val="2"/>
            <w:vMerge w:val="restart"/>
          </w:tcPr>
          <w:p>
            <w:pPr>
              <w:ind w:left="3360"/>
              <w:spacing w:after="0"/>
              <w:rPr>
                <w:sz w:val="20"/>
                <w:szCs w:val="20"/>
                <w:color w:val="auto"/>
              </w:rPr>
            </w:pPr>
            <w:r>
              <w:rPr>
                <w:rFonts w:ascii="Arial" w:cs="Arial" w:eastAsia="Arial" w:hAnsi="Arial"/>
                <w:sz w:val="18"/>
                <w:szCs w:val="18"/>
                <w:b w:val="1"/>
                <w:bCs w:val="1"/>
                <w:color w:val="auto"/>
              </w:rPr>
              <w:t>CECO ENVIRONMENTAL CORP. AND SUBSIDIARIES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198"/>
        </w:trPr>
        <w:tc>
          <w:tcPr>
            <w:tcW w:w="798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80" w:type="dxa"/>
            <w:vAlign w:val="bottom"/>
            <w:gridSpan w:val="2"/>
          </w:tcPr>
          <w:p>
            <w:pPr>
              <w:jc w:val="right"/>
              <w:ind w:right="147"/>
              <w:spacing w:after="0"/>
              <w:rPr>
                <w:sz w:val="20"/>
                <w:szCs w:val="20"/>
                <w:color w:val="auto"/>
              </w:rPr>
            </w:pPr>
            <w:r>
              <w:rPr>
                <w:rFonts w:ascii="Arial" w:cs="Arial" w:eastAsia="Arial" w:hAnsi="Arial"/>
                <w:sz w:val="18"/>
                <w:szCs w:val="18"/>
                <w:b w:val="1"/>
                <w:bCs w:val="1"/>
                <w:color w:val="auto"/>
              </w:rPr>
              <w:t>CONDENSED CONSOLIDATED BALANCE SHEETS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6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300" w:type="dxa"/>
            <w:vAlign w:val="bottom"/>
          </w:tcPr>
          <w:p>
            <w:pPr>
              <w:spacing w:after="0"/>
              <w:rPr>
                <w:sz w:val="24"/>
                <w:szCs w:val="24"/>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171"/>
        </w:trPr>
        <w:tc>
          <w:tcPr>
            <w:tcW w:w="7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JUNE 30, 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shd w:val="clear" w:color="auto" w:fill="CFF0FC"/>
          </w:tcPr>
          <w:p>
            <w:pPr>
              <w:ind w:left="34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41,513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38,178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180,096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16,064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159,107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14,328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418,392</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180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75,567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106,099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Debt, less current portion</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75,460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 net</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10,561</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219,350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300" w:type="dxa"/>
            <w:vAlign w:val="bottom"/>
          </w:tcPr>
          <w:p>
            <w:pPr>
              <w:spacing w:after="0"/>
              <w:rPr>
                <w:sz w:val="19"/>
                <w:szCs w:val="19"/>
                <w:color w:val="auto"/>
              </w:rPr>
            </w:pP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35,493,617</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660"/>
              <w:spacing w:after="0"/>
              <w:rPr>
                <w:sz w:val="20"/>
                <w:szCs w:val="20"/>
                <w:color w:val="auto"/>
              </w:rPr>
            </w:pPr>
            <w:r>
              <w:rPr>
                <w:rFonts w:ascii="Arial" w:cs="Arial" w:eastAsia="Arial" w:hAnsi="Arial"/>
                <w:sz w:val="18"/>
                <w:szCs w:val="18"/>
                <w:color w:val="auto"/>
              </w:rPr>
              <w:t>and 34,275,465 shares issued and outstanding at June 30, 2020 and</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660"/>
              <w:spacing w:after="0"/>
              <w:rPr>
                <w:sz w:val="20"/>
                <w:szCs w:val="20"/>
                <w:color w:val="auto"/>
              </w:rPr>
            </w:pPr>
            <w:r>
              <w:rPr>
                <w:rFonts w:ascii="Arial" w:cs="Arial" w:eastAsia="Arial" w:hAnsi="Arial"/>
                <w:sz w:val="18"/>
                <w:szCs w:val="18"/>
                <w:color w:val="auto"/>
              </w:rPr>
              <w:t>December 31, 2019, respectively</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254,323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253,869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(39,682)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(46,344)</w:t>
            </w: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(15,598)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(14,505)</w:t>
            </w: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199,398</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Less treasury stock, at cost, 137,920 shares at June 30, 2020 and December 31, 2019</w:t>
            </w:r>
          </w:p>
        </w:tc>
        <w:tc>
          <w:tcPr>
            <w:tcW w:w="3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199,042</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418,392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D9D9D9"/>
            </w:tcBorders>
          </w:tcPr>
          <w:p>
            <w:pPr>
              <w:spacing w:after="0"/>
              <w:rPr>
                <w:sz w:val="17"/>
                <w:szCs w:val="17"/>
                <w:color w:val="auto"/>
              </w:rPr>
            </w:pPr>
          </w:p>
        </w:tc>
        <w:tc>
          <w:tcPr>
            <w:tcW w:w="300" w:type="dxa"/>
            <w:vAlign w:val="bottom"/>
            <w:tcBorders>
              <w:bottom w:val="single" w:sz="8" w:color="D9D9D9"/>
            </w:tcBorders>
          </w:tcPr>
          <w:p>
            <w:pPr>
              <w:spacing w:after="0"/>
              <w:rPr>
                <w:sz w:val="17"/>
                <w:szCs w:val="17"/>
                <w:color w:val="auto"/>
              </w:rPr>
            </w:pPr>
          </w:p>
        </w:tc>
        <w:tc>
          <w:tcPr>
            <w:tcW w:w="1280" w:type="dxa"/>
            <w:vAlign w:val="bottom"/>
            <w:tcBorders>
              <w:bottom w:val="single" w:sz="8" w:color="D9D9D9"/>
            </w:tcBorders>
          </w:tcPr>
          <w:p>
            <w:pPr>
              <w:spacing w:after="0"/>
              <w:rPr>
                <w:sz w:val="17"/>
                <w:szCs w:val="17"/>
                <w:color w:val="auto"/>
              </w:rPr>
            </w:pPr>
          </w:p>
        </w:tc>
        <w:tc>
          <w:tcPr>
            <w:tcW w:w="200" w:type="dxa"/>
            <w:vAlign w:val="bottom"/>
            <w:tcBorders>
              <w:bottom w:val="single" w:sz="8" w:color="D9D9D9"/>
            </w:tcBorders>
          </w:tcPr>
          <w:p>
            <w:pPr>
              <w:spacing w:after="0"/>
              <w:rPr>
                <w:sz w:val="17"/>
                <w:szCs w:val="17"/>
                <w:color w:val="auto"/>
              </w:rPr>
            </w:pPr>
          </w:p>
        </w:tc>
        <w:tc>
          <w:tcPr>
            <w:tcW w:w="60" w:type="dxa"/>
            <w:vAlign w:val="bottom"/>
            <w:tcBorders>
              <w:bottom w:val="single" w:sz="8" w:color="D9D9D9"/>
            </w:tcBorders>
          </w:tcPr>
          <w:p>
            <w:pPr>
              <w:spacing w:after="0"/>
              <w:rPr>
                <w:sz w:val="17"/>
                <w:szCs w:val="17"/>
                <w:color w:val="auto"/>
              </w:rPr>
            </w:pPr>
          </w:p>
        </w:tc>
        <w:tc>
          <w:tcPr>
            <w:tcW w:w="20" w:type="dxa"/>
            <w:vAlign w:val="bottom"/>
            <w:tcBorders>
              <w:bottom w:val="single" w:sz="8" w:color="D9D9D9"/>
            </w:tcBorders>
          </w:tcPr>
          <w:p>
            <w:pPr>
              <w:spacing w:after="0"/>
              <w:rPr>
                <w:sz w:val="17"/>
                <w:szCs w:val="17"/>
                <w:color w:val="auto"/>
              </w:rPr>
            </w:pPr>
          </w:p>
        </w:tc>
        <w:tc>
          <w:tcPr>
            <w:tcW w:w="80" w:type="dxa"/>
            <w:vAlign w:val="bottom"/>
            <w:tcBorders>
              <w:bottom w:val="single" w:sz="8" w:color="D9D9D9"/>
            </w:tcBorders>
          </w:tcPr>
          <w:p>
            <w:pPr>
              <w:spacing w:after="0"/>
              <w:rPr>
                <w:sz w:val="17"/>
                <w:szCs w:val="17"/>
                <w:color w:val="auto"/>
              </w:rPr>
            </w:pPr>
          </w:p>
        </w:tc>
        <w:tc>
          <w:tcPr>
            <w:tcW w:w="1520" w:type="dxa"/>
            <w:vAlign w:val="bottom"/>
            <w:tcBorders>
              <w:bottom w:val="single" w:sz="8" w:color="D9D9D9"/>
            </w:tcBorders>
          </w:tcPr>
          <w:p>
            <w:pPr>
              <w:spacing w:after="0"/>
              <w:rPr>
                <w:sz w:val="17"/>
                <w:szCs w:val="17"/>
                <w:color w:val="auto"/>
              </w:rPr>
            </w:pPr>
          </w:p>
        </w:tc>
        <w:tc>
          <w:tcPr>
            <w:tcW w:w="100" w:type="dxa"/>
            <w:vAlign w:val="bottom"/>
            <w:tcBorders>
              <w:bottom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D9D9D9"/>
            </w:tcBorders>
          </w:tcPr>
          <w:p>
            <w:pPr>
              <w:spacing w:after="0"/>
              <w:rPr>
                <w:sz w:val="19"/>
                <w:szCs w:val="19"/>
                <w:color w:val="auto"/>
              </w:rPr>
            </w:pPr>
          </w:p>
        </w:tc>
        <w:tc>
          <w:tcPr>
            <w:tcW w:w="300" w:type="dxa"/>
            <w:vAlign w:val="bottom"/>
            <w:tcBorders>
              <w:bottom w:val="single" w:sz="8" w:color="D9D9D9"/>
            </w:tcBorders>
          </w:tcPr>
          <w:p>
            <w:pPr>
              <w:spacing w:after="0"/>
              <w:rPr>
                <w:sz w:val="19"/>
                <w:szCs w:val="19"/>
                <w:color w:val="auto"/>
              </w:rPr>
            </w:pPr>
          </w:p>
        </w:tc>
        <w:tc>
          <w:tcPr>
            <w:tcW w:w="128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52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left="10360"/>
        <w:spacing w:after="0"/>
        <w:rPr>
          <w:sz w:val="20"/>
          <w:szCs w:val="20"/>
          <w:color w:val="auto"/>
        </w:rPr>
      </w:pPr>
      <w:r>
        <w:rPr>
          <w:rFonts w:ascii="Arial" w:cs="Arial" w:eastAsia="Arial" w:hAnsi="Arial"/>
          <w:sz w:val="16"/>
          <w:szCs w:val="16"/>
          <w:color w:val="auto"/>
        </w:rPr>
        <w:t>Exhibit 99.1</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160" w:type="dxa"/>
            <w:vAlign w:val="bottom"/>
          </w:tcPr>
          <w:p>
            <w:pPr>
              <w:spacing w:after="0"/>
              <w:rPr>
                <w:sz w:val="14"/>
                <w:szCs w:val="14"/>
                <w:color w:val="auto"/>
              </w:rPr>
            </w:pPr>
          </w:p>
        </w:tc>
        <w:tc>
          <w:tcPr>
            <w:tcW w:w="29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7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24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101,561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Loss on divestitures, net of selling costs</w:t>
            </w: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(1,460)</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(1,967)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23"/>
        </w:trPr>
        <w:tc>
          <w:tcPr>
            <w:tcW w:w="524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(4,149)</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5,515</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240" w:type="dxa"/>
            <w:vAlign w:val="bottom"/>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3"/>
                <w:szCs w:val="23"/>
                <w:color w:val="auto"/>
              </w:rPr>
            </w:pP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23"/>
                <w:szCs w:val="23"/>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23"/>
                <w:szCs w:val="23"/>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35,275,729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34,923,587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35,215,553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34,879,811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35,410,182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35,582,727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35,402,524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35,471,628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99.1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720" w:type="dxa"/>
            <w:vAlign w:val="bottom"/>
            <w:tcBorders>
              <w:bottom w:val="single" w:sz="8" w:color="CFF0FC"/>
            </w:tcBorders>
            <w:vMerge w:val="continue"/>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60"/>
              <w:spacing w:after="0"/>
              <w:rPr>
                <w:sz w:val="20"/>
                <w:szCs w:val="20"/>
                <w:color w:val="auto"/>
              </w:rPr>
            </w:pPr>
            <w:r>
              <w:rPr>
                <w:rFonts w:ascii="Arial" w:cs="Arial" w:eastAsia="Arial" w:hAnsi="Arial"/>
                <w:sz w:val="18"/>
                <w:szCs w:val="18"/>
                <w:i w:val="1"/>
                <w:iCs w:val="1"/>
                <w:color w:val="auto"/>
              </w:rPr>
              <w:t>Operating margin in accordance with GAAP</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i w:val="1"/>
                <w:iCs w:val="1"/>
                <w:color w:val="auto"/>
              </w:rPr>
              <w:t>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4.1%</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expenses</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Restructuring expenses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Loss on divestitures, net of selling costs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Non-GAAP operating income</w:t>
            </w:r>
          </w:p>
        </w:tc>
        <w:tc>
          <w:tcPr>
            <w:tcW w:w="6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i w:val="1"/>
                <w:iCs w:val="1"/>
                <w:color w:val="auto"/>
              </w:rPr>
              <w:t>Non-GAAP operating margin</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i w:val="1"/>
                <w:iCs w:val="1"/>
                <w:color w:val="auto"/>
              </w:rPr>
              <w:t>5.4%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6.9%</w:t>
            </w:r>
          </w:p>
        </w:tc>
        <w:tc>
          <w:tcPr>
            <w:tcW w:w="0" w:type="dxa"/>
            <w:vAlign w:val="bottom"/>
          </w:tcPr>
          <w:p>
            <w:pPr>
              <w:spacing w:after="0"/>
              <w:rPr>
                <w:sz w:val="1"/>
                <w:szCs w:val="1"/>
                <w:color w:val="auto"/>
              </w:rPr>
            </w:pPr>
          </w:p>
        </w:tc>
      </w:tr>
      <w:tr>
        <w:trPr>
          <w:trHeight w:val="634"/>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8"/>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720" w:type="dxa"/>
            <w:vAlign w:val="bottom"/>
            <w:tcBorders>
              <w:bottom w:val="single" w:sz="8" w:color="CFF0FC"/>
            </w:tcBorders>
            <w:vMerge w:val="continue"/>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income as reported in accordance with GAAP</w:t>
            </w:r>
          </w:p>
        </w:tc>
        <w:tc>
          <w:tcPr>
            <w:tcW w:w="90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500"/>
              <w:spacing w:after="0"/>
              <w:rPr>
                <w:sz w:val="20"/>
                <w:szCs w:val="20"/>
                <w:color w:val="auto"/>
              </w:rPr>
            </w:pPr>
            <w:r>
              <w:rPr>
                <w:rFonts w:ascii="Arial" w:cs="Arial" w:eastAsia="Arial" w:hAnsi="Arial"/>
                <w:sz w:val="18"/>
                <w:szCs w:val="18"/>
                <w:color w:val="auto"/>
              </w:rPr>
              <w:t>Amortization expenses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Restructuring expenses</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500"/>
              <w:spacing w:after="0"/>
              <w:rPr>
                <w:sz w:val="20"/>
                <w:szCs w:val="20"/>
                <w:color w:val="auto"/>
              </w:rPr>
            </w:pPr>
            <w:r>
              <w:rPr>
                <w:rFonts w:ascii="Arial" w:cs="Arial" w:eastAsia="Arial" w:hAnsi="Arial"/>
                <w:sz w:val="18"/>
                <w:szCs w:val="18"/>
                <w:color w:val="auto"/>
              </w:rPr>
              <w:t>Acquisition and integration expenses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financing fee adjustment</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500"/>
              <w:spacing w:after="0"/>
              <w:rPr>
                <w:sz w:val="20"/>
                <w:szCs w:val="20"/>
                <w:color w:val="auto"/>
              </w:rPr>
            </w:pPr>
            <w:r>
              <w:rPr>
                <w:rFonts w:ascii="Arial" w:cs="Arial" w:eastAsia="Arial" w:hAnsi="Arial"/>
                <w:sz w:val="18"/>
                <w:szCs w:val="18"/>
                <w:color w:val="auto"/>
              </w:rPr>
              <w:t>Loss on divestitures, net of selling costs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remeasurement</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ind w:right="5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500"/>
              <w:spacing w:after="0"/>
              <w:rPr>
                <w:sz w:val="20"/>
                <w:szCs w:val="20"/>
                <w:color w:val="auto"/>
              </w:rPr>
            </w:pPr>
            <w:r>
              <w:rPr>
                <w:rFonts w:ascii="Arial" w:cs="Arial" w:eastAsia="Arial" w:hAnsi="Arial"/>
                <w:sz w:val="18"/>
                <w:szCs w:val="18"/>
                <w:color w:val="auto"/>
              </w:rPr>
              <w:t>Tax benefit of adjustments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4"/>
          </w:tcPr>
          <w:p>
            <w:pPr>
              <w:jc w:val="right"/>
              <w:ind w:right="5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Zhongli tax benefit</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ind w:right="5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Non-GAAP net income</w:t>
            </w:r>
          </w:p>
        </w:tc>
        <w:tc>
          <w:tcPr>
            <w:tcW w:w="90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200" w:type="dxa"/>
            <w:vAlign w:val="bottom"/>
            <w:gridSpan w:val="2"/>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500"/>
              <w:spacing w:after="0"/>
              <w:rPr>
                <w:sz w:val="20"/>
                <w:szCs w:val="20"/>
                <w:color w:val="auto"/>
              </w:rPr>
            </w:pPr>
            <w:r>
              <w:rPr>
                <w:rFonts w:ascii="Arial" w:cs="Arial" w:eastAsia="Arial" w:hAnsi="Arial"/>
                <w:sz w:val="18"/>
                <w:szCs w:val="18"/>
                <w:color w:val="auto"/>
              </w:rPr>
              <w:t>Non-cash stock compensation</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expense (income)</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ind w:right="5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472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 expense</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500"/>
              <w:spacing w:after="0"/>
              <w:rPr>
                <w:sz w:val="20"/>
                <w:szCs w:val="20"/>
                <w:color w:val="auto"/>
              </w:rPr>
            </w:pPr>
            <w:r>
              <w:rPr>
                <w:rFonts w:ascii="Arial" w:cs="Arial" w:eastAsia="Arial" w:hAnsi="Arial"/>
                <w:sz w:val="18"/>
                <w:szCs w:val="18"/>
                <w:color w:val="auto"/>
              </w:rPr>
              <w:t>Adjusted EBITDA</w:t>
            </w:r>
          </w:p>
        </w:tc>
        <w:tc>
          <w:tcPr>
            <w:tcW w:w="90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Earnings per share:</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500"/>
              <w:spacing w:after="0"/>
              <w:rPr>
                <w:sz w:val="20"/>
                <w:szCs w:val="20"/>
                <w:color w:val="auto"/>
              </w:rPr>
            </w:pPr>
            <w:r>
              <w:rPr>
                <w:rFonts w:ascii="Arial" w:cs="Arial" w:eastAsia="Arial" w:hAnsi="Arial"/>
                <w:sz w:val="18"/>
                <w:szCs w:val="18"/>
                <w:color w:val="auto"/>
              </w:rPr>
              <w:t>Diluted</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19"/>
                <w:szCs w:val="19"/>
                <w:color w:val="auto"/>
              </w:rPr>
            </w:pP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Non-GAAP net income per share:</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500"/>
              <w:spacing w:after="0"/>
              <w:rPr>
                <w:sz w:val="20"/>
                <w:szCs w:val="20"/>
                <w:color w:val="auto"/>
              </w:rPr>
            </w:pPr>
            <w:r>
              <w:rPr>
                <w:rFonts w:ascii="Arial" w:cs="Arial" w:eastAsia="Arial" w:hAnsi="Arial"/>
                <w:sz w:val="18"/>
                <w:szCs w:val="18"/>
                <w:color w:val="auto"/>
              </w:rPr>
              <w:t>Diluted</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20"/>
                <w:szCs w:val="20"/>
                <w:color w:val="auto"/>
              </w:rPr>
            </w:pP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20" w:type="dxa"/>
            <w:vAlign w:val="bottom"/>
            <w:tcBorders>
              <w:bottom w:val="single" w:sz="8" w:color="D9D9D9"/>
            </w:tcBorders>
          </w:tcPr>
          <w:p>
            <w:pPr>
              <w:spacing w:after="0"/>
              <w:rPr>
                <w:sz w:val="18"/>
                <w:szCs w:val="18"/>
                <w:color w:val="auto"/>
              </w:rPr>
            </w:pPr>
          </w:p>
        </w:tc>
        <w:tc>
          <w:tcPr>
            <w:tcW w:w="620" w:type="dxa"/>
            <w:vAlign w:val="bottom"/>
            <w:tcBorders>
              <w:bottom w:val="single" w:sz="8" w:color="D9D9D9"/>
            </w:tcBorders>
          </w:tcPr>
          <w:p>
            <w:pPr>
              <w:spacing w:after="0"/>
              <w:rPr>
                <w:sz w:val="18"/>
                <w:szCs w:val="18"/>
                <w:color w:val="auto"/>
              </w:rPr>
            </w:pPr>
          </w:p>
        </w:tc>
        <w:tc>
          <w:tcPr>
            <w:tcW w:w="28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820" w:type="dxa"/>
            <w:vAlign w:val="bottom"/>
            <w:tcBorders>
              <w:bottom w:val="single" w:sz="8" w:color="D9D9D9"/>
            </w:tcBorders>
          </w:tcPr>
          <w:p>
            <w:pPr>
              <w:spacing w:after="0"/>
              <w:rPr>
                <w:sz w:val="18"/>
                <w:szCs w:val="18"/>
                <w:color w:val="auto"/>
              </w:rPr>
            </w:pPr>
          </w:p>
        </w:tc>
        <w:tc>
          <w:tcPr>
            <w:tcW w:w="28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180" w:type="dxa"/>
            <w:vAlign w:val="bottom"/>
            <w:tcBorders>
              <w:bottom w:val="single" w:sz="8" w:color="D9D9D9"/>
            </w:tcBorders>
          </w:tcPr>
          <w:p>
            <w:pPr>
              <w:spacing w:after="0"/>
              <w:rPr>
                <w:sz w:val="18"/>
                <w:szCs w:val="18"/>
                <w:color w:val="auto"/>
              </w:rPr>
            </w:pPr>
          </w:p>
        </w:tc>
        <w:tc>
          <w:tcPr>
            <w:tcW w:w="840" w:type="dxa"/>
            <w:vAlign w:val="bottom"/>
            <w:tcBorders>
              <w:bottom w:val="single" w:sz="8" w:color="D9D9D9"/>
            </w:tcBorders>
          </w:tcPr>
          <w:p>
            <w:pPr>
              <w:spacing w:after="0"/>
              <w:rPr>
                <w:sz w:val="18"/>
                <w:szCs w:val="18"/>
                <w:color w:val="auto"/>
              </w:rPr>
            </w:pPr>
          </w:p>
        </w:tc>
        <w:tc>
          <w:tcPr>
            <w:tcW w:w="20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160" w:type="dxa"/>
            <w:vAlign w:val="bottom"/>
            <w:tcBorders>
              <w:bottom w:val="single" w:sz="8" w:color="D9D9D9"/>
            </w:tcBorders>
          </w:tcPr>
          <w:p>
            <w:pPr>
              <w:spacing w:after="0"/>
              <w:rPr>
                <w:sz w:val="18"/>
                <w:szCs w:val="18"/>
                <w:color w:val="auto"/>
              </w:rPr>
            </w:pPr>
          </w:p>
        </w:tc>
        <w:tc>
          <w:tcPr>
            <w:tcW w:w="200" w:type="dxa"/>
            <w:vAlign w:val="bottom"/>
            <w:tcBorders>
              <w:bottom w:val="single" w:sz="8" w:color="D9D9D9"/>
            </w:tcBorders>
          </w:tcPr>
          <w:p>
            <w:pPr>
              <w:spacing w:after="0"/>
              <w:rPr>
                <w:sz w:val="18"/>
                <w:szCs w:val="18"/>
                <w:color w:val="auto"/>
              </w:rPr>
            </w:pPr>
          </w:p>
        </w:tc>
        <w:tc>
          <w:tcPr>
            <w:tcW w:w="88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240" w:type="dxa"/>
            <w:vAlign w:val="bottom"/>
            <w:tcBorders>
              <w:bottom w:val="single" w:sz="8" w:color="D9D9D9"/>
            </w:tcBorders>
          </w:tcPr>
          <w:p>
            <w:pPr>
              <w:spacing w:after="0"/>
              <w:rPr>
                <w:sz w:val="18"/>
                <w:szCs w:val="18"/>
                <w:color w:val="auto"/>
              </w:rPr>
            </w:pPr>
          </w:p>
        </w:tc>
        <w:tc>
          <w:tcPr>
            <w:tcW w:w="92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D9D9D9"/>
            </w:tcBorders>
          </w:tcPr>
          <w:p>
            <w:pPr>
              <w:spacing w:after="0"/>
              <w:rPr>
                <w:sz w:val="19"/>
                <w:szCs w:val="19"/>
                <w:color w:val="auto"/>
              </w:rPr>
            </w:pPr>
          </w:p>
        </w:tc>
        <w:tc>
          <w:tcPr>
            <w:tcW w:w="62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82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180" w:type="dxa"/>
            <w:vAlign w:val="bottom"/>
            <w:tcBorders>
              <w:bottom w:val="single" w:sz="8" w:color="D9D9D9"/>
            </w:tcBorders>
          </w:tcPr>
          <w:p>
            <w:pPr>
              <w:spacing w:after="0"/>
              <w:rPr>
                <w:sz w:val="19"/>
                <w:szCs w:val="19"/>
                <w:color w:val="auto"/>
              </w:rPr>
            </w:pPr>
          </w:p>
        </w:tc>
        <w:tc>
          <w:tcPr>
            <w:tcW w:w="84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88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240" w:type="dxa"/>
            <w:vAlign w:val="bottom"/>
            <w:tcBorders>
              <w:bottom w:val="single" w:sz="8" w:color="D9D9D9"/>
            </w:tcBorders>
          </w:tcPr>
          <w:p>
            <w:pPr>
              <w:spacing w:after="0"/>
              <w:rPr>
                <w:sz w:val="19"/>
                <w:szCs w:val="19"/>
                <w:color w:val="auto"/>
              </w:rPr>
            </w:pPr>
          </w:p>
        </w:tc>
        <w:tc>
          <w:tcPr>
            <w:tcW w:w="92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189"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w:t>
      </w:r>
    </w:p>
    <w:p>
      <w:pPr>
        <w:spacing w:after="0" w:line="21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Non-GAAP operating income, non-GAAP net income, non-GAAP operating margin, non-GAAP net income per basic and diluted share and adjusted EBITDA, as we present them in the financial data included in this press release, have been adjusted to exclude the effects of amortization expenses for acquisition related intangible assets, restructuring expenses primarily relating to severance and legal expenses, acquisition and integration expenses which include retention, legal, accounting, banking, and other expenses, loss on divestitures, net of selling costs necessary to complete the divestiture such as legal, accounting and compliance, and other nonrecurring or infrequent items and the associated tax benefit of these 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13"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Non-GAAP operating income, non-GAAP net income, non-GAAP operating margin, non-GAAP net income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212"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non-GAAP operating income, non-GAAP net income, non-GAAP operating margin and non-GAAP net income per basic and diluted share and adjusted EBITDA stated in the tables above present the most directly comparable GAAP financial measure and reconcile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20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2019 and “Part II</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9"/>
          <w:szCs w:val="19"/>
          <w:color w:val="auto"/>
        </w:rPr>
        <w:t>– Item 1.A. Risk Factors” of the Quarterly Report on Form 10-Q for the quarter ended March 31, 2020 and of this Quarterly Report on Form 10-Q for the quarter ended June 30, 2020, and include, but are not limited to: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realize the expected benefits of our restructuring program; our ability to successfully integrate acquired businesses and realize the synergies from acquisitions; unpredictability and severity of catastrophic events, including cyber-security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826135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1)"/>
      <w:numFmt w:val="decimal"/>
      <w:start w:val="888"/>
    </w:lvl>
  </w:abstractNum>
  <w:abstractNum w:abstractNumId="4">
    <w:nsid w:val="46E87CCD"/>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2020-08-05T06:02:45Z</dcterms:created>
  <dcterms:modified xsi:type="dcterms:W3CDTF">2020-08-05T06:02:45Z</dcterms:modified>
</cp:coreProperties>
</file>