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152400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139700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82"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82"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82"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On March 8, 2018, CECO Environmental Corp., a Delaware corporation (“CECO”) issued a press release announcing its financial results for the three and twelve months ended December 31, 2017. A copy of the press release is furnished as Exhibit 99.1 to this report and is incorporated herein by reference.</w:t>
      </w:r>
    </w:p>
    <w:p>
      <w:pPr>
        <w:spacing w:after="0" w:line="18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March 8, 2018.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top w:val="single" w:sz="8" w:color="0000EE"/>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74930</wp:posOffset>
            </wp:positionV>
            <wp:extent cx="109791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Fourth Quarter and Full Year 2017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Disappointing results due to challenging end markets - Refreshed operating strategy gaining momentum in 2018</w:t>
      </w:r>
    </w:p>
    <w:p>
      <w:pPr>
        <w:spacing w:after="0" w:line="273" w:lineRule="exact"/>
        <w:rPr>
          <w:sz w:val="20"/>
          <w:szCs w:val="20"/>
          <w:color w:val="auto"/>
        </w:rPr>
      </w:pPr>
    </w:p>
    <w:p>
      <w:pPr>
        <w:jc w:val="both"/>
        <w:ind w:left="120" w:right="60"/>
        <w:spacing w:after="0" w:line="241" w:lineRule="auto"/>
        <w:rPr>
          <w:sz w:val="20"/>
          <w:szCs w:val="20"/>
          <w:color w:val="auto"/>
        </w:rPr>
      </w:pPr>
      <w:r>
        <w:rPr>
          <w:rFonts w:ascii="Arial" w:cs="Arial" w:eastAsia="Arial" w:hAnsi="Arial"/>
          <w:sz w:val="20"/>
          <w:szCs w:val="20"/>
          <w:b w:val="1"/>
          <w:bCs w:val="1"/>
          <w:color w:val="auto"/>
        </w:rPr>
        <w:t xml:space="preserve">DALLAS, Texas, March 8, 2018 -- CECO Environmental Corp. (Nasdaq: CECE) </w:t>
      </w:r>
      <w:r>
        <w:rPr>
          <w:rFonts w:ascii="Arial" w:cs="Arial" w:eastAsia="Arial" w:hAnsi="Arial"/>
          <w:sz w:val="20"/>
          <w:szCs w:val="20"/>
          <w:color w:val="auto"/>
        </w:rPr>
        <w:t>, a leading global air quality and fluid handling</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serving the energy, industrial and other niche markets, today reported its financial results for the fourth quarter and full year 2017.</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Highlights of the Fourth Quarter 2017*</w:t>
      </w:r>
    </w:p>
    <w:p>
      <w:pPr>
        <w:spacing w:after="0" w:line="6"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$73.5 million, compared with $100.0 million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of $25.6 million (34.8% margin), compared with $35.7 million (35.7% margin)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gross profit of $25.7 million (35.0% margin), compared with $35.8 million (35.8% margin)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loss of $(8.2) million, compared with a $(50.4) million loss</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operating income of $3.5 million, compared with $14.7 million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$(11.6) million, compared with a $(51.2) million loss</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loss of $(1.7) million, compared with non-GAAP net income of $12.0 million</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per diluted share of $(0.34), compared with $(1.49) loss per diluted share</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(loss)/income per diluted share of $(0.05), compared with $0.35</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$4.9 million, compared with $16.3 million</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Bookings of $91.4 million, compared with $77.7 million</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Backlog of $168.9 million</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Full-Year 2017 Highlights*</w:t>
      </w:r>
    </w:p>
    <w:p>
      <w:pPr>
        <w:spacing w:after="0" w:line="19" w:lineRule="exact"/>
        <w:rPr>
          <w:sz w:val="20"/>
          <w:szCs w:val="20"/>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Revenue of $345.1 million, down $71.9 million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profit of $113.2 million, down $21.7 million</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margin of 32.8%, up 40 basis points</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loss of $(3.0) million, or $(0.09) loss per share</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Non-GAAP net income of $9.5 million, or $0.27 per diluted share</w:t>
      </w:r>
    </w:p>
    <w:p>
      <w:pPr>
        <w:spacing w:after="0" w:line="22" w:lineRule="exact"/>
        <w:rPr>
          <w:rFonts w:ascii="Arial" w:cs="Arial" w:eastAsia="Arial" w:hAnsi="Arial"/>
          <w:sz w:val="18"/>
          <w:szCs w:val="18"/>
          <w:color w:val="auto"/>
        </w:rPr>
      </w:pPr>
    </w:p>
    <w:p>
      <w:pPr>
        <w:ind w:left="760" w:hanging="374"/>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of $34.5 million</w:t>
      </w:r>
    </w:p>
    <w:p>
      <w:pPr>
        <w:spacing w:after="0" w:line="2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All comparisons are versus the comparable prior-year period.</w:t>
      </w:r>
    </w:p>
    <w:p>
      <w:pPr>
        <w:spacing w:after="0" w:line="254"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CECO’s Chief Executive Officer Dennis Sadlowski commented, “In the fourth quarter of 2017, we accelerated actions behind our previously communicated refreshed operating strategy. We implemented a restructuring program to reduce costs, began to refocus our portfolio including exiting non-core and low critical mass areas and are investing in our core segments to accelerate growth. Despite ongoing market challenges that reduced volume and generated disappointing financial results, we have maintained solid gross margins and with a refreshed outside-in approach to our business, picked up key wins and increased bookings quarter over quarter. Our book to bill ratio exceeded 1:1 for the first time in seven quarters representing an inflection point for the company.”</w:t>
      </w:r>
    </w:p>
    <w:p>
      <w:pPr>
        <w:spacing w:after="0" w:line="213" w:lineRule="exact"/>
        <w:rPr>
          <w:sz w:val="20"/>
          <w:szCs w:val="20"/>
          <w:color w:val="auto"/>
        </w:rPr>
      </w:pPr>
    </w:p>
    <w:p>
      <w:pPr>
        <w:jc w:val="both"/>
        <w:ind w:left="120" w:right="80"/>
        <w:spacing w:after="0" w:line="229" w:lineRule="auto"/>
        <w:rPr>
          <w:sz w:val="20"/>
          <w:szCs w:val="20"/>
          <w:color w:val="auto"/>
        </w:rPr>
      </w:pPr>
      <w:r>
        <w:rPr>
          <w:rFonts w:ascii="Arial" w:cs="Arial" w:eastAsia="Arial" w:hAnsi="Arial"/>
          <w:sz w:val="20"/>
          <w:szCs w:val="20"/>
          <w:color w:val="auto"/>
        </w:rPr>
        <w:t>Mr. Sadlowski added, “Heading into 2018, we have already moved swiftly with the clarity of our strategy to transform the business to win market share and make an impact on our customers and the world in which we live. We demonstrated our commitment to our new strategy through the initial actions on our non-core asset sales and investments in simplification and production machinery. We will continue to invest in our growth platforms and major account relationships with key customers around the world to ensure the company is best-positioned as markets begin to rebound.”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20"/>
        <w:spacing w:after="0"/>
        <w:rPr>
          <w:sz w:val="20"/>
          <w:szCs w:val="20"/>
          <w:color w:val="auto"/>
        </w:rPr>
      </w:pPr>
      <w:r>
        <w:rPr>
          <w:rFonts w:ascii="Arial" w:cs="Arial" w:eastAsia="Arial" w:hAnsi="Arial"/>
          <w:sz w:val="20"/>
          <w:szCs w:val="20"/>
          <w:b w:val="1"/>
          <w:bCs w:val="1"/>
          <w:color w:val="auto"/>
        </w:rPr>
        <w:t>FOURTH QUARTER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fourth quarter of 2017 was $73.5 million, down 26.5% from $100.0 million in the prior-year period.</w:t>
      </w:r>
    </w:p>
    <w:p>
      <w:pPr>
        <w:spacing w:after="0" w:line="216"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Operating loss was $8.2 million for the fourth quarter of 2017, compared with a $50.4 million operating loss in the prior-year period. Non-GAAP operating income was $3.5 million (4.8% margin) for the fourth quarter of 2017, compared with $14.7 million (14.7% margin) in the prior-year period.</w:t>
      </w:r>
    </w:p>
    <w:p>
      <w:pPr>
        <w:spacing w:after="0" w:line="211"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Net loss was $ 11.6 million for the fourth quarter of 2017, compared with a $ 51.2 million net loss in the prior-year period. Non-GAAP net loss was $1.7 million for the fourth quarter of 2017, compared with non-GAAP net income of $12.0 million in the prior-year period.</w:t>
      </w:r>
    </w:p>
    <w:p>
      <w:pPr>
        <w:spacing w:after="0" w:line="211"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20"/>
          <w:szCs w:val="20"/>
          <w:color w:val="auto"/>
        </w:rPr>
        <w:t>Net loss per diluted share was $0.34 for the fourth quarter of 2017, compared with net loss per diluted share of $ 1.49 in the prior-year period. Non-GAAP net loss per diluted share was $0.05 for the fourth quarter of 2017, compared with non-GAAP net income per diluted share of $0.35 for the prior-year period.</w:t>
      </w:r>
    </w:p>
    <w:p>
      <w:pPr>
        <w:spacing w:after="0" w:line="197"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Cash and cash equivalents were $29.9 million and bank debt was $117.7 million, as of December 31, 2017, compared with $45.8 million and $126.4 million, respectively, as of December 31, 2016.</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Total backlog at December 31, 2017 was $168.9 million as compared with $197.0 million on December 31, 2016 and $153.9 million as of September 30, 2017.</w:t>
      </w:r>
    </w:p>
    <w:p>
      <w:pPr>
        <w:spacing w:after="0" w:line="209"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Bookings were $91.4 million for the fourth quarter of 2017, compared with $77.7 million in the prior-year period and $71.0 in the third quarter of 2017. Bookings were $333.6 million for the year of 2017 as compared with $402.8 million for the prior-year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2017 FULL YEAR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year of 2017 was $345.1 million, down 17.2% from $417.0 million in the prior-year period.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Operating income was $8.0 million for the year 2017, compared with an operating loss of $25.6 million in the prior-year period.</w:t>
      </w:r>
    </w:p>
    <w:p>
      <w:pPr>
        <w:ind w:left="120"/>
        <w:spacing w:after="0"/>
        <w:rPr>
          <w:sz w:val="20"/>
          <w:szCs w:val="20"/>
          <w:color w:val="auto"/>
        </w:rPr>
      </w:pPr>
      <w:r>
        <w:rPr>
          <w:rFonts w:ascii="Arial" w:cs="Arial" w:eastAsia="Arial" w:hAnsi="Arial"/>
          <w:sz w:val="20"/>
          <w:szCs w:val="20"/>
          <w:color w:val="auto"/>
        </w:rPr>
        <w:t>Non-GAAP operating income was $28.3 million for the year 2017, compared with $52.7 million in the prior-year period.</w:t>
      </w:r>
    </w:p>
    <w:p>
      <w:pPr>
        <w:spacing w:after="0" w:line="216" w:lineRule="exact"/>
        <w:rPr>
          <w:sz w:val="20"/>
          <w:szCs w:val="20"/>
          <w:color w:val="auto"/>
        </w:rPr>
      </w:pPr>
    </w:p>
    <w:p>
      <w:pPr>
        <w:jc w:val="both"/>
        <w:ind w:left="120"/>
        <w:spacing w:after="0" w:line="236" w:lineRule="auto"/>
        <w:rPr>
          <w:sz w:val="20"/>
          <w:szCs w:val="20"/>
          <w:color w:val="auto"/>
        </w:rPr>
      </w:pPr>
      <w:r>
        <w:rPr>
          <w:rFonts w:ascii="Arial" w:cs="Arial" w:eastAsia="Arial" w:hAnsi="Arial"/>
          <w:sz w:val="20"/>
          <w:szCs w:val="20"/>
          <w:color w:val="auto"/>
        </w:rPr>
        <w:t>Net loss was $3.0 million for the year 2017, compared with a net loss of $38.2 million in the prior-year period. Non-GAAP net income was $9.5 million for the year 2017, compared with $33.5 million in the prior-year period.</w:t>
      </w:r>
    </w:p>
    <w:p>
      <w:pPr>
        <w:spacing w:after="0" w:line="209"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20"/>
          <w:szCs w:val="20"/>
          <w:color w:val="auto"/>
        </w:rPr>
        <w:t>Net loss per diluted share was $0.09 for the year 2017, compared with net loss per diluted share of $ 1.12 in the prior-year period. Non-GAAP net income per diluted share was $0.27 for the year 2017, compared with $0.99 for the prior-year period.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ind w:left="120"/>
        <w:spacing w:after="0" w:line="229" w:lineRule="auto"/>
        <w:rPr>
          <w:sz w:val="20"/>
          <w:szCs w:val="20"/>
          <w:color w:val="auto"/>
        </w:rPr>
      </w:pPr>
      <w:r>
        <w:rPr>
          <w:rFonts w:ascii="Arial" w:cs="Arial" w:eastAsia="Arial" w:hAnsi="Arial"/>
          <w:sz w:val="20"/>
          <w:szCs w:val="20"/>
          <w:color w:val="auto"/>
        </w:rPr>
        <w:t>A conference call is scheduled for today at 7:30 a.m. CT to discuss the fourth quarter and fiscal 2017 financial results. The conference call may also be accessed by dialing 877-870-4263 (Toll-Free) within the U.S., 855-669-9657 (Toll-Free) within Canada or Toll/International 412-317-0790. A replay will be available from 11:30 a.m. ET on March 8, 2018 until March 22, 2018 at 11:59 p.m. ET. The replay may be accessed by dialing 877-344-7529 (Toll-Free) within the U.S., 855-669-9658 (Toll-Free) within Canada, or Toll/International 412-317-0088 and entering access code 10117555.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 xml:space="preserve">The live webcast and slides can also be accessed at </w:t>
      </w:r>
      <w:r>
        <w:rPr>
          <w:rFonts w:ascii="Arial" w:cs="Arial" w:eastAsia="Arial" w:hAnsi="Arial"/>
          <w:sz w:val="19"/>
          <w:szCs w:val="19"/>
          <w:u w:val="single" w:color="auto"/>
          <w:color w:val="auto"/>
        </w:rPr>
        <w:t>https://www.cecoenviro.com/events-calendar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35" w:right="1440"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0"/>
          <w:szCs w:val="20"/>
          <w:b w:val="1"/>
          <w:bCs w:val="1"/>
          <w:color w:val="auto"/>
        </w:rPr>
        <w:t>ABOUT CECO ENVIRONMENTAL</w:t>
      </w:r>
    </w:p>
    <w:p>
      <w:pPr>
        <w:spacing w:after="0" w:line="200" w:lineRule="exact"/>
        <w:rPr>
          <w:sz w:val="20"/>
          <w:szCs w:val="20"/>
          <w:color w:val="auto"/>
        </w:rPr>
      </w:pPr>
    </w:p>
    <w:p>
      <w:pPr>
        <w:spacing w:after="0" w:line="256" w:lineRule="exact"/>
        <w:rPr>
          <w:sz w:val="20"/>
          <w:szCs w:val="20"/>
          <w:color w:val="auto"/>
        </w:rPr>
      </w:pPr>
    </w:p>
    <w:p>
      <w:pPr>
        <w:jc w:val="both"/>
        <w:ind w:right="340"/>
        <w:spacing w:after="0" w:line="237" w:lineRule="auto"/>
        <w:rPr>
          <w:sz w:val="20"/>
          <w:szCs w:val="20"/>
          <w:color w:val="auto"/>
        </w:rPr>
      </w:pPr>
      <w:r>
        <w:rPr>
          <w:rFonts w:ascii="Arial" w:cs="Arial" w:eastAsia="Arial" w:hAnsi="Arial"/>
          <w:sz w:val="19"/>
          <w:szCs w:val="19"/>
          <w:color w:val="auto"/>
        </w:rPr>
        <w:t>CECO Environmental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 xml:space="preserve">CECO serves both established and emerging industries in regions around the world working to improve air quality, optimize the energy value chain, and provide customized engineered solutions in multiple applications that include oil and gas, power generation, water and wastewater, battery production, poly silicon fabrication, chemical and petrochemical processing, along with a wide range of others. CECO has over $ 5 billion of installed equipment base with end users, which we target to expand and grow a higher recurring revenue of aftermarket products and services. We also continue to focus on operational excellence strategies as a central theme to improving our earnings and cash flows. CECO is listed on Nasdaq under the ticker symbol “CECE.” For more information, please visit </w:t>
      </w:r>
      <w:r>
        <w:rPr>
          <w:rFonts w:ascii="Arial" w:cs="Arial" w:eastAsia="Arial" w:hAnsi="Arial"/>
          <w:sz w:val="20"/>
          <w:szCs w:val="20"/>
          <w:u w:val="single" w:color="auto"/>
          <w:color w:val="auto"/>
        </w:rPr>
        <w:t>http://www.cecoenviro.com/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spacing w:after="0" w:line="225" w:lineRule="auto"/>
        <w:rPr>
          <w:sz w:val="20"/>
          <w:szCs w:val="20"/>
          <w:color w:val="auto"/>
        </w:rPr>
      </w:pPr>
      <w:r>
        <w:rPr>
          <w:rFonts w:ascii="Arial" w:cs="Arial" w:eastAsia="Arial" w:hAnsi="Arial"/>
          <w:sz w:val="20"/>
          <w:szCs w:val="20"/>
          <w:color w:val="auto"/>
        </w:rPr>
        <w:t>800.333.5475</w:t>
      </w:r>
    </w:p>
    <w:p>
      <w:pPr>
        <w:spacing w:after="0"/>
        <w:rPr>
          <w:sz w:val="20"/>
          <w:szCs w:val="20"/>
          <w:color w:val="auto"/>
        </w:rPr>
      </w:pPr>
      <w:r>
        <w:rPr>
          <w:rFonts w:ascii="Arial" w:cs="Arial" w:eastAsia="Arial" w:hAnsi="Arial"/>
          <w:sz w:val="20"/>
          <w:szCs w:val="20"/>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35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3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33,947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498,634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11,296</w:t>
            </w:r>
          </w:p>
        </w:tc>
        <w:tc>
          <w:tcPr>
            <w:tcW w:w="30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liability,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34,707,924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34,300,209 shares issued and outstanding at December 31, 2017</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and 2016,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248,170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(52,673)</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(41,741)</w:t>
            </w: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(8,919)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186,925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December 31, 2017 and 2016</w:t>
            </w: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tcBorders>
              <w:bottom w:val="single" w:sz="8" w:color="D9D9D9"/>
            </w:tcBorders>
          </w:tcPr>
          <w:p>
            <w:pPr>
              <w:spacing w:after="0"/>
              <w:rPr>
                <w:sz w:val="17"/>
                <w:szCs w:val="17"/>
                <w:color w:val="auto"/>
              </w:rPr>
            </w:pPr>
          </w:p>
        </w:tc>
        <w:tc>
          <w:tcPr>
            <w:tcW w:w="360" w:type="dxa"/>
            <w:vAlign w:val="bottom"/>
            <w:tcBorders>
              <w:bottom w:val="single" w:sz="8" w:color="D9D9D9"/>
            </w:tcBorders>
          </w:tcPr>
          <w:p>
            <w:pPr>
              <w:spacing w:after="0"/>
              <w:rPr>
                <w:sz w:val="17"/>
                <w:szCs w:val="17"/>
                <w:color w:val="auto"/>
              </w:rPr>
            </w:pPr>
          </w:p>
        </w:tc>
        <w:tc>
          <w:tcPr>
            <w:tcW w:w="1200" w:type="dxa"/>
            <w:vAlign w:val="bottom"/>
            <w:tcBorders>
              <w:bottom w:val="single" w:sz="8" w:color="D9D9D9"/>
            </w:tcBorders>
          </w:tcPr>
          <w:p>
            <w:pPr>
              <w:spacing w:after="0"/>
              <w:rPr>
                <w:sz w:val="17"/>
                <w:szCs w:val="17"/>
                <w:color w:val="auto"/>
              </w:rPr>
            </w:pPr>
          </w:p>
        </w:tc>
        <w:tc>
          <w:tcPr>
            <w:tcW w:w="300" w:type="dxa"/>
            <w:vAlign w:val="bottom"/>
            <w:tcBorders>
              <w:bottom w:val="single" w:sz="8" w:color="D9D9D9"/>
            </w:tcBorders>
          </w:tcPr>
          <w:p>
            <w:pPr>
              <w:spacing w:after="0"/>
              <w:rPr>
                <w:sz w:val="17"/>
                <w:szCs w:val="17"/>
                <w:color w:val="auto"/>
              </w:rPr>
            </w:pPr>
          </w:p>
        </w:tc>
        <w:tc>
          <w:tcPr>
            <w:tcW w:w="20" w:type="dxa"/>
            <w:vAlign w:val="bottom"/>
            <w:tcBorders>
              <w:bottom w:val="single" w:sz="8" w:color="D9D9D9"/>
            </w:tcBorders>
          </w:tcPr>
          <w:p>
            <w:pPr>
              <w:spacing w:after="0"/>
              <w:rPr>
                <w:sz w:val="17"/>
                <w:szCs w:val="17"/>
                <w:color w:val="auto"/>
              </w:rPr>
            </w:pPr>
          </w:p>
        </w:tc>
        <w:tc>
          <w:tcPr>
            <w:tcW w:w="440" w:type="dxa"/>
            <w:vAlign w:val="bottom"/>
            <w:tcBorders>
              <w:bottom w:val="single" w:sz="8" w:color="D9D9D9"/>
            </w:tcBorders>
          </w:tcPr>
          <w:p>
            <w:pPr>
              <w:spacing w:after="0"/>
              <w:rPr>
                <w:sz w:val="17"/>
                <w:szCs w:val="17"/>
                <w:color w:val="auto"/>
              </w:rPr>
            </w:pPr>
          </w:p>
        </w:tc>
        <w:tc>
          <w:tcPr>
            <w:tcW w:w="112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D9D9D9"/>
            </w:tcBorders>
          </w:tcPr>
          <w:p>
            <w:pPr>
              <w:spacing w:after="0"/>
              <w:rPr>
                <w:sz w:val="19"/>
                <w:szCs w:val="19"/>
                <w:color w:val="auto"/>
              </w:rPr>
            </w:pPr>
          </w:p>
        </w:tc>
        <w:tc>
          <w:tcPr>
            <w:tcW w:w="360" w:type="dxa"/>
            <w:vAlign w:val="bottom"/>
            <w:tcBorders>
              <w:bottom w:val="single" w:sz="8" w:color="D9D9D9"/>
            </w:tcBorders>
          </w:tcPr>
          <w:p>
            <w:pPr>
              <w:spacing w:after="0"/>
              <w:rPr>
                <w:sz w:val="19"/>
                <w:szCs w:val="19"/>
                <w:color w:val="auto"/>
              </w:rPr>
            </w:pPr>
          </w:p>
        </w:tc>
        <w:tc>
          <w:tcPr>
            <w:tcW w:w="1200" w:type="dxa"/>
            <w:vAlign w:val="bottom"/>
            <w:tcBorders>
              <w:bottom w:val="single" w:sz="8" w:color="D9D9D9"/>
            </w:tcBorders>
          </w:tcPr>
          <w:p>
            <w:pPr>
              <w:spacing w:after="0"/>
              <w:rPr>
                <w:sz w:val="19"/>
                <w:szCs w:val="19"/>
                <w:color w:val="auto"/>
              </w:rPr>
            </w:pPr>
          </w:p>
        </w:tc>
        <w:tc>
          <w:tcPr>
            <w:tcW w:w="300" w:type="dxa"/>
            <w:vAlign w:val="bottom"/>
            <w:tcBorders>
              <w:bottom w:val="single" w:sz="8" w:color="D9D9D9"/>
            </w:tcBorders>
          </w:tcPr>
          <w:p>
            <w:pPr>
              <w:spacing w:after="0"/>
              <w:rPr>
                <w:sz w:val="19"/>
                <w:szCs w:val="19"/>
                <w:color w:val="auto"/>
              </w:rPr>
            </w:pPr>
          </w:p>
        </w:tc>
        <w:tc>
          <w:tcPr>
            <w:tcW w:w="20" w:type="dxa"/>
            <w:vAlign w:val="bottom"/>
            <w:tcBorders>
              <w:bottom w:val="single" w:sz="8" w:color="D9D9D9"/>
            </w:tcBorders>
          </w:tcPr>
          <w:p>
            <w:pPr>
              <w:spacing w:after="0"/>
              <w:rPr>
                <w:sz w:val="19"/>
                <w:szCs w:val="19"/>
                <w:color w:val="auto"/>
              </w:rPr>
            </w:pPr>
          </w:p>
        </w:tc>
        <w:tc>
          <w:tcPr>
            <w:tcW w:w="440" w:type="dxa"/>
            <w:vAlign w:val="bottom"/>
            <w:tcBorders>
              <w:bottom w:val="single" w:sz="8" w:color="D9D9D9"/>
            </w:tcBorders>
          </w:tcPr>
          <w:p>
            <w:pPr>
              <w:spacing w:after="0"/>
              <w:rPr>
                <w:sz w:val="19"/>
                <w:szCs w:val="19"/>
                <w:color w:val="auto"/>
              </w:rPr>
            </w:pPr>
          </w:p>
        </w:tc>
        <w:tc>
          <w:tcPr>
            <w:tcW w:w="11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680" w:type="dxa"/>
            <w:vAlign w:val="bottom"/>
            <w:gridSpan w:val="6"/>
          </w:tcPr>
          <w:p>
            <w:pPr>
              <w:spacing w:after="0"/>
              <w:rPr>
                <w:sz w:val="20"/>
                <w:szCs w:val="20"/>
                <w:color w:val="auto"/>
              </w:rPr>
            </w:pPr>
            <w:r>
              <w:rPr>
                <w:rFonts w:ascii="Arial" w:cs="Arial" w:eastAsia="Arial" w:hAnsi="Arial"/>
                <w:sz w:val="14"/>
                <w:szCs w:val="14"/>
                <w:color w:val="auto"/>
                <w:w w:val="98"/>
              </w:rPr>
              <w:t>For the Three Months Ended December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4"/>
                <w:szCs w:val="14"/>
                <w:color w:val="auto"/>
                <w:w w:val="95"/>
              </w:rPr>
              <w:t>For the Year Ended December 31,</w:t>
            </w:r>
          </w:p>
        </w:tc>
        <w:tc>
          <w:tcPr>
            <w:tcW w:w="0" w:type="dxa"/>
            <w:vAlign w:val="bottom"/>
          </w:tcPr>
          <w:p>
            <w:pPr>
              <w:spacing w:after="0"/>
              <w:rPr>
                <w:sz w:val="1"/>
                <w:szCs w:val="1"/>
                <w:color w:val="auto"/>
              </w:rPr>
            </w:pPr>
          </w:p>
        </w:tc>
      </w:tr>
      <w:tr>
        <w:trPr>
          <w:trHeight w:val="47"/>
        </w:trPr>
        <w:tc>
          <w:tcPr>
            <w:tcW w:w="5960" w:type="dxa"/>
            <w:vAlign w:val="bottom"/>
            <w:vMerge w:val="restart"/>
          </w:tcPr>
          <w:p>
            <w:pPr>
              <w:spacing w:after="0"/>
              <w:rPr>
                <w:sz w:val="20"/>
                <w:szCs w:val="20"/>
                <w:color w:val="auto"/>
              </w:rPr>
            </w:pPr>
            <w:r>
              <w:rPr>
                <w:rFonts w:ascii="Arial" w:cs="Arial" w:eastAsia="Arial" w:hAnsi="Arial"/>
                <w:sz w:val="14"/>
                <w:szCs w:val="14"/>
                <w:color w:val="auto"/>
              </w:rPr>
              <w:t>(dollars in thousands, except shares and per share data)</w:t>
            </w: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Amortization and earnout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and goodwill impairment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income from operations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(51,172)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CECO Environmental Corp.</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attributable to CECO Environmental Corp.:</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34,568,508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34,280,940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34,445,256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33,979,549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34,568,508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34,280,940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34,445,256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33,979,549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9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9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u w:val="single" w:color="auto"/>
          <w:color w:val="auto"/>
        </w:rPr>
        <w:t>CECO ENVIRONMENTAL CORP. AND SUBSIDIARIES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9"/>
          </w:tcPr>
          <w:p>
            <w:pPr>
              <w:jc w:val="right"/>
              <w:ind w:right="720"/>
              <w:spacing w:after="0"/>
              <w:rPr>
                <w:sz w:val="20"/>
                <w:szCs w:val="20"/>
                <w:color w:val="auto"/>
              </w:rPr>
            </w:pPr>
            <w:r>
              <w:rPr>
                <w:rFonts w:ascii="Arial" w:cs="Arial" w:eastAsia="Arial" w:hAnsi="Arial"/>
                <w:sz w:val="14"/>
                <w:szCs w:val="14"/>
                <w:color w:val="auto"/>
                <w:w w:val="95"/>
              </w:rPr>
              <w:t>Three Months Ended 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8"/>
          </w:tcPr>
          <w:p>
            <w:pPr>
              <w:jc w:val="right"/>
              <w:ind w:right="500"/>
              <w:spacing w:after="0"/>
              <w:rPr>
                <w:sz w:val="20"/>
                <w:szCs w:val="20"/>
                <w:color w:val="auto"/>
              </w:rPr>
            </w:pPr>
            <w:r>
              <w:rPr>
                <w:rFonts w:ascii="Arial" w:cs="Arial" w:eastAsia="Arial" w:hAnsi="Arial"/>
                <w:sz w:val="14"/>
                <w:szCs w:val="14"/>
                <w:color w:val="auto"/>
                <w:w w:val="96"/>
              </w:rPr>
              <w:t>For the Year Ended December 31,</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2016</w:t>
            </w: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2016</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 as reported in accordance with GAAP</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i w:val="1"/>
                <w:iCs w:val="1"/>
                <w:color w:val="auto"/>
              </w:rPr>
              <w:t>Gross profit margin in accordance with GAAP</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34.8%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i w:val="1"/>
                <w:iCs w:val="1"/>
                <w:color w:val="auto"/>
              </w:rPr>
              <w:t>35.7%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32.8%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Inventory valuation adjustment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Plant, property and equipment valuation adjustment</w:t>
            </w:r>
          </w:p>
        </w:tc>
        <w:tc>
          <w:tcPr>
            <w:tcW w:w="4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Non-GAAP gross profit</w:t>
            </w:r>
          </w:p>
        </w:tc>
        <w:tc>
          <w:tcPr>
            <w:tcW w:w="4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gross profit margin</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35.0%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i w:val="1"/>
                <w:iCs w:val="1"/>
                <w:color w:val="auto"/>
              </w:rPr>
              <w:t>35.8%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33.6%</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32.5%</w:t>
            </w:r>
          </w:p>
        </w:tc>
        <w:tc>
          <w:tcPr>
            <w:tcW w:w="0" w:type="dxa"/>
            <w:vAlign w:val="bottom"/>
          </w:tcPr>
          <w:p>
            <w:pPr>
              <w:spacing w:after="0"/>
              <w:rPr>
                <w:sz w:val="1"/>
                <w:szCs w:val="1"/>
                <w:color w:val="auto"/>
              </w:rPr>
            </w:pPr>
          </w:p>
        </w:tc>
      </w:tr>
      <w:tr>
        <w:trPr>
          <w:trHeight w:val="582"/>
        </w:trPr>
        <w:tc>
          <w:tcPr>
            <w:tcW w:w="5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8"/>
            <w:vMerge w:val="restart"/>
          </w:tcPr>
          <w:p>
            <w:pPr>
              <w:jc w:val="right"/>
              <w:ind w:right="540"/>
              <w:spacing w:after="0"/>
              <w:rPr>
                <w:sz w:val="20"/>
                <w:szCs w:val="20"/>
                <w:color w:val="auto"/>
              </w:rPr>
            </w:pPr>
            <w:r>
              <w:rPr>
                <w:rFonts w:ascii="Arial" w:cs="Arial" w:eastAsia="Arial" w:hAnsi="Arial"/>
                <w:sz w:val="14"/>
                <w:szCs w:val="14"/>
                <w:color w:val="auto"/>
                <w:w w:val="96"/>
              </w:rPr>
              <w:t>Three Months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8"/>
          </w:tcPr>
          <w:p>
            <w:pPr>
              <w:jc w:val="right"/>
              <w:ind w:right="540"/>
              <w:spacing w:after="0"/>
              <w:rPr>
                <w:sz w:val="20"/>
                <w:szCs w:val="20"/>
                <w:color w:val="auto"/>
              </w:rPr>
            </w:pPr>
            <w:r>
              <w:rPr>
                <w:rFonts w:ascii="Arial" w:cs="Arial" w:eastAsia="Arial" w:hAnsi="Arial"/>
                <w:sz w:val="14"/>
                <w:szCs w:val="14"/>
                <w:color w:val="auto"/>
                <w:w w:val="94"/>
              </w:rPr>
              <w:t>For the Year Ended December 31,</w:t>
            </w:r>
          </w:p>
        </w:tc>
        <w:tc>
          <w:tcPr>
            <w:tcW w:w="0" w:type="dxa"/>
            <w:vAlign w:val="bottom"/>
          </w:tcPr>
          <w:p>
            <w:pPr>
              <w:spacing w:after="0"/>
              <w:rPr>
                <w:sz w:val="1"/>
                <w:szCs w:val="1"/>
                <w:color w:val="auto"/>
              </w:rPr>
            </w:pPr>
          </w:p>
        </w:tc>
      </w:tr>
      <w:tr>
        <w:trPr>
          <w:trHeight w:val="53"/>
        </w:trPr>
        <w:tc>
          <w:tcPr>
            <w:tcW w:w="5020" w:type="dxa"/>
            <w:vAlign w:val="bottom"/>
            <w:vMerge w:val="restart"/>
          </w:tcPr>
          <w:p>
            <w:pPr>
              <w:spacing w:after="0"/>
              <w:rPr>
                <w:sz w:val="20"/>
                <w:szCs w:val="20"/>
                <w:color w:val="auto"/>
              </w:rPr>
            </w:pPr>
            <w:r>
              <w:rPr>
                <w:rFonts w:ascii="Arial" w:cs="Arial" w:eastAsia="Arial" w:hAnsi="Arial"/>
                <w:sz w:val="14"/>
                <w:szCs w:val="14"/>
                <w:color w:val="auto"/>
              </w:rPr>
              <w:t>(dollars in millions)</w:t>
            </w: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7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2017</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color w:val="auto"/>
              </w:rPr>
              <w:t>2016</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 as reported in accordance with GAAP</w:t>
            </w:r>
          </w:p>
        </w:tc>
        <w:tc>
          <w:tcPr>
            <w:tcW w:w="6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50"/>
              <w:spacing w:after="0"/>
              <w:rPr>
                <w:sz w:val="20"/>
                <w:szCs w:val="20"/>
                <w:color w:val="auto"/>
              </w:rPr>
            </w:pPr>
            <w:r>
              <w:rPr>
                <w:rFonts w:ascii="Arial" w:cs="Arial" w:eastAsia="Arial" w:hAnsi="Arial"/>
                <w:sz w:val="18"/>
                <w:szCs w:val="18"/>
                <w:i w:val="1"/>
                <w:iCs w:val="1"/>
                <w:color w:val="auto"/>
              </w:rPr>
              <w:t>(11.2)%</w:t>
            </w: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(50.4)%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2.3%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Legacy design repairs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Inventory valuation adjustment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Plant, property and equipment valuation adjustment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Gain on insurance settlement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and integration expenses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Amortization and earnout (income) expenses, net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Intangible asset and goodwill impairment</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Restructuring expense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Executive transition expenses</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500"/>
              <w:spacing w:after="0"/>
              <w:rPr>
                <w:sz w:val="20"/>
                <w:szCs w:val="20"/>
                <w:color w:val="auto"/>
              </w:rPr>
            </w:pPr>
            <w:r>
              <w:rPr>
                <w:rFonts w:ascii="Arial" w:cs="Arial" w:eastAsia="Arial" w:hAnsi="Arial"/>
                <w:sz w:val="18"/>
                <w:szCs w:val="18"/>
                <w:color w:val="auto"/>
              </w:rPr>
              <w:t>Facility exit expenses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6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4.8%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14.7%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8.2%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7"/>
        </w:trPr>
        <w:tc>
          <w:tcPr>
            <w:tcW w:w="56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14"/>
                <w:szCs w:val="14"/>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4"/>
                <w:szCs w:val="14"/>
                <w:color w:val="auto"/>
                <w:w w:val="94"/>
              </w:rPr>
              <w:t>Three Months Ended December 31,</w:t>
            </w:r>
          </w:p>
        </w:tc>
        <w:tc>
          <w:tcPr>
            <w:tcW w:w="220" w:type="dxa"/>
            <w:vAlign w:val="bottom"/>
          </w:tcPr>
          <w:p>
            <w:pPr>
              <w:spacing w:after="0"/>
              <w:rPr>
                <w:sz w:val="14"/>
                <w:szCs w:val="14"/>
                <w:color w:val="auto"/>
              </w:rPr>
            </w:pPr>
          </w:p>
        </w:tc>
        <w:tc>
          <w:tcPr>
            <w:tcW w:w="2600" w:type="dxa"/>
            <w:vAlign w:val="bottom"/>
            <w:gridSpan w:val="6"/>
          </w:tcPr>
          <w:p>
            <w:pPr>
              <w:jc w:val="right"/>
              <w:ind w:right="500"/>
              <w:spacing w:after="0"/>
              <w:rPr>
                <w:sz w:val="20"/>
                <w:szCs w:val="20"/>
                <w:color w:val="auto"/>
              </w:rPr>
            </w:pPr>
            <w:r>
              <w:rPr>
                <w:rFonts w:ascii="Arial" w:cs="Arial" w:eastAsia="Arial" w:hAnsi="Arial"/>
                <w:sz w:val="14"/>
                <w:szCs w:val="14"/>
                <w:color w:val="auto"/>
                <w:w w:val="97"/>
              </w:rPr>
              <w:t>For the Year Ended December 31,</w:t>
            </w: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color w:val="auto"/>
              </w:rPr>
              <w:t>2017</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1"/>
              <w:spacing w:after="0" w:line="155" w:lineRule="exact"/>
              <w:rPr>
                <w:sz w:val="20"/>
                <w:szCs w:val="20"/>
                <w:color w:val="auto"/>
              </w:rPr>
            </w:pPr>
            <w:r>
              <w:rPr>
                <w:rFonts w:ascii="Arial" w:cs="Arial" w:eastAsia="Arial" w:hAnsi="Arial"/>
                <w:sz w:val="14"/>
                <w:szCs w:val="14"/>
                <w:color w:val="auto"/>
              </w:rPr>
              <w:t>2016</w:t>
            </w: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1"/>
              <w:spacing w:after="0" w:line="155" w:lineRule="exact"/>
              <w:rPr>
                <w:sz w:val="20"/>
                <w:szCs w:val="20"/>
                <w:color w:val="auto"/>
              </w:rPr>
            </w:pPr>
            <w:r>
              <w:rPr>
                <w:rFonts w:ascii="Arial" w:cs="Arial" w:eastAsia="Arial" w:hAnsi="Arial"/>
                <w:sz w:val="14"/>
                <w:szCs w:val="14"/>
                <w:color w:val="auto"/>
              </w:rPr>
              <w:t>2017</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1"/>
              <w:spacing w:after="0" w:line="155" w:lineRule="exact"/>
              <w:rPr>
                <w:sz w:val="20"/>
                <w:szCs w:val="20"/>
                <w:color w:val="auto"/>
              </w:rPr>
            </w:pPr>
            <w:r>
              <w:rPr>
                <w:rFonts w:ascii="Arial" w:cs="Arial" w:eastAsia="Arial" w:hAnsi="Arial"/>
                <w:sz w:val="14"/>
                <w:szCs w:val="14"/>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as reported in accordance with GAAP</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Legacy design repairs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Inventory valuation adjustment</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Plant, property and equipment valuation adjustment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Gain on insurance settlement</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Acquisition and integration expenses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(income) expenses, net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Intangible asset and goodwill impairment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Executive transition expenses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Facility exit expenses</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Foreign currency remeasurement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Tax benefit of adjustments</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Non-GAAP net (loss) income</w:t>
            </w: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Non-cash stock compensation (excluding executive transition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costs)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Gain on insurance settlement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 income per share: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3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D9D9D9"/>
            </w:tcBorders>
          </w:tcPr>
          <w:p>
            <w:pPr>
              <w:spacing w:after="0"/>
              <w:rPr>
                <w:sz w:val="18"/>
                <w:szCs w:val="18"/>
                <w:color w:val="auto"/>
              </w:rPr>
            </w:pPr>
          </w:p>
        </w:tc>
        <w:tc>
          <w:tcPr>
            <w:tcW w:w="18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38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0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28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3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0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28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13"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09"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Non-GAAP gross profit, non-GAAP operating income, non-GAAP net income, non-GAAP gross profit margin, non-GAAP operating margin, non-GAAP earnings per basic and diluted share and adjusted EBITDA, as we present them in the financial data included in this press release, have been adjusted to exclude the effects of expenses related to legacy design repairs, inventory valuation adjustments, property, plant and equipment valuation adjustments, gains from insurance settlements, acquisition and integration expense activities including retention, legal, accounting, banking, amortization and contingent earn-out expenses, foreign currency re-measurement, intangible asset impairment, legal reserves, executive transition expenses, facility exit expenses, restructuring expenses,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2"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Non-GAAP gross profit, non-GAAP operating income, non-GAAP net income, non-GAAP gross profit margin,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titles measures of other companies.</w:t>
      </w:r>
    </w:p>
    <w:p>
      <w:pPr>
        <w:spacing w:after="0" w:line="200" w:lineRule="exact"/>
        <w:rPr>
          <w:sz w:val="20"/>
          <w:szCs w:val="20"/>
          <w:color w:val="auto"/>
        </w:rPr>
      </w:pPr>
    </w:p>
    <w:p>
      <w:pPr>
        <w:spacing w:after="0" w:line="242"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gross profit, non-GAAP operating income, non-GAAP net income, non-GAAP gross profit margin,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SAFE HARBOR</w:t>
      </w:r>
    </w:p>
    <w:p>
      <w:pPr>
        <w:spacing w:after="0" w:line="200" w:lineRule="exact"/>
        <w:rPr>
          <w:sz w:val="20"/>
          <w:szCs w:val="20"/>
          <w:color w:val="auto"/>
        </w:rPr>
      </w:pPr>
    </w:p>
    <w:p>
      <w:pPr>
        <w:spacing w:after="0" w:line="21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and method of accounting for contract revenue;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environmental, energy and fluid handling and filtration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2446655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2600960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2020-01-14T17:09:09Z</dcterms:created>
  <dcterms:modified xsi:type="dcterms:W3CDTF">2020-01-14T17:09:09Z</dcterms:modified>
</cp:coreProperties>
</file>