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173990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191135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267970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285115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87630</wp:posOffset>
            </wp:positionV>
            <wp:extent cx="1433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-127635</wp:posOffset>
            </wp:positionV>
            <wp:extent cx="1433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3"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06" w:lineRule="exact"/>
        <w:rPr>
          <w:sz w:val="24"/>
          <w:szCs w:val="24"/>
          <w:color w:val="auto"/>
        </w:rPr>
      </w:pPr>
    </w:p>
    <w:p>
      <w:pPr>
        <w:ind w:left="334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-8255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102235</wp:posOffset>
            </wp:positionV>
            <wp:extent cx="1433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3195"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179070</wp:posOffset>
            </wp:positionV>
            <wp:extent cx="708025" cy="324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25" cy="3244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34"/>
          <w:szCs w:val="34"/>
          <w:b w:val="1"/>
          <w:bCs w:val="1"/>
          <w:color w:val="auto"/>
        </w:rPr>
        <w:t>CECO ENVIRONMENTAL CORP.</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89535</wp:posOffset>
            </wp:positionV>
            <wp:extent cx="1433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237" w:lineRule="exact"/>
        <w:rPr>
          <w:sz w:val="24"/>
          <w:szCs w:val="24"/>
          <w:color w:val="auto"/>
        </w:rPr>
      </w:pPr>
    </w:p>
    <w:tbl>
      <w:tblPr>
        <w:tblLayout w:type="fixed"/>
        <w:tblInd w:w="790" w:type="dxa"/>
        <w:tblCellMar>
          <w:top w:w="0" w:type="dxa"/>
          <w:left w:w="0" w:type="dxa"/>
          <w:bottom w:w="0" w:type="dxa"/>
          <w:right w:w="0" w:type="dxa"/>
        </w:tblCellMar>
      </w:tblPr>
      <w:tr>
        <w:trPr>
          <w:trHeight w:val="211"/>
        </w:trPr>
        <w:tc>
          <w:tcPr>
            <w:tcW w:w="3200" w:type="dxa"/>
            <w:vAlign w:val="bottom"/>
          </w:tcPr>
          <w:p>
            <w:pPr>
              <w:jc w:val="center"/>
              <w:ind w:left="678"/>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60" w:type="dxa"/>
            <w:vAlign w:val="bottom"/>
          </w:tcPr>
          <w:p>
            <w:pPr>
              <w:jc w:val="right"/>
              <w:ind w:right="1801"/>
              <w:spacing w:after="0"/>
              <w:rPr>
                <w:sz w:val="20"/>
                <w:szCs w:val="20"/>
                <w:color w:val="auto"/>
              </w:rPr>
            </w:pPr>
            <w:r>
              <w:rPr>
                <w:rFonts w:ascii="Arial" w:cs="Arial" w:eastAsia="Arial" w:hAnsi="Arial"/>
                <w:sz w:val="18"/>
                <w:szCs w:val="18"/>
                <w:b w:val="1"/>
                <w:bCs w:val="1"/>
                <w:color w:val="auto"/>
              </w:rPr>
              <w:t>13-2566064</w:t>
            </w:r>
          </w:p>
        </w:tc>
      </w:tr>
      <w:tr>
        <w:trPr>
          <w:trHeight w:val="148"/>
        </w:trPr>
        <w:tc>
          <w:tcPr>
            <w:tcW w:w="3200" w:type="dxa"/>
            <w:vAlign w:val="bottom"/>
          </w:tcPr>
          <w:p>
            <w:pPr>
              <w:jc w:val="center"/>
              <w:ind w:left="678"/>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660" w:type="dxa"/>
            <w:vAlign w:val="bottom"/>
          </w:tcPr>
          <w:p>
            <w:pPr>
              <w:jc w:val="center"/>
              <w:ind w:right="881"/>
              <w:spacing w:after="0" w:line="148"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678"/>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60" w:type="dxa"/>
            <w:vAlign w:val="bottom"/>
          </w:tcPr>
          <w:p>
            <w:pPr>
              <w:jc w:val="center"/>
              <w:ind w:right="861"/>
              <w:spacing w:after="0"/>
              <w:rPr>
                <w:sz w:val="20"/>
                <w:szCs w:val="20"/>
                <w:color w:val="auto"/>
              </w:rPr>
            </w:pPr>
            <w:r>
              <w:rPr>
                <w:rFonts w:ascii="Arial" w:cs="Arial" w:eastAsia="Arial" w:hAnsi="Arial"/>
                <w:sz w:val="14"/>
                <w:szCs w:val="14"/>
                <w:b w:val="1"/>
                <w:bCs w:val="1"/>
                <w:color w:val="auto"/>
                <w:w w:val="94"/>
              </w:rPr>
              <w:t>Identification No.)</w:t>
            </w:r>
          </w:p>
        </w:tc>
      </w:tr>
      <w:tr>
        <w:trPr>
          <w:trHeight w:val="302"/>
        </w:trPr>
        <w:tc>
          <w:tcPr>
            <w:tcW w:w="3200" w:type="dxa"/>
            <w:vAlign w:val="bottom"/>
          </w:tcPr>
          <w:p>
            <w:pPr>
              <w:jc w:val="center"/>
              <w:ind w:left="678"/>
              <w:spacing w:after="0"/>
              <w:rPr>
                <w:sz w:val="20"/>
                <w:szCs w:val="20"/>
                <w:color w:val="auto"/>
              </w:rPr>
            </w:pPr>
            <w:r>
              <w:rPr>
                <w:rFonts w:ascii="Arial" w:cs="Arial" w:eastAsia="Arial" w:hAnsi="Arial"/>
                <w:sz w:val="18"/>
                <w:szCs w:val="18"/>
                <w:b w:val="1"/>
                <w:bCs w:val="1"/>
                <w:color w:val="auto"/>
                <w:w w:val="91"/>
              </w:rPr>
              <w:t>14651 North Dallas Parkway</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5"/>
        </w:trPr>
        <w:tc>
          <w:tcPr>
            <w:tcW w:w="3200" w:type="dxa"/>
            <w:vAlign w:val="bottom"/>
          </w:tcPr>
          <w:p>
            <w:pPr>
              <w:jc w:val="center"/>
              <w:ind w:left="698"/>
              <w:spacing w:after="0"/>
              <w:rPr>
                <w:sz w:val="20"/>
                <w:szCs w:val="20"/>
                <w:color w:val="auto"/>
              </w:rPr>
            </w:pPr>
            <w:r>
              <w:rPr>
                <w:rFonts w:ascii="Arial" w:cs="Arial" w:eastAsia="Arial" w:hAnsi="Arial"/>
                <w:sz w:val="18"/>
                <w:szCs w:val="18"/>
                <w:b w:val="1"/>
                <w:bCs w:val="1"/>
                <w:color w:val="auto"/>
                <w:w w:val="88"/>
              </w:rPr>
              <w:t>Suite 500</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1"/>
        </w:trPr>
        <w:tc>
          <w:tcPr>
            <w:tcW w:w="3200" w:type="dxa"/>
            <w:vAlign w:val="bottom"/>
          </w:tcPr>
          <w:p>
            <w:pPr>
              <w:jc w:val="center"/>
              <w:ind w:left="678"/>
              <w:spacing w:after="0"/>
              <w:rPr>
                <w:sz w:val="20"/>
                <w:szCs w:val="20"/>
                <w:color w:val="auto"/>
              </w:rPr>
            </w:pPr>
            <w:r>
              <w:rPr>
                <w:rFonts w:ascii="Arial" w:cs="Arial" w:eastAsia="Arial" w:hAnsi="Arial"/>
                <w:sz w:val="18"/>
                <w:szCs w:val="18"/>
                <w:b w:val="1"/>
                <w:bCs w:val="1"/>
                <w:color w:val="auto"/>
                <w:w w:val="87"/>
              </w:rPr>
              <w:t>Dallas, Texas</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60" w:type="dxa"/>
            <w:vAlign w:val="bottom"/>
          </w:tcPr>
          <w:p>
            <w:pPr>
              <w:jc w:val="right"/>
              <w:ind w:right="2001"/>
              <w:spacing w:after="0"/>
              <w:rPr>
                <w:sz w:val="20"/>
                <w:szCs w:val="20"/>
                <w:color w:val="auto"/>
              </w:rPr>
            </w:pPr>
            <w:r>
              <w:rPr>
                <w:rFonts w:ascii="Arial" w:cs="Arial" w:eastAsia="Arial" w:hAnsi="Arial"/>
                <w:sz w:val="18"/>
                <w:szCs w:val="18"/>
                <w:b w:val="1"/>
                <w:bCs w:val="1"/>
                <w:color w:val="auto"/>
              </w:rPr>
              <w:t>75254</w:t>
            </w:r>
          </w:p>
        </w:tc>
      </w:tr>
      <w:tr>
        <w:trPr>
          <w:trHeight w:val="186"/>
        </w:trPr>
        <w:tc>
          <w:tcPr>
            <w:tcW w:w="3200" w:type="dxa"/>
            <w:vAlign w:val="bottom"/>
          </w:tcPr>
          <w:p>
            <w:pPr>
              <w:jc w:val="center"/>
              <w:ind w:left="67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60" w:type="dxa"/>
            <w:vAlign w:val="bottom"/>
          </w:tcPr>
          <w:p>
            <w:pPr>
              <w:jc w:val="center"/>
              <w:ind w:right="881"/>
              <w:spacing w:after="0"/>
              <w:rPr>
                <w:sz w:val="20"/>
                <w:szCs w:val="20"/>
                <w:color w:val="auto"/>
              </w:rPr>
            </w:pPr>
            <w:r>
              <w:rPr>
                <w:rFonts w:ascii="Arial" w:cs="Arial" w:eastAsia="Arial" w:hAnsi="Arial"/>
                <w:sz w:val="14"/>
                <w:szCs w:val="14"/>
                <w:b w:val="1"/>
                <w:bCs w:val="1"/>
                <w:color w:val="auto"/>
                <w:w w:val="95"/>
              </w:rPr>
              <w:t>(Zip Code)</w:t>
            </w:r>
          </w:p>
        </w:tc>
      </w:tr>
      <w:tr>
        <w:trPr>
          <w:trHeight w:val="321"/>
        </w:trPr>
        <w:tc>
          <w:tcPr>
            <w:tcW w:w="10020" w:type="dxa"/>
            <w:vAlign w:val="bottom"/>
            <w:gridSpan w:val="4"/>
          </w:tcPr>
          <w:p>
            <w:pPr>
              <w:ind w:left="228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06"/>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02"/>
        </w:trPr>
        <w:tc>
          <w:tcPr>
            <w:tcW w:w="3200" w:type="dxa"/>
            <w:vAlign w:val="bottom"/>
            <w:tcBorders>
              <w:left w:val="single" w:sz="8" w:color="auto"/>
            </w:tcBorders>
          </w:tcPr>
          <w:p>
            <w:pPr>
              <w:jc w:val="center"/>
              <w:ind w:left="278"/>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6"/>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199"/>
        </w:trPr>
        <w:tc>
          <w:tcPr>
            <w:tcW w:w="3200" w:type="dxa"/>
            <w:vAlign w:val="bottom"/>
            <w:tcBorders>
              <w:left w:val="single" w:sz="8" w:color="auto"/>
            </w:tcBorders>
          </w:tcPr>
          <w:p>
            <w:pPr>
              <w:jc w:val="center"/>
              <w:ind w:left="278"/>
              <w:spacing w:after="0"/>
              <w:rPr>
                <w:sz w:val="20"/>
                <w:szCs w:val="20"/>
                <w:color w:val="auto"/>
              </w:rPr>
            </w:pPr>
            <w:r>
              <w:rPr>
                <w:rFonts w:ascii="Arial" w:cs="Arial" w:eastAsia="Arial" w:hAnsi="Arial"/>
                <w:sz w:val="16"/>
                <w:szCs w:val="16"/>
                <w:color w:val="auto"/>
                <w:w w:val="90"/>
              </w:rPr>
              <w:t>Common Stock, par value $0.01 per share</w:t>
            </w:r>
          </w:p>
        </w:tc>
        <w:tc>
          <w:tcPr>
            <w:tcW w:w="3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36"/>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bl>
    <w:p>
      <w:pPr>
        <w:spacing w:after="0" w:line="93" w:lineRule="exact"/>
        <w:rPr>
          <w:sz w:val="24"/>
          <w:szCs w:val="24"/>
          <w:color w:val="auto"/>
        </w:rPr>
      </w:pPr>
    </w:p>
    <w:p>
      <w:pPr>
        <w:ind w:firstLine="27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20" w:firstLine="27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80" w:firstLine="27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40" w:type="dxa"/>
        <w:tblCellMar>
          <w:top w:w="0" w:type="dxa"/>
          <w:left w:w="0" w:type="dxa"/>
          <w:bottom w:w="0" w:type="dxa"/>
          <w:right w:w="0" w:type="dxa"/>
        </w:tblCellMar>
      </w:tblPr>
      <w:tr>
        <w:trPr>
          <w:trHeight w:val="282"/>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0" w:lineRule="exact"/>
        <w:rPr>
          <w:sz w:val="24"/>
          <w:szCs w:val="24"/>
          <w:color w:val="auto"/>
        </w:rPr>
      </w:pPr>
    </w:p>
    <w:p>
      <w:pPr>
        <w:ind w:right="280" w:firstLine="27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ind w:left="280"/>
        <w:spacing w:after="0" w:line="207" w:lineRule="exact"/>
        <w:tabs>
          <w:tab w:leader="none" w:pos="9040" w:val="left"/>
          <w:tab w:leader="none" w:pos="9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8" w:lineRule="exact"/>
        <w:rPr>
          <w:sz w:val="24"/>
          <w:szCs w:val="24"/>
          <w:color w:val="auto"/>
        </w:rPr>
      </w:pPr>
    </w:p>
    <w:p>
      <w:pPr>
        <w:ind w:right="160" w:firstLine="270"/>
        <w:spacing w:after="0" w:line="275"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35,604,634 shares of common stock, par value $0.01 per share,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March 31, 2021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980" w:type="dxa"/>
            <w:vAlign w:val="bottom"/>
            <w:gridSpan w:val="16"/>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750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2021 and December 31, 2020</w:t>
              </w:r>
            </w:hyperlink>
          </w:p>
        </w:tc>
        <w:tc>
          <w:tcPr>
            <w:tcW w:w="286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three-month periods ended March 31, 2021 and 2020</w:t>
              </w:r>
            </w:hyperlink>
          </w:p>
        </w:tc>
        <w:tc>
          <w:tcPr>
            <w:tcW w:w="134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for the three-month periods ended March 31, 2021 and 2020</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 for the three-month periods ended March 31, 2021 and 2020</w:t>
              </w:r>
            </w:hyperlink>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three-month periods ended March 31, 2021 and 2020</w:t>
              </w:r>
            </w:hyperlink>
          </w:p>
        </w:tc>
        <w:tc>
          <w:tcPr>
            <w:tcW w:w="104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tcBorders>
              <w:top w:val="single" w:sz="8" w:color="0000EE"/>
            </w:tcBorders>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258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tcBorders>
              <w:top w:val="single" w:sz="8" w:color="0000EE"/>
            </w:tcBorders>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472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3"/>
        </w:trPr>
        <w:tc>
          <w:tcPr>
            <w:tcW w:w="90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6"/>
          </w:tcPr>
          <w:p>
            <w:pPr>
              <w:spacing w:after="0"/>
              <w:rPr>
                <w:sz w:val="24"/>
                <w:szCs w:val="24"/>
                <w:color w:val="auto"/>
              </w:rPr>
            </w:pPr>
          </w:p>
        </w:tc>
        <w:tc>
          <w:tcPr>
            <w:tcW w:w="724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768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2000" w:type="dxa"/>
            <w:vAlign w:val="bottom"/>
            <w:tcBorders>
              <w:top w:val="single" w:sz="8" w:color="0000EE"/>
            </w:tcBorders>
            <w:gridSpan w:val="3"/>
          </w:tcPr>
          <w:p>
            <w:pPr>
              <w:spacing w:after="0"/>
              <w:rPr>
                <w:sz w:val="24"/>
                <w:szCs w:val="24"/>
                <w:color w:val="auto"/>
              </w:rPr>
            </w:pPr>
          </w:p>
        </w:tc>
        <w:tc>
          <w:tcPr>
            <w:tcW w:w="468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724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3"/>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770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3"/>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Signatures</w:t>
              </w:r>
            </w:hyperlink>
          </w:p>
        </w:tc>
        <w:tc>
          <w:tcPr>
            <w:tcW w:w="1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69850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540" w:top="55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0"/>
        </w:trPr>
        <w:tc>
          <w:tcPr>
            <w:tcW w:w="7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280" w:type="dxa"/>
            <w:vAlign w:val="bottom"/>
            <w:tcBorders>
              <w:top w:val="single" w:sz="8" w:color="CFF0FC"/>
            </w:tcBorders>
            <w:shd w:val="clear" w:color="auto" w:fill="CFF0FC"/>
          </w:tcPr>
          <w:p>
            <w:pPr>
              <w:ind w:left="31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66,468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41,173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181,496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161,652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2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413,657</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ind w:left="15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85,518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106,062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Deferred income tax liability, net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280" w:type="dxa"/>
            <w:vAlign w:val="bottom"/>
          </w:tcPr>
          <w:p>
            <w:pPr>
              <w:ind w:left="260"/>
              <w:spacing w:after="0"/>
              <w:rPr>
                <w:sz w:val="20"/>
                <w:szCs w:val="20"/>
                <w:color w:val="auto"/>
              </w:rPr>
            </w:pPr>
            <w:r>
              <w:rPr>
                <w:rFonts w:ascii="Arial" w:cs="Arial" w:eastAsia="Arial" w:hAnsi="Arial"/>
                <w:sz w:val="18"/>
                <w:szCs w:val="18"/>
                <w:color w:val="auto"/>
              </w:rPr>
              <w:t>Common stock, $.01 par value; 100,000,000 shares authorized, 35,567,511 and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580"/>
              <w:spacing w:after="0"/>
              <w:rPr>
                <w:sz w:val="20"/>
                <w:szCs w:val="20"/>
                <w:color w:val="auto"/>
              </w:rPr>
            </w:pPr>
            <w:r>
              <w:rPr>
                <w:rFonts w:ascii="Arial" w:cs="Arial" w:eastAsia="Arial" w:hAnsi="Arial"/>
                <w:sz w:val="18"/>
                <w:szCs w:val="18"/>
                <w:color w:val="auto"/>
                <w:w w:val="96"/>
              </w:rPr>
              <w:t>35,504,757 shares issued and outstanding at March 31, 2021 and December 31, 2020,</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5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260"/>
              <w:spacing w:after="0"/>
              <w:rPr>
                <w:sz w:val="20"/>
                <w:szCs w:val="20"/>
                <w:color w:val="auto"/>
              </w:rPr>
            </w:pPr>
            <w:r>
              <w:rPr>
                <w:rFonts w:ascii="Arial" w:cs="Arial" w:eastAsia="Arial" w:hAnsi="Arial"/>
                <w:sz w:val="18"/>
                <w:szCs w:val="18"/>
                <w:color w:val="auto"/>
              </w:rPr>
              <w:t>Accumulated loss</w:t>
            </w:r>
          </w:p>
        </w:tc>
        <w:tc>
          <w:tcPr>
            <w:tcW w:w="22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(36,960)</w:t>
            </w:r>
          </w:p>
        </w:tc>
        <w:tc>
          <w:tcPr>
            <w:tcW w:w="14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(38,141)</w:t>
            </w: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(14,441)</w:t>
            </w: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22"/>
        </w:trPr>
        <w:tc>
          <w:tcPr>
            <w:tcW w:w="7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204,937</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Less treasury stock, at cost, 137,920 shares at March 31, 2021 and December 31, 2020</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2"/>
        </w:trPr>
        <w:tc>
          <w:tcPr>
            <w:tcW w:w="7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CECO shareholders’ equity</w:t>
            </w:r>
          </w:p>
        </w:tc>
        <w:tc>
          <w:tcPr>
            <w:tcW w:w="2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204,581</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205,651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413,657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76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71,892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5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47,485</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19,454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(480)</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2"/>
        </w:trPr>
        <w:tc>
          <w:tcPr>
            <w:tcW w:w="5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attributable to CECO Environmental Corp.</w:t>
            </w:r>
          </w:p>
        </w:tc>
        <w:tc>
          <w:tcPr>
            <w:tcW w:w="1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Earnings per share:</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6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5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60" w:type="dxa"/>
            <w:vAlign w:val="bottom"/>
            <w:tcBorders>
              <w:bottom w:val="single" w:sz="8" w:color="CFF0FC"/>
            </w:tcBorders>
            <w:vMerge w:val="continue"/>
          </w:tcPr>
          <w:p>
            <w:pPr>
              <w:spacing w:after="0"/>
              <w:rPr>
                <w:sz w:val="21"/>
                <w:szCs w:val="21"/>
                <w:color w:val="auto"/>
              </w:rPr>
            </w:pPr>
          </w:p>
        </w:tc>
        <w:tc>
          <w:tcPr>
            <w:tcW w:w="156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26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35,396,705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35,155,377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35,774,208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35,394,865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vMerge w:val="continue"/>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Comprehensive income</w:t>
            </w:r>
          </w:p>
        </w:tc>
        <w:tc>
          <w:tcPr>
            <w:tcW w:w="19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3"/>
              </w:rPr>
              <w:t>Accumulated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w w:val="86"/>
              </w:rPr>
              <w:t>in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tcPr>
          <w:p>
            <w:pPr>
              <w:jc w:val="center"/>
              <w:ind w:right="500"/>
              <w:spacing w:after="0" w:line="148" w:lineRule="exact"/>
              <w:rPr>
                <w:sz w:val="20"/>
                <w:szCs w:val="20"/>
                <w:color w:val="auto"/>
              </w:rPr>
            </w:pPr>
            <w:r>
              <w:rPr>
                <w:rFonts w:ascii="Arial" w:cs="Arial" w:eastAsia="Arial" w:hAnsi="Arial"/>
                <w:sz w:val="13"/>
                <w:szCs w:val="13"/>
                <w:b w:val="1"/>
                <w:bCs w:val="1"/>
                <w:color w:val="auto"/>
                <w:w w:val="97"/>
              </w:rPr>
              <w:t>Other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3"/>
                <w:szCs w:val="13"/>
                <w:b w:val="1"/>
                <w:bCs w:val="1"/>
                <w:color w:val="auto"/>
                <w:w w:val="98"/>
              </w:rPr>
              <w:t>Common Stock</w:t>
            </w:r>
          </w:p>
        </w:tc>
        <w:tc>
          <w:tcPr>
            <w:tcW w:w="280" w:type="dxa"/>
            <w:vAlign w:val="bottom"/>
            <w:gridSpan w:val="2"/>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excess of</w:t>
            </w:r>
          </w:p>
        </w:tc>
        <w:tc>
          <w:tcPr>
            <w:tcW w:w="1080" w:type="dxa"/>
            <w:vAlign w:val="bottom"/>
            <w:gridSpan w:val="6"/>
          </w:tcPr>
          <w:p>
            <w:pPr>
              <w:ind w:left="80"/>
              <w:spacing w:after="0"/>
              <w:rPr>
                <w:sz w:val="20"/>
                <w:szCs w:val="20"/>
                <w:color w:val="auto"/>
              </w:rPr>
            </w:pPr>
            <w:r>
              <w:rPr>
                <w:rFonts w:ascii="Arial" w:cs="Arial" w:eastAsia="Arial" w:hAnsi="Arial"/>
                <w:sz w:val="13"/>
                <w:szCs w:val="13"/>
                <w:b w:val="1"/>
                <w:bCs w:val="1"/>
                <w:color w:val="auto"/>
              </w:rPr>
              <w:t>Accumulated</w:t>
            </w:r>
          </w:p>
        </w:tc>
        <w:tc>
          <w:tcPr>
            <w:tcW w:w="11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Comprehensive</w:t>
            </w:r>
          </w:p>
        </w:tc>
        <w:tc>
          <w:tcPr>
            <w:tcW w:w="1160" w:type="dxa"/>
            <w:vAlign w:val="bottom"/>
            <w:tcBorders>
              <w:bottom w:val="single" w:sz="8" w:color="auto"/>
            </w:tcBorders>
            <w:gridSpan w:val="6"/>
          </w:tcPr>
          <w:p>
            <w:pPr>
              <w:ind w:left="12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3"/>
                <w:szCs w:val="13"/>
                <w:color w:val="auto"/>
              </w:rPr>
            </w:pPr>
          </w:p>
        </w:tc>
        <w:tc>
          <w:tcPr>
            <w:tcW w:w="960" w:type="dxa"/>
            <w:vAlign w:val="bottom"/>
            <w:gridSpan w:val="5"/>
          </w:tcPr>
          <w:p>
            <w:pPr>
              <w:ind w:left="80"/>
              <w:spacing w:after="0"/>
              <w:rPr>
                <w:sz w:val="20"/>
                <w:szCs w:val="20"/>
                <w:color w:val="auto"/>
              </w:rPr>
            </w:pPr>
            <w:r>
              <w:rPr>
                <w:rFonts w:ascii="Arial" w:cs="Arial" w:eastAsia="Arial" w:hAnsi="Arial"/>
                <w:sz w:val="13"/>
                <w:szCs w:val="13"/>
                <w:b w:val="1"/>
                <w:bCs w:val="1"/>
                <w:color w:val="auto"/>
                <w:w w:val="92"/>
              </w:rPr>
              <w:t>Noncontrolling</w:t>
            </w:r>
          </w:p>
        </w:tc>
        <w:tc>
          <w:tcPr>
            <w:tcW w:w="1120" w:type="dxa"/>
            <w:vAlign w:val="bottom"/>
            <w:gridSpan w:val="5"/>
          </w:tcPr>
          <w:p>
            <w:pPr>
              <w:ind w:left="20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jc w:val="right"/>
              <w:ind w:right="120"/>
              <w:spacing w:after="0" w:line="141" w:lineRule="exact"/>
              <w:rPr>
                <w:sz w:val="20"/>
                <w:szCs w:val="20"/>
                <w:color w:val="auto"/>
              </w:rPr>
            </w:pPr>
            <w:r>
              <w:rPr>
                <w:rFonts w:ascii="Arial" w:cs="Arial" w:eastAsia="Arial" w:hAnsi="Arial"/>
                <w:sz w:val="13"/>
                <w:szCs w:val="13"/>
                <w:b w:val="1"/>
                <w:bCs w:val="1"/>
                <w:color w:val="auto"/>
                <w:w w:val="73"/>
              </w:rPr>
              <w:t>Shares</w:t>
            </w:r>
          </w:p>
        </w:tc>
        <w:tc>
          <w:tcPr>
            <w:tcW w:w="240" w:type="dxa"/>
            <w:vAlign w:val="bottom"/>
          </w:tcPr>
          <w:p>
            <w:pPr>
              <w:spacing w:after="0"/>
              <w:rPr>
                <w:sz w:val="12"/>
                <w:szCs w:val="12"/>
                <w:color w:val="auto"/>
              </w:rPr>
            </w:pPr>
          </w:p>
        </w:tc>
        <w:tc>
          <w:tcPr>
            <w:tcW w:w="720" w:type="dxa"/>
            <w:vAlign w:val="bottom"/>
            <w:gridSpan w:val="4"/>
          </w:tcPr>
          <w:p>
            <w:pPr>
              <w:spacing w:after="0" w:line="141" w:lineRule="exact"/>
              <w:rPr>
                <w:sz w:val="20"/>
                <w:szCs w:val="20"/>
                <w:color w:val="auto"/>
              </w:rPr>
            </w:pPr>
            <w:r>
              <w:rPr>
                <w:rFonts w:ascii="Arial" w:cs="Arial" w:eastAsia="Arial" w:hAnsi="Arial"/>
                <w:sz w:val="13"/>
                <w:szCs w:val="13"/>
                <w:b w:val="1"/>
                <w:bCs w:val="1"/>
                <w:color w:val="auto"/>
              </w:rPr>
              <w:t>Amount</w:t>
            </w:r>
          </w:p>
        </w:tc>
        <w:tc>
          <w:tcPr>
            <w:tcW w:w="680" w:type="dxa"/>
            <w:vAlign w:val="bottom"/>
            <w:gridSpan w:val="3"/>
          </w:tcPr>
          <w:p>
            <w:pPr>
              <w:jc w:val="center"/>
              <w:ind w:right="160"/>
              <w:spacing w:after="0" w:line="141" w:lineRule="exact"/>
              <w:rPr>
                <w:sz w:val="20"/>
                <w:szCs w:val="20"/>
                <w:color w:val="auto"/>
              </w:rPr>
            </w:pPr>
            <w:r>
              <w:rPr>
                <w:rFonts w:ascii="Arial" w:cs="Arial" w:eastAsia="Arial" w:hAnsi="Arial"/>
                <w:sz w:val="13"/>
                <w:szCs w:val="13"/>
                <w:b w:val="1"/>
                <w:bCs w:val="1"/>
                <w:color w:val="auto"/>
                <w:w w:val="91"/>
              </w:rPr>
              <w:t>par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4"/>
          </w:tcPr>
          <w:p>
            <w:pPr>
              <w:jc w:val="right"/>
              <w:ind w:right="500"/>
              <w:spacing w:after="0" w:line="141" w:lineRule="exact"/>
              <w:rPr>
                <w:sz w:val="20"/>
                <w:szCs w:val="20"/>
                <w:color w:val="auto"/>
              </w:rPr>
            </w:pPr>
            <w:r>
              <w:rPr>
                <w:rFonts w:ascii="Arial" w:cs="Arial" w:eastAsia="Arial" w:hAnsi="Arial"/>
                <w:sz w:val="13"/>
                <w:szCs w:val="13"/>
                <w:b w:val="1"/>
                <w:bCs w:val="1"/>
                <w:color w:val="auto"/>
                <w:w w:val="72"/>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620"/>
              <w:spacing w:after="0" w:line="141" w:lineRule="exact"/>
              <w:rPr>
                <w:sz w:val="20"/>
                <w:szCs w:val="20"/>
                <w:color w:val="auto"/>
              </w:rPr>
            </w:pPr>
            <w:r>
              <w:rPr>
                <w:rFonts w:ascii="Arial" w:cs="Arial" w:eastAsia="Arial" w:hAnsi="Arial"/>
                <w:sz w:val="13"/>
                <w:szCs w:val="13"/>
                <w:b w:val="1"/>
                <w:bCs w:val="1"/>
                <w:color w:val="auto"/>
                <w:w w:val="72"/>
              </w:rPr>
              <w:t>Loss</w:t>
            </w:r>
          </w:p>
        </w:tc>
        <w:tc>
          <w:tcPr>
            <w:tcW w:w="680" w:type="dxa"/>
            <w:vAlign w:val="bottom"/>
            <w:gridSpan w:val="3"/>
          </w:tcPr>
          <w:p>
            <w:pPr>
              <w:jc w:val="right"/>
              <w:ind w:right="300"/>
              <w:spacing w:after="0" w:line="141"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gridSpan w:val="4"/>
          </w:tcPr>
          <w:p>
            <w:pPr>
              <w:jc w:val="right"/>
              <w:ind w:right="180"/>
              <w:spacing w:after="0" w:line="141"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53"/>
              <w:spacing w:after="0" w:line="141"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20"/>
              <w:spacing w:after="0" w:line="14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2019</w:t>
            </w: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35,275</w:t>
            </w:r>
          </w:p>
        </w:tc>
        <w:tc>
          <w:tcPr>
            <w:tcW w:w="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60" w:type="dxa"/>
            <w:vAlign w:val="bottom"/>
            <w:tcBorders>
              <w:lef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$ 253,869</w:t>
            </w:r>
          </w:p>
        </w:tc>
        <w:tc>
          <w:tcPr>
            <w:tcW w:w="4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tcBorders>
              <w:right w:val="single" w:sz="8" w:color="CFF0FC"/>
            </w:tcBorders>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(46,344)</w:t>
            </w:r>
          </w:p>
        </w:tc>
        <w:tc>
          <w:tcPr>
            <w:tcW w:w="160" w:type="dxa"/>
            <w:vAlign w:val="bottom"/>
            <w:shd w:val="clear" w:color="auto" w:fill="CFF0FC"/>
          </w:tcPr>
          <w:p>
            <w:pPr>
              <w:jc w:val="right"/>
              <w:ind w:right="68"/>
              <w:spacing w:after="0"/>
              <w:rPr>
                <w:sz w:val="20"/>
                <w:szCs w:val="20"/>
                <w:color w:val="auto"/>
              </w:rPr>
            </w:pPr>
            <w:r>
              <w:rPr>
                <w:rFonts w:ascii="Arial" w:cs="Arial" w:eastAsia="Arial" w:hAnsi="Arial"/>
                <w:sz w:val="4"/>
                <w:szCs w:val="4"/>
                <w:color w:val="auto"/>
                <w:w w:val="87"/>
              </w:rPr>
              <w:t>$</w:t>
            </w:r>
          </w:p>
        </w:tc>
        <w:tc>
          <w:tcPr>
            <w:tcW w:w="1000" w:type="dxa"/>
            <w:vAlign w:val="bottom"/>
            <w:tcBorders>
              <w:right w:val="single" w:sz="8" w:color="CFF0FC"/>
            </w:tcBorders>
            <w:gridSpan w:val="5"/>
            <w:shd w:val="clear" w:color="auto" w:fill="CFF0FC"/>
          </w:tcPr>
          <w:p>
            <w:pPr>
              <w:jc w:val="right"/>
              <w:ind w:right="240"/>
              <w:spacing w:after="0"/>
              <w:rPr>
                <w:sz w:val="20"/>
                <w:szCs w:val="20"/>
                <w:color w:val="auto"/>
              </w:rPr>
            </w:pPr>
            <w:r>
              <w:rPr>
                <w:rFonts w:ascii="Arial" w:cs="Arial" w:eastAsia="Arial" w:hAnsi="Arial"/>
                <w:sz w:val="13"/>
                <w:szCs w:val="13"/>
                <w:color w:val="auto"/>
              </w:rPr>
              <w:t>(14,505)</w:t>
            </w:r>
          </w:p>
        </w:tc>
        <w:tc>
          <w:tcPr>
            <w:tcW w:w="6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160" w:type="dxa"/>
            <w:vAlign w:val="bottom"/>
            <w:gridSpan w:val="2"/>
            <w:shd w:val="clear" w:color="auto" w:fill="CFF0FC"/>
          </w:tcPr>
          <w:p>
            <w:pPr>
              <w:jc w:val="right"/>
              <w:ind w:right="3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(356)</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193,017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3"/>
                <w:szCs w:val="13"/>
                <w:color w:val="auto"/>
              </w:rPr>
              <w:t>Net income for the three-months ended March 31, 2020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3,412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Restricted stock units issued</w:t>
            </w:r>
          </w:p>
        </w:tc>
        <w:tc>
          <w:tcPr>
            <w:tcW w:w="540" w:type="dxa"/>
            <w:vAlign w:val="bottom"/>
            <w:tcBorders>
              <w:lef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(153)</w:t>
            </w: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tcBorders>
              <w:left w:val="single" w:sz="8" w:color="CFF0FC"/>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3"/>
                <w:szCs w:val="13"/>
                <w:color w:val="auto"/>
              </w:rPr>
              <w:t>Share based compensation earned</w:t>
            </w:r>
          </w:p>
        </w:tc>
        <w:tc>
          <w:tcPr>
            <w:tcW w:w="120" w:type="dxa"/>
            <w:vAlign w:val="bottom"/>
          </w:tcPr>
          <w:p>
            <w:pPr>
              <w:spacing w:after="0"/>
              <w:rPr>
                <w:sz w:val="14"/>
                <w:szCs w:val="1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597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Translation loss</w:t>
            </w: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tcBorders>
              <w:right w:val="single" w:sz="8" w:color="CFF0FC"/>
            </w:tcBorders>
            <w:gridSpan w:val="5"/>
            <w:shd w:val="clear" w:color="auto" w:fill="CFF0FC"/>
          </w:tcPr>
          <w:p>
            <w:pPr>
              <w:jc w:val="right"/>
              <w:ind w:right="240"/>
              <w:spacing w:after="0"/>
              <w:rPr>
                <w:sz w:val="20"/>
                <w:szCs w:val="20"/>
                <w:color w:val="auto"/>
              </w:rPr>
            </w:pPr>
            <w:r>
              <w:rPr>
                <w:rFonts w:ascii="Arial" w:cs="Arial" w:eastAsia="Arial" w:hAnsi="Arial"/>
                <w:sz w:val="13"/>
                <w:szCs w:val="13"/>
                <w:color w:val="auto"/>
              </w:rPr>
              <w:t>(2,268)</w:t>
            </w:r>
          </w:p>
        </w:tc>
        <w:tc>
          <w:tcPr>
            <w:tcW w:w="3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3"/>
                <w:szCs w:val="13"/>
                <w:color w:val="auto"/>
              </w:rPr>
              <w:t>Balance March 31, 2020</w:t>
            </w: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60" w:type="dxa"/>
            <w:vAlign w:val="bottom"/>
            <w:vMerge w:val="continue"/>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35,338</w:t>
            </w:r>
          </w:p>
        </w:tc>
        <w:tc>
          <w:tcPr>
            <w:tcW w:w="40" w:type="dxa"/>
            <w:vAlign w:val="bottom"/>
          </w:tcPr>
          <w:p>
            <w:pPr>
              <w:spacing w:after="0"/>
              <w:rPr>
                <w:sz w:val="13"/>
                <w:szCs w:val="13"/>
                <w:color w:val="auto"/>
              </w:rPr>
            </w:pPr>
          </w:p>
        </w:tc>
        <w:tc>
          <w:tcPr>
            <w:tcW w:w="40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354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$ 254,313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(42,932)</w:t>
            </w:r>
          </w:p>
        </w:tc>
        <w:tc>
          <w:tcPr>
            <w:tcW w:w="160" w:type="dxa"/>
            <w:vAlign w:val="bottom"/>
          </w:tcPr>
          <w:p>
            <w:pPr>
              <w:jc w:val="right"/>
              <w:ind w:right="68"/>
              <w:spacing w:after="0"/>
              <w:rPr>
                <w:sz w:val="20"/>
                <w:szCs w:val="20"/>
                <w:color w:val="auto"/>
              </w:rPr>
            </w:pPr>
            <w:r>
              <w:rPr>
                <w:rFonts w:ascii="Arial" w:cs="Arial" w:eastAsia="Arial" w:hAnsi="Arial"/>
                <w:sz w:val="4"/>
                <w:szCs w:val="4"/>
                <w:color w:val="auto"/>
                <w:w w:val="87"/>
              </w:rPr>
              <w:t>$</w:t>
            </w:r>
          </w:p>
        </w:tc>
        <w:tc>
          <w:tcPr>
            <w:tcW w:w="1000" w:type="dxa"/>
            <w:vAlign w:val="bottom"/>
            <w:gridSpan w:val="5"/>
          </w:tcPr>
          <w:p>
            <w:pPr>
              <w:jc w:val="right"/>
              <w:ind w:right="240"/>
              <w:spacing w:after="0"/>
              <w:rPr>
                <w:sz w:val="20"/>
                <w:szCs w:val="20"/>
                <w:color w:val="auto"/>
              </w:rPr>
            </w:pPr>
            <w:r>
              <w:rPr>
                <w:rFonts w:ascii="Arial" w:cs="Arial" w:eastAsia="Arial" w:hAnsi="Arial"/>
                <w:sz w:val="13"/>
                <w:szCs w:val="13"/>
                <w:color w:val="auto"/>
              </w:rPr>
              <w:t>(16,773)</w:t>
            </w: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(138)</w:t>
            </w:r>
          </w:p>
        </w:tc>
        <w:tc>
          <w:tcPr>
            <w:tcW w:w="16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(356)</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194,606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86"/>
              </w:rPr>
              <w:t>in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tcPr>
          <w:p>
            <w:pPr>
              <w:jc w:val="center"/>
              <w:ind w:right="420"/>
              <w:spacing w:after="0" w:line="148" w:lineRule="exact"/>
              <w:rPr>
                <w:sz w:val="20"/>
                <w:szCs w:val="20"/>
                <w:color w:val="auto"/>
              </w:rPr>
            </w:pPr>
            <w:r>
              <w:rPr>
                <w:rFonts w:ascii="Arial" w:cs="Arial" w:eastAsia="Arial" w:hAnsi="Arial"/>
                <w:sz w:val="13"/>
                <w:szCs w:val="13"/>
                <w:b w:val="1"/>
                <w:bCs w:val="1"/>
                <w:color w:val="auto"/>
                <w:w w:val="97"/>
              </w:rPr>
              <w:t>Other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excess of</w:t>
            </w:r>
          </w:p>
        </w:tc>
        <w:tc>
          <w:tcPr>
            <w:tcW w:w="100" w:type="dxa"/>
            <w:vAlign w:val="bottom"/>
          </w:tcPr>
          <w:p>
            <w:pPr>
              <w:spacing w:after="0"/>
              <w:rPr>
                <w:sz w:val="13"/>
                <w:szCs w:val="13"/>
                <w:color w:val="auto"/>
              </w:rPr>
            </w:pPr>
          </w:p>
        </w:tc>
        <w:tc>
          <w:tcPr>
            <w:tcW w:w="98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116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2"/>
              </w:rPr>
              <w:t>Comprehensive</w:t>
            </w:r>
          </w:p>
        </w:tc>
        <w:tc>
          <w:tcPr>
            <w:tcW w:w="116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3"/>
                <w:szCs w:val="13"/>
                <w:color w:val="auto"/>
              </w:rPr>
            </w:pPr>
          </w:p>
        </w:tc>
        <w:tc>
          <w:tcPr>
            <w:tcW w:w="960" w:type="dxa"/>
            <w:vAlign w:val="bottom"/>
            <w:gridSpan w:val="5"/>
          </w:tcPr>
          <w:p>
            <w:pPr>
              <w:ind w:left="80"/>
              <w:spacing w:after="0"/>
              <w:rPr>
                <w:sz w:val="20"/>
                <w:szCs w:val="20"/>
                <w:color w:val="auto"/>
              </w:rPr>
            </w:pPr>
            <w:r>
              <w:rPr>
                <w:rFonts w:ascii="Arial" w:cs="Arial" w:eastAsia="Arial" w:hAnsi="Arial"/>
                <w:sz w:val="13"/>
                <w:szCs w:val="13"/>
                <w:b w:val="1"/>
                <w:bCs w:val="1"/>
                <w:color w:val="auto"/>
                <w:w w:val="92"/>
              </w:rPr>
              <w:t>Noncontrolling</w:t>
            </w:r>
          </w:p>
        </w:tc>
        <w:tc>
          <w:tcPr>
            <w:tcW w:w="1120" w:type="dxa"/>
            <w:vAlign w:val="bottom"/>
            <w:gridSpan w:val="5"/>
          </w:tcPr>
          <w:p>
            <w:pPr>
              <w:ind w:left="20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jc w:val="right"/>
              <w:ind w:right="80"/>
              <w:spacing w:after="0" w:line="141"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2"/>
                <w:szCs w:val="12"/>
                <w:color w:val="auto"/>
              </w:rPr>
            </w:pPr>
          </w:p>
        </w:tc>
        <w:tc>
          <w:tcPr>
            <w:tcW w:w="720" w:type="dxa"/>
            <w:vAlign w:val="bottom"/>
            <w:gridSpan w:val="4"/>
          </w:tcPr>
          <w:p>
            <w:pPr>
              <w:spacing w:after="0" w:line="141" w:lineRule="exact"/>
              <w:rPr>
                <w:sz w:val="20"/>
                <w:szCs w:val="20"/>
                <w:color w:val="auto"/>
              </w:rPr>
            </w:pPr>
            <w:r>
              <w:rPr>
                <w:rFonts w:ascii="Arial" w:cs="Arial" w:eastAsia="Arial" w:hAnsi="Arial"/>
                <w:sz w:val="13"/>
                <w:szCs w:val="13"/>
                <w:b w:val="1"/>
                <w:bCs w:val="1"/>
                <w:color w:val="auto"/>
              </w:rPr>
              <w:t>Amount</w:t>
            </w:r>
          </w:p>
        </w:tc>
        <w:tc>
          <w:tcPr>
            <w:tcW w:w="68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w w:val="94"/>
              </w:rPr>
              <w:t>par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4"/>
          </w:tcPr>
          <w:p>
            <w:pPr>
              <w:jc w:val="right"/>
              <w:ind w:right="480"/>
              <w:spacing w:after="0" w:line="141" w:lineRule="exact"/>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580"/>
              <w:spacing w:after="0" w:line="141" w:lineRule="exact"/>
              <w:rPr>
                <w:sz w:val="20"/>
                <w:szCs w:val="20"/>
                <w:color w:val="auto"/>
              </w:rPr>
            </w:pPr>
            <w:r>
              <w:rPr>
                <w:rFonts w:ascii="Arial" w:cs="Arial" w:eastAsia="Arial" w:hAnsi="Arial"/>
                <w:sz w:val="13"/>
                <w:szCs w:val="13"/>
                <w:b w:val="1"/>
                <w:bCs w:val="1"/>
                <w:color w:val="auto"/>
                <w:w w:val="85"/>
              </w:rPr>
              <w:t>Loss</w:t>
            </w:r>
          </w:p>
        </w:tc>
        <w:tc>
          <w:tcPr>
            <w:tcW w:w="680" w:type="dxa"/>
            <w:vAlign w:val="bottom"/>
            <w:gridSpan w:val="3"/>
          </w:tcPr>
          <w:p>
            <w:pPr>
              <w:jc w:val="right"/>
              <w:ind w:right="280"/>
              <w:spacing w:after="0" w:line="141" w:lineRule="exact"/>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2"/>
                <w:szCs w:val="12"/>
                <w:color w:val="auto"/>
              </w:rPr>
            </w:pPr>
          </w:p>
        </w:tc>
        <w:tc>
          <w:tcPr>
            <w:tcW w:w="640" w:type="dxa"/>
            <w:vAlign w:val="bottom"/>
            <w:gridSpan w:val="3"/>
          </w:tcPr>
          <w:p>
            <w:pPr>
              <w:jc w:val="right"/>
              <w:ind w:right="180"/>
              <w:spacing w:after="0" w:line="141"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53"/>
              <w:spacing w:after="0" w:line="141"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20"/>
              <w:spacing w:after="0" w:line="14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2020</w:t>
            </w: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35,505</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220" w:type="dxa"/>
            <w:vAlign w:val="bottom"/>
            <w:tcBorders>
              <w:right w:val="single" w:sz="8" w:color="CFF0FC"/>
            </w:tcBorders>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89"/>
              </w:rPr>
              <w:t>$ 255,296</w:t>
            </w:r>
          </w:p>
        </w:tc>
        <w:tc>
          <w:tcPr>
            <w:tcW w:w="120" w:type="dxa"/>
            <w:vAlign w:val="bottom"/>
            <w:shd w:val="clear" w:color="auto" w:fill="CFF0FC"/>
          </w:tcPr>
          <w:p>
            <w:pPr>
              <w:spacing w:after="0"/>
              <w:rPr>
                <w:sz w:val="13"/>
                <w:szCs w:val="13"/>
                <w:color w:val="auto"/>
              </w:rPr>
            </w:pPr>
          </w:p>
        </w:tc>
        <w:tc>
          <w:tcPr>
            <w:tcW w:w="340" w:type="dxa"/>
            <w:vAlign w:val="bottom"/>
            <w:tcBorders>
              <w:right w:val="single" w:sz="8" w:color="CFF0FC"/>
            </w:tcBorders>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(38,141)</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FF0FC"/>
            </w:tcBorders>
            <w:gridSpan w:val="5"/>
            <w:shd w:val="clear" w:color="auto" w:fill="CFF0FC"/>
          </w:tcPr>
          <w:p>
            <w:pPr>
              <w:jc w:val="right"/>
              <w:ind w:right="220"/>
              <w:spacing w:after="0"/>
              <w:rPr>
                <w:sz w:val="20"/>
                <w:szCs w:val="20"/>
                <w:color w:val="auto"/>
              </w:rPr>
            </w:pPr>
            <w:r>
              <w:rPr>
                <w:rFonts w:ascii="Arial" w:cs="Arial" w:eastAsia="Arial" w:hAnsi="Arial"/>
                <w:sz w:val="13"/>
                <w:szCs w:val="13"/>
                <w:color w:val="auto"/>
              </w:rPr>
              <w:t>(14,496)</w:t>
            </w:r>
          </w:p>
        </w:tc>
        <w:tc>
          <w:tcPr>
            <w:tcW w:w="6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160" w:type="dxa"/>
            <w:vAlign w:val="bottom"/>
            <w:gridSpan w:val="2"/>
            <w:shd w:val="clear" w:color="auto" w:fill="CFF0FC"/>
          </w:tcPr>
          <w:p>
            <w:pPr>
              <w:jc w:val="right"/>
              <w:ind w:right="3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(356)</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953</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203,611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3"/>
                <w:szCs w:val="13"/>
                <w:color w:val="auto"/>
              </w:rPr>
              <w:t>Net income for the three-months ended March 31, 2021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1,181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Exercise of stock options</w:t>
            </w:r>
          </w:p>
        </w:tc>
        <w:tc>
          <w:tcPr>
            <w:tcW w:w="580" w:type="dxa"/>
            <w:vAlign w:val="bottom"/>
            <w:tcBorders>
              <w:left w:val="single" w:sz="8" w:color="CFF0FC"/>
            </w:tcBorders>
            <w:gridSpan w:val="4"/>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40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1"/>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580" w:type="dxa"/>
            <w:vAlign w:val="bottom"/>
            <w:tcBorders>
              <w:left w:val="single" w:sz="8" w:color="CFF0FC"/>
            </w:tcBorders>
            <w:gridSpan w:val="4"/>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807</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tcBorders>
              <w:left w:val="single" w:sz="8" w:color="CFF0FC"/>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Translation gain</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color w:val="auto"/>
              </w:rPr>
              <w:t>55</w:t>
            </w:r>
          </w:p>
        </w:tc>
        <w:tc>
          <w:tcPr>
            <w:tcW w:w="2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Balance March 31, 2021</w:t>
            </w:r>
          </w:p>
        </w:tc>
        <w:tc>
          <w:tcPr>
            <w:tcW w:w="580" w:type="dxa"/>
            <w:vAlign w:val="bottom"/>
            <w:tcBorders>
              <w:left w:val="single" w:sz="8" w:color="CFF0FC"/>
            </w:tcBorders>
            <w:gridSpan w:val="4"/>
            <w:shd w:val="clear" w:color="auto" w:fill="CFF0FC"/>
          </w:tcPr>
          <w:p>
            <w:pPr>
              <w:jc w:val="right"/>
              <w:spacing w:after="0"/>
              <w:rPr>
                <w:sz w:val="20"/>
                <w:szCs w:val="20"/>
                <w:color w:val="auto"/>
              </w:rPr>
            </w:pPr>
            <w:r>
              <w:rPr>
                <w:rFonts w:ascii="Arial" w:cs="Arial" w:eastAsia="Arial" w:hAnsi="Arial"/>
                <w:sz w:val="13"/>
                <w:szCs w:val="13"/>
                <w:color w:val="auto"/>
              </w:rPr>
              <w:t>35,568</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220" w:type="dxa"/>
            <w:vAlign w:val="bottom"/>
            <w:tcBorders>
              <w:right w:val="single" w:sz="8" w:color="CFF0FC"/>
            </w:tcBorders>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89"/>
              </w:rPr>
              <w:t>$ 255,982</w:t>
            </w:r>
          </w:p>
        </w:tc>
        <w:tc>
          <w:tcPr>
            <w:tcW w:w="120" w:type="dxa"/>
            <w:vAlign w:val="bottom"/>
            <w:shd w:val="clear" w:color="auto" w:fill="CFF0FC"/>
          </w:tcPr>
          <w:p>
            <w:pPr>
              <w:spacing w:after="0"/>
              <w:rPr>
                <w:sz w:val="13"/>
                <w:szCs w:val="13"/>
                <w:color w:val="auto"/>
              </w:rPr>
            </w:pPr>
          </w:p>
        </w:tc>
        <w:tc>
          <w:tcPr>
            <w:tcW w:w="340" w:type="dxa"/>
            <w:vAlign w:val="bottom"/>
            <w:tcBorders>
              <w:right w:val="single" w:sz="8" w:color="CFF0FC"/>
            </w:tcBorders>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(36,960)</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FF0FC"/>
            </w:tcBorders>
            <w:gridSpan w:val="5"/>
            <w:shd w:val="clear" w:color="auto" w:fill="CFF0FC"/>
          </w:tcPr>
          <w:p>
            <w:pPr>
              <w:jc w:val="right"/>
              <w:ind w:right="220"/>
              <w:spacing w:after="0"/>
              <w:rPr>
                <w:sz w:val="20"/>
                <w:szCs w:val="20"/>
                <w:color w:val="auto"/>
              </w:rPr>
            </w:pPr>
            <w:r>
              <w:rPr>
                <w:rFonts w:ascii="Arial" w:cs="Arial" w:eastAsia="Arial" w:hAnsi="Arial"/>
                <w:sz w:val="13"/>
                <w:szCs w:val="13"/>
                <w:color w:val="auto"/>
              </w:rPr>
              <w:t>(14,441)</w:t>
            </w:r>
          </w:p>
        </w:tc>
        <w:tc>
          <w:tcPr>
            <w:tcW w:w="6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160" w:type="dxa"/>
            <w:vAlign w:val="bottom"/>
            <w:gridSpan w:val="2"/>
            <w:shd w:val="clear" w:color="auto" w:fill="CFF0FC"/>
          </w:tcPr>
          <w:p>
            <w:pPr>
              <w:jc w:val="right"/>
              <w:ind w:right="3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(356)</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1,070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205,651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(dollars in thousands)</w:t>
            </w:r>
          </w:p>
        </w:tc>
        <w:tc>
          <w:tcPr>
            <w:tcW w:w="64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1,298</w:t>
            </w:r>
          </w:p>
        </w:tc>
        <w:tc>
          <w:tcPr>
            <w:tcW w:w="26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provided by (used in) operating activities: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(gain) loss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500"/>
              <w:spacing w:after="0"/>
              <w:rPr>
                <w:sz w:val="20"/>
                <w:szCs w:val="20"/>
                <w:color w:val="auto"/>
              </w:rPr>
            </w:pPr>
            <w:r>
              <w:rPr>
                <w:rFonts w:ascii="Arial" w:cs="Arial" w:eastAsia="Arial" w:hAnsi="Arial"/>
                <w:sz w:val="16"/>
                <w:szCs w:val="16"/>
                <w:color w:val="auto"/>
              </w:rPr>
              <w:t>Gain on sale of property and equipment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(66)</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Debt discount amortization</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Bad debt (recoveries) expense</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500"/>
              <w:spacing w:after="0"/>
              <w:rPr>
                <w:sz w:val="20"/>
                <w:szCs w:val="20"/>
                <w:color w:val="auto"/>
              </w:rPr>
            </w:pPr>
            <w:r>
              <w:rPr>
                <w:rFonts w:ascii="Arial" w:cs="Arial" w:eastAsia="Arial" w:hAnsi="Arial"/>
                <w:sz w:val="16"/>
                <w:szCs w:val="16"/>
                <w:color w:val="auto"/>
              </w:rPr>
              <w:t>Inventory reserve expense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(3,493)</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(5,927)</w:t>
            </w: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Deferred charges and other assets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(3,564)</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(499)</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Other liabilities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(55)</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1"/>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9,908</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(492)</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2"/>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6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by investing activities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revolving credit lines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Repayments on revolving credit lines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(11,900)</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(625)</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2"/>
        </w:trPr>
        <w:tc>
          <w:tcPr>
            <w:tcW w:w="6680" w:type="dxa"/>
            <w:vAlign w:val="bottom"/>
          </w:tcPr>
          <w:p>
            <w:pPr>
              <w:ind w:left="260"/>
              <w:spacing w:after="0"/>
              <w:rPr>
                <w:sz w:val="20"/>
                <w:szCs w:val="20"/>
                <w:color w:val="auto"/>
              </w:rPr>
            </w:pPr>
            <w:r>
              <w:rPr>
                <w:rFonts w:ascii="Arial" w:cs="Arial" w:eastAsia="Arial" w:hAnsi="Arial"/>
                <w:sz w:val="16"/>
                <w:szCs w:val="16"/>
                <w:color w:val="auto"/>
              </w:rPr>
              <w:t>Payments on finance leases and financing liability</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(135)</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Earnout Payments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(823)</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6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(4,155)</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(356)</w:t>
            </w:r>
          </w:p>
        </w:tc>
        <w:tc>
          <w:tcPr>
            <w:tcW w:w="42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1"/>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6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5,439</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47,148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6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37,811</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43,250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Cash paid (received) during the period for:</w:t>
            </w:r>
          </w:p>
        </w:tc>
        <w:tc>
          <w:tcPr>
            <w:tcW w:w="6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80" w:type="dxa"/>
            <w:vAlign w:val="bottom"/>
            <w:tcBorders>
              <w:bottom w:val="single" w:sz="8" w:color="CFF0FC"/>
            </w:tcBorders>
            <w:vMerge w:val="continue"/>
          </w:tcPr>
          <w:p>
            <w:pPr>
              <w:spacing w:after="0"/>
              <w:rPr>
                <w:sz w:val="16"/>
                <w:szCs w:val="16"/>
                <w:color w:val="auto"/>
              </w:rPr>
            </w:pPr>
          </w:p>
        </w:tc>
        <w:tc>
          <w:tcPr>
            <w:tcW w:w="64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Income taxes</w:t>
            </w:r>
          </w:p>
        </w:tc>
        <w:tc>
          <w:tcPr>
            <w:tcW w:w="6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80" w:type="dxa"/>
            <w:vAlign w:val="bottom"/>
            <w:vMerge w:val="continue"/>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(3,717)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ind w:right="-12"/>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ind w:right="-12"/>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8" w:lineRule="exact"/>
        <w:rPr>
          <w:sz w:val="20"/>
          <w:szCs w:val="20"/>
          <w:color w:val="auto"/>
        </w:rPr>
      </w:pPr>
    </w:p>
    <w:p>
      <w:pPr>
        <w:jc w:val="center"/>
        <w:ind w:right="-12"/>
        <w:spacing w:after="0"/>
        <w:rPr>
          <w:sz w:val="20"/>
          <w:szCs w:val="20"/>
          <w:color w:val="auto"/>
        </w:rPr>
      </w:pPr>
      <w:r>
        <w:rPr>
          <w:rFonts w:ascii="Arial" w:cs="Arial" w:eastAsia="Arial" w:hAnsi="Arial"/>
          <w:sz w:val="18"/>
          <w:szCs w:val="18"/>
          <w:u w:val="single" w:color="auto"/>
          <w:color w:val="auto"/>
        </w:rPr>
        <w:t>(unaudited)</w:t>
      </w:r>
    </w:p>
    <w:p>
      <w:pPr>
        <w:spacing w:after="0" w:line="231" w:lineRule="exact"/>
        <w:rPr>
          <w:sz w:val="20"/>
          <w:szCs w:val="20"/>
          <w:color w:val="auto"/>
        </w:rPr>
      </w:pPr>
    </w:p>
    <w:p>
      <w:pPr>
        <w:ind w:left="513" w:hanging="513"/>
        <w:spacing w:after="0"/>
        <w:tabs>
          <w:tab w:leader="none" w:pos="51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6" w:lineRule="exact"/>
        <w:rPr>
          <w:rFonts w:ascii="Arial" w:cs="Arial" w:eastAsia="Arial" w:hAnsi="Arial"/>
          <w:sz w:val="18"/>
          <w:szCs w:val="18"/>
          <w:b w:val="1"/>
          <w:bCs w:val="1"/>
          <w:color w:val="auto"/>
        </w:rPr>
      </w:pPr>
    </w:p>
    <w:p>
      <w:pPr>
        <w:ind w:left="513"/>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audited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2021 and the results of operations, cash flows and shareholders’ equity for the three-month periods ended March 31, 2021 and 2020. The results of operations for the three-month period ended March 31, 2021 are not necessarily indicative of the results to be expected for the full year. The balance sheet as of December 31, 2020 has been derived from the audited consolidated financial statements included in the Company’s Annual Report on Form 10-K for the year ended December 31, 2020 as filed with the SEC on March 3, 2021 (the “Form 10-K”).</w:t>
      </w:r>
    </w:p>
    <w:p>
      <w:pPr>
        <w:spacing w:after="0" w:line="169" w:lineRule="exact"/>
        <w:rPr>
          <w:rFonts w:ascii="Arial" w:cs="Arial" w:eastAsia="Arial" w:hAnsi="Arial"/>
          <w:sz w:val="18"/>
          <w:szCs w:val="18"/>
          <w:b w:val="1"/>
          <w:bCs w:val="1"/>
          <w:color w:val="auto"/>
        </w:rPr>
      </w:pPr>
    </w:p>
    <w:p>
      <w:pPr>
        <w:ind w:left="513" w:right="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rFonts w:ascii="Arial" w:cs="Arial" w:eastAsia="Arial" w:hAnsi="Arial"/>
          <w:sz w:val="18"/>
          <w:szCs w:val="18"/>
          <w:b w:val="1"/>
          <w:bCs w:val="1"/>
          <w:color w:val="auto"/>
        </w:rPr>
      </w:pPr>
    </w:p>
    <w:p>
      <w:pPr>
        <w:ind w:left="513" w:right="6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Form 10-K.</w:t>
      </w:r>
    </w:p>
    <w:p>
      <w:pPr>
        <w:spacing w:after="0" w:line="170" w:lineRule="exact"/>
        <w:rPr>
          <w:rFonts w:ascii="Arial" w:cs="Arial" w:eastAsia="Arial" w:hAnsi="Arial"/>
          <w:sz w:val="18"/>
          <w:szCs w:val="18"/>
          <w:b w:val="1"/>
          <w:bCs w:val="1"/>
          <w:color w:val="auto"/>
        </w:rPr>
      </w:pPr>
    </w:p>
    <w:p>
      <w:pPr>
        <w:ind w:left="513" w:right="372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 xml:space="preserve">Unless otherwise indicated, all balances within tables are in thousands, except per share amounts. </w:t>
      </w:r>
      <w:r>
        <w:rPr>
          <w:rFonts w:ascii="Arial" w:cs="Arial" w:eastAsia="Arial" w:hAnsi="Arial"/>
          <w:sz w:val="18"/>
          <w:szCs w:val="18"/>
          <w:i w:val="1"/>
          <w:iCs w:val="1"/>
          <w:color w:val="auto"/>
        </w:rPr>
        <w:t>COVID-19</w:t>
      </w:r>
    </w:p>
    <w:p>
      <w:pPr>
        <w:jc w:val="both"/>
        <w:ind w:left="513" w:right="6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A novel strain of coronavirus (“COVID-19”) surfaced in late 2019 and has spread around the world, including to the United States. In March 2020, the World Health Organization characterized COVID-19 as a pandemic. As of April 30, 2021, the virus continues to spread and has had a significant impact on worldwide economic activity and on macroeconomic conditions and the end markets of our business.</w:t>
      </w:r>
    </w:p>
    <w:p>
      <w:pPr>
        <w:spacing w:after="0" w:line="166" w:lineRule="exact"/>
        <w:rPr>
          <w:rFonts w:ascii="Arial" w:cs="Arial" w:eastAsia="Arial" w:hAnsi="Arial"/>
          <w:sz w:val="18"/>
          <w:szCs w:val="18"/>
          <w:b w:val="1"/>
          <w:bCs w:val="1"/>
          <w:color w:val="auto"/>
        </w:rPr>
      </w:pPr>
    </w:p>
    <w:p>
      <w:pPr>
        <w:ind w:left="513"/>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outbreak and a continued spread of COVID-19 has resulted in a substantial curtailment of business activities worldwide and has caused weakened economic conditions, both in the United States and abroad. It also remains unclear how various national, state, and local governments will react if the distribution of vaccines is slower than expected or new variants of the virus become more dominant. COVID-19 has had, and may continue to have, a negative impact on the Company's ongoing operations and the end markets in which it serves. However, the full impact of the COVID-19 pandemic continues to evolve as of the date of this filing, and as such, it is uncertain as to the full magnitude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39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3"/>
          </w:cols>
          <w:pgMar w:left="327" w:top="340" w:right="359" w:bottom="1440" w:gutter="0" w:footer="0" w:header="0"/>
        </w:sectPr>
      </w:pPr>
    </w:p>
    <w:bookmarkStart w:id="8" w:name="page9"/>
    <w:bookmarkEnd w:id="8"/>
    <w:p>
      <w:pPr>
        <w:ind w:left="520" w:right="7260" w:hanging="513"/>
        <w:spacing w:after="0" w:line="563" w:lineRule="auto"/>
        <w:tabs>
          <w:tab w:leader="none" w:pos="52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2021</w:t>
      </w:r>
    </w:p>
    <w:p>
      <w:pPr>
        <w:ind w:left="520"/>
        <w:spacing w:after="0" w:line="258" w:lineRule="auto"/>
        <w:rPr>
          <w:rFonts w:ascii="Arial" w:cs="Arial" w:eastAsia="Arial" w:hAnsi="Arial"/>
          <w:sz w:val="16"/>
          <w:szCs w:val="16"/>
          <w:b w:val="1"/>
          <w:bCs w:val="1"/>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and did not a material impact on our financial statements.</w:t>
      </w:r>
    </w:p>
    <w:p>
      <w:pPr>
        <w:spacing w:after="0" w:line="180" w:lineRule="exact"/>
        <w:rPr>
          <w:rFonts w:ascii="Arial" w:cs="Arial" w:eastAsia="Arial" w:hAnsi="Arial"/>
          <w:sz w:val="16"/>
          <w:szCs w:val="16"/>
          <w:b w:val="1"/>
          <w:bCs w:val="1"/>
          <w:color w:val="auto"/>
        </w:rPr>
      </w:pPr>
    </w:p>
    <w:p>
      <w:pPr>
        <w:ind w:left="520" w:right="7600"/>
        <w:spacing w:after="0" w:line="529"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Accounting Standards Yet to be Adopted </w:t>
      </w:r>
      <w:r>
        <w:rPr>
          <w:rFonts w:ascii="Arial" w:cs="Arial" w:eastAsia="Arial" w:hAnsi="Arial"/>
          <w:sz w:val="18"/>
          <w:szCs w:val="18"/>
          <w:color w:val="auto"/>
        </w:rPr>
        <w:t>None.</w:t>
      </w:r>
    </w:p>
    <w:p>
      <w:pPr>
        <w:spacing w:after="0" w:line="135" w:lineRule="exact"/>
        <w:rPr>
          <w:rFonts w:ascii="Arial" w:cs="Arial" w:eastAsia="Arial" w:hAnsi="Arial"/>
          <w:sz w:val="16"/>
          <w:szCs w:val="16"/>
          <w:b w:val="1"/>
          <w:bCs w:val="1"/>
          <w:color w:val="auto"/>
        </w:rPr>
      </w:pPr>
    </w:p>
    <w:p>
      <w:pPr>
        <w:ind w:left="360" w:hanging="353"/>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r>
      <w:tr>
        <w:trPr>
          <w:trHeight w:val="222"/>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8,721</w:t>
            </w:r>
          </w:p>
        </w:tc>
        <w:tc>
          <w:tcPr>
            <w:tcW w:w="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(2,876)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(3,110)</w:t>
            </w:r>
          </w:p>
        </w:tc>
      </w:tr>
      <w:tr>
        <w:trPr>
          <w:trHeight w:val="222"/>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66,468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520" w:right="240"/>
        <w:spacing w:after="0" w:line="262"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$1.5 million at March 31, 2021 and December 31, 2020, respectively. Retainage receivables on contracts in progress are generally collected within a year after contract completion.</w:t>
      </w:r>
    </w:p>
    <w:p>
      <w:pPr>
        <w:spacing w:after="0" w:line="182" w:lineRule="exact"/>
        <w:rPr>
          <w:sz w:val="20"/>
          <w:szCs w:val="20"/>
          <w:color w:val="auto"/>
        </w:rPr>
      </w:pPr>
    </w:p>
    <w:p>
      <w:pPr>
        <w:ind w:left="520" w:right="600"/>
        <w:spacing w:after="0" w:line="275" w:lineRule="auto"/>
        <w:rPr>
          <w:sz w:val="20"/>
          <w:szCs w:val="20"/>
          <w:color w:val="auto"/>
        </w:rPr>
      </w:pPr>
      <w:r>
        <w:rPr>
          <w:rFonts w:ascii="Arial" w:cs="Arial" w:eastAsia="Arial" w:hAnsi="Arial"/>
          <w:sz w:val="18"/>
          <w:szCs w:val="18"/>
          <w:color w:val="auto"/>
        </w:rPr>
        <w:t>The Company had net recoveries of bad debts of approximately $41,000 for the three-months ended March 31, 2021 compared with bad debt expense of approximately $46,000 for the three-months ended March 31, 2020.</w:t>
      </w:r>
    </w:p>
    <w:p>
      <w:pPr>
        <w:spacing w:after="0" w:line="153" w:lineRule="exact"/>
        <w:rPr>
          <w:sz w:val="20"/>
          <w:szCs w:val="20"/>
          <w:color w:val="auto"/>
        </w:rPr>
      </w:pPr>
    </w:p>
    <w:p>
      <w:pPr>
        <w:ind w:left="500" w:hanging="493"/>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0" w:lineRule="exact"/>
        <w:rPr>
          <w:sz w:val="20"/>
          <w:szCs w:val="20"/>
          <w:color w:val="auto"/>
        </w:rPr>
      </w:pPr>
    </w:p>
    <w:p>
      <w:pPr>
        <w:spacing w:after="0" w:line="247"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22"/>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Obsolescence allowance</w:t>
            </w:r>
          </w:p>
        </w:tc>
        <w:tc>
          <w:tcPr>
            <w:tcW w:w="2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(3,009)</w:t>
            </w:r>
          </w:p>
        </w:tc>
      </w:tr>
      <w:tr>
        <w:trPr>
          <w:trHeight w:val="222"/>
        </w:trPr>
        <w:tc>
          <w:tcPr>
            <w:tcW w:w="2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8" w:lineRule="exact"/>
        <w:rPr>
          <w:sz w:val="20"/>
          <w:szCs w:val="20"/>
          <w:color w:val="auto"/>
        </w:rPr>
      </w:pPr>
    </w:p>
    <w:p>
      <w:pPr>
        <w:ind w:left="520" w:right="240"/>
        <w:spacing w:after="0" w:line="275"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$0.1 million for the three-months ended March 31, 2021 and 2020.</w:t>
      </w:r>
    </w:p>
    <w:p>
      <w:pPr>
        <w:spacing w:after="0" w:line="153" w:lineRule="exact"/>
        <w:rPr>
          <w:sz w:val="20"/>
          <w:szCs w:val="20"/>
          <w:color w:val="auto"/>
        </w:rPr>
      </w:pPr>
    </w:p>
    <w:p>
      <w:pPr>
        <w:ind w:left="500" w:hanging="493"/>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gridSpan w:val="2"/>
          </w:tcPr>
          <w:p>
            <w:pPr>
              <w:ind w:left="560"/>
              <w:spacing w:after="0"/>
              <w:rPr>
                <w:sz w:val="20"/>
                <w:szCs w:val="20"/>
                <w:color w:val="auto"/>
              </w:rPr>
            </w:pPr>
            <w:r>
              <w:rPr>
                <w:rFonts w:ascii="Arial" w:cs="Arial" w:eastAsia="Arial" w:hAnsi="Arial"/>
                <w:sz w:val="14"/>
                <w:szCs w:val="14"/>
                <w:b w:val="1"/>
                <w:bCs w:val="1"/>
                <w:color w:val="auto"/>
              </w:rPr>
              <w:t>(table only in thousands)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 March 31, 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Year ended December 31, 2020</w:t>
            </w:r>
          </w:p>
        </w:tc>
        <w:tc>
          <w:tcPr>
            <w:tcW w:w="560" w:type="dxa"/>
            <w:vAlign w:val="bottom"/>
          </w:tcPr>
          <w:p>
            <w:pPr>
              <w:spacing w:after="0"/>
              <w:rPr>
                <w:sz w:val="14"/>
                <w:szCs w:val="14"/>
                <w:color w:val="auto"/>
              </w:rPr>
            </w:pPr>
          </w:p>
        </w:tc>
      </w:tr>
      <w:tr>
        <w:trPr>
          <w:trHeight w:val="155"/>
        </w:trPr>
        <w:tc>
          <w:tcPr>
            <w:tcW w:w="410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Goodwill / Tradename</w:t>
            </w:r>
          </w:p>
        </w:tc>
        <w:tc>
          <w:tcPr>
            <w:tcW w:w="1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Goodwill</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Goodwill</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Tradename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2"/>
        </w:trPr>
        <w:tc>
          <w:tcPr>
            <w:tcW w:w="58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Acquisitions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Transfers to finite life classification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w:t>
            </w: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Impairment charge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74"/>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 w:name="page10"/>
    <w:bookmarkEnd w:id="9"/>
    <w:tbl>
      <w:tblPr>
        <w:tblLayout w:type="fixed"/>
        <w:tblInd w:w="520" w:type="dxa"/>
        <w:tblCellMar>
          <w:top w:w="0" w:type="dxa"/>
          <w:left w:w="0" w:type="dxa"/>
          <w:bottom w:w="0" w:type="dxa"/>
          <w:right w:w="0" w:type="dxa"/>
        </w:tblCellMar>
      </w:tblPr>
      <w:tr>
        <w:trPr>
          <w:trHeight w:val="170"/>
        </w:trPr>
        <w:tc>
          <w:tcPr>
            <w:tcW w:w="4300" w:type="dxa"/>
            <w:vAlign w:val="bottom"/>
            <w:gridSpan w:val="2"/>
          </w:tcPr>
          <w:p>
            <w:pPr>
              <w:ind w:left="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6"/>
          </w:tcPr>
          <w:p>
            <w:pPr>
              <w:jc w:val="right"/>
              <w:ind w:right="627"/>
              <w:spacing w:after="0"/>
              <w:rPr>
                <w:sz w:val="20"/>
                <w:szCs w:val="20"/>
                <w:color w:val="auto"/>
              </w:rPr>
            </w:pPr>
            <w:r>
              <w:rPr>
                <w:rFonts w:ascii="Arial" w:cs="Arial" w:eastAsia="Arial" w:hAnsi="Arial"/>
                <w:sz w:val="14"/>
                <w:szCs w:val="14"/>
                <w:b w:val="1"/>
                <w:bCs w:val="1"/>
                <w:color w:val="auto"/>
              </w:rPr>
              <w:t>As of March 31, 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As of December 31, 2020</w:t>
            </w:r>
          </w:p>
        </w:tc>
      </w:tr>
      <w:tr>
        <w:trPr>
          <w:trHeight w:val="155"/>
        </w:trPr>
        <w:tc>
          <w:tcPr>
            <w:tcW w:w="4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Intangible assets – finite life</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w w:val="94"/>
              </w:rPr>
              <w:t>Accum. Amort.</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Accum. Amort.</w:t>
            </w:r>
          </w:p>
        </w:tc>
        <w:tc>
          <w:tcPr>
            <w:tcW w:w="100" w:type="dxa"/>
            <w:vAlign w:val="bottom"/>
          </w:tcPr>
          <w:p>
            <w:pPr>
              <w:spacing w:after="0"/>
              <w:rPr>
                <w:sz w:val="13"/>
                <w:szCs w:val="13"/>
                <w:color w:val="auto"/>
              </w:rPr>
            </w:pPr>
          </w:p>
        </w:tc>
      </w:tr>
      <w:tr>
        <w:trPr>
          <w:trHeight w:val="222"/>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13,183</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Tradenames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6,578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FF0FC"/>
          </w:tcPr>
          <w:p>
            <w:pPr>
              <w:spacing w:after="0"/>
              <w:rPr>
                <w:sz w:val="19"/>
                <w:szCs w:val="19"/>
                <w:color w:val="auto"/>
              </w:rPr>
            </w:pPr>
          </w:p>
        </w:tc>
        <w:tc>
          <w:tcPr>
            <w:tcW w:w="118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(2,826)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(1,954)</w:t>
            </w:r>
          </w:p>
        </w:tc>
      </w:tr>
      <w:tr>
        <w:trPr>
          <w:trHeight w:val="222"/>
        </w:trPr>
        <w:tc>
          <w:tcPr>
            <w:tcW w:w="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63,847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91,408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580" w:type="dxa"/>
            <w:vAlign w:val="bottom"/>
            <w:gridSpan w:val="3"/>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6"/>
        </w:trPr>
        <w:tc>
          <w:tcPr>
            <w:tcW w:w="5940" w:type="dxa"/>
            <w:vAlign w:val="bottom"/>
            <w:gridSpan w:val="6"/>
          </w:tcPr>
          <w:p>
            <w:pPr>
              <w:spacing w:after="0"/>
              <w:rPr>
                <w:sz w:val="20"/>
                <w:szCs w:val="20"/>
                <w:color w:val="auto"/>
              </w:rPr>
            </w:pPr>
            <w:r>
              <w:rPr>
                <w:rFonts w:ascii="Arial" w:cs="Arial" w:eastAsia="Arial" w:hAnsi="Arial"/>
                <w:sz w:val="18"/>
                <w:szCs w:val="18"/>
                <w:color w:val="auto"/>
                <w:w w:val="99"/>
              </w:rPr>
              <w:t>Activity for the three-months ended March 31, 2021 and 2020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4300" w:type="dxa"/>
            <w:vAlign w:val="bottom"/>
            <w:gridSpan w:val="2"/>
          </w:tcPr>
          <w:p>
            <w:pPr>
              <w:ind w:left="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Intangible assets – finite life, net at beginning of period</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(1,713)</w:t>
            </w:r>
          </w:p>
        </w:tc>
      </w:tr>
      <w:tr>
        <w:trPr>
          <w:trHeight w:val="228"/>
        </w:trPr>
        <w:tc>
          <w:tcPr>
            <w:tcW w:w="6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Transfers from indefinite life classification</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6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Foreign currency adjustments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r>
      <w:tr>
        <w:trPr>
          <w:trHeight w:val="222"/>
        </w:trPr>
        <w:tc>
          <w:tcPr>
            <w:tcW w:w="6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end of period</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left="520" w:right="240"/>
        <w:spacing w:after="0" w:line="254" w:lineRule="auto"/>
        <w:rPr>
          <w:sz w:val="20"/>
          <w:szCs w:val="20"/>
          <w:color w:val="auto"/>
        </w:rPr>
      </w:pPr>
      <w:r>
        <w:rPr>
          <w:rFonts w:ascii="Arial" w:cs="Arial" w:eastAsia="Arial" w:hAnsi="Arial"/>
          <w:sz w:val="18"/>
          <w:szCs w:val="18"/>
          <w:color w:val="auto"/>
        </w:rPr>
        <w:t>Amortization expense of finite life intangible assets was $1.7 million for the three-months ended March 31, 2021 and 2020. Amortization over the next five years for finite life intangibles is expected to be $5.0 million for the remainder of 2021, $5.8 million in 2022, $5.0 million in 2023, $4.3 million in 2024, and $3.2 million in 2025.</w:t>
      </w:r>
    </w:p>
    <w:p>
      <w:pPr>
        <w:spacing w:after="0" w:line="2" w:lineRule="exact"/>
        <w:rPr>
          <w:sz w:val="20"/>
          <w:szCs w:val="20"/>
          <w:color w:val="auto"/>
        </w:rPr>
      </w:pPr>
    </w:p>
    <w:p>
      <w:pPr>
        <w:ind w:left="520" w:right="500"/>
        <w:spacing w:after="0" w:line="249" w:lineRule="auto"/>
        <w:rPr>
          <w:sz w:val="20"/>
          <w:szCs w:val="20"/>
          <w:color w:val="auto"/>
        </w:rPr>
      </w:pPr>
      <w:r>
        <w:rPr>
          <w:rFonts w:ascii="Arial" w:cs="Arial" w:eastAsia="Arial" w:hAnsi="Arial"/>
          <w:sz w:val="18"/>
          <w:szCs w:val="18"/>
          <w:color w:val="auto"/>
        </w:rPr>
        <w:t>During the three-month period ended March 31, 2021, the Company reassessed the useful lives of certain tradenames and determined that $3.2 million of their tradenames would have useful lives of 10 years now versus indefinite.</w:t>
      </w:r>
    </w:p>
    <w:p>
      <w:pPr>
        <w:ind w:left="520" w:right="80"/>
        <w:spacing w:after="0" w:line="250" w:lineRule="auto"/>
        <w:rPr>
          <w:sz w:val="20"/>
          <w:szCs w:val="20"/>
          <w:color w:val="auto"/>
        </w:rPr>
      </w:pPr>
      <w:r>
        <w:rPr>
          <w:rFonts w:ascii="Arial" w:cs="Arial" w:eastAsia="Arial" w:hAnsi="Arial"/>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6" w:lineRule="exact"/>
        <w:rPr>
          <w:sz w:val="20"/>
          <w:szCs w:val="20"/>
          <w:color w:val="auto"/>
        </w:rPr>
      </w:pPr>
    </w:p>
    <w:p>
      <w:pPr>
        <w:jc w:val="both"/>
        <w:ind w:left="520" w:right="140"/>
        <w:spacing w:after="0" w:line="258" w:lineRule="auto"/>
        <w:rPr>
          <w:sz w:val="20"/>
          <w:szCs w:val="20"/>
          <w:color w:val="auto"/>
        </w:rPr>
      </w:pPr>
      <w:r>
        <w:rPr>
          <w:rFonts w:ascii="Arial" w:cs="Arial" w:eastAsia="Arial" w:hAnsi="Arial"/>
          <w:sz w:val="18"/>
          <w:szCs w:val="18"/>
          <w:color w:val="auto"/>
        </w:rPr>
        <w:t>As of March 31, 2021, we reviewed our previous forecasts and assumptions based on our current projections, which are subject to various risks and uncertainties, including projected revenue, projected operational profit, terminal growth rates, and the cost of capital. The Company did not identify any triggering events during the three-month period March 31, 2021 that would require an interim impairment assessment of goodwill or intangible assets.</w:t>
      </w:r>
    </w:p>
    <w:p>
      <w:pPr>
        <w:spacing w:after="0" w:line="185" w:lineRule="exact"/>
        <w:rPr>
          <w:sz w:val="20"/>
          <w:szCs w:val="20"/>
          <w:color w:val="auto"/>
        </w:rPr>
      </w:pPr>
    </w:p>
    <w:p>
      <w:pPr>
        <w:ind w:left="520" w:right="60"/>
        <w:spacing w:after="0" w:line="254" w:lineRule="auto"/>
        <w:rPr>
          <w:sz w:val="20"/>
          <w:szCs w:val="20"/>
          <w:color w:val="auto"/>
        </w:rPr>
      </w:pPr>
      <w:r>
        <w:rPr>
          <w:rFonts w:ascii="Arial" w:cs="Arial" w:eastAsia="Arial" w:hAnsi="Arial"/>
          <w:sz w:val="18"/>
          <w:szCs w:val="18"/>
          <w:color w:val="auto"/>
        </w:rPr>
        <w:t>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analyses accordingly.</w:t>
      </w:r>
    </w:p>
    <w:p>
      <w:pPr>
        <w:spacing w:after="0" w:line="2" w:lineRule="exact"/>
        <w:rPr>
          <w:sz w:val="20"/>
          <w:szCs w:val="20"/>
          <w:color w:val="auto"/>
        </w:rPr>
      </w:pPr>
    </w:p>
    <w:p>
      <w:pPr>
        <w:ind w:left="500" w:hanging="493"/>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gridSpan w:val="2"/>
          </w:tcPr>
          <w:p>
            <w:pPr>
              <w:ind w:left="560"/>
              <w:spacing w:after="0"/>
              <w:rPr>
                <w:sz w:val="20"/>
                <w:szCs w:val="20"/>
                <w:color w:val="auto"/>
              </w:rPr>
            </w:pPr>
            <w:r>
              <w:rPr>
                <w:rFonts w:ascii="Arial" w:cs="Arial" w:eastAsia="Arial" w:hAnsi="Arial"/>
                <w:sz w:val="14"/>
                <w:szCs w:val="14"/>
                <w:b w:val="1"/>
                <w:bCs w:val="1"/>
                <w:color w:val="auto"/>
              </w:rPr>
              <w:t>(table only in thousands)</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Trade accounts payable, including amounts due to subcontractors</w:t>
            </w:r>
          </w:p>
        </w:tc>
        <w:tc>
          <w:tcPr>
            <w:tcW w:w="1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55,789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55,899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warranty</w:t>
            </w: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Contract liabilities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liability</w:t>
            </w: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60" w:type="dxa"/>
            <w:vAlign w:val="bottom"/>
            <w:vMerge w:val="restart"/>
          </w:tcPr>
          <w:p>
            <w:pPr>
              <w:jc w:val="right"/>
              <w:ind w:right="14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2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Senior Debt</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2"/>
        </w:trPr>
        <w:tc>
          <w:tcPr>
            <w:tcW w:w="3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Arial" w:cs="Arial" w:eastAsia="Arial" w:hAnsi="Arial"/>
                <w:sz w:val="18"/>
                <w:szCs w:val="18"/>
                <w:color w:val="auto"/>
              </w:rPr>
              <w:t>Debt consisted of the following: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6"/>
        </w:trPr>
        <w:tc>
          <w:tcPr>
            <w:tcW w:w="320" w:type="dxa"/>
            <w:vAlign w:val="bottom"/>
          </w:tcPr>
          <w:p>
            <w:pPr>
              <w:spacing w:after="0"/>
              <w:rPr>
                <w:sz w:val="24"/>
                <w:szCs w:val="24"/>
                <w:color w:val="auto"/>
              </w:rPr>
            </w:pPr>
          </w:p>
        </w:tc>
        <w:tc>
          <w:tcPr>
            <w:tcW w:w="6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08"/>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w:t>
            </w:r>
          </w:p>
        </w:tc>
        <w:tc>
          <w:tcPr>
            <w:tcW w:w="5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through June 2021, $0.9 million through June 2023, and $1.3 million</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thereafter with balance due upon maturity in June 2024.</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45,625</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46,250</w:t>
            </w:r>
          </w:p>
        </w:tc>
        <w:tc>
          <w:tcPr>
            <w:tcW w:w="100" w:type="dxa"/>
            <w:vAlign w:val="bottom"/>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Revolving Credit Loan</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FF0FC"/>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(1,334)</w:t>
            </w:r>
          </w:p>
        </w:tc>
      </w:tr>
      <w:tr>
        <w:trPr>
          <w:trHeight w:val="222"/>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the Credit Facility</w:t>
            </w:r>
          </w:p>
        </w:tc>
        <w:tc>
          <w:tcPr>
            <w:tcW w:w="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69,392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current portion</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(3,125)</w:t>
            </w:r>
          </w:p>
        </w:tc>
      </w:tr>
      <w:tr>
        <w:trPr>
          <w:trHeight w:val="222"/>
        </w:trPr>
        <w:tc>
          <w:tcPr>
            <w:tcW w:w="320" w:type="dxa"/>
            <w:vAlign w:val="bottom"/>
          </w:tcPr>
          <w:p>
            <w:pPr>
              <w:spacing w:after="0"/>
              <w:rPr>
                <w:sz w:val="19"/>
                <w:szCs w:val="19"/>
                <w:color w:val="auto"/>
              </w:rPr>
            </w:pPr>
          </w:p>
        </w:tc>
        <w:tc>
          <w:tcPr>
            <w:tcW w:w="6220" w:type="dxa"/>
            <w:vAlign w:val="bottom"/>
            <w:gridSpan w:val="2"/>
          </w:tcPr>
          <w:p>
            <w:pPr>
              <w:ind w:left="240"/>
              <w:spacing w:after="0"/>
              <w:rPr>
                <w:sz w:val="20"/>
                <w:szCs w:val="20"/>
                <w:color w:val="auto"/>
              </w:rPr>
            </w:pPr>
            <w:r>
              <w:rPr>
                <w:rFonts w:ascii="Arial" w:cs="Arial" w:eastAsia="Arial" w:hAnsi="Arial"/>
                <w:sz w:val="18"/>
                <w:szCs w:val="18"/>
                <w:color w:val="auto"/>
              </w:rPr>
              <w:t>Total debt, less current portion</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ind w:left="520" w:right="260"/>
        <w:spacing w:after="0" w:line="275" w:lineRule="auto"/>
        <w:rPr>
          <w:sz w:val="20"/>
          <w:szCs w:val="20"/>
          <w:color w:val="auto"/>
        </w:rPr>
      </w:pPr>
      <w:r>
        <w:rPr>
          <w:rFonts w:ascii="Arial" w:cs="Arial" w:eastAsia="Arial" w:hAnsi="Arial"/>
          <w:sz w:val="18"/>
          <w:szCs w:val="18"/>
          <w:color w:val="auto"/>
        </w:rPr>
        <w:t>Scheduled principal payments under our Credit Facility are $2.5 million remaining in 2021, $3.7 million in 2022, $4.4 million in 2023, and $60.0 million in 2024.</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3" w:lineRule="exact"/>
        <w:rPr>
          <w:sz w:val="20"/>
          <w:szCs w:val="20"/>
          <w:color w:val="auto"/>
        </w:rPr>
      </w:pPr>
    </w:p>
    <w:p>
      <w:pPr>
        <w:ind w:left="520" w:right="140"/>
        <w:spacing w:after="0" w:line="255" w:lineRule="auto"/>
        <w:rPr>
          <w:sz w:val="20"/>
          <w:szCs w:val="20"/>
          <w:color w:val="auto"/>
        </w:rPr>
      </w:pPr>
      <w:r>
        <w:rPr>
          <w:rFonts w:ascii="Arial" w:cs="Arial" w:eastAsia="Arial" w:hAnsi="Arial"/>
          <w:sz w:val="18"/>
          <w:szCs w:val="18"/>
          <w:color w:val="auto"/>
        </w:rPr>
        <w:t>As of March 31, 2021 and December 31, 2020, $7.9 million and $7.6 million of letters of credit were outstanding, respectively. Total unused credit availability under the Company’s senior secured term loan and senior secured revolver loan with sub-facilities for letters of credit, swing-line loans and senior secured multi-currency loans (collectively, the “Credit Facility”) was $52.8 million and $60.8 million at March 31, 2021 and December 31, 2020, respectively. Revolving loans may be borrowed, repaid and reborrowed until June 11, 2024, at which time all outstanding balances of the Credit Facility must be repaid.</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stated interest rate on outstanding borrowings was 2.20% and 2.31% at March 31, 2021 and December 31, 2020, respectively.</w:t>
      </w:r>
    </w:p>
    <w:p>
      <w:pPr>
        <w:spacing w:after="0" w:line="246" w:lineRule="exact"/>
        <w:rPr>
          <w:sz w:val="20"/>
          <w:szCs w:val="20"/>
          <w:color w:val="auto"/>
        </w:rPr>
      </w:pPr>
    </w:p>
    <w:p>
      <w:pPr>
        <w:ind w:left="520" w:right="40"/>
        <w:spacing w:after="0" w:line="284" w:lineRule="auto"/>
        <w:rPr>
          <w:sz w:val="20"/>
          <w:szCs w:val="20"/>
          <w:color w:val="auto"/>
        </w:rPr>
      </w:pPr>
      <w:r>
        <w:rPr>
          <w:rFonts w:ascii="Arial" w:cs="Arial" w:eastAsia="Arial" w:hAnsi="Arial"/>
          <w:sz w:val="17"/>
          <w:szCs w:val="17"/>
          <w:color w:val="auto"/>
        </w:rPr>
        <w:t>Under the terms of the Credit Facility, the Company is required to maintain certain financial covenants, including the maintenance of a Consolidated Net Leverage Ratio (as defined in the Credit Faciity). Through September 30, 2021, the maximum Consolidated Net Leverage Ratio is 3.50, after which time the Consolidated Net Leverage Ratio will decrease to 3.25 until the end of the term of the Credit Facility.</w:t>
      </w:r>
    </w:p>
    <w:p>
      <w:pPr>
        <w:spacing w:after="0" w:line="166" w:lineRule="exact"/>
        <w:rPr>
          <w:sz w:val="20"/>
          <w:szCs w:val="20"/>
          <w:color w:val="auto"/>
        </w:rPr>
      </w:pPr>
    </w:p>
    <w:p>
      <w:pPr>
        <w:ind w:left="520" w:right="180"/>
        <w:spacing w:after="0" w:line="275" w:lineRule="auto"/>
        <w:rPr>
          <w:sz w:val="20"/>
          <w:szCs w:val="20"/>
          <w:color w:val="auto"/>
        </w:rPr>
      </w:pPr>
      <w:r>
        <w:rPr>
          <w:rFonts w:ascii="Arial" w:cs="Arial" w:eastAsia="Arial" w:hAnsi="Arial"/>
          <w:sz w:val="18"/>
          <w:szCs w:val="18"/>
          <w:color w:val="auto"/>
        </w:rPr>
        <w:t>As of March 31, 2021 and December 31, 2020, the Company was in compliance with all related financial and other restrictive covenants under the Credit Facility.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5"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March 31, 2021, $24.0 million in bank guarantees were outstanding. In addition, a subsidiary of the Company located in the Netherlands has a Euro-denominated bank guarantee agreement secured by local assets under which $3.4 million in bank guarantees were outstanding as of March 31, 2021. As of March 31, 2021, the borrowers of these facilities and agreements were in compliance with all related financial and other restrictive covenants.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11" w:name="page12"/>
    <w:bookmarkEnd w:id="11"/>
    <w:p>
      <w:pPr>
        <w:ind w:left="500" w:hanging="493"/>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computational components of basic and diluted earnings per share for the three-months ended March 31, are below.</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CECO Environmental Corp.</w:t>
            </w:r>
          </w:p>
        </w:tc>
        <w:tc>
          <w:tcPr>
            <w:tcW w:w="50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1,181</w:t>
            </w:r>
          </w:p>
        </w:tc>
        <w:tc>
          <w:tcPr>
            <w:tcW w:w="6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42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35,397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CECFF"/>
          </w:tcPr>
          <w:p>
            <w:pPr>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4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CFF"/>
          </w:tcPr>
          <w:p>
            <w:pPr>
              <w:spacing w:after="0"/>
              <w:rPr>
                <w:sz w:val="19"/>
                <w:szCs w:val="19"/>
                <w:color w:val="auto"/>
              </w:rPr>
            </w:pPr>
          </w:p>
        </w:tc>
        <w:tc>
          <w:tcPr>
            <w:tcW w:w="38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right="160"/>
        <w:spacing w:after="0" w:line="262"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three-months ended March 31, 2021 and 2020, 1.5 million and 0.4 million, respectively, of outstanding options and restricted stock units were excluded from the computation of diluted earnings per share due to their having an anti-dilutive effect.</w:t>
      </w:r>
    </w:p>
    <w:p>
      <w:pPr>
        <w:spacing w:after="0" w:line="182" w:lineRule="exact"/>
        <w:rPr>
          <w:sz w:val="20"/>
          <w:szCs w:val="20"/>
          <w:color w:val="auto"/>
        </w:rPr>
      </w:pPr>
    </w:p>
    <w:p>
      <w:pPr>
        <w:ind w:left="520" w:right="40"/>
        <w:spacing w:after="0" w:line="275"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500" w:hanging="493"/>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19" w:lineRule="exact"/>
        <w:rPr>
          <w:rFonts w:ascii="Arial" w:cs="Arial" w:eastAsia="Arial" w:hAnsi="Arial"/>
          <w:sz w:val="18"/>
          <w:szCs w:val="18"/>
          <w:b w:val="1"/>
          <w:bCs w:val="1"/>
          <w:color w:val="auto"/>
        </w:rPr>
      </w:pPr>
    </w:p>
    <w:p>
      <w:pPr>
        <w:ind w:left="520" w:right="1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$0.7 million and $0.6 million of share-based compensation related expense during the three-months ended March 31, 2021 and 2020, respectively.</w:t>
      </w:r>
    </w:p>
    <w:p>
      <w:pPr>
        <w:spacing w:after="0" w:line="18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granted zero restricted stock units during the three-months ended March 31, 2021 and 2020, respectively..</w:t>
      </w:r>
    </w:p>
    <w:p>
      <w:pPr>
        <w:spacing w:after="0" w:line="222" w:lineRule="exact"/>
        <w:rPr>
          <w:rFonts w:ascii="Arial" w:cs="Arial" w:eastAsia="Arial" w:hAnsi="Arial"/>
          <w:sz w:val="18"/>
          <w:szCs w:val="18"/>
          <w:b w:val="1"/>
          <w:bCs w:val="1"/>
          <w:color w:val="auto"/>
        </w:rPr>
      </w:pPr>
    </w:p>
    <w:p>
      <w:pPr>
        <w:ind w:left="520" w:right="1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There were 2,000 and zero options exercised during the three-months ended March 31, 2021 and 2020, respectively. The Company received approximately $13,000 in cash from a non-employee director exercising options during the three-months ended March 31, 2021. The intrinsic value of options exercised during the three-months March 31, 2021 was approximately $3,000.</w:t>
      </w:r>
    </w:p>
    <w:p>
      <w:pPr>
        <w:spacing w:after="0" w:line="164" w:lineRule="exact"/>
        <w:rPr>
          <w:rFonts w:ascii="Arial" w:cs="Arial" w:eastAsia="Arial" w:hAnsi="Arial"/>
          <w:sz w:val="18"/>
          <w:szCs w:val="18"/>
          <w:b w:val="1"/>
          <w:bCs w:val="1"/>
          <w:color w:val="auto"/>
        </w:rPr>
      </w:pPr>
    </w:p>
    <w:p>
      <w:pPr>
        <w:ind w:left="500" w:hanging="493"/>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19" w:lineRule="exact"/>
        <w:rPr>
          <w:rFonts w:ascii="Arial" w:cs="Arial" w:eastAsia="Arial" w:hAnsi="Arial"/>
          <w:sz w:val="18"/>
          <w:szCs w:val="18"/>
          <w:b w:val="1"/>
          <w:bCs w:val="1"/>
          <w:color w:val="auto"/>
        </w:rPr>
      </w:pPr>
    </w:p>
    <w:p>
      <w:pPr>
        <w:ind w:left="520" w:right="68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20" w:right="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20" w:right="24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We present the components of net periodic benefit cost (gain) within “Other income (expense), net” on the Condensed Consolidated Statements of Income.</w:t>
      </w:r>
    </w:p>
    <w:p>
      <w:pPr>
        <w:spacing w:after="0" w:line="170" w:lineRule="exact"/>
        <w:rPr>
          <w:rFonts w:ascii="Arial" w:cs="Arial" w:eastAsia="Arial" w:hAnsi="Arial"/>
          <w:sz w:val="18"/>
          <w:szCs w:val="18"/>
          <w:b w:val="1"/>
          <w:bCs w:val="1"/>
          <w:color w:val="auto"/>
        </w:rPr>
      </w:pPr>
    </w:p>
    <w:p>
      <w:pPr>
        <w:ind w:left="520" w:right="1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(table only in thousands)</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gridSpan w:val="2"/>
            <w:vMerge w:val="continue"/>
          </w:tcPr>
          <w:p>
            <w:pPr>
              <w:spacing w:after="0"/>
              <w:rPr>
                <w:sz w:val="13"/>
                <w:szCs w:val="13"/>
                <w:color w:val="auto"/>
              </w:rPr>
            </w:pPr>
          </w:p>
        </w:tc>
        <w:tc>
          <w:tcPr>
            <w:tcW w:w="28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plan:</w:t>
            </w:r>
          </w:p>
        </w:tc>
        <w:tc>
          <w:tcPr>
            <w:tcW w:w="28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cost</w:t>
            </w:r>
          </w:p>
        </w:tc>
        <w:tc>
          <w:tcPr>
            <w:tcW w:w="32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2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actuarial loss</w:t>
            </w:r>
          </w:p>
        </w:tc>
        <w:tc>
          <w:tcPr>
            <w:tcW w:w="28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(gain) cost</w:t>
            </w:r>
          </w:p>
        </w:tc>
        <w:tc>
          <w:tcPr>
            <w:tcW w:w="2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560"/>
              <w:spacing w:after="0"/>
              <w:rPr>
                <w:sz w:val="20"/>
                <w:szCs w:val="20"/>
                <w:color w:val="auto"/>
              </w:rPr>
            </w:pPr>
            <w:r>
              <w:rPr>
                <w:rFonts w:ascii="Arial" w:cs="Arial" w:eastAsia="Arial" w:hAnsi="Arial"/>
                <w:sz w:val="18"/>
                <w:szCs w:val="18"/>
                <w:color w:val="auto"/>
              </w:rPr>
              <w:t>Health care plan:</w:t>
            </w:r>
          </w:p>
        </w:tc>
        <w:tc>
          <w:tcPr>
            <w:tcW w:w="2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2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loss</w:t>
            </w:r>
          </w:p>
        </w:tc>
        <w:tc>
          <w:tcPr>
            <w:tcW w:w="28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2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80" w:type="dxa"/>
            <w:vAlign w:val="bottom"/>
            <w:vMerge w:val="restart"/>
          </w:tcPr>
          <w:p>
            <w:pPr>
              <w:jc w:val="right"/>
              <w:ind w:right="133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2" w:name="page13"/>
    <w:bookmarkEnd w:id="12"/>
    <w:p>
      <w:pPr>
        <w:ind w:left="513"/>
        <w:spacing w:after="0" w:line="258" w:lineRule="auto"/>
        <w:rPr>
          <w:sz w:val="20"/>
          <w:szCs w:val="20"/>
          <w:color w:val="auto"/>
        </w:rPr>
      </w:pPr>
      <w:r>
        <w:rPr>
          <w:rFonts w:ascii="Arial" w:cs="Arial" w:eastAsia="Arial" w:hAnsi="Arial"/>
          <w:sz w:val="18"/>
          <w:szCs w:val="18"/>
          <w:color w:val="auto"/>
        </w:rPr>
        <w:t>We made contributions to our defined benefit plans of zero and approximately $0.1 million during the three-months ended March 31, 2021 and 2020, respectively. For the remainder of 2021, we do not expect to make any contributions to fund the pension plan and the retiree health care plan. The unfunded liability of the plans of $9.6 million and $9.7 million as of March 31, 2021 and December 31, 2020, respectively, is included in “Other liabilities” on our Condensed Consolidated Balance Sheets.</w:t>
      </w:r>
    </w:p>
    <w:p>
      <w:pPr>
        <w:spacing w:after="0" w:line="369" w:lineRule="exact"/>
        <w:rPr>
          <w:sz w:val="20"/>
          <w:szCs w:val="20"/>
          <w:color w:val="auto"/>
        </w:rPr>
      </w:pPr>
    </w:p>
    <w:p>
      <w:pPr>
        <w:ind w:left="493" w:hanging="493"/>
        <w:spacing w:after="0"/>
        <w:tabs>
          <w:tab w:leader="none" w:pos="49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6" w:lineRule="exact"/>
        <w:rPr>
          <w:rFonts w:ascii="Arial" w:cs="Arial" w:eastAsia="Arial" w:hAnsi="Arial"/>
          <w:sz w:val="18"/>
          <w:szCs w:val="18"/>
          <w:b w:val="1"/>
          <w:bCs w:val="1"/>
          <w:color w:val="auto"/>
        </w:rPr>
      </w:pPr>
    </w:p>
    <w:p>
      <w:pPr>
        <w:ind w:left="513" w:right="3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2017 forward remain open for examination by Federal authorities. Tax years from 2014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3" w:right="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March 31, 2021 and December 31, 2020, the liability for uncertain tax positions totaled approximately $0.2 million and $0.1 million, respectively, which is included in “Other liabilities” on our Condensed Consolidated Balance Sheets. We recognize accrued interest related to uncertain tax positions and penalties, if any, in income tax expense within the Condensed Consolidated Statements of Income.</w:t>
      </w:r>
    </w:p>
    <w:p>
      <w:pPr>
        <w:spacing w:after="0" w:line="184" w:lineRule="exact"/>
        <w:rPr>
          <w:rFonts w:ascii="Arial" w:cs="Arial" w:eastAsia="Arial" w:hAnsi="Arial"/>
          <w:sz w:val="18"/>
          <w:szCs w:val="18"/>
          <w:b w:val="1"/>
          <w:bCs w:val="1"/>
          <w:color w:val="auto"/>
        </w:rPr>
      </w:pPr>
    </w:p>
    <w:p>
      <w:pPr>
        <w:ind w:left="513"/>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March 31, 2021 and December 31, 2020, we have recorded deferred income taxes of $1.0 million and $0.9 million, respectively, on the undistributed earnings of our foreign subsidiaries.</w:t>
      </w:r>
    </w:p>
    <w:p>
      <w:pPr>
        <w:spacing w:after="0" w:line="190" w:lineRule="exact"/>
        <w:rPr>
          <w:rFonts w:ascii="Arial" w:cs="Arial" w:eastAsia="Arial" w:hAnsi="Arial"/>
          <w:sz w:val="18"/>
          <w:szCs w:val="18"/>
          <w:b w:val="1"/>
          <w:bCs w:val="1"/>
          <w:color w:val="auto"/>
        </w:rPr>
      </w:pPr>
    </w:p>
    <w:p>
      <w:pPr>
        <w:ind w:left="513" w:right="12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Income tax expense was $0.6 million and $0.8 million for the first quarter of 2021 and 2020, respectively. The effective income tax rate for the first quarter of 2021 was 29.8% compared with 18.6% for first quarter of 2020. The effective income tax rate for the first quarter of 2021 is higher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156" w:lineRule="exact"/>
        <w:rPr>
          <w:rFonts w:ascii="Arial" w:cs="Arial" w:eastAsia="Arial" w:hAnsi="Arial"/>
          <w:sz w:val="18"/>
          <w:szCs w:val="18"/>
          <w:b w:val="1"/>
          <w:bCs w:val="1"/>
          <w:color w:val="auto"/>
        </w:rPr>
      </w:pPr>
    </w:p>
    <w:p>
      <w:pPr>
        <w:ind w:left="493" w:hanging="493"/>
        <w:spacing w:after="0"/>
        <w:tabs>
          <w:tab w:leader="none" w:pos="49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19" w:lineRule="exact"/>
        <w:rPr>
          <w:rFonts w:ascii="Arial" w:cs="Arial" w:eastAsia="Arial" w:hAnsi="Arial"/>
          <w:sz w:val="18"/>
          <w:szCs w:val="18"/>
          <w:b w:val="1"/>
          <w:bCs w:val="1"/>
          <w:color w:val="auto"/>
        </w:rPr>
      </w:pPr>
    </w:p>
    <w:p>
      <w:pPr>
        <w:ind w:left="513" w:right="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March 31, 2021 and December 31, 2020, due to their short-term nature or variable, market-driven interest rates.</w:t>
      </w:r>
    </w:p>
    <w:p>
      <w:pPr>
        <w:spacing w:after="0" w:line="182" w:lineRule="exact"/>
        <w:rPr>
          <w:rFonts w:ascii="Arial" w:cs="Arial" w:eastAsia="Arial" w:hAnsi="Arial"/>
          <w:sz w:val="18"/>
          <w:szCs w:val="18"/>
          <w:b w:val="1"/>
          <w:bCs w:val="1"/>
          <w:color w:val="auto"/>
        </w:rPr>
      </w:pPr>
    </w:p>
    <w:p>
      <w:pPr>
        <w:ind w:left="513" w:right="6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debt issued under the Credit Facility was $70.6 million and $74.0 million at March 31, 2021 and December 31, 2020, respectively. The fair value was determined considering market conditions, our credit worthiness and the current terms of our debt, which is considered Level 2 on the fair value hierarchy.</w:t>
      </w:r>
    </w:p>
    <w:p>
      <w:pPr>
        <w:spacing w:after="0" w:line="182" w:lineRule="exact"/>
        <w:rPr>
          <w:rFonts w:ascii="Arial" w:cs="Arial" w:eastAsia="Arial" w:hAnsi="Arial"/>
          <w:sz w:val="18"/>
          <w:szCs w:val="18"/>
          <w:b w:val="1"/>
          <w:bCs w:val="1"/>
          <w:color w:val="auto"/>
        </w:rPr>
      </w:pPr>
    </w:p>
    <w:p>
      <w:pPr>
        <w:ind w:left="513" w:right="1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At March 31, 2021 and December 31, 2020, the Company had cash and cash equivalents of $40.9 million and $36.0 million, respectively, of which $26.4 million and $28.0 million, respectively, was held outside of the United States, principally in the Netherlands, United Kingdom, China, and Canada.</w:t>
      </w:r>
    </w:p>
    <w:p>
      <w:pPr>
        <w:spacing w:after="0" w:line="18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3"/>
          </w:cols>
          <w:pgMar w:left="327" w:top="595" w:right="359" w:bottom="1440" w:gutter="0" w:footer="0" w:header="0"/>
        </w:sectPr>
      </w:pPr>
    </w:p>
    <w:bookmarkStart w:id="13" w:name="page14"/>
    <w:bookmarkEnd w:id="13"/>
    <w:p>
      <w:pPr>
        <w:ind w:left="513" w:right="6940" w:hanging="513"/>
        <w:spacing w:after="0" w:line="376"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3" w:right="1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2021 for cases involving asbestos-related claims were $3.3 million, of which, together with all legal fees other than corporate counsel expenses, $3.1 million has been paid by the Company’s insurers. The average cost per settled claim, excluding legal fees, was approximately $34,000.</w:t>
      </w:r>
    </w:p>
    <w:p>
      <w:pPr>
        <w:spacing w:after="0" w:line="168" w:lineRule="exact"/>
        <w:rPr>
          <w:rFonts w:ascii="Arial" w:cs="Arial" w:eastAsia="Arial" w:hAnsi="Arial"/>
          <w:sz w:val="18"/>
          <w:szCs w:val="18"/>
          <w:b w:val="1"/>
          <w:bCs w:val="1"/>
          <w:color w:val="auto"/>
        </w:rPr>
      </w:pPr>
    </w:p>
    <w:p>
      <w:pPr>
        <w:ind w:left="513"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Based upon the most recent information available to the Company regarding such claims, there were a total of 203 cases pending against the Company as of March 31, 2021 (with Illinois, New York, Pennsylvania and West Virginia having the largest number of cases), as compared with 200 cases that were pending as of December 31, 2020. During the three-months ended March 31, 2021, 25 new cases were filed against the Company, and the Company was dismissed from 17 cases and settled five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78" w:lineRule="exact"/>
        <w:rPr>
          <w:rFonts w:ascii="Arial" w:cs="Arial" w:eastAsia="Arial" w:hAnsi="Arial"/>
          <w:sz w:val="18"/>
          <w:szCs w:val="18"/>
          <w:b w:val="1"/>
          <w:bCs w:val="1"/>
          <w:color w:val="auto"/>
        </w:rPr>
      </w:pPr>
    </w:p>
    <w:p>
      <w:pPr>
        <w:ind w:left="513"/>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w:t>
      </w:r>
    </w:p>
    <w:p>
      <w:pPr>
        <w:spacing w:after="0" w:line="222" w:lineRule="exact"/>
        <w:rPr>
          <w:rFonts w:ascii="Arial" w:cs="Arial" w:eastAsia="Arial" w:hAnsi="Arial"/>
          <w:sz w:val="18"/>
          <w:szCs w:val="18"/>
          <w:b w:val="1"/>
          <w:bCs w:val="1"/>
          <w:color w:val="auto"/>
        </w:rPr>
      </w:pPr>
    </w:p>
    <w:p>
      <w:pPr>
        <w:ind w:left="513" w:right="1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3" w:right="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4" w:lineRule="exact"/>
        <w:rPr>
          <w:rFonts w:ascii="Arial" w:cs="Arial" w:eastAsia="Arial" w:hAnsi="Arial"/>
          <w:sz w:val="18"/>
          <w:szCs w:val="18"/>
          <w:b w:val="1"/>
          <w:bCs w:val="1"/>
          <w:color w:val="auto"/>
        </w:rPr>
      </w:pPr>
    </w:p>
    <w:p>
      <w:pPr>
        <w:ind w:left="513" w:right="20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153" w:lineRule="exact"/>
        <w:rPr>
          <w:rFonts w:ascii="Arial" w:cs="Arial" w:eastAsia="Arial" w:hAnsi="Arial"/>
          <w:sz w:val="18"/>
          <w:szCs w:val="18"/>
          <w:b w:val="1"/>
          <w:bCs w:val="1"/>
          <w:color w:val="auto"/>
        </w:rPr>
      </w:pPr>
    </w:p>
    <w:p>
      <w:pPr>
        <w:ind w:left="513" w:right="8160" w:hanging="513"/>
        <w:spacing w:after="0" w:line="563" w:lineRule="auto"/>
        <w:tabs>
          <w:tab w:leader="none" w:pos="5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Joint Ventures </w:t>
      </w:r>
      <w:r>
        <w:rPr>
          <w:rFonts w:ascii="Arial" w:cs="Arial" w:eastAsia="Arial" w:hAnsi="Arial"/>
          <w:sz w:val="16"/>
          <w:szCs w:val="16"/>
          <w:i w:val="1"/>
          <w:iCs w:val="1"/>
          <w:color w:val="auto"/>
        </w:rPr>
        <w:t>Environmental Integrated Solutions</w:t>
      </w:r>
    </w:p>
    <w:p>
      <w:pPr>
        <w:ind w:left="513"/>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On June 4, 2020, the Company acquired 100% of the equity interests of Environmental Integrated Solutions (“EIS”) for $10.3 million in cash, which was financed with an additional draw on our revolving credit facility. As additional consideration, the former owners are entitled to earnout payments based upon a multiple of specified financial results through December 31, 2021. Based on projections at the acquisition date, the Company estimated the fair value of the earnout to be $0.6 million. During 2020, the Company increased the earnout to $1.7 million at December 31, 2020 based on the estimated fair value at that date. The change in fair value was a result of EIS performing above initial acquisition operational expectations in 2020. As of March 31, 2021 earnout liability is $0.9 million and is recorded in “Accounts payable and accrued expenses” on the Condensed Consolidated Balance Sheets.</w:t>
      </w:r>
    </w:p>
    <w:p>
      <w:pPr>
        <w:spacing w:after="0" w:line="192" w:lineRule="exact"/>
        <w:rPr>
          <w:rFonts w:ascii="Arial" w:cs="Arial" w:eastAsia="Arial" w:hAnsi="Arial"/>
          <w:sz w:val="16"/>
          <w:szCs w:val="16"/>
          <w:b w:val="1"/>
          <w:bCs w:val="1"/>
          <w:color w:val="auto"/>
        </w:rPr>
      </w:pPr>
    </w:p>
    <w:p>
      <w:pPr>
        <w:ind w:left="513" w:right="440"/>
        <w:spacing w:after="0" w:line="275" w:lineRule="auto"/>
        <w:rPr>
          <w:rFonts w:ascii="Arial" w:cs="Arial" w:eastAsia="Arial" w:hAnsi="Arial"/>
          <w:sz w:val="16"/>
          <w:szCs w:val="16"/>
          <w:b w:val="1"/>
          <w:bCs w:val="1"/>
          <w:color w:val="auto"/>
        </w:rPr>
      </w:pPr>
      <w:r>
        <w:rPr>
          <w:rFonts w:ascii="Arial" w:cs="Arial" w:eastAsia="Arial" w:hAnsi="Arial"/>
          <w:sz w:val="18"/>
          <w:szCs w:val="18"/>
          <w:color w:val="auto"/>
        </w:rPr>
        <w:t>EIS engineers products that clean air through a variety of technologies including volatile organic compounds (“VOC”) abatement, odor control, regenerative thermal oxidizers, and other air pollution control solutions, which complements our</w:t>
      </w:r>
    </w:p>
    <w:p>
      <w:pPr>
        <w:spacing w:after="0" w:line="17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3"/>
          </w:cols>
          <w:pgMar w:left="327" w:top="336" w:right="339" w:bottom="1440" w:gutter="0" w:footer="0" w:header="0"/>
        </w:sectPr>
      </w:pPr>
    </w:p>
    <w:bookmarkStart w:id="14" w:name="page15"/>
    <w:bookmarkEnd w:id="14"/>
    <w:p>
      <w:pPr>
        <w:spacing w:after="0" w:line="275" w:lineRule="auto"/>
        <w:rPr>
          <w:sz w:val="20"/>
          <w:szCs w:val="20"/>
          <w:color w:val="auto"/>
        </w:rPr>
      </w:pPr>
      <w:r>
        <w:rPr>
          <w:rFonts w:ascii="Arial" w:cs="Arial" w:eastAsia="Arial" w:hAnsi="Arial"/>
          <w:sz w:val="18"/>
          <w:szCs w:val="18"/>
          <w:color w:val="auto"/>
        </w:rPr>
        <w:t>Industrial Solutions Segment businesses. The following table summarizes the approximate fair values of the assets acquired and liabilities assumed at the date of closing.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(including cash of $4,212)</w:t>
            </w:r>
          </w:p>
        </w:tc>
        <w:tc>
          <w:tcPr>
            <w:tcW w:w="332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FF0FC"/>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Goodwill</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Intangible - finite life</w:t>
            </w:r>
          </w:p>
        </w:tc>
        <w:tc>
          <w:tcPr>
            <w:tcW w:w="25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Total assets acquired</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 assumed</w:t>
            </w:r>
          </w:p>
        </w:tc>
        <w:tc>
          <w:tcPr>
            <w:tcW w:w="2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(6,514)</w:t>
            </w:r>
          </w:p>
        </w:tc>
      </w:tr>
      <w:tr>
        <w:trPr>
          <w:trHeight w:val="228"/>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r>
      <w:tr>
        <w:trPr>
          <w:trHeight w:val="222"/>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8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Company acquired customer lists and tradename intangible assets valued at $4.2 million and $0.6 million, respectively. These assets were determined to have useful lives of 10 years.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Acquisition and integration expenses on the Condensed Consolidated Statements of Income are related to acquisition activities, which include retention, legal, accounting, banking, and other expenses. During the three months ended March 31, 2021, EIS accounted for $2.7 million in revenue and $0.2 million of net income included in the Company’s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Mader</w:t>
      </w:r>
    </w:p>
    <w:p>
      <w:pPr>
        <w:spacing w:after="0" w:line="2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July 31, 2020, the Company entered into a joint venture agreement (“JV Agreement”) with Mader Holdings L.P. (“Mader”) in which CECO contributed the net assets of its Effox-Flextor damper business and Mader contributed the net assets of their damper business. Under the terms of the JV Agreement, CECO will hold 70% of the equity in the joint venture, and 50% voting interest. We determined CECO was the primary beneficiary of this variable interest entity and therefore the 30% noncontrolling equity interest is in the Consolidated Balance Sheet. The results of the joint venture are included in our Engineered Systems segment. The fair value of Mader’s net assets contributed was $1.0 million. As of March 31, 2021 there were $5.9 million in current assets, $8.8 million in long-lived assets, and $6.4 million in total liabilities related to the Effox-Mader joint venture included in our Condensed Consolidated Balance Sheets. During the three months ended March 31, 2021 Mader accounted for $4.9 million in revenue and $0.6 million of net income included in the Company’s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approximate fair values of the assets acquired and liabilities assumed at the JV agreement date.</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1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(including cash of $229)</w:t>
            </w:r>
          </w:p>
        </w:tc>
        <w:tc>
          <w:tcPr>
            <w:tcW w:w="266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asset</w:t>
            </w:r>
          </w:p>
        </w:tc>
        <w:tc>
          <w:tcPr>
            <w:tcW w:w="18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assets assumed</w:t>
            </w:r>
          </w:p>
        </w:tc>
        <w:tc>
          <w:tcPr>
            <w:tcW w:w="1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 term debt</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30% noncontrolling equity interest in Mader</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joint venture with the Company’s operations, including the expansion into markets within existing business segments, access to new customers and potential cost savings and synergies. Goodwill related to this joint venture is not deductible for tax purposes.</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69850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840" w:top="125" w:right="339" w:bottom="1440" w:gutter="0" w:footer="0" w:header="0"/>
        </w:sectPr>
      </w:pPr>
    </w:p>
    <w:bookmarkStart w:id="15" w:name="page16"/>
    <w:bookmarkEnd w:id="15"/>
    <w:p>
      <w:pPr>
        <w:ind w:left="513" w:right="80"/>
        <w:spacing w:after="0" w:line="300" w:lineRule="auto"/>
        <w:rPr>
          <w:sz w:val="20"/>
          <w:szCs w:val="20"/>
          <w:color w:val="auto"/>
        </w:rPr>
      </w:pPr>
      <w:r>
        <w:rPr>
          <w:rFonts w:ascii="Arial" w:cs="Arial" w:eastAsia="Arial" w:hAnsi="Arial"/>
          <w:sz w:val="16"/>
          <w:szCs w:val="16"/>
          <w:color w:val="auto"/>
        </w:rPr>
        <w:t>The approximate fair values of the assets acquired and liabilities assumed related to the above acquisition and joint venture are based on preliminary estimates and assumptions. These preliminary estimates and assumptions could change significantly during the purchase price measurement period as we finalize the valuations of the assets acquired and liabilities assumed. Such changes could result in material variances between the Company’s future financial results, including variances in the estimated purchase price, fair values recorded and expenses associated with these items.</w:t>
      </w:r>
    </w:p>
    <w:p>
      <w:pPr>
        <w:spacing w:after="0" w:line="155" w:lineRule="exact"/>
        <w:rPr>
          <w:sz w:val="20"/>
          <w:szCs w:val="20"/>
          <w:color w:val="auto"/>
        </w:rPr>
      </w:pPr>
    </w:p>
    <w:p>
      <w:pPr>
        <w:ind w:left="513" w:right="520"/>
        <w:spacing w:after="0" w:line="275" w:lineRule="auto"/>
        <w:rPr>
          <w:sz w:val="20"/>
          <w:szCs w:val="20"/>
          <w:color w:val="auto"/>
        </w:rPr>
      </w:pPr>
      <w:r>
        <w:rPr>
          <w:rFonts w:ascii="Arial" w:cs="Arial" w:eastAsia="Arial" w:hAnsi="Arial"/>
          <w:sz w:val="18"/>
          <w:szCs w:val="18"/>
          <w:color w:val="auto"/>
        </w:rPr>
        <w:t>The following unaudited pro forma financial information represents the Company’s results of operations as if the EIS acquisition and the joint venture with Mader had occurred on January 1, 2020:</w:t>
      </w:r>
    </w:p>
    <w:p>
      <w:pPr>
        <w:spacing w:after="0" w:line="200" w:lineRule="exact"/>
        <w:rPr>
          <w:sz w:val="20"/>
          <w:szCs w:val="20"/>
          <w:color w:val="auto"/>
        </w:rPr>
      </w:pPr>
    </w:p>
    <w:p>
      <w:pPr>
        <w:spacing w:after="0" w:line="218" w:lineRule="exact"/>
        <w:rPr>
          <w:sz w:val="20"/>
          <w:szCs w:val="20"/>
          <w:color w:val="auto"/>
        </w:rPr>
      </w:pPr>
    </w:p>
    <w:tbl>
      <w:tblPr>
        <w:tblLayout w:type="fixed"/>
        <w:tblInd w:w="553"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 except per share data)</w:t>
            </w:r>
          </w:p>
        </w:tc>
        <w:tc>
          <w:tcPr>
            <w:tcW w:w="1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24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3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71,892</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CECO Environmental Corp</w:t>
            </w: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Earnings per share:</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13" w:right="40"/>
        <w:spacing w:after="0" w:line="277" w:lineRule="auto"/>
        <w:rPr>
          <w:sz w:val="20"/>
          <w:szCs w:val="20"/>
          <w:color w:val="auto"/>
        </w:rPr>
      </w:pPr>
      <w:r>
        <w:rPr>
          <w:rFonts w:ascii="Arial" w:cs="Arial" w:eastAsia="Arial" w:hAnsi="Arial"/>
          <w:sz w:val="17"/>
          <w:szCs w:val="17"/>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357" w:lineRule="exact"/>
        <w:rPr>
          <w:sz w:val="20"/>
          <w:szCs w:val="20"/>
          <w:color w:val="auto"/>
        </w:rPr>
      </w:pPr>
    </w:p>
    <w:p>
      <w:pPr>
        <w:ind w:left="493" w:hanging="493"/>
        <w:spacing w:after="0"/>
        <w:tabs>
          <w:tab w:leader="none" w:pos="49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19" w:lineRule="exact"/>
        <w:rPr>
          <w:rFonts w:ascii="Arial" w:cs="Arial" w:eastAsia="Arial" w:hAnsi="Arial"/>
          <w:sz w:val="18"/>
          <w:szCs w:val="18"/>
          <w:b w:val="1"/>
          <w:bCs w:val="1"/>
          <w:color w:val="auto"/>
        </w:rPr>
      </w:pPr>
    </w:p>
    <w:p>
      <w:pPr>
        <w:ind w:left="513"/>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organized and reviewed by management along with its solutions or end markets that the segment serves and presented in two reportable segments. 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Energy Solutions segment was renamed the Engineered Systems segment. The results of the segments are reviewed through the “Income from operations” line on the Condensed Consolidated Statements of Income.</w:t>
      </w:r>
    </w:p>
    <w:p>
      <w:pPr>
        <w:spacing w:after="0" w:line="54" w:lineRule="exact"/>
        <w:rPr>
          <w:rFonts w:ascii="Arial" w:cs="Arial" w:eastAsia="Arial" w:hAnsi="Arial"/>
          <w:sz w:val="18"/>
          <w:szCs w:val="18"/>
          <w:b w:val="1"/>
          <w:bCs w:val="1"/>
          <w:color w:val="auto"/>
        </w:rPr>
      </w:pPr>
    </w:p>
    <w:p>
      <w:pPr>
        <w:ind w:left="513"/>
        <w:spacing w:after="0"/>
        <w:rPr>
          <w:rFonts w:ascii="Arial" w:cs="Arial" w:eastAsia="Arial" w:hAnsi="Arial"/>
          <w:sz w:val="18"/>
          <w:szCs w:val="18"/>
          <w:b w:val="1"/>
          <w:bCs w:val="1"/>
          <w:color w:val="auto"/>
        </w:rPr>
      </w:pPr>
      <w:r>
        <w:rPr>
          <w:rFonts w:ascii="Arial" w:cs="Arial" w:eastAsia="Arial" w:hAnsi="Arial"/>
          <w:sz w:val="18"/>
          <w:szCs w:val="18"/>
          <w:color w:val="auto"/>
        </w:rPr>
        <w:t>The Company’s reportable segments are organized as groups of similar solutions and end markets served, as described as follows:</w:t>
      </w:r>
    </w:p>
    <w:p>
      <w:pPr>
        <w:spacing w:after="0" w:line="218" w:lineRule="exact"/>
        <w:rPr>
          <w:rFonts w:ascii="Arial" w:cs="Arial" w:eastAsia="Arial" w:hAnsi="Arial"/>
          <w:sz w:val="18"/>
          <w:szCs w:val="18"/>
          <w:b w:val="1"/>
          <w:bCs w:val="1"/>
          <w:color w:val="auto"/>
        </w:rPr>
      </w:pPr>
    </w:p>
    <w:p>
      <w:pPr>
        <w:ind w:left="513" w:right="20"/>
        <w:spacing w:after="0" w:line="287"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Engineered Systems segment: </w:t>
      </w:r>
      <w:r>
        <w:rPr>
          <w:rFonts w:ascii="Arial" w:cs="Arial" w:eastAsia="Arial" w:hAnsi="Arial"/>
          <w:sz w:val="17"/>
          <w:szCs w:val="17"/>
          <w:color w:val="auto"/>
        </w:rPr>
        <w:t>Our Engineered Systems segment, formerly known as the Energy Solutions segment, serves the power generation,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refinery, water/waste water, and oil &amp; gas markets. We are a key part of helping meet the global demand for environmental and equipment protection through our highly engineered emissions management, product recovery, water and gas separation solutions.</w:t>
      </w:r>
    </w:p>
    <w:p>
      <w:pPr>
        <w:spacing w:after="0" w:line="158" w:lineRule="exact"/>
        <w:rPr>
          <w:rFonts w:ascii="Arial" w:cs="Arial" w:eastAsia="Arial" w:hAnsi="Arial"/>
          <w:sz w:val="18"/>
          <w:szCs w:val="18"/>
          <w:b w:val="1"/>
          <w:bCs w:val="1"/>
          <w:color w:val="auto"/>
        </w:rPr>
      </w:pPr>
    </w:p>
    <w:p>
      <w:pPr>
        <w:ind w:left="513" w:right="8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Industrial Process Solutions segment: </w:t>
      </w:r>
      <w:r>
        <w:rPr>
          <w:rFonts w:ascii="Arial" w:cs="Arial" w:eastAsia="Arial" w:hAnsi="Arial"/>
          <w:sz w:val="18"/>
          <w:szCs w:val="18"/>
          <w:color w:val="auto"/>
        </w:rPr>
        <w:t>Our Industrial Process Solutions segment is the combination of the segments formerly known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Solutions segment and our Fluid Handling Solutions segment, which serves the broad air pollution control, 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and minimize waste for customers, and ensure they meet regulatory compliance standards for toxic emissions, fumes, volatile organic compounds and odors.</w:t>
      </w:r>
    </w:p>
    <w:p>
      <w:pPr>
        <w:spacing w:after="0" w:line="200" w:lineRule="exact"/>
        <w:rPr>
          <w:sz w:val="20"/>
          <w:szCs w:val="20"/>
          <w:color w:val="auto"/>
        </w:rPr>
      </w:pPr>
    </w:p>
    <w:p>
      <w:pPr>
        <w:spacing w:after="0" w:line="20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3"/>
          </w:cols>
          <w:pgMar w:left="327" w:top="3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financial segment information is presented in the following tables: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78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1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16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Engineered Systems</w:t>
            </w:r>
          </w:p>
        </w:tc>
        <w:tc>
          <w:tcPr>
            <w:tcW w:w="20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w:t>
            </w:r>
          </w:p>
        </w:tc>
        <w:tc>
          <w:tcPr>
            <w:tcW w:w="16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Net sales</w:t>
            </w:r>
          </w:p>
        </w:tc>
        <w:tc>
          <w:tcPr>
            <w:tcW w:w="16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78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16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Engineered Systems</w:t>
            </w:r>
          </w:p>
        </w:tc>
        <w:tc>
          <w:tcPr>
            <w:tcW w:w="20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6,170</w:t>
            </w:r>
          </w:p>
        </w:tc>
        <w:tc>
          <w:tcPr>
            <w:tcW w:w="16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(6,938)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440" w:hanging="203"/>
        <w:spacing w:after="0"/>
        <w:tabs>
          <w:tab w:leader="none" w:pos="440" w:val="left"/>
        </w:tabs>
        <w:numPr>
          <w:ilvl w:val="0"/>
          <w:numId w:val="13"/>
        </w:numPr>
        <w:rPr>
          <w:rFonts w:ascii="Arial" w:cs="Arial" w:eastAsia="Arial" w:hAnsi="Arial"/>
          <w:sz w:val="13"/>
          <w:szCs w:val="13"/>
          <w:color w:val="auto"/>
        </w:rPr>
      </w:pPr>
      <w:r>
        <w:rPr>
          <w:rFonts w:ascii="Arial" w:cs="Arial" w:eastAsia="Arial" w:hAnsi="Arial"/>
          <w:sz w:val="16"/>
          <w:szCs w:val="16"/>
          <w:color w:val="auto"/>
        </w:rPr>
        <w:t>Includes corporate compensation, professional services, information technology, and other general and administrative corporate expenses.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56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16"/>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1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Engineered Systems</w:t>
            </w:r>
          </w:p>
        </w:tc>
        <w:tc>
          <w:tcPr>
            <w:tcW w:w="21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w:t>
            </w:r>
          </w:p>
        </w:tc>
        <w:tc>
          <w:tcPr>
            <w:tcW w:w="1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18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additions</w:t>
            </w:r>
          </w:p>
        </w:tc>
        <w:tc>
          <w:tcPr>
            <w:tcW w:w="1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56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Engineered Systems</w:t>
            </w:r>
          </w:p>
        </w:tc>
        <w:tc>
          <w:tcPr>
            <w:tcW w:w="21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34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w:t>
            </w:r>
          </w:p>
        </w:tc>
        <w:tc>
          <w:tcPr>
            <w:tcW w:w="1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18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2,435</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Engineered Systems</w:t>
            </w:r>
          </w:p>
        </w:tc>
        <w:tc>
          <w:tcPr>
            <w:tcW w:w="21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264,607</w:t>
            </w:r>
          </w:p>
        </w:tc>
        <w:tc>
          <w:tcPr>
            <w:tcW w:w="34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270,573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Process Solutions</w:t>
            </w:r>
          </w:p>
        </w:tc>
        <w:tc>
          <w:tcPr>
            <w:tcW w:w="1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137,351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11,699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Identifiable assets</w:t>
            </w:r>
          </w:p>
        </w:tc>
        <w:tc>
          <w:tcPr>
            <w:tcW w:w="186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413,657</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40" w:hanging="203"/>
        <w:spacing w:after="0"/>
        <w:tabs>
          <w:tab w:leader="none" w:pos="440" w:val="left"/>
        </w:tabs>
        <w:numPr>
          <w:ilvl w:val="0"/>
          <w:numId w:val="14"/>
        </w:numPr>
        <w:rPr>
          <w:rFonts w:ascii="Arial" w:cs="Arial" w:eastAsia="Arial" w:hAnsi="Arial"/>
          <w:sz w:val="14"/>
          <w:szCs w:val="14"/>
          <w:color w:val="auto"/>
        </w:rPr>
      </w:pPr>
      <w:r>
        <w:rPr>
          <w:rFonts w:ascii="Arial" w:cs="Arial" w:eastAsia="Arial" w:hAnsi="Arial"/>
          <w:sz w:val="18"/>
          <w:szCs w:val="18"/>
          <w:color w:val="auto"/>
        </w:rPr>
        <w:t>Corporate and Other assets consist primarily of cash and income tax related assets.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2"/>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2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Engineered Systems</w:t>
            </w:r>
          </w:p>
        </w:tc>
        <w:tc>
          <w:tcPr>
            <w:tcW w:w="2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99,617</w:t>
            </w:r>
          </w:p>
        </w:tc>
        <w:tc>
          <w:tcPr>
            <w:tcW w:w="1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99,785</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Process Solutions</w:t>
            </w:r>
          </w:p>
        </w:tc>
        <w:tc>
          <w:tcPr>
            <w:tcW w:w="2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62,035</w:t>
            </w:r>
          </w:p>
        </w:tc>
        <w:tc>
          <w:tcPr>
            <w:tcW w:w="10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Goodwill</w:t>
            </w:r>
          </w:p>
        </w:tc>
        <w:tc>
          <w:tcPr>
            <w:tcW w:w="20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69850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20"/>
          </w:cols>
          <w:pgMar w:left="840" w:top="555" w:right="7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19" w:lineRule="exact"/>
        <w:rPr>
          <w:sz w:val="20"/>
          <w:szCs w:val="20"/>
          <w:color w:val="auto"/>
        </w:rPr>
      </w:pPr>
    </w:p>
    <w:p>
      <w:pPr>
        <w:ind w:left="520" w:right="360"/>
        <w:spacing w:after="0" w:line="275"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Three months ended March 31, 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Intra-</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rPr>
              <w:t>Less Inter-Segment Sales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Engineered</w:t>
            </w: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4"/>
              </w:rPr>
              <w:t>Process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0"/>
        </w:trPr>
        <w:tc>
          <w:tcPr>
            <w:tcW w:w="31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Systems</w:t>
            </w:r>
          </w:p>
        </w:tc>
        <w:tc>
          <w:tcPr>
            <w:tcW w:w="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Engineered Systems</w:t>
            </w:r>
          </w:p>
        </w:tc>
        <w:tc>
          <w:tcPr>
            <w:tcW w:w="1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44,476</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(2,374)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Process Solutions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480"/>
              <w:spacing w:after="0"/>
              <w:rPr>
                <w:sz w:val="20"/>
                <w:szCs w:val="20"/>
                <w:color w:val="auto"/>
              </w:rPr>
            </w:pPr>
            <w:r>
              <w:rPr>
                <w:rFonts w:ascii="Arial" w:cs="Arial" w:eastAsia="Arial" w:hAnsi="Arial"/>
                <w:sz w:val="18"/>
                <w:szCs w:val="18"/>
                <w:b w:val="1"/>
                <w:bCs w:val="1"/>
                <w:color w:val="auto"/>
              </w:rPr>
              <w:t>Net Sales</w:t>
            </w: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0"/>
              </w:rPr>
              <w:t>(5,148)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rPr>
              <w:t>Three months ended March 31,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Intra-</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rPr>
              <w:t>Less Inter-Segment Sales</w:t>
            </w:r>
          </w:p>
        </w:tc>
        <w:tc>
          <w:tcPr>
            <w:tcW w:w="60" w:type="dxa"/>
            <w:vAlign w:val="bottom"/>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Net Sales to</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Engineered</w:t>
            </w:r>
          </w:p>
        </w:tc>
        <w:tc>
          <w:tcPr>
            <w:tcW w:w="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4"/>
              </w:rPr>
              <w:t>Process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Outside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Systems</w:t>
            </w:r>
          </w:p>
        </w:tc>
        <w:tc>
          <w:tcPr>
            <w:tcW w:w="6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Customers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Engineered Systems</w:t>
            </w:r>
          </w:p>
        </w:tc>
        <w:tc>
          <w:tcPr>
            <w:tcW w:w="1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53,338</w:t>
            </w:r>
          </w:p>
        </w:tc>
        <w:tc>
          <w:tcPr>
            <w:tcW w:w="16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(2,535)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50,646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Process Solutions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(3,666)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29,840</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160" w:type="dxa"/>
            <w:vAlign w:val="bottom"/>
          </w:tcPr>
          <w:p>
            <w:pPr>
              <w:ind w:left="480"/>
              <w:spacing w:after="0"/>
              <w:rPr>
                <w:sz w:val="20"/>
                <w:szCs w:val="20"/>
                <w:color w:val="auto"/>
              </w:rPr>
            </w:pPr>
            <w:r>
              <w:rPr>
                <w:rFonts w:ascii="Arial" w:cs="Arial" w:eastAsia="Arial" w:hAnsi="Arial"/>
                <w:sz w:val="18"/>
                <w:szCs w:val="18"/>
                <w:b w:val="1"/>
                <w:bCs w:val="1"/>
                <w:color w:val="auto"/>
              </w:rPr>
              <w:t>Net Sales</w:t>
            </w: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0"/>
              </w:rPr>
              <w:t>(6,201)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80,486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 w:name="page19"/>
    <w:bookmarkEnd w:id="18"/>
    <w:p>
      <w:pPr>
        <w:jc w:val="center"/>
        <w:ind w:left="400" w:right="2440"/>
        <w:spacing w:after="0" w:line="262"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Company’s Condensed Consolidated Statements of Income for the three-months ended March 31, 2021 and 2020 reflect the consolidated operations of the Company and its subsidiaries.</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CECO Environmental Corp. (the “Company”, “CECO”, “we”, “us”, or “our”) is a global leader in industrial air quality and fluid handling serving the energy, industrial and other niche markets through an attractive asset-light business model. We focus on engineering, designing, building, and installing systems that capture, clean and destroy airborne contaminants from industrial facilities, including equipment that controls emissions from such facilities, as well as fluid handling and filtration systems. CECO provides innovative technology and application expertise that helps companies grow their businesses with safe, clean, and more efficient solutions to protect our shared environment.</w:t>
      </w:r>
    </w:p>
    <w:p>
      <w:pPr>
        <w:spacing w:after="0" w:line="17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CECO serves diverse industries globally by working to improve air quality, optimizing the energy value chain, and providing customized Engineered Systems in our customers’ mission critical applications. The industries CECO serves include power generation, petrochemical processing, general industrial, refining, oil &amp; gas, electric vehicle production, poly silicon fabrication, battery recycling, and wastewater treatment, along with a wide range of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characterized COVID-19 as a pandemic. As of April 30, 2021, the virus continues to spread and has had a significant impact on worldwide economic activity and on macroeconomic conditions and the end markets of our business.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key supplier to critical infrastructure projects, CECO has worked to maintain ongoing operations. Within the United States, certain portions of our business have been designated an essential business, and we continue to operate our business in compliance with applicable state and local laws and are observing recommended CDC guidelines to minimize the risk of spreading the COVID-19 virus including implementing, where possible, work-from-home procedures and additional sanitization efforts where facilities remain open to provide necessary services..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senior management team meets regularly to review and assess the status of the Company's operations and the health and safety of its employees. The senior management team continues to monitor and manage the Company’s ability to operate effectively and, to date, the Company has not experienced any significant disruptions within its supply chain as a result of the COVID-19 pandemic. Notwithstanding the Company's continued efforts, as the COVID-19 pandemic continues, health concern risks remain, and we cannot predict whether any of our manufacturing, operational or suppliers will experience disruptions, or how long such disruptions would last. It also remains unclear how various national, state, and local governments will react if the distribution of vaccines is slower than expected or new variants of the virus become more dominant. COVID-19 has had and may have further negative impacts on its operations, customers and supply chain despite the preventative and precautionary measures being taken. COVID-19 began to impact the Company during the first quarter of 2020 and if the COVID-19 pandemic worsens or the pandemic continues longer than presently expected, COVID 19 could impact our results of operations, financial position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8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financial performance and the Company believes it provides greater transparency to investors as supplemental information to its GAAP results.</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provides non-GAAP operating income and non-GAAP operating margin to exclude certain items that the Company believes are not indicative of its ongoing operations. These items relate to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Income for the three-months ended March 31, 2021 and 2020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4"/>
                <w:szCs w:val="14"/>
                <w:color w:val="auto"/>
              </w:rPr>
            </w:pPr>
          </w:p>
        </w:tc>
        <w:tc>
          <w:tcPr>
            <w:tcW w:w="362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200" w:type="dxa"/>
            <w:vAlign w:val="bottom"/>
            <w:tcBorders>
              <w:bottom w:val="single" w:sz="8" w:color="CFF0FC"/>
            </w:tcBorders>
            <w:vMerge w:val="continue"/>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4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35.2%</w:t>
            </w:r>
          </w:p>
        </w:tc>
        <w:tc>
          <w:tcPr>
            <w:tcW w:w="0" w:type="dxa"/>
            <w:vAlign w:val="bottom"/>
          </w:tcPr>
          <w:p>
            <w:pPr>
              <w:spacing w:after="0"/>
              <w:rPr>
                <w:sz w:val="1"/>
                <w:szCs w:val="1"/>
                <w:color w:val="auto"/>
              </w:rPr>
            </w:pPr>
          </w:p>
        </w:tc>
      </w:tr>
      <w:tr>
        <w:trPr>
          <w:trHeight w:val="22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4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27.0%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27.3%</w:t>
            </w:r>
          </w:p>
        </w:tc>
        <w:tc>
          <w:tcPr>
            <w:tcW w:w="0" w:type="dxa"/>
            <w:vAlign w:val="bottom"/>
          </w:tcPr>
          <w:p>
            <w:pPr>
              <w:spacing w:after="0"/>
              <w:rPr>
                <w:sz w:val="1"/>
                <w:szCs w:val="1"/>
                <w:color w:val="auto"/>
              </w:rPr>
            </w:pPr>
          </w:p>
        </w:tc>
      </w:tr>
      <w:tr>
        <w:trPr>
          <w:trHeight w:val="22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4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margin</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i w:val="1"/>
                <w:iCs w:val="1"/>
                <w:color w:val="auto"/>
              </w:rPr>
              <w:t>4.3%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compare operating performance between the three-months ended March 31, 2021 and 2020,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See “Note Regarding Use of Non-GAAP Financial Measures” above. The following table presents the reconciliation of GAAP operating income and GAAP operating margin to non-GAAP operating income and non-GAAP operating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4"/>
                <w:szCs w:val="14"/>
                <w:color w:val="auto"/>
              </w:rPr>
            </w:pPr>
          </w:p>
        </w:tc>
        <w:tc>
          <w:tcPr>
            <w:tcW w:w="36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vMerge w:val="continue"/>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4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4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7.0%</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7.8%</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Net sales for the first quarter of 2021 decreased $8.6 million, or 10.7%, to $71.9 million compared with $80.5 million in the first quarter of 2020. The decrease is primarily attributable to the effects of COVID-19 on global demand for certain products, which included decreases of $4.9 million in custom-designed sheet metal fabrication, $4.2 million in custom-engineered cyclone systems, $3.6 million in our selective catalytic reduction (“SCR”) technologies and $0.5 million in De-Nox and emissions management systems. These decreases were partially offset by increases of $2.7 million in our volatile organic compounds (“VOC”) abatement solutions from the Environmental Integrated Solutions (“EIS”) acquisition and $2.0 million in regenerative thermal Oxidizer (“RTO”) system solutions.</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40" w:right="239" w:bottom="1440" w:gutter="0" w:footer="0" w:header="0"/>
        </w:sectPr>
      </w:pPr>
    </w:p>
    <w:bookmarkStart w:id="20" w:name="page21"/>
    <w:bookmarkEnd w:id="20"/>
    <w:p>
      <w:pPr>
        <w:ind w:right="160"/>
        <w:spacing w:after="0" w:line="262" w:lineRule="auto"/>
        <w:rPr>
          <w:sz w:val="20"/>
          <w:szCs w:val="20"/>
          <w:color w:val="auto"/>
        </w:rPr>
      </w:pPr>
      <w:r>
        <w:rPr>
          <w:rFonts w:ascii="Arial" w:cs="Arial" w:eastAsia="Arial" w:hAnsi="Arial"/>
          <w:sz w:val="18"/>
          <w:szCs w:val="18"/>
          <w:color w:val="auto"/>
        </w:rPr>
        <w:t>Gross profit decreased $3.9 million, or 13.7%, to $24.4 million in the first quarter of 2021 compared with $28.3 million in the same period of 2020. The decrease in gross profit is primarily related to the decrease in net sales and the mix of products sold during the period. Gross profit as a percentage of sales decreased to 33.9% in the first quarter of 2021 compared with 35.2% in the first quarter of 2020.</w:t>
      </w:r>
    </w:p>
    <w:p>
      <w:pPr>
        <w:spacing w:after="0" w:line="182"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Orders booked were $92.1 million during the first quarter of 2021 as compared with $75.7 million during the first quarter of 2020. The increase in orders is primarily attributable to increases in the electrical vehicle production, engineered wood, refinery and power generation end markets.</w:t>
      </w:r>
    </w:p>
    <w:p>
      <w:pPr>
        <w:spacing w:after="0" w:line="148"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Selling and administrative expenses were $19.5 million for the first quarter of 2021 compared with $22.0 million for the first quarter of 2020. The decrease is primarily attributable to the proactive cost reduction measures related to the COVID-19 pandemic which were implemented in the second quarter of 2020. Selling and administrative expenses as a percentage of sales was 27.1% in first quarter of 2021 compared with 27.3% in the first quarter of 2020.</w:t>
      </w:r>
    </w:p>
    <w:p>
      <w:pPr>
        <w:spacing w:after="0" w:line="14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Amortization and earnout expense was $1.8 million for the first quarter of 2021 compared with $1.7 million in first quarter of 2020. The increase in expense is attributable $0.1 million increase in earnout expense.</w:t>
      </w:r>
    </w:p>
    <w:p>
      <w:pPr>
        <w:spacing w:after="0" w:line="17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Operating income decreased $1.1 million to $3.1 million in the first quarter of 2021 compared with $4.2 million during the first quarter of 2020. Non-GAAP operating income was $5.0 million for the first quarter of 2021 compared with $6.3 million for the first quarter of 2020. The decrease in operating income and non-GAAP operating income is primarily attributable to the decline in sales partially offset by the decrease in selling and administration expense, as described above. Operating income as a percentage of sales decreased to 4.3% for the first quarter of 2021 from 5.2% in the first quarter of 2020. Non-GAAP operating income as a percentage of sales decreased to 6.8% for the first quarter of 2021 from 7.8% for the first quarter of 2020.</w:t>
      </w:r>
    </w:p>
    <w:p>
      <w:pPr>
        <w:spacing w:after="0" w:line="15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Interest expense decreased to $0.7 million in the first quarter of 2021 compared with $1.0 million in the first quarter of 2020. The decrease in interest expense is primarily due to a reduced debt balance for the three-month period in 2021 compared to 2020.</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tax expense was $0.6 million and $0.8 million for the first quarter of 2021 and 2020, respectively. The effective income tax rate for the first quarter of 2021 was 29.8% compared with 18.6% for first quarter of 2020. The effective income tax rate for the first quarter of 2021 is higher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Engineered Solutions segment was renamed the Engineered Systems segment. The results of the segments for the prior year periods have been re-cast to reflect this re-alignment. See note 15 to the consolidated financial statements included in this report.</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500" w:type="dxa"/>
            <w:vAlign w:val="bottom"/>
            <w:tcBorders>
              <w:bottom w:val="single" w:sz="8" w:color="CFF0FC"/>
            </w:tcBorders>
            <w:vMerge w:val="continue"/>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and inter-segment sales)</w:t>
            </w:r>
          </w:p>
        </w:tc>
        <w:tc>
          <w:tcPr>
            <w:tcW w:w="28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8"/>
                <w:szCs w:val="18"/>
                <w:color w:val="auto"/>
              </w:rPr>
              <w:t>Engineered Systems</w:t>
            </w:r>
          </w:p>
        </w:tc>
        <w:tc>
          <w:tcPr>
            <w:tcW w:w="32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42,057</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w:t>
            </w:r>
          </w:p>
        </w:tc>
        <w:tc>
          <w:tcPr>
            <w:tcW w:w="28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29,835</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260"/>
              <w:spacing w:after="0"/>
              <w:rPr>
                <w:sz w:val="20"/>
                <w:szCs w:val="20"/>
                <w:color w:val="auto"/>
              </w:rPr>
            </w:pPr>
            <w:r>
              <w:rPr>
                <w:rFonts w:ascii="Arial" w:cs="Arial" w:eastAsia="Arial" w:hAnsi="Arial"/>
                <w:sz w:val="18"/>
                <w:szCs w:val="18"/>
                <w:b w:val="1"/>
                <w:bCs w:val="1"/>
                <w:color w:val="auto"/>
              </w:rPr>
              <w:t>Net sales</w:t>
            </w:r>
          </w:p>
        </w:tc>
        <w:tc>
          <w:tcPr>
            <w:tcW w:w="282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71,892</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20" w:type="dxa"/>
            <w:vAlign w:val="bottom"/>
            <w:vMerge w:val="restart"/>
          </w:tcPr>
          <w:p>
            <w:pPr>
              <w:jc w:val="right"/>
              <w:ind w:right="151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45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CFF0FC"/>
            </w:tcBorders>
            <w:vMerge w:val="continue"/>
          </w:tcPr>
          <w:p>
            <w:pPr>
              <w:spacing w:after="0"/>
              <w:rPr>
                <w:sz w:val="13"/>
                <w:szCs w:val="13"/>
                <w:color w:val="auto"/>
              </w:rPr>
            </w:pPr>
          </w:p>
        </w:tc>
        <w:tc>
          <w:tcPr>
            <w:tcW w:w="266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Arial" w:cs="Arial" w:eastAsia="Arial" w:hAnsi="Arial"/>
                <w:sz w:val="18"/>
                <w:szCs w:val="18"/>
                <w:color w:val="auto"/>
              </w:rPr>
              <w:t>Engineered Systems</w:t>
            </w:r>
          </w:p>
        </w:tc>
        <w:tc>
          <w:tcPr>
            <w:tcW w:w="306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6,170</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w:t>
            </w: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(6,938)</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22"/>
        </w:trPr>
        <w:tc>
          <w:tcPr>
            <w:tcW w:w="4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6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80" w:hanging="873"/>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115"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Our Engineered Systems segment net sales decreased $8.5 million to $42.1 million in the first quarter of 2021 compared with $50.6 million in the same period of 2020. The decrease is primarily attributable to the effects of COVID-19 on global demand for certain products, which included decreases of $4.2 million in custom-engineered cyclone systems, $3.6 million in our SCR technologies and $0.5 million in De-Nox and emissions management systems.</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Operating income for the Engineered Systems segment decreased $2.4 million to $6.2 million in the first quarter of 2021 compared with $8.6 million in the same period of 2020. The change is primarily attributable to decrease in gross profit of $3.4 million due to unfavorable product mix, offset by a decrease of $0.8 million in administrative expenses related to the proactive cost reduction measures related to the COVID-19 pandemic which were not implemented until the second quarter of 2020 and a decrease of $0.2 million in amortization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115"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Our Industrial Process Solutions segment net sales were $29.8 million in the first quarter of 2021 and 2020, respectively. Net sales remained consistent with the prior year period due to current year net sales increases of $2.7 million in our VOC abatement solutions business from the EIS acquisition, $2.0 million in RTO system solutions, and $0.3 million in metallic pumps, partially offset by a decrease of $4.9 million in custom-designed sheet metal fabrication.</w:t>
      </w:r>
    </w:p>
    <w:p>
      <w:pPr>
        <w:spacing w:after="0" w:line="14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Operating income for the Industrial Process Solutions segment increased $0.7 million to $3.8 million in the first quarter of 2021 compared with $3.1 million in the first quarter of 2020. The increase is primarily attributable to a $1.3 million decrease in selling and administration expenses related to proactive cost reduction measures related to the COVID-19 pandemic which were not implemented until the second quarter of 2020, partially offset by a $0.5 million decrease in gross profit primarily due to unfavorable product mix.</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Operating expense for the Corporate and Other segment decreased $0.4 million to $7.0 million in the first quarter of 2021 compared with $7.4 million in the first quarter of 2020. The decrease is attributable to $0.2 million in restructuring expenses related to the first quarter of 2020 and a $0.2 million decrease in 2021 selling and administration expenses due to proactive cost reduction measures related to the COVID-19 pandemic which were not implemented until the second quarter of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Backlog increased to $203.1 million as of March 31, 2021 from $183.1 million as of December 31, 2020.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At March 31, 2021, the Company had working capital of $75.4 million, compared with $74.1 million at December 31, 2020. The ratio of current assets to current liabilities was 1.71 to 1.00 on March 31, 2021, as compared with a ratio of 1.68 to 1.00 at December 31, 2020.</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March 31, 2021 and December 31, 2020, cash and cash equivalents totaled $40.9 million and $36.0 million, respectively. As of March 31, 2021 and December 31, 2020, $26.4 million and $28.0 million, respectively, of our cash and cash equivalents were held by certain non-United States subsidiaries, as well as being denominated in foreign currencies.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40" w:type="dxa"/>
            <w:vAlign w:val="bottom"/>
          </w:tcPr>
          <w:p>
            <w:pPr>
              <w:spacing w:after="0"/>
              <w:rPr>
                <w:sz w:val="14"/>
                <w:szCs w:val="14"/>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2020</w:t>
            </w:r>
          </w:p>
        </w:tc>
      </w:tr>
      <w:tr>
        <w:trPr>
          <w:trHeight w:val="208"/>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w:t>
            </w:r>
          </w:p>
        </w:tc>
        <w:tc>
          <w:tcPr>
            <w:tcW w:w="2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5"/>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through June 2021, $0.9 million through June 2023, and $1.3 million</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thereafter with balance due upon maturity in June 2024.</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300" w:type="dxa"/>
            <w:vAlign w:val="bottom"/>
          </w:tcPr>
          <w:p>
            <w:pPr>
              <w:ind w:left="140"/>
              <w:spacing w:after="0"/>
              <w:rPr>
                <w:sz w:val="20"/>
                <w:szCs w:val="20"/>
                <w:color w:val="auto"/>
              </w:rPr>
            </w:pPr>
            <w:r>
              <w:rPr>
                <w:rFonts w:ascii="Arial" w:cs="Arial" w:eastAsia="Arial" w:hAnsi="Arial"/>
                <w:sz w:val="18"/>
                <w:szCs w:val="18"/>
                <w:color w:val="auto"/>
              </w:rPr>
              <w:t>-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45,625</w:t>
            </w:r>
          </w:p>
        </w:tc>
        <w:tc>
          <w:tcPr>
            <w:tcW w:w="3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Revolving Credit Loan</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20" w:type="dxa"/>
            <w:vAlign w:val="bottom"/>
            <w:shd w:val="clear" w:color="auto" w:fill="CFF0FC"/>
          </w:tcPr>
          <w:p>
            <w:pPr>
              <w:spacing w:after="0"/>
              <w:rPr>
                <w:sz w:val="19"/>
                <w:szCs w:val="19"/>
                <w:color w:val="auto"/>
              </w:rPr>
            </w:pPr>
          </w:p>
        </w:tc>
      </w:tr>
      <w:tr>
        <w:trPr>
          <w:trHeight w:val="228"/>
        </w:trPr>
        <w:tc>
          <w:tcPr>
            <w:tcW w:w="7300" w:type="dxa"/>
            <w:vAlign w:val="bottom"/>
          </w:tcPr>
          <w:p>
            <w:pPr>
              <w:ind w:left="140"/>
              <w:spacing w:after="0"/>
              <w:rPr>
                <w:sz w:val="20"/>
                <w:szCs w:val="20"/>
                <w:color w:val="auto"/>
              </w:rPr>
            </w:pPr>
            <w:r>
              <w:rPr>
                <w:rFonts w:ascii="Arial" w:cs="Arial" w:eastAsia="Arial" w:hAnsi="Arial"/>
                <w:sz w:val="18"/>
                <w:szCs w:val="18"/>
                <w:color w:val="auto"/>
              </w:rPr>
              <w:t>- Unamortized debt discount</w:t>
            </w:r>
          </w:p>
        </w:tc>
        <w:tc>
          <w:tcPr>
            <w:tcW w:w="240" w:type="dxa"/>
            <w:vAlign w:val="bottom"/>
          </w:tcPr>
          <w:p>
            <w:pPr>
              <w:spacing w:after="0"/>
              <w:rPr>
                <w:sz w:val="19"/>
                <w:szCs w:val="19"/>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(1,334)</w:t>
            </w:r>
          </w:p>
        </w:tc>
      </w:tr>
      <w:tr>
        <w:trPr>
          <w:trHeight w:val="222"/>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69,392</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8"/>
        </w:trPr>
        <w:tc>
          <w:tcPr>
            <w:tcW w:w="7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(3,437)</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(3,125)</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65,955</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69,491</w:t>
            </w:r>
          </w:p>
        </w:tc>
        <w:tc>
          <w:tcPr>
            <w:tcW w:w="12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outstanding borrowings in the United States consist of senior secured term loan and a senior secured revolver loan with sub-facilities for letters of credit, swing-line loans and multi-currency loans (collectively, the “Credit Facility”). As of March 31, 2021 and December 31, 2020, the Company was in compliance with all related financial and other restrictive covenants under the Credit Facility.</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See Note 7 to the unaudited condensed consolidated financial statements within Item 1 of this Quarterly Report on Form 10-Q for further information on the Company’s debt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2"/>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revolving loans</w:t>
            </w:r>
          </w:p>
        </w:tc>
        <w:tc>
          <w:tcPr>
            <w:tcW w:w="2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40" w:type="dxa"/>
            <w:vAlign w:val="bottom"/>
          </w:tcPr>
          <w:p>
            <w:pPr>
              <w:ind w:left="260"/>
              <w:spacing w:after="0"/>
              <w:rPr>
                <w:sz w:val="20"/>
                <w:szCs w:val="20"/>
                <w:color w:val="auto"/>
              </w:rPr>
            </w:pPr>
            <w:r>
              <w:rPr>
                <w:rFonts w:ascii="Arial" w:cs="Arial" w:eastAsia="Arial" w:hAnsi="Arial"/>
                <w:sz w:val="18"/>
                <w:szCs w:val="18"/>
                <w:color w:val="auto"/>
              </w:rPr>
              <w:t>Draw down</w:t>
            </w: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8"/>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 open</w:t>
            </w:r>
          </w:p>
        </w:tc>
        <w:tc>
          <w:tcPr>
            <w:tcW w:w="2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2"/>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unused credit availability</w:t>
            </w:r>
          </w:p>
        </w:tc>
        <w:tc>
          <w:tcPr>
            <w:tcW w:w="27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2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780" w:type="dxa"/>
            <w:vAlign w:val="bottom"/>
            <w:vMerge w:val="restart"/>
          </w:tcPr>
          <w:p>
            <w:pPr>
              <w:jc w:val="right"/>
              <w:ind w:right="151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4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 of Cash Flows and Liquidity</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586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8"/>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(4,155)</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2"/>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three-months ended March 31, 2021, $9.9 million of cash was provided by operating activities compared with $7.0 million in the prior year period, a $2.9 million increase. Cash flow from operating activities in the first quarter of 2021 had a favorable impact year-over-year primarily due to certain improvements in net working capital.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Investing Activities</w:t>
      </w:r>
    </w:p>
    <w:p>
      <w:pPr>
        <w:spacing w:after="0" w:line="227"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For the three-months ended March 31, 2021, net cash used in investing activities was $42,000, which consisted of $(0.5) million of acquisition of property and equipment, offset by $0.5 million of proceeds from the disposal of assets held for sale, compared with $0.1 million in the prior year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three-months ended March 31, 2021, $(4.2) million was used in financing activities compared with $42.3 million provided by financing activities in the prior year period, a decrease of $46.5 million. For the three-months ended March 2021, the Company used $(0.8) million to make earnout payments and received $0.1 million from proceeds from employee stock purchase plan and exercise of stock options. Additionally, for the first three-months ended March 31, 2021 and 2020, $(2.7) million and $(1.7), respectively were used for repayments on the Company’s revolving credit lines. In the prior year period, as a proactive measure, related to COVID-19, the Company elected to drawdown $40.0 million from its revolving credit facility, to supplement the Company’s already strong cash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2" w:lineRule="exact"/>
        <w:rPr>
          <w:sz w:val="20"/>
          <w:szCs w:val="20"/>
          <w:color w:val="auto"/>
        </w:rPr>
      </w:pPr>
    </w:p>
    <w:p>
      <w:pPr>
        <w:jc w:val="both"/>
        <w:ind w:right="320"/>
        <w:spacing w:after="0" w:line="258" w:lineRule="auto"/>
        <w:rPr>
          <w:sz w:val="20"/>
          <w:szCs w:val="20"/>
          <w:color w:val="auto"/>
        </w:rPr>
      </w:pPr>
      <w:r>
        <w:rPr>
          <w:rFonts w:ascii="Arial" w:cs="Arial" w:eastAsia="Arial" w:hAnsi="Arial"/>
          <w:sz w:val="18"/>
          <w:szCs w:val="18"/>
          <w:color w:val="auto"/>
        </w:rPr>
        <w:t>Management believes there have been no changes during the three-month period ended March 31, 2021,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Quarterly Report on Form 10-Q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Item 1A. Risk Factors” of the Company’s Annual Report on Form 10-K for the fiscal year ended December 31, 2020, and include, but are not limited to:</w:t>
      </w:r>
    </w:p>
    <w:p>
      <w:pPr>
        <w:spacing w:after="0" w:line="123" w:lineRule="exact"/>
        <w:rPr>
          <w:sz w:val="20"/>
          <w:szCs w:val="20"/>
          <w:color w:val="auto"/>
        </w:rPr>
      </w:pPr>
    </w:p>
    <w:p>
      <w:pPr>
        <w:ind w:left="740" w:hanging="370"/>
        <w:spacing w:after="0"/>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sensitivity of our business to economic and financial market conditions generally and economic conditions in CECO’s service areas;</w:t>
      </w:r>
    </w:p>
    <w:p>
      <w:pPr>
        <w:spacing w:after="0" w:line="34" w:lineRule="exact"/>
        <w:rPr>
          <w:rFonts w:ascii="Arial" w:cs="Arial" w:eastAsia="Arial" w:hAnsi="Arial"/>
          <w:sz w:val="17"/>
          <w:szCs w:val="17"/>
          <w:color w:val="auto"/>
        </w:rPr>
      </w:pPr>
    </w:p>
    <w:p>
      <w:pPr>
        <w:ind w:left="740" w:right="200" w:hanging="370"/>
        <w:spacing w:after="0" w:line="249"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ind w:left="740" w:hanging="370"/>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effect of growth on CECO’s infrastructure, resources, and existing sales;</w:t>
      </w:r>
    </w:p>
    <w:p>
      <w:pPr>
        <w:spacing w:after="0" w:line="8" w:lineRule="exact"/>
        <w:rPr>
          <w:rFonts w:ascii="Arial" w:cs="Arial" w:eastAsia="Arial" w:hAnsi="Arial"/>
          <w:sz w:val="18"/>
          <w:szCs w:val="18"/>
          <w:color w:val="auto"/>
        </w:rPr>
      </w:pPr>
    </w:p>
    <w:p>
      <w:pPr>
        <w:ind w:left="740" w:hanging="370"/>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ability to expand operations in both new and existing markets;</w:t>
      </w:r>
    </w:p>
    <w:p>
      <w:pPr>
        <w:spacing w:after="0" w:line="8" w:lineRule="exact"/>
        <w:rPr>
          <w:rFonts w:ascii="Arial" w:cs="Arial" w:eastAsia="Arial" w:hAnsi="Arial"/>
          <w:sz w:val="18"/>
          <w:szCs w:val="18"/>
          <w:color w:val="auto"/>
        </w:rPr>
      </w:pPr>
    </w:p>
    <w:p>
      <w:pPr>
        <w:ind w:left="740" w:hanging="370"/>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potential for contract delay or cancellation;</w:t>
      </w:r>
    </w:p>
    <w:p>
      <w:pPr>
        <w:spacing w:after="0" w:line="8" w:lineRule="exact"/>
        <w:rPr>
          <w:rFonts w:ascii="Arial" w:cs="Arial" w:eastAsia="Arial" w:hAnsi="Arial"/>
          <w:sz w:val="18"/>
          <w:szCs w:val="18"/>
          <w:color w:val="auto"/>
        </w:rPr>
      </w:pPr>
    </w:p>
    <w:p>
      <w:pPr>
        <w:ind w:left="740" w:hanging="370"/>
        <w:spacing w:after="0"/>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liabilities arising from faulty services or products that could result in significant professional or product liability, warranty, or other claims;</w:t>
      </w:r>
    </w:p>
    <w:p>
      <w:pPr>
        <w:spacing w:after="0" w:line="19" w:lineRule="exact"/>
        <w:rPr>
          <w:rFonts w:ascii="Arial" w:cs="Arial" w:eastAsia="Arial" w:hAnsi="Arial"/>
          <w:sz w:val="17"/>
          <w:szCs w:val="17"/>
          <w:color w:val="auto"/>
        </w:rPr>
      </w:pPr>
    </w:p>
    <w:p>
      <w:pPr>
        <w:ind w:left="740" w:hanging="370"/>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5" w:name="page26"/>
    <w:bookmarkEnd w:id="25"/>
    <w:p>
      <w:pPr>
        <w:ind w:left="740" w:right="600" w:hanging="370"/>
        <w:spacing w:after="0" w:line="25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spacing w:after="0" w:line="1" w:lineRule="exact"/>
        <w:rPr>
          <w:rFonts w:ascii="Arial" w:cs="Arial" w:eastAsia="Arial" w:hAnsi="Arial"/>
          <w:sz w:val="18"/>
          <w:szCs w:val="18"/>
          <w:color w:val="auto"/>
        </w:rPr>
      </w:pPr>
    </w:p>
    <w:p>
      <w:pPr>
        <w:ind w:left="740" w:hanging="370"/>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for fluctuations in prices for manufactured components and raw materials, including as a result of tariffs and surcharges;</w:t>
      </w:r>
    </w:p>
    <w:p>
      <w:pPr>
        <w:spacing w:after="0" w:line="19" w:lineRule="exact"/>
        <w:rPr>
          <w:rFonts w:ascii="Arial" w:cs="Arial" w:eastAsia="Arial" w:hAnsi="Arial"/>
          <w:sz w:val="17"/>
          <w:szCs w:val="17"/>
          <w:color w:val="auto"/>
        </w:rPr>
      </w:pPr>
    </w:p>
    <w:p>
      <w:pPr>
        <w:ind w:left="740" w:hanging="370"/>
        <w:spacing w:after="0" w:line="249"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ind w:left="740" w:hanging="370"/>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w:t>
      </w:r>
    </w:p>
    <w:p>
      <w:pPr>
        <w:spacing w:after="0" w:line="8" w:lineRule="exact"/>
        <w:rPr>
          <w:rFonts w:ascii="Arial" w:cs="Arial" w:eastAsia="Arial" w:hAnsi="Arial"/>
          <w:sz w:val="18"/>
          <w:szCs w:val="18"/>
          <w:color w:val="auto"/>
        </w:rPr>
      </w:pPr>
    </w:p>
    <w:p>
      <w:pPr>
        <w:ind w:left="740" w:hanging="370"/>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and political conditions generally;</w:t>
      </w:r>
    </w:p>
    <w:p>
      <w:pPr>
        <w:spacing w:after="0" w:line="8" w:lineRule="exact"/>
        <w:rPr>
          <w:rFonts w:ascii="Arial" w:cs="Arial" w:eastAsia="Arial" w:hAnsi="Arial"/>
          <w:sz w:val="18"/>
          <w:szCs w:val="18"/>
          <w:color w:val="auto"/>
        </w:rPr>
      </w:pPr>
    </w:p>
    <w:p>
      <w:pPr>
        <w:ind w:left="740" w:hanging="370"/>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realize the expected benefits of our restructuring program;</w:t>
      </w:r>
    </w:p>
    <w:p>
      <w:pPr>
        <w:spacing w:after="0" w:line="8" w:lineRule="exact"/>
        <w:rPr>
          <w:rFonts w:ascii="Arial" w:cs="Arial" w:eastAsia="Arial" w:hAnsi="Arial"/>
          <w:sz w:val="18"/>
          <w:szCs w:val="18"/>
          <w:color w:val="auto"/>
        </w:rPr>
      </w:pPr>
    </w:p>
    <w:p>
      <w:pPr>
        <w:ind w:left="740" w:hanging="370"/>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 realize the synergies from strategic transactions;</w:t>
      </w:r>
    </w:p>
    <w:p>
      <w:pPr>
        <w:spacing w:after="0" w:line="8" w:lineRule="exact"/>
        <w:rPr>
          <w:rFonts w:ascii="Arial" w:cs="Arial" w:eastAsia="Arial" w:hAnsi="Arial"/>
          <w:sz w:val="18"/>
          <w:szCs w:val="18"/>
          <w:color w:val="auto"/>
        </w:rPr>
      </w:pPr>
    </w:p>
    <w:p>
      <w:pPr>
        <w:jc w:val="both"/>
        <w:ind w:left="740" w:right="200" w:hanging="370"/>
        <w:spacing w:after="0" w:line="253"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 security threats, acts of terrorism or outbreak of war or hostilities or public health crises, such as uncertainties regarding the extent and duration of impacts of matters associated with COVID-19, as well as management’s response to any of the aforementioned factors.</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carrying value of the Company’s long-term debt and current maturities of long-term debt was $70.6 million at March 31, 2021. Market risk was estimated as the potential decrease (increase) in future earnings and cash flows resulting from a hypothetical 10% increase (decrease) in the Company’s estimated weighted average borrowing rate at March 31, 2021. Most of the interest on the Company’s debt is indexed to either the LIBOR or EURIBOR market rates. The estimated impact of a hypothetical 10% change in the estimated weighted average borrowing rate at March 31, 2021 is $0.2 million on an annual basis.</w:t>
      </w:r>
    </w:p>
    <w:p>
      <w:pPr>
        <w:spacing w:after="0" w:line="1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2021.</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The Company maintains disclosure controls and procedures (as defined in Rule 13a-15(e) of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5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2021.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fiscal quarter ended March 31, 2021, that materially affected, or are reasonably likely to materially affect, the Company’s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44"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9"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2020.</w:t>
      </w:r>
    </w:p>
    <w:p>
      <w:pPr>
        <w:spacing w:after="0" w:line="15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80" w:type="dxa"/>
            <w:vAlign w:val="bottom"/>
            <w:gridSpan w:val="5"/>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89"/>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44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Rule 13(a)/15d-14(a) Certification by Chief Executive Officer</w:t>
              </w:r>
            </w:hyperlink>
          </w:p>
        </w:tc>
        <w:tc>
          <w:tcPr>
            <w:tcW w:w="420" w:type="dxa"/>
            <w:vAlign w:val="bottom"/>
            <w:gridSpan w:val="3"/>
          </w:tcPr>
          <w:p>
            <w:pPr>
              <w:spacing w:after="0"/>
              <w:rPr>
                <w:sz w:val="24"/>
                <w:szCs w:val="24"/>
                <w:color w:val="auto"/>
              </w:rPr>
            </w:pPr>
          </w:p>
        </w:tc>
      </w:tr>
      <w:tr>
        <w:trPr>
          <w:trHeight w:val="316"/>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488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Rule 13(a)/15d-14(a) Certification by Chief Financial Officer</w:t>
              </w:r>
            </w:hyperlink>
          </w:p>
        </w:tc>
      </w:tr>
      <w:tr>
        <w:trPr>
          <w:trHeight w:val="20"/>
        </w:trPr>
        <w:tc>
          <w:tcPr>
            <w:tcW w:w="104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6"/>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4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(18 U.S. Section 1350)</w:t>
              </w:r>
            </w:hyperlink>
          </w:p>
        </w:tc>
        <w:tc>
          <w:tcPr>
            <w:tcW w:w="320" w:type="dxa"/>
            <w:vAlign w:val="bottom"/>
          </w:tcPr>
          <w:p>
            <w:pPr>
              <w:spacing w:after="0"/>
              <w:rPr>
                <w:sz w:val="24"/>
                <w:szCs w:val="24"/>
                <w:color w:val="auto"/>
              </w:rPr>
            </w:pPr>
          </w:p>
        </w:tc>
      </w:tr>
      <w:tr>
        <w:trPr>
          <w:trHeight w:val="316"/>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488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of Chief Financial Officer (18 U.S. Section 1350)</w:t>
              </w:r>
            </w:hyperlink>
          </w:p>
        </w:tc>
      </w:tr>
      <w:tr>
        <w:trPr>
          <w:trHeight w:val="571"/>
        </w:trPr>
        <w:tc>
          <w:tcPr>
            <w:tcW w:w="1040" w:type="dxa"/>
            <w:vAlign w:val="bottom"/>
          </w:tcPr>
          <w:p>
            <w:pPr>
              <w:ind w:left="140"/>
              <w:spacing w:after="0"/>
              <w:rPr>
                <w:sz w:val="20"/>
                <w:szCs w:val="20"/>
                <w:color w:val="auto"/>
              </w:rPr>
            </w:pPr>
            <w:r>
              <w:rPr>
                <w:rFonts w:ascii="Arial" w:cs="Arial" w:eastAsia="Arial" w:hAnsi="Arial"/>
                <w:sz w:val="18"/>
                <w:szCs w:val="18"/>
                <w:color w:val="auto"/>
              </w:rPr>
              <w:t>101.INS</w:t>
            </w:r>
          </w:p>
        </w:tc>
        <w:tc>
          <w:tcPr>
            <w:tcW w:w="45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380" w:type="dxa"/>
            <w:vAlign w:val="bottom"/>
            <w:gridSpan w:val="2"/>
          </w:tcPr>
          <w:p>
            <w:pPr>
              <w:spacing w:after="0"/>
              <w:rPr>
                <w:sz w:val="24"/>
                <w:szCs w:val="24"/>
                <w:color w:val="auto"/>
              </w:rPr>
            </w:pPr>
          </w:p>
        </w:tc>
      </w:tr>
      <w:tr>
        <w:trPr>
          <w:trHeight w:val="336"/>
        </w:trPr>
        <w:tc>
          <w:tcPr>
            <w:tcW w:w="1040" w:type="dxa"/>
            <w:vAlign w:val="bottom"/>
          </w:tcPr>
          <w:p>
            <w:pPr>
              <w:ind w:left="140"/>
              <w:spacing w:after="0"/>
              <w:rPr>
                <w:sz w:val="20"/>
                <w:szCs w:val="20"/>
                <w:color w:val="auto"/>
              </w:rPr>
            </w:pPr>
            <w:r>
              <w:rPr>
                <w:rFonts w:ascii="Arial" w:cs="Arial" w:eastAsia="Arial" w:hAnsi="Arial"/>
                <w:sz w:val="18"/>
                <w:szCs w:val="18"/>
                <w:color w:val="auto"/>
              </w:rPr>
              <w:t>101.SCH</w:t>
            </w:r>
          </w:p>
        </w:tc>
        <w:tc>
          <w:tcPr>
            <w:tcW w:w="48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6"/>
        </w:trPr>
        <w:tc>
          <w:tcPr>
            <w:tcW w:w="1040" w:type="dxa"/>
            <w:vAlign w:val="bottom"/>
          </w:tcPr>
          <w:p>
            <w:pPr>
              <w:ind w:left="140"/>
              <w:spacing w:after="0"/>
              <w:rPr>
                <w:sz w:val="20"/>
                <w:szCs w:val="20"/>
                <w:color w:val="auto"/>
              </w:rPr>
            </w:pPr>
            <w:r>
              <w:rPr>
                <w:rFonts w:ascii="Arial" w:cs="Arial" w:eastAsia="Arial" w:hAnsi="Arial"/>
                <w:sz w:val="18"/>
                <w:szCs w:val="18"/>
                <w:color w:val="auto"/>
              </w:rPr>
              <w:t>101.CAL</w:t>
            </w:r>
          </w:p>
        </w:tc>
        <w:tc>
          <w:tcPr>
            <w:tcW w:w="4880" w:type="dxa"/>
            <w:vAlign w:val="bottom"/>
            <w:gridSpan w:val="5"/>
          </w:tcPr>
          <w:p>
            <w:pPr>
              <w:spacing w:after="0"/>
              <w:rPr>
                <w:sz w:val="20"/>
                <w:szCs w:val="20"/>
                <w:color w:val="auto"/>
              </w:rPr>
            </w:pPr>
            <w:r>
              <w:rPr>
                <w:rFonts w:ascii="Arial" w:cs="Arial" w:eastAsia="Arial" w:hAnsi="Arial"/>
                <w:sz w:val="18"/>
                <w:szCs w:val="18"/>
                <w:color w:val="auto"/>
                <w:w w:val="92"/>
              </w:rPr>
              <w:t>Inline XBRL Taxonomy Extension Calculation Linkbase Document</w:t>
            </w:r>
          </w:p>
        </w:tc>
      </w:tr>
      <w:tr>
        <w:trPr>
          <w:trHeight w:val="336"/>
        </w:trPr>
        <w:tc>
          <w:tcPr>
            <w:tcW w:w="1040" w:type="dxa"/>
            <w:vAlign w:val="bottom"/>
          </w:tcPr>
          <w:p>
            <w:pPr>
              <w:ind w:left="140"/>
              <w:spacing w:after="0"/>
              <w:rPr>
                <w:sz w:val="20"/>
                <w:szCs w:val="20"/>
                <w:color w:val="auto"/>
              </w:rPr>
            </w:pPr>
            <w:r>
              <w:rPr>
                <w:rFonts w:ascii="Arial" w:cs="Arial" w:eastAsia="Arial" w:hAnsi="Arial"/>
                <w:sz w:val="18"/>
                <w:szCs w:val="18"/>
                <w:color w:val="auto"/>
              </w:rPr>
              <w:t>101.DEF</w:t>
            </w:r>
          </w:p>
        </w:tc>
        <w:tc>
          <w:tcPr>
            <w:tcW w:w="4880" w:type="dxa"/>
            <w:vAlign w:val="bottom"/>
            <w:gridSpan w:val="5"/>
          </w:tcPr>
          <w:p>
            <w:pPr>
              <w:spacing w:after="0"/>
              <w:rPr>
                <w:sz w:val="20"/>
                <w:szCs w:val="20"/>
                <w:color w:val="auto"/>
              </w:rPr>
            </w:pPr>
            <w:r>
              <w:rPr>
                <w:rFonts w:ascii="Arial" w:cs="Arial" w:eastAsia="Arial" w:hAnsi="Arial"/>
                <w:sz w:val="18"/>
                <w:szCs w:val="18"/>
                <w:color w:val="auto"/>
                <w:w w:val="94"/>
              </w:rPr>
              <w:t>Inline XBRL Taxonomy Extension Definition Linkbase Document</w:t>
            </w:r>
          </w:p>
        </w:tc>
      </w:tr>
      <w:tr>
        <w:trPr>
          <w:trHeight w:val="336"/>
        </w:trPr>
        <w:tc>
          <w:tcPr>
            <w:tcW w:w="1040" w:type="dxa"/>
            <w:vAlign w:val="bottom"/>
          </w:tcPr>
          <w:p>
            <w:pPr>
              <w:ind w:left="140"/>
              <w:spacing w:after="0"/>
              <w:rPr>
                <w:sz w:val="20"/>
                <w:szCs w:val="20"/>
                <w:color w:val="auto"/>
              </w:rPr>
            </w:pPr>
            <w:r>
              <w:rPr>
                <w:rFonts w:ascii="Arial" w:cs="Arial" w:eastAsia="Arial" w:hAnsi="Arial"/>
                <w:sz w:val="18"/>
                <w:szCs w:val="18"/>
                <w:color w:val="auto"/>
              </w:rPr>
              <w:t>101.LAB</w:t>
            </w:r>
          </w:p>
        </w:tc>
        <w:tc>
          <w:tcPr>
            <w:tcW w:w="48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06" w:lineRule="exact"/>
        <w:rPr>
          <w:sz w:val="20"/>
          <w:szCs w:val="20"/>
          <w:color w:val="auto"/>
        </w:rPr>
      </w:pPr>
    </w:p>
    <w:p>
      <w:pPr>
        <w:ind w:left="1040" w:hanging="904"/>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336" w:right="1440"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500" w:val="left"/>
          <w:tab w:leader="none" w:pos="1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13970</wp:posOffset>
            </wp:positionV>
            <wp:extent cx="2388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3" w:lineRule="exact"/>
        <w:rPr>
          <w:sz w:val="20"/>
          <w:szCs w:val="20"/>
          <w:color w:val="auto"/>
        </w:rPr>
      </w:pPr>
    </w:p>
    <w:p>
      <w:pPr>
        <w:jc w:val="center"/>
        <w:ind w:right="6780"/>
        <w:spacing w:after="0"/>
        <w:rPr>
          <w:sz w:val="20"/>
          <w:szCs w:val="20"/>
          <w:color w:val="auto"/>
        </w:rPr>
      </w:pPr>
      <w:r>
        <w:rPr>
          <w:rFonts w:ascii="Arial" w:cs="Arial" w:eastAsia="Arial" w:hAnsi="Arial"/>
          <w:sz w:val="18"/>
          <w:szCs w:val="18"/>
          <w:b w:val="1"/>
          <w:bCs w:val="1"/>
          <w:color w:val="auto"/>
        </w:rPr>
        <w:t>Matthew Eckl</w:t>
      </w:r>
    </w:p>
    <w:p>
      <w:pPr>
        <w:spacing w:after="0" w:line="21" w:lineRule="exact"/>
        <w:rPr>
          <w:sz w:val="20"/>
          <w:szCs w:val="20"/>
          <w:color w:val="auto"/>
        </w:rPr>
      </w:pPr>
    </w:p>
    <w:p>
      <w:pPr>
        <w:jc w:val="center"/>
        <w:ind w:right="6780"/>
        <w:spacing w:after="0"/>
        <w:rPr>
          <w:sz w:val="20"/>
          <w:szCs w:val="20"/>
          <w:color w:val="auto"/>
        </w:rPr>
      </w:pPr>
      <w:r>
        <w:rPr>
          <w:rFonts w:ascii="Arial" w:cs="Arial" w:eastAsia="Arial" w:hAnsi="Arial"/>
          <w:sz w:val="18"/>
          <w:szCs w:val="18"/>
          <w:b w:val="1"/>
          <w:bCs w:val="1"/>
          <w:color w:val="auto"/>
        </w:rPr>
        <w:t>Chief Financial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320" w:top="336" w:right="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15" w:lineRule="exact"/>
        <w:rPr>
          <w:sz w:val="20"/>
          <w:szCs w:val="20"/>
          <w:color w:val="auto"/>
        </w:rPr>
      </w:pPr>
    </w:p>
    <w:p>
      <w:pPr>
        <w:ind w:left="500" w:hanging="493"/>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5" w:lineRule="exact"/>
        <w:rPr>
          <w:rFonts w:ascii="Arial" w:cs="Arial" w:eastAsia="Arial" w:hAnsi="Arial"/>
          <w:sz w:val="18"/>
          <w:szCs w:val="18"/>
          <w:color w:val="auto"/>
        </w:rPr>
      </w:pPr>
    </w:p>
    <w:p>
      <w:pPr>
        <w:jc w:val="both"/>
        <w:ind w:left="500" w:right="320" w:hanging="493"/>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00" w:right="280" w:hanging="493"/>
        <w:spacing w:after="0" w:line="305"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500" w:right="320" w:hanging="493"/>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00" w:right="80" w:hanging="495"/>
        <w:spacing w:after="0" w:line="262"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00" w:right="400" w:hanging="495"/>
        <w:spacing w:after="0" w:line="262"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00" w:right="580" w:hanging="495"/>
        <w:spacing w:after="0" w:line="339"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6"/>
          <w:szCs w:val="16"/>
          <w:color w:val="auto"/>
        </w:rPr>
      </w:pPr>
    </w:p>
    <w:p>
      <w:pPr>
        <w:ind w:left="1000" w:right="80" w:hanging="495"/>
        <w:spacing w:after="0" w:line="262"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00" w:right="200" w:hanging="493"/>
        <w:spacing w:after="0" w:line="305"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7"/>
          <w:szCs w:val="17"/>
          <w:color w:val="auto"/>
        </w:rPr>
      </w:pPr>
    </w:p>
    <w:p>
      <w:pPr>
        <w:ind w:left="1000" w:right="800" w:hanging="495"/>
        <w:spacing w:after="0" w:line="339"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000" w:right="500" w:hanging="495"/>
        <w:spacing w:after="0" w:line="275"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849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Todd Gleason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5" w:lineRule="exact"/>
        <w:rPr>
          <w:sz w:val="20"/>
          <w:szCs w:val="20"/>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5" w:lineRule="exact"/>
        <w:rPr>
          <w:rFonts w:ascii="Arial" w:cs="Arial" w:eastAsia="Arial" w:hAnsi="Arial"/>
          <w:sz w:val="18"/>
          <w:szCs w:val="18"/>
          <w:color w:val="auto"/>
        </w:rPr>
      </w:pPr>
    </w:p>
    <w:p>
      <w:pPr>
        <w:jc w:val="both"/>
        <w:ind w:left="500" w:right="320" w:hanging="493"/>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00" w:right="280" w:hanging="493"/>
        <w:spacing w:after="0" w:line="305"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500" w:right="320" w:hanging="493"/>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00" w:right="80" w:hanging="495"/>
        <w:spacing w:after="0" w:line="262"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00" w:right="400" w:hanging="495"/>
        <w:spacing w:after="0" w:line="262"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00" w:right="580" w:hanging="495"/>
        <w:spacing w:after="0" w:line="339"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6"/>
          <w:szCs w:val="16"/>
          <w:color w:val="auto"/>
        </w:rPr>
      </w:pPr>
    </w:p>
    <w:p>
      <w:pPr>
        <w:ind w:left="1000" w:right="80" w:hanging="495"/>
        <w:spacing w:after="0" w:line="262"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00" w:right="200" w:hanging="493"/>
        <w:spacing w:after="0" w:line="305"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7"/>
          <w:szCs w:val="17"/>
          <w:color w:val="auto"/>
        </w:rPr>
      </w:pPr>
    </w:p>
    <w:p>
      <w:pPr>
        <w:ind w:left="1000" w:right="800" w:hanging="495"/>
        <w:spacing w:after="0" w:line="339"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000" w:right="500" w:hanging="495"/>
        <w:spacing w:after="0" w:line="275"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849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three-month period ended March 31, 2021 as filed with the Securities and Exchange Commission on the date hereof (the “Report”), I, Todd Gleason, Chief Executive Officer of the Company, certify, pursuant to 18 U.S.C. § 1350, as adopted pursuant to § 906 of the Sarbanes-Oxley Act of 2002, to the best of his knowledge and belief, that:</w:t>
      </w:r>
    </w:p>
    <w:p>
      <w:pPr>
        <w:spacing w:after="0" w:line="40" w:lineRule="exact"/>
        <w:rPr>
          <w:sz w:val="20"/>
          <w:szCs w:val="20"/>
          <w:color w:val="auto"/>
        </w:rPr>
      </w:pPr>
    </w:p>
    <w:p>
      <w:pPr>
        <w:ind w:left="1000" w:hanging="495"/>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7" w:lineRule="exact"/>
        <w:rPr>
          <w:rFonts w:ascii="Arial" w:cs="Arial" w:eastAsia="Arial" w:hAnsi="Arial"/>
          <w:sz w:val="17"/>
          <w:szCs w:val="17"/>
          <w:color w:val="auto"/>
        </w:rPr>
      </w:pPr>
    </w:p>
    <w:p>
      <w:pPr>
        <w:ind w:left="1000" w:right="620" w:hanging="495"/>
        <w:spacing w:after="0" w:line="27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849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Todd Gleason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8"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three-month period ended March 31, 2021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40" w:lineRule="exact"/>
        <w:rPr>
          <w:sz w:val="20"/>
          <w:szCs w:val="20"/>
          <w:color w:val="auto"/>
        </w:rPr>
      </w:pPr>
    </w:p>
    <w:p>
      <w:pPr>
        <w:ind w:left="1000" w:hanging="495"/>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7" w:lineRule="exact"/>
        <w:rPr>
          <w:rFonts w:ascii="Arial" w:cs="Arial" w:eastAsia="Arial" w:hAnsi="Arial"/>
          <w:sz w:val="17"/>
          <w:szCs w:val="17"/>
          <w:color w:val="auto"/>
        </w:rPr>
      </w:pPr>
    </w:p>
    <w:p>
      <w:pPr>
        <w:ind w:left="1000" w:right="62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849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3"/>
    </w:lvl>
  </w:abstractNum>
  <w:abstractNum w:abstractNumId="11">
    <w:nsid w:val="25E45D32"/>
    <w:multiLevelType w:val="hybridMultilevel"/>
    <w:lvl w:ilvl="0">
      <w:lvlJc w:val="left"/>
      <w:lvlText w:val="%1."/>
      <w:numFmt w:val="decimal"/>
      <w:start w:val="15"/>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endash "/>
      <w:numFmt w:val="bullet"/>
      <w:start w:val="1"/>
    </w:lvl>
    <w:lvl w:ilvl="1">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2021-05-06T06:24:44Z</dcterms:created>
  <dcterms:modified xsi:type="dcterms:W3CDTF">2021-05-06T06:24:44Z</dcterms:modified>
</cp:coreProperties>
</file>