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21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-621665</wp:posOffset>
            </wp:positionV>
            <wp:extent cx="57785" cy="635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4525" cy="699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99452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17" w:right="359" w:bottom="655"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Gleason Todd R</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tcPr>
          <w:p>
            <w:pPr>
              <w:ind w:left="40"/>
              <w:spacing w:after="0"/>
              <w:rPr>
                <w:sz w:val="20"/>
                <w:szCs w:val="20"/>
                <w:color w:val="auto"/>
              </w:rPr>
            </w:pPr>
            <w:r>
              <w:rPr>
                <w:rFonts w:ascii="Arial" w:cs="Arial" w:eastAsia="Arial" w:hAnsi="Arial"/>
                <w:sz w:val="13"/>
                <w:szCs w:val="13"/>
                <w:color w:val="auto"/>
              </w:rPr>
              <w:t>(Last)</w:t>
            </w:r>
          </w:p>
        </w:tc>
        <w:tc>
          <w:tcPr>
            <w:tcW w:w="1040" w:type="dxa"/>
            <w:vAlign w:val="bottom"/>
          </w:tcPr>
          <w:p>
            <w:pPr>
              <w:ind w:left="24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r>
      <w:tr>
        <w:trPr>
          <w:trHeight w:val="266"/>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14651 NORTH DALLAS PARKWAY</w:t>
            </w:r>
          </w:p>
        </w:tc>
      </w:tr>
      <w:tr>
        <w:trPr>
          <w:trHeight w:val="256"/>
        </w:trPr>
        <w:tc>
          <w:tcPr>
            <w:tcW w:w="10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SUITE 500</w:t>
            </w: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425"/>
        </w:trPr>
        <w:tc>
          <w:tcPr>
            <w:tcW w:w="1020" w:type="dxa"/>
            <w:vAlign w:val="bottom"/>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8"/>
        </w:trPr>
        <w:tc>
          <w:tcPr>
            <w:tcW w:w="10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DALLAS</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TX</w:t>
            </w:r>
          </w:p>
        </w:tc>
        <w:tc>
          <w:tcPr>
            <w:tcW w:w="8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75254</w:t>
            </w:r>
          </w:p>
        </w:tc>
      </w:tr>
      <w:tr>
        <w:trPr>
          <w:trHeight w:val="464"/>
        </w:trPr>
        <w:tc>
          <w:tcPr>
            <w:tcW w:w="1020" w:type="dxa"/>
            <w:vAlign w:val="bottom"/>
          </w:tcPr>
          <w:p>
            <w:pPr>
              <w:ind w:left="4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0"/>
        </w:trPr>
        <w:tc>
          <w:tcPr>
            <w:tcW w:w="3840" w:type="dxa"/>
            <w:vAlign w:val="bottom"/>
            <w:gridSpan w:val="4"/>
          </w:tcPr>
          <w:p>
            <w:pPr>
              <w:ind w:left="60"/>
              <w:spacing w:after="0" w:line="205"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CECO ENVIRONMENTAL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CECO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820" w:type="dxa"/>
            <w:vAlign w:val="bottom"/>
            <w:tcBorders>
              <w:top w:val="single" w:sz="8" w:color="0000EE"/>
            </w:tcBorders>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5"/>
        </w:trPr>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3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03/15/2024</w:t>
            </w: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02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7"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20" w:lineRule="exact"/>
        <w:rPr>
          <w:sz w:val="24"/>
          <w:szCs w:val="24"/>
          <w:color w:val="auto"/>
        </w:rPr>
      </w:pPr>
    </w:p>
    <w:p>
      <w:pPr>
        <w:ind w:left="320" w:right="34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120" w:space="720"/>
            <w:col w:w="7240"/>
          </w:cols>
          <w:pgMar w:left="460" w:top="217" w:right="359" w:bottom="65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64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7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820"/>
              <w:spacing w:after="0" w:line="127"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5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1"/>
                <w:szCs w:val="11"/>
                <w:color w:val="auto"/>
              </w:rPr>
            </w:pPr>
          </w:p>
        </w:tc>
        <w:tc>
          <w:tcPr>
            <w:tcW w:w="540" w:type="dxa"/>
            <w:vAlign w:val="bottom"/>
          </w:tcPr>
          <w:p>
            <w:pPr>
              <w:ind w:left="240"/>
              <w:spacing w:after="0" w:line="128" w:lineRule="exact"/>
              <w:rPr>
                <w:sz w:val="20"/>
                <w:szCs w:val="20"/>
                <w:color w:val="auto"/>
              </w:rPr>
            </w:pPr>
            <w:r>
              <w:rPr>
                <w:rFonts w:ascii="Arial" w:cs="Arial" w:eastAsia="Arial" w:hAnsi="Arial"/>
                <w:sz w:val="12"/>
                <w:szCs w:val="12"/>
                <w:b w:val="1"/>
                <w:bCs w:val="1"/>
                <w:color w:val="auto"/>
                <w:w w:val="87"/>
              </w:rPr>
              <w:t>(A) or</w:t>
            </w:r>
          </w:p>
        </w:tc>
        <w:tc>
          <w:tcPr>
            <w:tcW w:w="62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03/15/2024</w:t>
            </w: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8"/>
              </w:rPr>
              <w:t>76,337</w:t>
            </w:r>
          </w:p>
        </w:tc>
        <w:tc>
          <w:tcPr>
            <w:tcW w:w="5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5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304,195</w:t>
            </w:r>
            <w:r>
              <w:rPr>
                <w:rFonts w:ascii="Times New Roman" w:cs="Times New Roman" w:eastAsia="Times New Roman" w:hAnsi="Times New Roman"/>
                <w:sz w:val="21"/>
                <w:szCs w:val="21"/>
                <w:color w:val="008000"/>
                <w:w w:val="92"/>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444</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first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444</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second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444</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third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444</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daughter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7"/>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1"/>
          </w:tcPr>
          <w:p>
            <w:pPr>
              <w:jc w:val="right"/>
              <w:ind w:right="9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9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12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2"/>
              </w:rPr>
              <w:t>Exercisable</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ind w:right="14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21.32</w:t>
            </w:r>
          </w:p>
        </w:tc>
        <w:tc>
          <w:tcPr>
            <w:tcW w:w="1040" w:type="dxa"/>
            <w:vAlign w:val="bottom"/>
            <w:vMerge w:val="restart"/>
          </w:tcPr>
          <w:p>
            <w:pPr>
              <w:jc w:val="right"/>
              <w:ind w:right="161"/>
              <w:spacing w:after="0"/>
              <w:rPr>
                <w:sz w:val="20"/>
                <w:szCs w:val="20"/>
                <w:color w:val="auto"/>
              </w:rPr>
            </w:pPr>
            <w:r>
              <w:rPr>
                <w:rFonts w:ascii="Times New Roman" w:cs="Times New Roman" w:eastAsia="Times New Roman" w:hAnsi="Times New Roman"/>
                <w:sz w:val="13"/>
                <w:szCs w:val="13"/>
                <w:color w:val="0000FF"/>
              </w:rPr>
              <w:t>03/15/2024</w:t>
            </w:r>
          </w:p>
        </w:tc>
        <w:tc>
          <w:tcPr>
            <w:tcW w:w="1100" w:type="dxa"/>
            <w:vAlign w:val="bottom"/>
          </w:tcPr>
          <w:p>
            <w:pPr>
              <w:spacing w:after="0"/>
              <w:rPr>
                <w:sz w:val="12"/>
                <w:szCs w:val="12"/>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25,446</w:t>
            </w:r>
          </w:p>
        </w:tc>
        <w:tc>
          <w:tcPr>
            <w:tcW w:w="360" w:type="dxa"/>
            <w:vAlign w:val="bottom"/>
          </w:tcPr>
          <w:p>
            <w:pPr>
              <w:spacing w:after="0"/>
              <w:rPr>
                <w:sz w:val="12"/>
                <w:szCs w:val="12"/>
                <w:color w:val="auto"/>
              </w:rPr>
            </w:pPr>
          </w:p>
        </w:tc>
        <w:tc>
          <w:tcPr>
            <w:tcW w:w="6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320" w:type="dxa"/>
            <w:vAlign w:val="bottom"/>
          </w:tcPr>
          <w:p>
            <w:pPr>
              <w:spacing w:after="0"/>
              <w:rPr>
                <w:sz w:val="12"/>
                <w:szCs w:val="12"/>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25,446</w:t>
            </w: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25,446</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320" w:type="dxa"/>
            <w:vAlign w:val="bottom"/>
          </w:tcPr>
          <w:p>
            <w:pPr>
              <w:spacing w:after="0"/>
              <w:rPr>
                <w:sz w:val="15"/>
                <w:szCs w:val="15"/>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225,000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jc w:val="right"/>
              <w:ind w:right="182"/>
              <w:spacing w:after="0" w:line="128" w:lineRule="exact"/>
              <w:rPr>
                <w:sz w:val="20"/>
                <w:szCs w:val="20"/>
                <w:color w:val="auto"/>
              </w:rPr>
            </w:pPr>
            <w:r>
              <w:rPr>
                <w:rFonts w:ascii="Times New Roman" w:cs="Times New Roman" w:eastAsia="Times New Roman" w:hAnsi="Times New Roman"/>
                <w:sz w:val="13"/>
                <w:szCs w:val="13"/>
                <w:color w:val="0000FF"/>
              </w:rPr>
              <w:t>225,000</w:t>
            </w: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-2353945</wp:posOffset>
            </wp:positionV>
            <wp:extent cx="29210" cy="2359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59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42,893 shares representing the achievement in excess of target for the performance-based restricted stock awards granted on April 1, 2021.</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on March 15, 2025, and expires ten years from the grant date.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Each restricted stock unit represents a contingent right to receive one share of the Company's stock.</w:t>
      </w:r>
    </w:p>
    <w:p>
      <w:pPr>
        <w:spacing w:after="0" w:line="42" w:lineRule="exact"/>
        <w:rPr>
          <w:rFonts w:ascii="Times New Roman" w:cs="Times New Roman" w:eastAsia="Times New Roman" w:hAnsi="Times New Roman"/>
          <w:sz w:val="13"/>
          <w:szCs w:val="13"/>
          <w:color w:val="008000"/>
        </w:rPr>
      </w:pPr>
    </w:p>
    <w:p>
      <w:pPr>
        <w:ind w:left="40" w:right="140" w:firstLine="1"/>
        <w:spacing w:after="0" w:line="246"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at the fourth anniversary of the grant date assuming the reporting person is still employed by the Company and if the shares of the Company's common stock have achieved certain stock price targets over the course of the performance period.</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Kiril Kovachev as Attorney- </w:t>
      </w:r>
      <w:r>
        <w:rPr>
          <w:rFonts w:ascii="Times New Roman" w:cs="Times New Roman" w:eastAsia="Times New Roman" w:hAnsi="Times New Roman"/>
          <w:sz w:val="31"/>
          <w:szCs w:val="31"/>
          <w:color w:val="0000FF"/>
          <w:vertAlign w:val="subscript"/>
        </w:rPr>
        <w:t>03/19/2024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28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Todd Gleason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-20955</wp:posOffset>
            </wp:positionV>
            <wp:extent cx="1064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426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-86360</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65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71235"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2024-03-19T12:36:47Z</dcterms:created>
  <dcterms:modified xsi:type="dcterms:W3CDTF">2024-03-19T12:36:47Z</dcterms:modified>
</cp:coreProperties>
</file>