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reported): April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64" w:space="720"/>
            <w:col w:w="282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80" w:space="720"/>
            <w:col w:w="2320"/>
          </w:cols>
          <w:pgMar w:left="436" w:top="368" w:right="439" w:bottom="1440" w:gutter="0" w:footer="0" w:header="0"/>
          <w:type w:val="continuous"/>
        </w:sectPr>
      </w:pPr>
    </w:p>
    <w:p>
      <w:pPr>
        <w:spacing w:after="0" w:line="235" w:lineRule="exact"/>
        <w:rPr>
          <w:sz w:val="24"/>
          <w:szCs w:val="24"/>
          <w:color w:val="auto"/>
        </w:rPr>
      </w:pPr>
    </w:p>
    <w:p>
      <w:pPr>
        <w:jc w:val="center"/>
        <w:ind w:right="1876"/>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1876"/>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384" w:space="720"/>
            <w:col w:w="2920"/>
          </w:cols>
          <w:pgMar w:left="436" w:top="368" w:right="439" w:bottom="1440" w:gutter="0" w:footer="0" w:header="0"/>
          <w:type w:val="continuous"/>
        </w:sectPr>
      </w:pPr>
    </w:p>
    <w:p>
      <w:pPr>
        <w:ind w:left="152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CECE</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On April 6, 2021, CECO Environmental Corp. (the “Company”) issued a press release announcing the appointment of Mr. Ramesh Nuggihalli as Chief Operating Officer of the Company.</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Mr. Nuggihalli, age 56, brings extensive experience in operational and general management across several industries, with expertise in driving profitable growth in industrial businesses and international operations. From July 23, 2018 to November 1, 2019, Mr. Nuggihalli served as the Chief Operating Officer of NovaTech, LLC, a privately held industrial automation company. Prior to his recent role, Mr. Nuggihalli was based in Singapore and served as President and Managing Director of Greater Asia for Xylem, a global water solutions company. Before Xylem, he was based in Dubai and served as Managing Director of Middle East for Pentair, a global diversified industrial company. Earlier in his career, Mr. Nuggihalli held a number of leadership positions with increasing responsibility at leading diversified industrial companies, including Tyco International, Ametek, General Electric and Babcock &amp; Wilcox.</w:t>
      </w:r>
    </w:p>
    <w:p>
      <w:pPr>
        <w:spacing w:after="0" w:line="19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Mr. Nuggihalli has provided consulting services regarding the Company’s business strategy since November 2020. Mr. Nuggihalli received a total of $128,250 in consulting fees. Upon appointment as Chief Operating Officer, the consulting arrangement was terminated.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Mr. Nuggihalli’s appointment as the Company’s Chief Operating Officer, in addition to customary employee benefits,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Mr. Nuggihalli will be eligible to receive the following compensation:</w:t>
      </w:r>
    </w:p>
    <w:p>
      <w:pPr>
        <w:spacing w:after="0" w:line="116"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Initial base salary of $375,000 per year;</w:t>
      </w:r>
    </w:p>
    <w:p>
      <w:pPr>
        <w:spacing w:after="0" w:line="130"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Participation in the Company’s annual incentive program with a target opportunity equal to 55% of earned base wages (with actual payout ranging from 0-200% of target based on performance);</w:t>
      </w:r>
    </w:p>
    <w:p>
      <w:pPr>
        <w:spacing w:after="0" w:line="75" w:lineRule="exact"/>
        <w:rPr>
          <w:rFonts w:ascii="Arial" w:cs="Arial" w:eastAsia="Arial" w:hAnsi="Arial"/>
          <w:sz w:val="18"/>
          <w:szCs w:val="18"/>
          <w:color w:val="auto"/>
        </w:rPr>
      </w:pPr>
    </w:p>
    <w:p>
      <w:pPr>
        <w:ind w:left="960" w:right="200" w:hanging="532"/>
        <w:spacing w:after="0" w:line="31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Annual participation in the Company’s long-term equity program at a target value of $300,000, generally comprised of 50% target performance-based restricted stock units (generally vesting after a three-year performance period in the case of the 2021 grant) and 50% service-based restricted stock units (“RSUs”) (generally vesting in four equal annual installments in the case of the 2021 grant);</w:t>
      </w:r>
    </w:p>
    <w:p>
      <w:pPr>
        <w:spacing w:after="0" w:line="54" w:lineRule="exact"/>
        <w:rPr>
          <w:rFonts w:ascii="Arial" w:cs="Arial" w:eastAsia="Arial" w:hAnsi="Arial"/>
          <w:sz w:val="16"/>
          <w:szCs w:val="16"/>
          <w:color w:val="auto"/>
        </w:rPr>
      </w:pPr>
    </w:p>
    <w:p>
      <w:pPr>
        <w:ind w:left="960" w:right="38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initial equity award of 24,450 RSUs valued at $200,000 that will generally vest in substantially equal installments on the first four anniversaries of the grant date;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monthly automobile allowance of $1,000.</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In terms of severance benefits, in general, Mr. Nuggihalli will be eligible to receive a lump sum payment of 12 months of his base salary, a pro-rated annual incentive payment for the year of termination based on actual performance, and (if continuation coverage is elected) up to one year of subsidized medical coverage if Mr. Nuggihalli’s employment is terminated by the Company without cause or he terminates his employment for good reason.</w:t>
      </w:r>
    </w:p>
    <w:p>
      <w:pPr>
        <w:sectPr>
          <w:pgSz w:w="11900" w:h="16838" w:orient="portrait"/>
          <w:cols w:equalWidth="0" w:num="1">
            <w:col w:w="10980"/>
          </w:cols>
          <w:pgMar w:left="440" w:top="297" w:right="47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On April 6, 2021, the Company issued a press release announcing Mr. Nuggihalli’s appointment. A copy of the press release is attached as Exhibit 99.1 to this Current Report on Form 8-K.</w:t>
      </w:r>
    </w:p>
    <w:p>
      <w:pPr>
        <w:spacing w:after="0" w:line="170"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information furnished pursuant to Item 7.01 of this Current Report on Form 8-K (including Exhibit 99.1) is being furnished and shall not be deemed “filed” under the Securities Exchange Act of 1934, nor shall it be incorporated by reference into any filings under the Exchange Act or under the Securities Act, except to the extent specifically provided in any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16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9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2"/>
                <w:szCs w:val="22"/>
                <w:color w:val="auto"/>
              </w:rPr>
            </w:pPr>
          </w:p>
        </w:tc>
        <w:tc>
          <w:tcPr>
            <w:tcW w:w="980" w:type="dxa"/>
            <w:vAlign w:val="bottom"/>
            <w:tcBorders>
              <w:bottom w:val="single" w:sz="8" w:color="0000EE"/>
            </w:tcBorders>
          </w:tcPr>
          <w:p>
            <w:pPr>
              <w:spacing w:after="0"/>
              <w:rPr>
                <w:rFonts w:ascii="Arial" w:cs="Arial" w:eastAsia="Arial" w:hAnsi="Arial"/>
                <w:sz w:val="18"/>
                <w:szCs w:val="18"/>
                <w:color w:val="0000EE"/>
                <w:w w:val="81"/>
              </w:rPr>
            </w:pPr>
            <w:hyperlink w:anchor="page5">
              <w:r>
                <w:rPr>
                  <w:rFonts w:ascii="Arial" w:cs="Arial" w:eastAsia="Arial" w:hAnsi="Arial"/>
                  <w:sz w:val="18"/>
                  <w:szCs w:val="18"/>
                  <w:color w:val="0000EE"/>
                  <w:w w:val="81"/>
                </w:rPr>
                <w:t>Press Release</w:t>
              </w:r>
            </w:hyperlink>
          </w:p>
        </w:tc>
        <w:tc>
          <w:tcPr>
            <w:tcW w:w="9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April 6, 2021</w:t>
      </w:r>
      <w:r>
        <w:rPr>
          <w:sz w:val="20"/>
          <w:szCs w:val="20"/>
          <w:color w:val="auto"/>
        </w:rPr>
        <w:tab/>
      </w:r>
      <w:r>
        <w:rPr>
          <w:rFonts w:ascii="Arial" w:cs="Arial" w:eastAsia="Arial" w:hAnsi="Arial"/>
          <w:sz w:val="16"/>
          <w:szCs w:val="16"/>
          <w:color w:val="auto"/>
        </w:rPr>
        <w:t>CECO Environmental Corp.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1694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Appoints Ramesh Nuggihalli as Chief Operating Officer</w:t>
      </w:r>
    </w:p>
    <w:p>
      <w:pPr>
        <w:spacing w:after="0" w:line="225"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Dallas, TX. </w:t>
      </w:r>
      <w:r>
        <w:rPr>
          <w:rFonts w:ascii="Arial" w:cs="Arial" w:eastAsia="Arial" w:hAnsi="Arial"/>
          <w:sz w:val="16"/>
          <w:szCs w:val="16"/>
          <w:color w:val="auto"/>
        </w:rPr>
        <w:t>April 6, 2021—CECO Environmental Corp. (“CECO,” “CECO Environmental,” the “Company”) (NASDAQ: CECE), a global leader in</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environmental and equipment solutions to a variety of end markets, is pleased to announce that Ramesh Nuggihalli has been appointed Chief Operating Officer (COO) of the Company, effective immediately. Mr. Nuggihalli will report to Todd Gleason, the Company’s Chief Executive Officer.</w:t>
      </w:r>
    </w:p>
    <w:p>
      <w:pPr>
        <w:spacing w:after="0" w:line="1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Mr. Nuggihalli brings extensive experience in operational and general management across several industries, with expertise in driving profitable growth in industrial businesses and international operations. Mr. Nuggihalli most recently worked in private enterprise in the industrial automation market. Prior to his recent role, Mr. Nuggihalli was based in Singapore and served as President and Managing Director of Greater Asia for Xylem, a global water solutions company. Before Xylem, he was based in Dubai and served as Managing Director of Middle East for Pentair, a global diversified industrial company. Earlier in his career, Mr. Nuggihalli held a number of leadership positions with increasing responsibility at leading diversified industrial companies including Tyco International, Ametek, General Electric and Babcock &amp; Wilcox.</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very pleased to have such an accomplished leader as Ramesh join CECO,” said Todd Gleason, Chief Executive Officer of CECO Environmental. “Ramesh’s appointment comes at a pivotal time for us as we strive to advance our growth in adjacent markets while maintaining a rigorous focus on executing and delivering superior results. Ramesh has considerable experience, including a broad and deep knowledge of our industries and international markets, making him a perfect fit to partner with me and our management team on laser-focused operational excellence and growth.”</w:t>
      </w:r>
    </w:p>
    <w:p>
      <w:pPr>
        <w:spacing w:after="0" w:line="18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 am excited to join and partner with Todd and the talented leadership team to advance CECO’s strategic growth plans and deliver strong financial results,” said Mr. Nuggihalli. “I believe CECO is uniquely positioned to accelerate its position as an environmental solutions provider for diversified industries and I look forward to helping shape and execute on our strategic plans.”</w:t>
      </w:r>
    </w:p>
    <w:p>
      <w:pPr>
        <w:spacing w:after="0" w:line="184"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As COO, Mr. Nuggihalli will drive execution of the various business lines consistent with strategic plans, including optimizing growth in adjacent markets and advancing CECO’s productivity and efficiencies. As part of his appointment, Mr. Nuggihalli will assume responsibilities for CECO’s Global Operating Businesses and their associated functions of sales, marketing and product development.</w:t>
      </w:r>
    </w:p>
    <w:p>
      <w:pPr>
        <w:spacing w:after="0" w:line="16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About CECO Environmental</w:t>
      </w:r>
      <w:r>
        <w:rPr>
          <w:rFonts w:ascii="Arial" w:cs="Arial" w:eastAsia="Arial" w:hAnsi="Arial"/>
          <w:sz w:val="16"/>
          <w:szCs w:val="16"/>
          <w:color w:val="auto"/>
        </w:rPr>
        <w:t>: CECO Environmental is a global leader in air quality and fluid handling serving the energy, industrial and other niche</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custom-engineered solutions for applications including oil and gas, power generation, water and wastewater, battery production, polysilicon fabrication, chemical and petrochemical processing along with a range of others. Learn more by visiting www.cecoenviro.com.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Matthew Eckl, Chief Financial Officer (888) 990-6670 investor.relations@onececo.com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2021-04-06T16:31:38Z</dcterms:created>
  <dcterms:modified xsi:type="dcterms:W3CDTF">2021-04-06T16:31:38Z</dcterms:modified>
</cp:coreProperties>
</file>