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323215</wp:posOffset>
            </wp:positionV>
            <wp:extent cx="630110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1105" cy="317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440"/>
        <w:spacing w:after="0"/>
        <w:rPr>
          <w:sz w:val="20"/>
          <w:szCs w:val="20"/>
          <w:color w:val="auto"/>
        </w:rPr>
      </w:pPr>
      <w:r>
        <w:rPr>
          <w:rFonts w:ascii="Arial" w:cs="Arial" w:eastAsia="Arial" w:hAnsi="Arial"/>
          <w:sz w:val="30"/>
          <w:szCs w:val="30"/>
          <w:b w:val="1"/>
          <w:bCs w:val="1"/>
          <w:color w:val="auto"/>
        </w:rPr>
        <w:t>UNITED STATES</w:t>
      </w:r>
    </w:p>
    <w:p>
      <w:pPr>
        <w:spacing w:after="0" w:line="35" w:lineRule="exact"/>
        <w:rPr>
          <w:sz w:val="24"/>
          <w:szCs w:val="24"/>
          <w:color w:val="auto"/>
        </w:rPr>
      </w:pPr>
    </w:p>
    <w:p>
      <w:pPr>
        <w:jc w:val="center"/>
        <w:ind w:right="-44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127635</wp:posOffset>
            </wp:positionV>
            <wp:extent cx="15716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351" w:lineRule="exact"/>
        <w:rPr>
          <w:sz w:val="24"/>
          <w:szCs w:val="24"/>
          <w:color w:val="auto"/>
        </w:rPr>
      </w:pPr>
    </w:p>
    <w:p>
      <w:pPr>
        <w:jc w:val="center"/>
        <w:ind w:right="-440"/>
        <w:spacing w:after="0"/>
        <w:rPr>
          <w:sz w:val="20"/>
          <w:szCs w:val="20"/>
          <w:color w:val="auto"/>
        </w:rPr>
      </w:pPr>
      <w:r>
        <w:rPr>
          <w:rFonts w:ascii="Arial" w:cs="Arial" w:eastAsia="Arial" w:hAnsi="Arial"/>
          <w:sz w:val="27"/>
          <w:szCs w:val="27"/>
          <w:b w:val="1"/>
          <w:bCs w:val="1"/>
          <w:color w:val="auto"/>
        </w:rPr>
        <w:t>SCHEDULE 14A</w:t>
      </w:r>
    </w:p>
    <w:p>
      <w:pPr>
        <w:spacing w:after="0" w:line="33" w:lineRule="exact"/>
        <w:rPr>
          <w:sz w:val="24"/>
          <w:szCs w:val="24"/>
          <w:color w:val="auto"/>
        </w:rPr>
      </w:pPr>
    </w:p>
    <w:p>
      <w:pPr>
        <w:jc w:val="center"/>
        <w:ind w:right="-440"/>
        <w:spacing w:after="0"/>
        <w:rPr>
          <w:sz w:val="20"/>
          <w:szCs w:val="20"/>
          <w:color w:val="auto"/>
        </w:rPr>
      </w:pPr>
      <w:r>
        <w:rPr>
          <w:rFonts w:ascii="Arial" w:cs="Arial" w:eastAsia="Arial" w:hAnsi="Arial"/>
          <w:sz w:val="23"/>
          <w:szCs w:val="23"/>
          <w:b w:val="1"/>
          <w:bCs w:val="1"/>
          <w:color w:val="auto"/>
        </w:rPr>
        <w:t>(RULE 14a-101)</w:t>
      </w:r>
    </w:p>
    <w:p>
      <w:pPr>
        <w:spacing w:after="0" w:line="83"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127635</wp:posOffset>
            </wp:positionV>
            <wp:extent cx="15716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196" w:lineRule="exact"/>
        <w:tabs>
          <w:tab w:leader="none" w:pos="250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92" w:lineRule="exact"/>
        <w:rPr>
          <w:sz w:val="24"/>
          <w:szCs w:val="24"/>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204" w:lineRule="exact"/>
        <w:rPr>
          <w:sz w:val="24"/>
          <w:szCs w:val="24"/>
          <w:color w:val="auto"/>
        </w:rPr>
      </w:pPr>
    </w:p>
    <w:p>
      <w:pPr>
        <w:ind w:left="400" w:hanging="399"/>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04" w:lineRule="exact"/>
        <w:rPr>
          <w:sz w:val="24"/>
          <w:szCs w:val="24"/>
          <w:color w:val="auto"/>
        </w:rPr>
      </w:pPr>
    </w:p>
    <w:p>
      <w:pPr>
        <w:ind w:left="400" w:hanging="399"/>
        <w:spacing w:after="0"/>
        <w:tabs>
          <w:tab w:leader="none" w:pos="4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140335</wp:posOffset>
            </wp:positionV>
            <wp:extent cx="730250" cy="34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 cy="340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700"/>
        <w:spacing w:after="0"/>
        <w:rPr>
          <w:sz w:val="20"/>
          <w:szCs w:val="20"/>
          <w:color w:val="auto"/>
        </w:rPr>
      </w:pPr>
      <w:r>
        <w:rPr>
          <w:rFonts w:ascii="Arial" w:cs="Arial" w:eastAsia="Arial" w:hAnsi="Arial"/>
          <w:sz w:val="30"/>
          <w:szCs w:val="30"/>
          <w:b w:val="1"/>
          <w:bCs w:val="1"/>
          <w:color w:val="auto"/>
        </w:rPr>
        <w:t>CECO ENVIRONMENTAL CORP.</w:t>
      </w:r>
    </w:p>
    <w:p>
      <w:pPr>
        <w:spacing w:after="0" w:line="25" w:lineRule="exact"/>
        <w:rPr>
          <w:sz w:val="24"/>
          <w:szCs w:val="24"/>
          <w:color w:val="auto"/>
        </w:rPr>
      </w:pPr>
    </w:p>
    <w:p>
      <w:pPr>
        <w:ind w:left="2720"/>
        <w:spacing w:after="0"/>
        <w:rPr>
          <w:sz w:val="20"/>
          <w:szCs w:val="20"/>
          <w:color w:val="auto"/>
        </w:rPr>
      </w:pPr>
      <w:r>
        <w:rPr>
          <w:rFonts w:ascii="Arial" w:cs="Arial" w:eastAsia="Arial" w:hAnsi="Arial"/>
          <w:sz w:val="20"/>
          <w:szCs w:val="20"/>
          <w:b w:val="1"/>
          <w:bCs w:val="1"/>
          <w:color w:val="auto"/>
        </w:rPr>
        <w:t>(Name of Registrant as Specified in Its Charter)</w:t>
      </w:r>
    </w:p>
    <w:p>
      <w:pPr>
        <w:spacing w:after="0" w:line="193" w:lineRule="exact"/>
        <w:rPr>
          <w:sz w:val="24"/>
          <w:szCs w:val="24"/>
          <w:color w:val="auto"/>
        </w:rPr>
      </w:pPr>
    </w:p>
    <w:p>
      <w:pPr>
        <w:ind w:left="2820"/>
        <w:spacing w:after="0"/>
        <w:rPr>
          <w:sz w:val="20"/>
          <w:szCs w:val="20"/>
          <w:color w:val="auto"/>
        </w:rPr>
      </w:pPr>
      <w:r>
        <w:rPr>
          <w:rFonts w:ascii="Arial" w:cs="Arial" w:eastAsia="Arial" w:hAnsi="Arial"/>
          <w:sz w:val="13"/>
          <w:szCs w:val="13"/>
          <w:b w:val="1"/>
          <w:bCs w:val="1"/>
          <w:color w:val="auto"/>
        </w:rPr>
        <w:t>(Name of Person(s) Filing Proxy Statement, if other than Registrant)</w:t>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all boxes that apply):</w:t>
      </w:r>
    </w:p>
    <w:p>
      <w:pPr>
        <w:spacing w:after="0" w:line="192" w:lineRule="exact"/>
        <w:rPr>
          <w:sz w:val="24"/>
          <w:szCs w:val="24"/>
          <w:color w:val="auto"/>
        </w:rPr>
      </w:pPr>
    </w:p>
    <w:p>
      <w:pPr>
        <w:ind w:left="400" w:hanging="399"/>
        <w:spacing w:after="0"/>
        <w:tabs>
          <w:tab w:leader="none" w:pos="4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04" w:lineRule="exact"/>
        <w:rPr>
          <w:sz w:val="24"/>
          <w:szCs w:val="24"/>
          <w:color w:val="auto"/>
        </w:rPr>
      </w:pPr>
    </w:p>
    <w:p>
      <w:pPr>
        <w:ind w:left="400" w:hanging="399"/>
        <w:spacing w:after="0"/>
        <w:tabs>
          <w:tab w:leader="none" w:pos="4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640715</wp:posOffset>
            </wp:positionV>
            <wp:extent cx="630110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110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132715</wp:posOffset>
            </wp:positionV>
            <wp:extent cx="6301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110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172085</wp:posOffset>
            </wp:positionV>
            <wp:extent cx="630110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31750"/>
                    </a:xfrm>
                    <a:prstGeom prst="rect">
                      <a:avLst/>
                    </a:prstGeom>
                    <a:noFill/>
                  </pic:spPr>
                </pic:pic>
              </a:graphicData>
            </a:graphic>
          </wp:anchor>
        </w:drawing>
      </w:r>
    </w:p>
    <w:p>
      <w:pPr>
        <w:sectPr>
          <w:pgSz w:w="11900" w:h="16838" w:orient="portrait"/>
          <w:cols w:equalWidth="0" w:num="1">
            <w:col w:w="9479"/>
          </w:cols>
          <w:pgMar w:left="980" w:top="623"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1206500" cy="508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6500" cy="50800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3C578C"/>
        </w:rPr>
        <w:t>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-1303020</wp:posOffset>
            </wp:positionV>
            <wp:extent cx="1063625" cy="1063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66040</wp:posOffset>
            </wp:positionV>
            <wp:extent cx="97599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5995" cy="317500"/>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1002665</wp:posOffset>
            </wp:positionV>
            <wp:extent cx="1063625" cy="1063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3C578C"/>
        </w:rPr>
        <w:t>Todd Gleason</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2540</wp:posOffset>
            </wp:positionV>
            <wp:extent cx="1261745" cy="27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1745" cy="277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3C578C"/>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-148590</wp:posOffset>
            </wp:positionV>
            <wp:extent cx="31750" cy="5579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5579110"/>
                    </a:xfrm>
                    <a:prstGeom prst="rect">
                      <a:avLst/>
                    </a:prstGeom>
                    <a:noFill/>
                  </pic:spPr>
                </pic:pic>
              </a:graphicData>
            </a:graphic>
          </wp:anchor>
        </w:drawing>
      </w:r>
    </w:p>
    <w:p>
      <w:pPr>
        <w:spacing w:after="0" w:line="195"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We are pleased to invite you to attend CECO Environmental Corp.’s (“CECO” or the “Company”) Annual Meeting of Stockholders at 8:00 a.m. Central Time on Tuesday, May 20, 2025 to be held solely through virtual participation via webcast at www.virtualshareholdermeeting.com/CECO2025 (the “Annual Meeting”). We continue to embrace the latest technology to provide expanded access, improved communication, and cost savings. We believe hosting a virtual meeting enables increased stockholder attendance and participation from locations around the world. Stockholders attending the virtual meeting will be afforded the same rights and opportunities to participate as they would at an in-person meeting. Further information on attending, voting, and submitting questions at the Annual Meeting is included in the accompanying Notice of Annual Meeting and Proxy Statement.</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supported the tremendous progress achieved in 2024</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The Company continued to achieve new financial records including the full-year highest revenues and EBITDA in our history as well as record bookings and backlog levels. We remain committed to ongoing investment in core operational excellence and ensuring the Company has processes in place to maximize our performance. We continue to put in place more resources to support our global expansion and to sustain our performance. The result to our stockholders was a year-end share price that once again greatly outperformed our industrial peer group and the broader stock market. We remain committed to creating long-term stockholder value and ensuring our performance reflects the growth opportunities that we believe exist in the global marketplace.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remains committed to executing on our transformational strategies</w:t>
      </w:r>
    </w:p>
    <w:p>
      <w:pPr>
        <w:spacing w:after="0" w:line="10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CECO has a focused growth strategy to advance in Industrial Air, Industrial Water and Energy Transition. The Company continues to expand its global footprint and niche leadership positions in new vertical markets. To advance the ongoing portfolio transformation, the Company completed three acquisitions in 2024 – each adding key resources and new market capabilities to CECO’s Industrial Air businesses. Additionally, in the fourth quarter of 2024, the Company announced the intent to acquire publicly traded Profire Energy (PFIE), a transaction that was completed in January 2025. The Company also announced its intent to sell the Company’s Fluid Handling business – which sale was completed in March 2025. The Company enters 2025 with a record backlog, a very balanced portfolio and stronger leadership positions in niche industries that we believe have attractive longer term growth profiles..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Company is well positioned for meaningful global growth trends</w:t>
      </w:r>
    </w:p>
    <w:p>
      <w:pPr>
        <w:spacing w:after="0" w:line="102" w:lineRule="exact"/>
        <w:rPr>
          <w:sz w:val="20"/>
          <w:szCs w:val="20"/>
          <w:color w:val="auto"/>
        </w:rPr>
      </w:pPr>
    </w:p>
    <w:p>
      <w:pPr>
        <w:ind w:right="420"/>
        <w:spacing w:after="0" w:line="255" w:lineRule="auto"/>
        <w:rPr>
          <w:sz w:val="20"/>
          <w:szCs w:val="20"/>
          <w:color w:val="auto"/>
        </w:rPr>
      </w:pPr>
      <w:r>
        <w:rPr>
          <w:rFonts w:ascii="Arial" w:cs="Arial" w:eastAsia="Arial" w:hAnsi="Arial"/>
          <w:sz w:val="15"/>
          <w:szCs w:val="15"/>
          <w:color w:val="auto"/>
        </w:rPr>
        <w:t>We believe CECO is well positioned to benefit from multi-year, dynamic market growth trends in Power Generation, Natural Gas Infrastructure, Global Infrastructure, and Reshoring of General Industrial Production. The Company has a record, and growing, sales pipeline that we believe reflects the robust opportunities associated with these mega-themes.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Your vote is important to us, regardless of whether you plan to participate virtually during the Annual Meeting.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We have included voting instructions within these materials and request that you vote as soon as possible.</w:t>
      </w:r>
    </w:p>
    <w:p>
      <w:pPr>
        <w:spacing w:after="0" w:line="88"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On behalf of our entire Board of Directors, we thank you for your continued ownership and support of CECO Environmental Corp. and our mission to protect people, the environment and industrial equipment.</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b w:val="1"/>
          <w:bCs w:val="1"/>
          <w:color w:val="auto"/>
        </w:rPr>
        <w:t>THESE PROXY SOLICITATION MATERIALS AND CECO ENVIRONMENTAL CORP.’S ANNUAL REPORT TO STOCKHOLDERS FOR THE YEAR ENDED DECEMBER 31, 2024, INCLUDING THE RELATED FINANCIAL STATEMENTS, WERE FIRST MADE AVAILABLE TO STOCKHOLDERS ON OR ABOUT 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624205</wp:posOffset>
            </wp:positionV>
            <wp:extent cx="630110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2">
            <w:col w:w="2000" w:space="700"/>
            <w:col w:w="7220"/>
          </w:cols>
          <w:pgMar w:left="980" w:top="485" w:right="9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CECO ENVIRONMENTAL CORP.</w:t>
      </w:r>
    </w:p>
    <w:p>
      <w:pPr>
        <w:spacing w:after="0" w:line="108"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NOTICE OF 2025 ANNUAL MEETING OF STOCKHOLDERS</w:t>
      </w:r>
    </w:p>
    <w:p>
      <w:pPr>
        <w:sectPr>
          <w:pgSz w:w="11900" w:h="16838" w:orient="portrait"/>
          <w:cols w:equalWidth="0" w:num="1">
            <w:col w:w="9920"/>
          </w:cols>
          <w:pgMar w:left="980" w:top="485"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1B657"/>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-335280</wp:posOffset>
            </wp:positionV>
            <wp:extent cx="2602865" cy="635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2865" cy="635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Arial" w:cs="Arial" w:eastAsia="Arial" w:hAnsi="Arial"/>
          <w:sz w:val="17"/>
          <w:szCs w:val="17"/>
          <w:color w:val="3C578C"/>
        </w:rPr>
        <w:t>Tuesday, May 20, 2025</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58"/>
          <w:szCs w:val="58"/>
          <w:color w:val="3C578C"/>
        </w:rPr>
        <w:t xml:space="preserve">8AM </w:t>
      </w:r>
      <w:r>
        <w:rPr>
          <w:rFonts w:ascii="Arial" w:cs="Arial" w:eastAsia="Arial" w:hAnsi="Arial"/>
          <w:sz w:val="16"/>
          <w:szCs w:val="16"/>
          <w:color w:val="3C578C"/>
        </w:rPr>
        <w:t>(CT)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3C578C"/>
        </w:rPr>
        <w:t>Via live audio webcast, please visit:</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3C578C"/>
        </w:rPr>
        <w:t>www.virtualshareholdermeeting.com/CECO2025</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color w:val="A1B657"/>
        </w:rPr>
        <w:t>WHO MAY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line="281" w:lineRule="auto"/>
        <w:rPr>
          <w:sz w:val="20"/>
          <w:szCs w:val="20"/>
          <w:color w:val="auto"/>
        </w:rPr>
      </w:pPr>
      <w:r>
        <w:rPr>
          <w:rFonts w:ascii="Arial" w:cs="Arial" w:eastAsia="Arial" w:hAnsi="Arial"/>
          <w:sz w:val="13"/>
          <w:szCs w:val="13"/>
          <w:color w:val="3C578C"/>
        </w:rPr>
        <w:t>Stockholders of record at the close of business on March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right="140"/>
        <w:spacing w:after="0" w:line="265" w:lineRule="auto"/>
        <w:rPr>
          <w:sz w:val="20"/>
          <w:szCs w:val="20"/>
          <w:color w:val="auto"/>
        </w:rPr>
      </w:pPr>
      <w:r>
        <w:rPr>
          <w:rFonts w:ascii="Arial" w:cs="Arial" w:eastAsia="Arial" w:hAnsi="Arial"/>
          <w:sz w:val="13"/>
          <w:szCs w:val="13"/>
          <w:b w:val="1"/>
          <w:bCs w:val="1"/>
          <w:i w:val="1"/>
          <w:iCs w:val="1"/>
          <w:color w:val="auto"/>
        </w:rPr>
        <w:t>Important Notice Regarding the Availability of Proxy Materials for the Stockholder Meeting to Be Held on May 20, 2025</w:t>
      </w:r>
    </w:p>
    <w:p>
      <w:pPr>
        <w:spacing w:after="0" w:line="55" w:lineRule="exact"/>
        <w:rPr>
          <w:sz w:val="20"/>
          <w:szCs w:val="20"/>
          <w:color w:val="auto"/>
        </w:rPr>
      </w:pPr>
    </w:p>
    <w:p>
      <w:pPr>
        <w:ind w:left="220" w:right="60"/>
        <w:spacing w:after="0" w:line="250" w:lineRule="auto"/>
        <w:rPr>
          <w:sz w:val="20"/>
          <w:szCs w:val="20"/>
          <w:color w:val="auto"/>
        </w:rPr>
      </w:pPr>
      <w:r>
        <w:rPr>
          <w:rFonts w:ascii="Arial" w:cs="Arial" w:eastAsia="Arial" w:hAnsi="Arial"/>
          <w:sz w:val="13"/>
          <w:szCs w:val="13"/>
          <w:b w:val="1"/>
          <w:bCs w:val="1"/>
          <w:color w:val="auto"/>
        </w:rPr>
        <w:t>This Proxy Statement and the CECO Environmental Corp. 2024 Annual Report to Stockholders, which includes our Annual Report on Form 10-K, are available at https://investors.cecoenviro.com. The content on any website referred to in this Proxy Statement is not incorporated by reference into this Proxy Statement.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8" w:right="20"/>
        <w:spacing w:after="0" w:line="244" w:lineRule="auto"/>
        <w:rPr>
          <w:sz w:val="20"/>
          <w:szCs w:val="20"/>
          <w:color w:val="auto"/>
        </w:rPr>
      </w:pPr>
      <w:r>
        <w:rPr>
          <w:rFonts w:ascii="Arial" w:cs="Arial" w:eastAsia="Arial" w:hAnsi="Arial"/>
          <w:sz w:val="15"/>
          <w:szCs w:val="15"/>
          <w:color w:val="auto"/>
        </w:rPr>
        <w:t>We are taking advantage of the Securities and Exchange Commission ("SEC") rules allowing us to furnish proxy materials to stockholders on the internet. We believe that this method of delivery is more efficient and reduces the environmental impact of our Annual Meeting. Accordingly, we are mailing to stockholders a Notice of Internet Availability of Proxy Materials containing instructions on how to access and review our proxy materials, and to vote online. The proxy materials consist of: (1) this Notice of 2025 Annual Meeting of Stockholders; (2) the Proxy Statement for the Annual Meeting (the “Proxy Statement”); and (3) the CECO Environmental Corp. 2024 Annual Report to Stockholders. If you would like to receive a paper copy of our proxy materials, please follow the instructions for requesting these materials in the Notice of Internet Availability of Proxy Materials or in the Proxy Statement. This Proxy Statement is furnished in connection with the solicitation by the Board of Directors of CECO Environmental Corp., a Delaware corporation (“we,” “us,” “our,” or the “Company”), of proxies to be voted at the Annual Meeting to be held via webcast at 8:00 a.m., Central Time, on May 20, 2025, or any postponement or adjournment thereof.</w:t>
      </w:r>
    </w:p>
    <w:p>
      <w:pPr>
        <w:spacing w:after="0" w:line="5" w:lineRule="exact"/>
        <w:rPr>
          <w:sz w:val="20"/>
          <w:szCs w:val="20"/>
          <w:color w:val="auto"/>
        </w:rPr>
      </w:pPr>
    </w:p>
    <w:p>
      <w:pPr>
        <w:ind w:left="8" w:right="400"/>
        <w:spacing w:after="0" w:line="300" w:lineRule="auto"/>
        <w:rPr>
          <w:sz w:val="20"/>
          <w:szCs w:val="20"/>
          <w:color w:val="auto"/>
        </w:rPr>
      </w:pPr>
      <w:r>
        <w:rPr>
          <w:rFonts w:ascii="Arial" w:cs="Arial" w:eastAsia="Arial" w:hAnsi="Arial"/>
          <w:sz w:val="14"/>
          <w:szCs w:val="14"/>
          <w:color w:val="auto"/>
        </w:rPr>
        <w:t>For more information about the Annual Meeting, please refer to the “Information About the Annual Meeting” section found within the proxy statement.</w:t>
      </w:r>
    </w:p>
    <w:p>
      <w:pPr>
        <w:ind w:left="588" w:hanging="588"/>
        <w:spacing w:after="0" w:line="233" w:lineRule="auto"/>
        <w:tabs>
          <w:tab w:leader="none" w:pos="588" w:val="left"/>
        </w:tabs>
        <w:numPr>
          <w:ilvl w:val="0"/>
          <w:numId w:val="6"/>
        </w:numPr>
        <w:rPr>
          <w:rFonts w:ascii="Arial" w:cs="Arial" w:eastAsia="Arial" w:hAnsi="Arial"/>
          <w:sz w:val="60"/>
          <w:szCs w:val="60"/>
          <w:color w:val="3C578C"/>
        </w:rPr>
      </w:pPr>
      <w:r>
        <w:rPr>
          <w:rFonts w:ascii="Arial" w:cs="Arial" w:eastAsia="Arial" w:hAnsi="Arial"/>
          <w:sz w:val="15"/>
          <w:szCs w:val="15"/>
          <w:color w:val="auto"/>
        </w:rPr>
        <w:t>To elect eight directors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360299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2990" cy="158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8" w:right="20" w:hanging="608"/>
        <w:spacing w:after="0" w:line="222" w:lineRule="auto"/>
        <w:tabs>
          <w:tab w:leader="none" w:pos="589" w:val="left"/>
        </w:tabs>
        <w:numPr>
          <w:ilvl w:val="0"/>
          <w:numId w:val="7"/>
        </w:numPr>
        <w:rPr>
          <w:rFonts w:ascii="Arial" w:cs="Arial" w:eastAsia="Arial" w:hAnsi="Arial"/>
          <w:sz w:val="44"/>
          <w:szCs w:val="44"/>
          <w:color w:val="3C578C"/>
        </w:rPr>
      </w:pPr>
      <w:r>
        <w:rPr>
          <w:rFonts w:ascii="Arial" w:cs="Arial" w:eastAsia="Arial" w:hAnsi="Arial"/>
          <w:sz w:val="13"/>
          <w:szCs w:val="13"/>
          <w:color w:val="auto"/>
        </w:rPr>
        <w:t>To approve, on an advisory basis, the compensation of our named executive officers.</w:t>
      </w:r>
    </w:p>
    <w:p>
      <w:pPr>
        <w:spacing w:after="0" w:line="394" w:lineRule="exact"/>
        <w:rPr>
          <w:sz w:val="20"/>
          <w:szCs w:val="20"/>
          <w:color w:val="auto"/>
        </w:rPr>
      </w:pPr>
    </w:p>
    <w:p>
      <w:pPr>
        <w:ind w:left="608" w:right="60" w:hanging="608"/>
        <w:spacing w:after="0" w:line="181" w:lineRule="auto"/>
        <w:tabs>
          <w:tab w:leader="none" w:pos="589" w:val="left"/>
        </w:tabs>
        <w:numPr>
          <w:ilvl w:val="0"/>
          <w:numId w:val="8"/>
        </w:numPr>
        <w:rPr>
          <w:rFonts w:ascii="Arial" w:cs="Arial" w:eastAsia="Arial" w:hAnsi="Arial"/>
          <w:sz w:val="41"/>
          <w:szCs w:val="41"/>
          <w:color w:val="3C578C"/>
        </w:rPr>
      </w:pPr>
      <w:r>
        <w:rPr>
          <w:rFonts w:ascii="Arial" w:cs="Arial" w:eastAsia="Arial" w:hAnsi="Arial"/>
          <w:sz w:val="13"/>
          <w:szCs w:val="13"/>
          <w:color w:val="auto"/>
        </w:rPr>
        <w:t>To recommend, on an advisory basis, the frequency of future advisory votes to approve named executive officer compensation.</w:t>
      </w:r>
    </w:p>
    <w:p>
      <w:pPr>
        <w:spacing w:after="0" w:line="394" w:lineRule="exact"/>
        <w:rPr>
          <w:sz w:val="20"/>
          <w:szCs w:val="20"/>
          <w:color w:val="auto"/>
        </w:rPr>
      </w:pPr>
    </w:p>
    <w:p>
      <w:pPr>
        <w:ind w:left="608" w:right="420" w:hanging="608"/>
        <w:spacing w:after="0" w:line="181" w:lineRule="auto"/>
        <w:tabs>
          <w:tab w:leader="none" w:pos="589" w:val="left"/>
        </w:tabs>
        <w:numPr>
          <w:ilvl w:val="0"/>
          <w:numId w:val="9"/>
        </w:numPr>
        <w:rPr>
          <w:rFonts w:ascii="Arial" w:cs="Arial" w:eastAsia="Arial" w:hAnsi="Arial"/>
          <w:sz w:val="41"/>
          <w:szCs w:val="41"/>
          <w:color w:val="3C578C"/>
        </w:rPr>
      </w:pPr>
      <w:r>
        <w:rPr>
          <w:rFonts w:ascii="Arial" w:cs="Arial" w:eastAsia="Arial" w:hAnsi="Arial"/>
          <w:sz w:val="13"/>
          <w:szCs w:val="13"/>
          <w:color w:val="auto"/>
        </w:rPr>
        <w:t>To ratify the appointment of Deloitte &amp; Touche LLP as our independent registered public accounting firm for 2025.</w:t>
      </w:r>
    </w:p>
    <w:p>
      <w:pPr>
        <w:ind w:left="588" w:hanging="588"/>
        <w:spacing w:after="0" w:line="224" w:lineRule="auto"/>
        <w:tabs>
          <w:tab w:leader="none" w:pos="588" w:val="left"/>
        </w:tabs>
        <w:numPr>
          <w:ilvl w:val="0"/>
          <w:numId w:val="10"/>
        </w:numPr>
        <w:rPr>
          <w:rFonts w:ascii="Arial" w:cs="Arial" w:eastAsia="Arial" w:hAnsi="Arial"/>
          <w:sz w:val="55"/>
          <w:szCs w:val="55"/>
          <w:color w:val="3C578C"/>
        </w:rPr>
      </w:pPr>
      <w:r>
        <w:rPr>
          <w:rFonts w:ascii="Arial" w:cs="Arial" w:eastAsia="Arial" w:hAnsi="Arial"/>
          <w:sz w:val="14"/>
          <w:szCs w:val="14"/>
          <w:color w:val="auto"/>
        </w:rPr>
        <w:t>To transact such other business as may properly come before the meeting or</w:t>
      </w:r>
    </w:p>
    <w:p>
      <w:pPr>
        <w:spacing w:after="0" w:line="90" w:lineRule="exact"/>
        <w:rPr>
          <w:sz w:val="20"/>
          <w:szCs w:val="20"/>
          <w:color w:val="auto"/>
        </w:rPr>
      </w:pPr>
    </w:p>
    <w:p>
      <w:pPr>
        <w:ind w:left="608"/>
        <w:spacing w:after="0"/>
        <w:rPr>
          <w:sz w:val="20"/>
          <w:szCs w:val="20"/>
          <w:color w:val="auto"/>
        </w:rPr>
      </w:pPr>
      <w:r>
        <w:rPr>
          <w:rFonts w:ascii="Arial" w:cs="Arial" w:eastAsia="Arial" w:hAnsi="Arial"/>
          <w:sz w:val="15"/>
          <w:szCs w:val="15"/>
          <w:color w:val="auto"/>
        </w:rPr>
        <w:t>any postponements or adjournments thereof</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36029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2990" cy="7620"/>
                    </a:xfrm>
                    <a:prstGeom prst="rect">
                      <a:avLst/>
                    </a:prstGeom>
                    <a:noFill/>
                  </pic:spPr>
                </pic:pic>
              </a:graphicData>
            </a:graphic>
          </wp:anchor>
        </w:drawing>
      </w:r>
    </w:p>
    <w:p>
      <w:pPr>
        <w:spacing w:after="0" w:line="42" w:lineRule="exact"/>
        <w:rPr>
          <w:sz w:val="20"/>
          <w:szCs w:val="20"/>
          <w:color w:val="auto"/>
        </w:rPr>
      </w:pPr>
    </w:p>
    <w:p>
      <w:pPr>
        <w:jc w:val="both"/>
        <w:ind w:left="8" w:right="580"/>
        <w:spacing w:after="0" w:line="290" w:lineRule="auto"/>
        <w:rPr>
          <w:sz w:val="20"/>
          <w:szCs w:val="20"/>
          <w:color w:val="auto"/>
        </w:rPr>
      </w:pPr>
      <w:r>
        <w:rPr>
          <w:rFonts w:ascii="Arial" w:cs="Arial" w:eastAsia="Arial" w:hAnsi="Arial"/>
          <w:sz w:val="17"/>
          <w:szCs w:val="17"/>
          <w:color w:val="A1B657"/>
        </w:rPr>
        <w:t xml:space="preserve">Your vote is important to us. </w:t>
      </w:r>
      <w:r>
        <w:rPr>
          <w:rFonts w:ascii="Arial" w:cs="Arial" w:eastAsia="Arial" w:hAnsi="Arial"/>
          <w:sz w:val="14"/>
          <w:szCs w:val="14"/>
          <w:color w:val="000000"/>
        </w:rPr>
        <w:t>Whether or not you plan to attend the Annual</w:t>
      </w:r>
      <w:r>
        <w:rPr>
          <w:rFonts w:ascii="Arial" w:cs="Arial" w:eastAsia="Arial" w:hAnsi="Arial"/>
          <w:sz w:val="17"/>
          <w:szCs w:val="17"/>
          <w:color w:val="A1B657"/>
        </w:rPr>
        <w:t xml:space="preserve"> </w:t>
      </w:r>
      <w:r>
        <w:rPr>
          <w:rFonts w:ascii="Arial" w:cs="Arial" w:eastAsia="Arial" w:hAnsi="Arial"/>
          <w:sz w:val="14"/>
          <w:szCs w:val="14"/>
          <w:color w:val="000000"/>
        </w:rPr>
        <w:t>Meeting online, we urge you to submit your vote now via the Internet, telephone, or mail. We appreciate your continued support.</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6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1B657"/>
              </w:rPr>
              <w:t>BY INTERNET</w:t>
            </w:r>
          </w:p>
        </w:tc>
        <w:tc>
          <w:tcPr>
            <w:tcW w:w="1920" w:type="dxa"/>
            <w:vAlign w:val="bottom"/>
            <w:tcBorders>
              <w:right w:val="single" w:sz="8" w:color="auto"/>
            </w:tcBorders>
          </w:tcPr>
          <w:p>
            <w:pPr>
              <w:ind w:left="300"/>
              <w:spacing w:after="0"/>
              <w:rPr>
                <w:sz w:val="20"/>
                <w:szCs w:val="20"/>
                <w:color w:val="auto"/>
              </w:rPr>
            </w:pPr>
            <w:r>
              <w:rPr>
                <w:rFonts w:ascii="Arial" w:cs="Arial" w:eastAsia="Arial" w:hAnsi="Arial"/>
                <w:sz w:val="13"/>
                <w:szCs w:val="13"/>
                <w:b w:val="1"/>
                <w:bCs w:val="1"/>
                <w:color w:val="A1B657"/>
              </w:rPr>
              <w:t>BY TELEPHONE</w:t>
            </w:r>
          </w:p>
        </w:tc>
        <w:tc>
          <w:tcPr>
            <w:tcW w:w="2020" w:type="dxa"/>
            <w:vAlign w:val="bottom"/>
          </w:tcPr>
          <w:p>
            <w:pPr>
              <w:ind w:left="400"/>
              <w:spacing w:after="0"/>
              <w:rPr>
                <w:sz w:val="20"/>
                <w:szCs w:val="20"/>
                <w:color w:val="auto"/>
              </w:rPr>
            </w:pPr>
            <w:r>
              <w:rPr>
                <w:rFonts w:ascii="Arial" w:cs="Arial" w:eastAsia="Arial" w:hAnsi="Arial"/>
                <w:sz w:val="13"/>
                <w:szCs w:val="13"/>
                <w:b w:val="1"/>
                <w:bCs w:val="1"/>
                <w:color w:val="A1B657"/>
              </w:rPr>
              <w:t>BY MAIL</w:t>
            </w:r>
          </w:p>
        </w:tc>
      </w:tr>
      <w:tr>
        <w:trPr>
          <w:trHeight w:val="183"/>
        </w:trPr>
        <w:tc>
          <w:tcPr>
            <w:tcW w:w="1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www.proxyvote.com</w:t>
            </w:r>
          </w:p>
        </w:tc>
        <w:tc>
          <w:tcPr>
            <w:tcW w:w="1920" w:type="dxa"/>
            <w:vAlign w:val="bottom"/>
            <w:tcBorders>
              <w:right w:val="single" w:sz="8" w:color="auto"/>
            </w:tcBorders>
          </w:tcPr>
          <w:p>
            <w:pPr>
              <w:ind w:left="300"/>
              <w:spacing w:after="0"/>
              <w:rPr>
                <w:sz w:val="20"/>
                <w:szCs w:val="20"/>
                <w:color w:val="auto"/>
              </w:rPr>
            </w:pPr>
            <w:r>
              <w:rPr>
                <w:rFonts w:ascii="Arial" w:cs="Arial" w:eastAsia="Arial" w:hAnsi="Arial"/>
                <w:sz w:val="13"/>
                <w:szCs w:val="13"/>
                <w:color w:val="auto"/>
              </w:rPr>
              <w:t>1-800-690-6903</w:t>
            </w:r>
          </w:p>
        </w:tc>
        <w:tc>
          <w:tcPr>
            <w:tcW w:w="2020" w:type="dxa"/>
            <w:vAlign w:val="bottom"/>
          </w:tcPr>
          <w:p>
            <w:pPr>
              <w:ind w:left="400"/>
              <w:spacing w:after="0"/>
              <w:rPr>
                <w:sz w:val="20"/>
                <w:szCs w:val="20"/>
                <w:color w:val="auto"/>
              </w:rPr>
            </w:pPr>
            <w:r>
              <w:rPr>
                <w:rFonts w:ascii="Arial" w:cs="Arial" w:eastAsia="Arial" w:hAnsi="Arial"/>
                <w:sz w:val="13"/>
                <w:szCs w:val="13"/>
                <w:color w:val="auto"/>
              </w:rPr>
              <w:t>Mail your signed proxy card</w:t>
            </w:r>
          </w:p>
        </w:tc>
      </w:tr>
    </w:tbl>
    <w:p>
      <w:pPr>
        <w:spacing w:after="0" w:line="92" w:lineRule="exact"/>
        <w:rPr>
          <w:sz w:val="20"/>
          <w:szCs w:val="20"/>
          <w:color w:val="auto"/>
        </w:rPr>
      </w:pPr>
    </w:p>
    <w:p>
      <w:pPr>
        <w:ind w:left="8"/>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06120" cy="229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120" cy="22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Arial" w:cs="Arial" w:eastAsia="Arial" w:hAnsi="Arial"/>
          <w:sz w:val="13"/>
          <w:szCs w:val="13"/>
          <w:color w:val="auto"/>
        </w:rPr>
        <w:t>Jason DeZwirek</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3"/>
          <w:szCs w:val="13"/>
          <w:color w:val="auto"/>
        </w:rPr>
        <w:t>Chairman of the Board of Directors</w:t>
      </w:r>
    </w:p>
    <w:p>
      <w:pPr>
        <w:ind w:left="8"/>
        <w:spacing w:after="0"/>
        <w:rPr>
          <w:sz w:val="20"/>
          <w:szCs w:val="20"/>
          <w:color w:val="auto"/>
        </w:rPr>
      </w:pPr>
      <w:r>
        <w:rPr>
          <w:rFonts w:ascii="Arial" w:cs="Arial" w:eastAsia="Arial" w:hAnsi="Arial"/>
          <w:sz w:val="13"/>
          <w:szCs w:val="13"/>
          <w:color w:val="auto"/>
        </w:rPr>
        <w:t>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346710</wp:posOffset>
            </wp:positionV>
            <wp:extent cx="630110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2">
            <w:col w:w="3920" w:space="332"/>
            <w:col w:w="5668"/>
          </w:cols>
          <w:pgMar w:left="980" w:top="485" w:right="9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PROXY SUMMARY</w:t>
      </w:r>
    </w:p>
    <w:p>
      <w:pPr>
        <w:spacing w:after="0" w:line="136" w:lineRule="exact"/>
        <w:rPr>
          <w:sz w:val="20"/>
          <w:szCs w:val="20"/>
          <w:color w:val="auto"/>
        </w:rPr>
      </w:pPr>
    </w:p>
    <w:p>
      <w:pPr>
        <w:ind w:right="100"/>
        <w:spacing w:after="0" w:line="254" w:lineRule="auto"/>
        <w:rPr>
          <w:sz w:val="20"/>
          <w:szCs w:val="20"/>
          <w:color w:val="auto"/>
        </w:rPr>
      </w:pPr>
      <w:r>
        <w:rPr>
          <w:rFonts w:ascii="Arial" w:cs="Arial" w:eastAsia="Arial" w:hAnsi="Arial"/>
          <w:sz w:val="13"/>
          <w:szCs w:val="13"/>
          <w:i w:val="1"/>
          <w:iCs w:val="1"/>
          <w:color w:val="auto"/>
        </w:rPr>
        <w:t>This summary highlights selected information contained in this Proxy Statement. Please read this entire Proxy Statement carefully before voting your shares. On April 10, 2025, we began to mail to our stockholders of record, as of the close of business on March 25, 2025, either a notice containing instructions on how to access this Proxy Statement and our Annual Report through the Internet or a printed copy of these proxy materials. For more complete information regarding the Company’s 2024 performance, please review the Company’s Annual Report on Form 10-K for the year ended December 31, 2024.</w:t>
      </w:r>
    </w:p>
    <w:p>
      <w:pPr>
        <w:sectPr>
          <w:pgSz w:w="11900" w:h="16838" w:orient="portrait"/>
          <w:cols w:equalWidth="0" w:num="1">
            <w:col w:w="9880"/>
          </w:cols>
          <w:pgMar w:left="980" w:top="485" w:right="10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Who We Are</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CECO Environmental is a leading environmentally focused, diversified industrial company serving the broad landscape of industrial air, industrial water and energy transition markets globally providing innovative solutions and application expertise.</w:t>
      </w:r>
    </w:p>
    <w:p>
      <w:pPr>
        <w:spacing w:after="0" w:line="56"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CECO helps companies grow their business with safe, clean, and more efficient solutions that help protect people, the environment and industrial equipment.</w:t>
      </w:r>
    </w:p>
    <w:p>
      <w:pPr>
        <w:spacing w:after="0" w:line="6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CECO solutions improve air and water quality, optimize emissions management, and increase energy efficiency for highly-engineered applications in power generation,</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midstream and downstream hydrocarbon processing and transport, electric vehicle production, polysilicon fabrication, semiconductor and electronics, battery production and recycling, specialty metals and steel production, beverage can, water/wastewater treatment and a wide range of other industrial end markets.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produce products to help protect the air we collectively breathe, maintain clean and safe operations for employees, lower energy consumption and minimize waste for customers, and ensure they meet regulatory compliance standards for toxic emissions, fumes, volatile organic compounds, and odors.</w:t>
      </w:r>
    </w:p>
    <w:p>
      <w:pPr>
        <w:spacing w:after="0" w:line="83" w:lineRule="exact"/>
        <w:rPr>
          <w:sz w:val="20"/>
          <w:szCs w:val="20"/>
          <w:color w:val="auto"/>
        </w:rPr>
      </w:pPr>
    </w:p>
    <w:p>
      <w:pPr>
        <w:sectPr>
          <w:pgSz w:w="11900" w:h="16838" w:orient="portrait"/>
          <w:cols w:equalWidth="0" w:num="2">
            <w:col w:w="4860" w:space="200"/>
            <w:col w:w="4820"/>
          </w:cols>
          <w:pgMar w:left="980" w:top="485" w:right="1039" w:bottom="1440" w:gutter="0" w:footer="0" w:header="0"/>
          <w:type w:val="continuous"/>
        </w:sectPr>
      </w:pPr>
    </w:p>
    <w:p>
      <w:pPr>
        <w:spacing w:after="0"/>
        <w:rPr>
          <w:sz w:val="20"/>
          <w:szCs w:val="20"/>
          <w:color w:val="auto"/>
        </w:rPr>
      </w:pPr>
      <w:r>
        <w:rPr>
          <w:rFonts w:ascii="Arial" w:cs="Arial" w:eastAsia="Arial" w:hAnsi="Arial"/>
          <w:sz w:val="22"/>
          <w:szCs w:val="22"/>
          <w:b w:val="1"/>
          <w:bCs w:val="1"/>
          <w:color w:val="3C578C"/>
        </w:rPr>
        <w:t>Virtual Annual Meeting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Arial" w:cs="Arial" w:eastAsia="Arial" w:hAnsi="Arial"/>
                <w:sz w:val="17"/>
                <w:szCs w:val="17"/>
                <w:b w:val="1"/>
                <w:bCs w:val="1"/>
                <w:color w:val="A1B657"/>
              </w:rPr>
              <w:t>WHEN</w:t>
            </w:r>
          </w:p>
        </w:tc>
        <w:tc>
          <w:tcPr>
            <w:tcW w:w="4380" w:type="dxa"/>
            <w:vAlign w:val="bottom"/>
          </w:tcPr>
          <w:p>
            <w:pPr>
              <w:ind w:left="620"/>
              <w:spacing w:after="0"/>
              <w:rPr>
                <w:sz w:val="20"/>
                <w:szCs w:val="20"/>
                <w:color w:val="auto"/>
              </w:rPr>
            </w:pPr>
            <w:r>
              <w:rPr>
                <w:rFonts w:ascii="Arial" w:cs="Arial" w:eastAsia="Arial" w:hAnsi="Arial"/>
                <w:sz w:val="17"/>
                <w:szCs w:val="17"/>
                <w:b w:val="1"/>
                <w:bCs w:val="1"/>
                <w:color w:val="A1B657"/>
              </w:rPr>
              <w:t>ADMISSION</w:t>
            </w:r>
          </w:p>
        </w:tc>
        <w:tc>
          <w:tcPr>
            <w:tcW w:w="2940" w:type="dxa"/>
            <w:vAlign w:val="bottom"/>
          </w:tcPr>
          <w:p>
            <w:pPr>
              <w:ind w:left="200"/>
              <w:spacing w:after="0"/>
              <w:rPr>
                <w:sz w:val="20"/>
                <w:szCs w:val="20"/>
                <w:color w:val="auto"/>
              </w:rPr>
            </w:pPr>
            <w:r>
              <w:rPr>
                <w:rFonts w:ascii="Arial" w:cs="Arial" w:eastAsia="Arial" w:hAnsi="Arial"/>
                <w:sz w:val="17"/>
                <w:szCs w:val="17"/>
                <w:b w:val="1"/>
                <w:bCs w:val="1"/>
                <w:color w:val="A1B657"/>
              </w:rPr>
              <w:t>WHO MAY VOTE</w:t>
            </w:r>
          </w:p>
        </w:tc>
        <w:tc>
          <w:tcPr>
            <w:tcW w:w="0" w:type="dxa"/>
            <w:vAlign w:val="bottom"/>
          </w:tcPr>
          <w:p>
            <w:pPr>
              <w:spacing w:after="0"/>
              <w:rPr>
                <w:sz w:val="1"/>
                <w:szCs w:val="1"/>
                <w:color w:val="auto"/>
              </w:rPr>
            </w:pPr>
          </w:p>
        </w:tc>
      </w:tr>
      <w:tr>
        <w:trPr>
          <w:trHeight w:val="800"/>
        </w:trPr>
        <w:tc>
          <w:tcPr>
            <w:tcW w:w="2360" w:type="dxa"/>
            <w:vAlign w:val="bottom"/>
          </w:tcPr>
          <w:p>
            <w:pPr>
              <w:spacing w:after="0"/>
              <w:rPr>
                <w:sz w:val="20"/>
                <w:szCs w:val="20"/>
                <w:color w:val="auto"/>
              </w:rPr>
            </w:pPr>
            <w:r>
              <w:rPr>
                <w:rFonts w:ascii="Arial" w:cs="Arial" w:eastAsia="Arial" w:hAnsi="Arial"/>
                <w:sz w:val="17"/>
                <w:szCs w:val="17"/>
                <w:color w:val="3C578C"/>
              </w:rPr>
              <w:t>Tuesday, May 20, 2025</w:t>
            </w:r>
          </w:p>
        </w:tc>
        <w:tc>
          <w:tcPr>
            <w:tcW w:w="4380" w:type="dxa"/>
            <w:vAlign w:val="bottom"/>
          </w:tcPr>
          <w:p>
            <w:pPr>
              <w:ind w:left="620"/>
              <w:spacing w:after="0"/>
              <w:rPr>
                <w:sz w:val="20"/>
                <w:szCs w:val="20"/>
                <w:color w:val="auto"/>
              </w:rPr>
            </w:pPr>
            <w:r>
              <w:rPr>
                <w:rFonts w:ascii="Arial" w:cs="Arial" w:eastAsia="Arial" w:hAnsi="Arial"/>
                <w:sz w:val="17"/>
                <w:szCs w:val="17"/>
                <w:color w:val="3C578C"/>
              </w:rPr>
              <w:t>Via live audio webcast,</w:t>
            </w:r>
          </w:p>
        </w:tc>
        <w:tc>
          <w:tcPr>
            <w:tcW w:w="2940" w:type="dxa"/>
            <w:vAlign w:val="bottom"/>
          </w:tcPr>
          <w:p>
            <w:pPr>
              <w:ind w:left="200"/>
              <w:spacing w:after="0"/>
              <w:rPr>
                <w:sz w:val="20"/>
                <w:szCs w:val="20"/>
                <w:color w:val="auto"/>
              </w:rPr>
            </w:pPr>
            <w:r>
              <w:rPr>
                <w:rFonts w:ascii="Arial" w:cs="Arial" w:eastAsia="Arial" w:hAnsi="Arial"/>
                <w:sz w:val="17"/>
                <w:szCs w:val="17"/>
                <w:color w:val="3C578C"/>
                <w:w w:val="96"/>
              </w:rPr>
              <w:t>Stockholders of record at the close of</w:t>
            </w:r>
          </w:p>
        </w:tc>
        <w:tc>
          <w:tcPr>
            <w:tcW w:w="0" w:type="dxa"/>
            <w:vAlign w:val="bottom"/>
          </w:tcPr>
          <w:p>
            <w:pPr>
              <w:spacing w:after="0"/>
              <w:rPr>
                <w:sz w:val="1"/>
                <w:szCs w:val="1"/>
                <w:color w:val="auto"/>
              </w:rPr>
            </w:pPr>
          </w:p>
        </w:tc>
      </w:tr>
      <w:tr>
        <w:trPr>
          <w:trHeight w:val="208"/>
        </w:trPr>
        <w:tc>
          <w:tcPr>
            <w:tcW w:w="2360" w:type="dxa"/>
            <w:vAlign w:val="bottom"/>
            <w:vMerge w:val="restart"/>
          </w:tcPr>
          <w:p>
            <w:pPr>
              <w:spacing w:after="0" w:line="373" w:lineRule="exact"/>
              <w:rPr>
                <w:sz w:val="20"/>
                <w:szCs w:val="20"/>
                <w:color w:val="auto"/>
              </w:rPr>
            </w:pPr>
            <w:r>
              <w:rPr>
                <w:rFonts w:ascii="Arial" w:cs="Arial" w:eastAsia="Arial" w:hAnsi="Arial"/>
                <w:sz w:val="43"/>
                <w:szCs w:val="43"/>
                <w:color w:val="3C578C"/>
              </w:rPr>
              <w:t>8AM</w:t>
            </w:r>
            <w:r>
              <w:rPr>
                <w:rFonts w:ascii="Arial" w:cs="Arial" w:eastAsia="Arial" w:hAnsi="Arial"/>
                <w:sz w:val="14"/>
                <w:szCs w:val="14"/>
                <w:color w:val="3C578C"/>
              </w:rPr>
              <w:t>(CT)</w:t>
            </w:r>
          </w:p>
        </w:tc>
        <w:tc>
          <w:tcPr>
            <w:tcW w:w="4380" w:type="dxa"/>
            <w:vAlign w:val="bottom"/>
          </w:tcPr>
          <w:p>
            <w:pPr>
              <w:ind w:left="620"/>
              <w:spacing w:after="0"/>
              <w:rPr>
                <w:sz w:val="20"/>
                <w:szCs w:val="20"/>
                <w:color w:val="auto"/>
              </w:rPr>
            </w:pPr>
            <w:r>
              <w:rPr>
                <w:rFonts w:ascii="Arial" w:cs="Arial" w:eastAsia="Arial" w:hAnsi="Arial"/>
                <w:sz w:val="17"/>
                <w:szCs w:val="17"/>
                <w:color w:val="3C578C"/>
              </w:rPr>
              <w:t>please visit:</w:t>
            </w:r>
          </w:p>
        </w:tc>
        <w:tc>
          <w:tcPr>
            <w:tcW w:w="2940" w:type="dxa"/>
            <w:vAlign w:val="bottom"/>
          </w:tcPr>
          <w:p>
            <w:pPr>
              <w:ind w:left="200"/>
              <w:spacing w:after="0"/>
              <w:rPr>
                <w:sz w:val="20"/>
                <w:szCs w:val="20"/>
                <w:color w:val="auto"/>
              </w:rPr>
            </w:pPr>
            <w:r>
              <w:rPr>
                <w:rFonts w:ascii="Arial" w:cs="Arial" w:eastAsia="Arial" w:hAnsi="Arial"/>
                <w:sz w:val="17"/>
                <w:szCs w:val="17"/>
                <w:color w:val="3C578C"/>
              </w:rPr>
              <w:t>business on March 25, 2025</w:t>
            </w:r>
          </w:p>
        </w:tc>
        <w:tc>
          <w:tcPr>
            <w:tcW w:w="0" w:type="dxa"/>
            <w:vAlign w:val="bottom"/>
          </w:tcPr>
          <w:p>
            <w:pPr>
              <w:spacing w:after="0"/>
              <w:rPr>
                <w:sz w:val="1"/>
                <w:szCs w:val="1"/>
                <w:color w:val="auto"/>
              </w:rPr>
            </w:pPr>
          </w:p>
        </w:tc>
      </w:tr>
      <w:tr>
        <w:trPr>
          <w:trHeight w:val="167"/>
        </w:trPr>
        <w:tc>
          <w:tcPr>
            <w:tcW w:w="2360" w:type="dxa"/>
            <w:vAlign w:val="bottom"/>
            <w:vMerge w:val="continue"/>
          </w:tcPr>
          <w:p>
            <w:pPr>
              <w:spacing w:after="0"/>
              <w:rPr>
                <w:sz w:val="14"/>
                <w:szCs w:val="14"/>
                <w:color w:val="auto"/>
              </w:rPr>
            </w:pPr>
          </w:p>
        </w:tc>
        <w:tc>
          <w:tcPr>
            <w:tcW w:w="4380" w:type="dxa"/>
            <w:vAlign w:val="bottom"/>
            <w:vMerge w:val="restart"/>
          </w:tcPr>
          <w:p>
            <w:pPr>
              <w:ind w:left="620"/>
              <w:spacing w:after="0"/>
              <w:rPr>
                <w:sz w:val="20"/>
                <w:szCs w:val="20"/>
                <w:color w:val="auto"/>
              </w:rPr>
            </w:pPr>
            <w:r>
              <w:rPr>
                <w:rFonts w:ascii="Arial" w:cs="Arial" w:eastAsia="Arial" w:hAnsi="Arial"/>
                <w:sz w:val="17"/>
                <w:szCs w:val="17"/>
                <w:color w:val="3C578C"/>
              </w:rPr>
              <w:t>www.virtualshareholdermeeting.com/CECO2025</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4380" w:type="dxa"/>
            <w:vAlign w:val="bottom"/>
            <w:vMerge w:val="continue"/>
          </w:tcPr>
          <w:p>
            <w:pPr>
              <w:spacing w:after="0"/>
              <w:rPr>
                <w:sz w:val="4"/>
                <w:szCs w:val="4"/>
                <w:color w:val="auto"/>
              </w:rPr>
            </w:pPr>
          </w:p>
        </w:tc>
        <w:tc>
          <w:tcPr>
            <w:tcW w:w="2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-730885</wp:posOffset>
            </wp:positionV>
            <wp:extent cx="396875" cy="301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6875" cy="30162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-730885</wp:posOffset>
            </wp:positionV>
            <wp:extent cx="428625" cy="301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30162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-730885</wp:posOffset>
            </wp:positionV>
            <wp:extent cx="340995" cy="301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995" cy="3016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307975</wp:posOffset>
            </wp:positionV>
            <wp:extent cx="6301105" cy="2952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1105" cy="2952115"/>
                    </a:xfrm>
                    <a:prstGeom prst="rect">
                      <a:avLst/>
                    </a:prstGeom>
                    <a:noFill/>
                  </pic:spPr>
                </pic:pic>
              </a:graphicData>
            </a:graphic>
          </wp:anchor>
        </w:drawing>
      </w:r>
    </w:p>
    <w:p>
      <w:pPr>
        <w:sectPr>
          <w:pgSz w:w="11900" w:h="16838" w:orient="portrait"/>
          <w:cols w:equalWidth="0" w:num="1">
            <w:col w:w="9880"/>
          </w:cols>
          <w:pgMar w:left="980" w:top="485"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3C578C"/>
        </w:rPr>
        <w:t>MATTERS TO BE VOTED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1B657"/>
        </w:rPr>
        <w:t>PROPOSALS</w:t>
      </w:r>
    </w:p>
    <w:p>
      <w:pPr>
        <w:ind w:left="800" w:hanging="561"/>
        <w:spacing w:after="0" w:line="209" w:lineRule="auto"/>
        <w:tabs>
          <w:tab w:leader="none" w:pos="800" w:val="left"/>
        </w:tabs>
        <w:numPr>
          <w:ilvl w:val="0"/>
          <w:numId w:val="11"/>
        </w:numPr>
        <w:rPr>
          <w:rFonts w:ascii="Arial" w:cs="Arial" w:eastAsia="Arial" w:hAnsi="Arial"/>
          <w:sz w:val="67"/>
          <w:szCs w:val="67"/>
          <w:color w:val="3C578C"/>
        </w:rPr>
      </w:pPr>
      <w:r>
        <w:rPr>
          <w:rFonts w:ascii="Arial" w:cs="Arial" w:eastAsia="Arial" w:hAnsi="Arial"/>
          <w:sz w:val="17"/>
          <w:szCs w:val="17"/>
          <w:color w:val="auto"/>
        </w:rPr>
        <w:t>To elect eight directors for a one-year term.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0" w:right="380" w:hanging="561"/>
        <w:spacing w:after="0" w:line="180" w:lineRule="auto"/>
        <w:tabs>
          <w:tab w:leader="none" w:pos="800" w:val="left"/>
        </w:tabs>
        <w:numPr>
          <w:ilvl w:val="0"/>
          <w:numId w:val="12"/>
        </w:numPr>
        <w:rPr>
          <w:rFonts w:ascii="Arial" w:cs="Arial" w:eastAsia="Arial" w:hAnsi="Arial"/>
          <w:sz w:val="33"/>
          <w:szCs w:val="33"/>
          <w:color w:val="3C578C"/>
        </w:rPr>
      </w:pPr>
      <w:r>
        <w:rPr>
          <w:rFonts w:ascii="Arial" w:cs="Arial" w:eastAsia="Arial" w:hAnsi="Arial"/>
          <w:sz w:val="14"/>
          <w:szCs w:val="14"/>
          <w:color w:val="auto"/>
        </w:rPr>
        <w:t>To approve, on an advisory basis, the compensation of our named executive officers.</w:t>
      </w:r>
    </w:p>
    <w:p>
      <w:pPr>
        <w:spacing w:after="0" w:line="200" w:lineRule="exact"/>
        <w:rPr>
          <w:sz w:val="20"/>
          <w:szCs w:val="20"/>
          <w:color w:val="auto"/>
        </w:rPr>
      </w:pPr>
    </w:p>
    <w:p>
      <w:pPr>
        <w:spacing w:after="0" w:line="245" w:lineRule="exact"/>
        <w:rPr>
          <w:sz w:val="20"/>
          <w:szCs w:val="20"/>
          <w:color w:val="auto"/>
        </w:rPr>
      </w:pPr>
    </w:p>
    <w:p>
      <w:pPr>
        <w:ind w:left="800" w:hanging="561"/>
        <w:spacing w:after="0" w:line="182" w:lineRule="auto"/>
        <w:tabs>
          <w:tab w:leader="none" w:pos="800" w:val="left"/>
        </w:tabs>
        <w:numPr>
          <w:ilvl w:val="0"/>
          <w:numId w:val="13"/>
        </w:numPr>
        <w:rPr>
          <w:rFonts w:ascii="Arial" w:cs="Arial" w:eastAsia="Arial" w:hAnsi="Arial"/>
          <w:sz w:val="40"/>
          <w:szCs w:val="40"/>
          <w:color w:val="3C578C"/>
        </w:rPr>
      </w:pPr>
      <w:r>
        <w:rPr>
          <w:rFonts w:ascii="Arial" w:cs="Arial" w:eastAsia="Arial" w:hAnsi="Arial"/>
          <w:sz w:val="14"/>
          <w:szCs w:val="14"/>
          <w:color w:val="auto"/>
        </w:rPr>
        <w:t>To recommend, on an advisory basis, the frequency of future advisory votes to approve named executive officer compensation.</w:t>
      </w:r>
    </w:p>
    <w:p>
      <w:pPr>
        <w:spacing w:after="0" w:line="344" w:lineRule="exact"/>
        <w:rPr>
          <w:sz w:val="20"/>
          <w:szCs w:val="20"/>
          <w:color w:val="auto"/>
        </w:rPr>
      </w:pPr>
    </w:p>
    <w:p>
      <w:pPr>
        <w:ind w:left="800" w:right="120" w:hanging="561"/>
        <w:spacing w:after="0" w:line="229" w:lineRule="auto"/>
        <w:tabs>
          <w:tab w:leader="none" w:pos="800" w:val="left"/>
        </w:tabs>
        <w:numPr>
          <w:ilvl w:val="0"/>
          <w:numId w:val="14"/>
        </w:numPr>
        <w:rPr>
          <w:rFonts w:ascii="Arial" w:cs="Arial" w:eastAsia="Arial" w:hAnsi="Arial"/>
          <w:sz w:val="40"/>
          <w:szCs w:val="40"/>
          <w:color w:val="3C578C"/>
        </w:rPr>
      </w:pPr>
      <w:r>
        <w:rPr>
          <w:rFonts w:ascii="Arial" w:cs="Arial" w:eastAsia="Arial" w:hAnsi="Arial"/>
          <w:sz w:val="14"/>
          <w:szCs w:val="14"/>
          <w:color w:val="auto"/>
        </w:rPr>
        <w:t>To ratify the appointment of Deloitte &amp; Touche LLP as our independent registered public accounting firm for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BOARD RECOMMENDATION</w:t>
      </w:r>
    </w:p>
    <w:p>
      <w:pPr>
        <w:spacing w:after="0" w:line="200" w:lineRule="exact"/>
        <w:rPr>
          <w:sz w:val="20"/>
          <w:szCs w:val="20"/>
          <w:color w:val="auto"/>
        </w:rPr>
      </w:pPr>
    </w:p>
    <w:p>
      <w:pPr>
        <w:spacing w:after="0" w:line="25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each director nominee.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900" w:right="660"/>
        <w:spacing w:after="0" w:line="289"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our named executive officers.</w:t>
      </w:r>
    </w:p>
    <w:p>
      <w:pPr>
        <w:spacing w:after="0" w:line="200" w:lineRule="exact"/>
        <w:rPr>
          <w:sz w:val="20"/>
          <w:szCs w:val="20"/>
          <w:color w:val="auto"/>
        </w:rPr>
      </w:pPr>
    </w:p>
    <w:p>
      <w:pPr>
        <w:spacing w:after="0" w:line="207" w:lineRule="exact"/>
        <w:rPr>
          <w:sz w:val="20"/>
          <w:szCs w:val="20"/>
          <w:color w:val="auto"/>
        </w:rPr>
      </w:pPr>
    </w:p>
    <w:p>
      <w:pPr>
        <w:ind w:left="900" w:right="400"/>
        <w:spacing w:after="0" w:line="244" w:lineRule="auto"/>
        <w:rPr>
          <w:sz w:val="20"/>
          <w:szCs w:val="20"/>
          <w:color w:val="auto"/>
        </w:rPr>
      </w:pPr>
      <w:r>
        <w:rPr>
          <w:rFonts w:ascii="Arial" w:cs="Arial" w:eastAsia="Arial" w:hAnsi="Arial"/>
          <w:sz w:val="17"/>
          <w:szCs w:val="17"/>
          <w:color w:val="auto"/>
        </w:rPr>
        <w:t xml:space="preserve">For every </w:t>
      </w:r>
      <w:r>
        <w:rPr>
          <w:rFonts w:ascii="Arial" w:cs="Arial" w:eastAsia="Arial" w:hAnsi="Arial"/>
          <w:sz w:val="17"/>
          <w:szCs w:val="17"/>
          <w:b w:val="1"/>
          <w:bCs w:val="1"/>
          <w:color w:val="auto"/>
        </w:rPr>
        <w:t>ONE YEAR</w:t>
      </w:r>
      <w:r>
        <w:rPr>
          <w:rFonts w:ascii="Arial" w:cs="Arial" w:eastAsia="Arial" w:hAnsi="Arial"/>
          <w:sz w:val="17"/>
          <w:szCs w:val="17"/>
          <w:color w:val="auto"/>
        </w:rPr>
        <w:t xml:space="preserve"> as the frequency of future advisory votes to approve named executive officer compensation.</w:t>
      </w:r>
    </w:p>
    <w:p>
      <w:pPr>
        <w:spacing w:after="0" w:line="341" w:lineRule="exact"/>
        <w:rPr>
          <w:sz w:val="20"/>
          <w:szCs w:val="20"/>
          <w:color w:val="auto"/>
        </w:rPr>
      </w:pPr>
    </w:p>
    <w:p>
      <w:pPr>
        <w:ind w:left="900" w:right="300"/>
        <w:spacing w:after="0" w:line="244"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Deloitte &amp;</w:t>
      </w:r>
      <w:r>
        <w:rPr>
          <w:rFonts w:ascii="Arial" w:cs="Arial" w:eastAsia="Arial" w:hAnsi="Arial"/>
          <w:sz w:val="17"/>
          <w:szCs w:val="17"/>
          <w:b w:val="1"/>
          <w:bCs w:val="1"/>
          <w:color w:val="auto"/>
        </w:rPr>
        <w:t xml:space="preserve"> </w:t>
      </w:r>
      <w:r>
        <w:rPr>
          <w:rFonts w:ascii="Arial" w:cs="Arial" w:eastAsia="Arial" w:hAnsi="Arial"/>
          <w:sz w:val="17"/>
          <w:szCs w:val="17"/>
          <w:color w:val="auto"/>
        </w:rPr>
        <w:t>Touche LLP as our 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528955</wp:posOffset>
            </wp:positionV>
            <wp:extent cx="630110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2">
            <w:col w:w="4620" w:space="260"/>
            <w:col w:w="5000"/>
          </w:cols>
          <w:pgMar w:left="980" w:top="485" w:right="10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DIRECTOR NOMINEES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center"/>
              <w:ind w:left="33"/>
              <w:spacing w:after="0"/>
              <w:rPr>
                <w:sz w:val="20"/>
                <w:szCs w:val="20"/>
                <w:color w:val="auto"/>
              </w:rPr>
            </w:pPr>
            <w:r>
              <w:rPr>
                <w:rFonts w:ascii="Arial" w:cs="Arial" w:eastAsia="Arial" w:hAnsi="Arial"/>
                <w:sz w:val="13"/>
                <w:szCs w:val="13"/>
                <w:b w:val="1"/>
                <w:bCs w:val="1"/>
                <w:color w:val="auto"/>
              </w:rPr>
              <w:t>Director</w:t>
            </w:r>
          </w:p>
        </w:tc>
        <w:tc>
          <w:tcPr>
            <w:tcW w:w="1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00" w:type="dxa"/>
            <w:vAlign w:val="bottom"/>
            <w:tcBorders>
              <w:bottom w:val="single" w:sz="8" w:color="D0CECE"/>
            </w:tcBorders>
          </w:tcPr>
          <w:p>
            <w:pPr>
              <w:spacing w:after="0"/>
              <w:rPr>
                <w:sz w:val="14"/>
                <w:szCs w:val="14"/>
                <w:color w:val="auto"/>
              </w:rPr>
            </w:pPr>
          </w:p>
        </w:tc>
        <w:tc>
          <w:tcPr>
            <w:tcW w:w="70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900" w:type="dxa"/>
            <w:vAlign w:val="bottom"/>
            <w:tcBorders>
              <w:bottom w:val="single" w:sz="8" w:color="D0CECE"/>
            </w:tcBorders>
          </w:tcPr>
          <w:p>
            <w:pPr>
              <w:jc w:val="center"/>
              <w:ind w:left="33"/>
              <w:spacing w:after="0"/>
              <w:rPr>
                <w:sz w:val="20"/>
                <w:szCs w:val="20"/>
                <w:color w:val="auto"/>
              </w:rPr>
            </w:pPr>
            <w:r>
              <w:rPr>
                <w:rFonts w:ascii="Arial" w:cs="Arial" w:eastAsia="Arial" w:hAnsi="Arial"/>
                <w:sz w:val="13"/>
                <w:szCs w:val="13"/>
                <w:b w:val="1"/>
                <w:bCs w:val="1"/>
                <w:color w:val="auto"/>
              </w:rPr>
              <w:t>Since</w:t>
            </w:r>
          </w:p>
        </w:tc>
        <w:tc>
          <w:tcPr>
            <w:tcW w:w="1840" w:type="dxa"/>
            <w:vAlign w:val="bottom"/>
            <w:tcBorders>
              <w:bottom w:val="single" w:sz="8" w:color="D0CECE"/>
            </w:tcBorders>
          </w:tcPr>
          <w:p>
            <w:pPr>
              <w:jc w:val="center"/>
              <w:ind w:right="13"/>
              <w:spacing w:after="0"/>
              <w:rPr>
                <w:sz w:val="20"/>
                <w:szCs w:val="20"/>
                <w:color w:val="auto"/>
              </w:rPr>
            </w:pPr>
            <w:r>
              <w:rPr>
                <w:rFonts w:ascii="Arial" w:cs="Arial" w:eastAsia="Arial" w:hAnsi="Arial"/>
                <w:sz w:val="13"/>
                <w:szCs w:val="13"/>
                <w:b w:val="1"/>
                <w:bCs w:val="1"/>
                <w:color w:val="auto"/>
              </w:rPr>
              <w:t>Committees</w:t>
            </w:r>
          </w:p>
        </w:tc>
        <w:tc>
          <w:tcPr>
            <w:tcW w:w="360" w:type="dxa"/>
            <w:vAlign w:val="bottom"/>
            <w:tcBorders>
              <w:bottom w:val="single" w:sz="8" w:color="D0CECE"/>
            </w:tcBorders>
          </w:tcPr>
          <w:p>
            <w:pPr>
              <w:spacing w:after="0"/>
              <w:rPr>
                <w:sz w:val="14"/>
                <w:szCs w:val="14"/>
                <w:color w:val="auto"/>
              </w:rPr>
            </w:pPr>
          </w:p>
        </w:tc>
        <w:tc>
          <w:tcPr>
            <w:tcW w:w="1920" w:type="dxa"/>
            <w:vAlign w:val="bottom"/>
            <w:tcBorders>
              <w:bottom w:val="single" w:sz="8" w:color="D0CECE"/>
            </w:tcBorders>
          </w:tcPr>
          <w:p>
            <w:pPr>
              <w:ind w:left="60"/>
              <w:spacing w:after="0"/>
              <w:rPr>
                <w:sz w:val="20"/>
                <w:szCs w:val="20"/>
                <w:color w:val="auto"/>
              </w:rPr>
            </w:pPr>
            <w:r>
              <w:rPr>
                <w:rFonts w:ascii="Arial" w:cs="Arial" w:eastAsia="Arial" w:hAnsi="Arial"/>
                <w:sz w:val="13"/>
                <w:szCs w:val="13"/>
                <w:b w:val="1"/>
                <w:bCs w:val="1"/>
                <w:color w:val="auto"/>
              </w:rPr>
              <w:t>Select Qualifications</w:t>
            </w:r>
          </w:p>
        </w:tc>
        <w:tc>
          <w:tcPr>
            <w:tcW w:w="0" w:type="dxa"/>
            <w:vAlign w:val="bottom"/>
          </w:tcPr>
          <w:p>
            <w:pPr>
              <w:spacing w:after="0"/>
              <w:rPr>
                <w:sz w:val="1"/>
                <w:szCs w:val="1"/>
                <w:color w:val="auto"/>
              </w:rPr>
            </w:pPr>
          </w:p>
        </w:tc>
      </w:tr>
      <w:tr>
        <w:trPr>
          <w:trHeight w:val="317"/>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JASON DEZWIREK</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Mergers and Acquisitions</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Operations</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54</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1994</w:t>
            </w:r>
          </w:p>
        </w:tc>
        <w:tc>
          <w:tcPr>
            <w:tcW w:w="1840" w:type="dxa"/>
            <w:vAlign w:val="bottom"/>
          </w:tcPr>
          <w:p>
            <w:pPr>
              <w:spacing w:after="0"/>
              <w:rPr>
                <w:sz w:val="6"/>
                <w:szCs w:val="6"/>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Technology</w:t>
            </w:r>
          </w:p>
        </w:tc>
        <w:tc>
          <w:tcPr>
            <w:tcW w:w="0" w:type="dxa"/>
            <w:vAlign w:val="bottom"/>
          </w:tcPr>
          <w:p>
            <w:pPr>
              <w:spacing w:after="0"/>
              <w:rPr>
                <w:sz w:val="1"/>
                <w:szCs w:val="1"/>
                <w:color w:val="auto"/>
              </w:rPr>
            </w:pPr>
          </w:p>
        </w:tc>
      </w:tr>
      <w:tr>
        <w:trPr>
          <w:trHeight w:val="83"/>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Chairman of the Board</w:t>
            </w: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36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line="143" w:lineRule="exact"/>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CECO Environmental Corp</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Governance</w:t>
            </w: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Strategy</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60" w:type="dxa"/>
            <w:vAlign w:val="bottom"/>
            <w:tcBorders>
              <w:bottom w:val="single" w:sz="8" w:color="D0CECE"/>
            </w:tcBorders>
          </w:tcPr>
          <w:p>
            <w:pPr>
              <w:spacing w:after="0"/>
              <w:rPr>
                <w:sz w:val="13"/>
                <w:szCs w:val="13"/>
                <w:color w:val="auto"/>
              </w:rPr>
            </w:pPr>
          </w:p>
        </w:tc>
        <w:tc>
          <w:tcPr>
            <w:tcW w:w="192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TODD GLEASON</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54</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2020</w:t>
            </w: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83"/>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Chief Executive Officer</w:t>
            </w: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6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line="143" w:lineRule="exact"/>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CECO Environmental Corp</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60" w:type="dxa"/>
            <w:vAlign w:val="bottom"/>
            <w:tcBorders>
              <w:bottom w:val="single" w:sz="8" w:color="D0CECE"/>
            </w:tcBorders>
          </w:tcPr>
          <w:p>
            <w:pPr>
              <w:spacing w:after="0"/>
              <w:rPr>
                <w:sz w:val="13"/>
                <w:szCs w:val="13"/>
                <w:color w:val="auto"/>
              </w:rPr>
            </w:pPr>
          </w:p>
        </w:tc>
        <w:tc>
          <w:tcPr>
            <w:tcW w:w="192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ROBERT E. KNOWLING, JR.</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Compensation</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69</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2022</w:t>
            </w:r>
          </w:p>
        </w:tc>
        <w:tc>
          <w:tcPr>
            <w:tcW w:w="1840" w:type="dxa"/>
            <w:vAlign w:val="bottom"/>
          </w:tcPr>
          <w:p>
            <w:pPr>
              <w:spacing w:after="0"/>
              <w:rPr>
                <w:sz w:val="6"/>
                <w:szCs w:val="6"/>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Chairman</w:t>
            </w: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Eagles Landing Partners</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(Chair)</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60" w:type="dxa"/>
            <w:vAlign w:val="bottom"/>
            <w:tcBorders>
              <w:bottom w:val="single" w:sz="8" w:color="D0CECE"/>
            </w:tcBorders>
          </w:tcPr>
          <w:p>
            <w:pPr>
              <w:spacing w:after="0"/>
              <w:rPr>
                <w:sz w:val="13"/>
                <w:szCs w:val="13"/>
                <w:color w:val="auto"/>
              </w:rPr>
            </w:pPr>
          </w:p>
        </w:tc>
        <w:tc>
          <w:tcPr>
            <w:tcW w:w="192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CLAUDIO A. MANNARINO</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54</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2015</w:t>
            </w:r>
          </w:p>
        </w:tc>
        <w:tc>
          <w:tcPr>
            <w:tcW w:w="1840" w:type="dxa"/>
            <w:vAlign w:val="bottom"/>
          </w:tcPr>
          <w:p>
            <w:pPr>
              <w:jc w:val="center"/>
              <w:spacing w:after="0"/>
              <w:rPr>
                <w:sz w:val="20"/>
                <w:szCs w:val="20"/>
                <w:color w:val="auto"/>
              </w:rPr>
            </w:pPr>
            <w:r>
              <w:rPr>
                <w:rFonts w:ascii="Arial" w:cs="Arial" w:eastAsia="Arial" w:hAnsi="Arial"/>
                <w:sz w:val="13"/>
                <w:szCs w:val="13"/>
                <w:color w:val="auto"/>
              </w:rPr>
              <w:t>Audit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12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President</w:t>
            </w: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Strategy</w:t>
            </w:r>
          </w:p>
        </w:tc>
        <w:tc>
          <w:tcPr>
            <w:tcW w:w="0" w:type="dxa"/>
            <w:vAlign w:val="bottom"/>
          </w:tcPr>
          <w:p>
            <w:pPr>
              <w:spacing w:after="0"/>
              <w:rPr>
                <w:sz w:val="1"/>
                <w:szCs w:val="1"/>
                <w:color w:val="auto"/>
              </w:rPr>
            </w:pPr>
          </w:p>
        </w:tc>
      </w:tr>
      <w:tr>
        <w:trPr>
          <w:trHeight w:val="25"/>
        </w:trPr>
        <w:tc>
          <w:tcPr>
            <w:tcW w:w="42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6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200" w:type="dxa"/>
            <w:vAlign w:val="bottom"/>
          </w:tcPr>
          <w:p>
            <w:pPr>
              <w:ind w:left="1340"/>
              <w:spacing w:after="0"/>
              <w:rPr>
                <w:sz w:val="20"/>
                <w:szCs w:val="20"/>
                <w:color w:val="auto"/>
              </w:rPr>
            </w:pPr>
            <w:r>
              <w:rPr>
                <w:rFonts w:ascii="Arial" w:cs="Arial" w:eastAsia="Arial" w:hAnsi="Arial"/>
                <w:sz w:val="13"/>
                <w:szCs w:val="13"/>
                <w:color w:val="7F7F7F"/>
              </w:rPr>
              <w:t>Sette CS Inc</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233"/>
        </w:trPr>
        <w:tc>
          <w:tcPr>
            <w:tcW w:w="4200" w:type="dxa"/>
            <w:vAlign w:val="bottom"/>
            <w:tcBorders>
              <w:bottom w:val="single" w:sz="8" w:color="D0CECE"/>
            </w:tcBorders>
          </w:tcPr>
          <w:p>
            <w:pPr>
              <w:spacing w:after="0"/>
              <w:rPr>
                <w:sz w:val="20"/>
                <w:szCs w:val="20"/>
                <w:color w:val="auto"/>
              </w:rPr>
            </w:pPr>
          </w:p>
        </w:tc>
        <w:tc>
          <w:tcPr>
            <w:tcW w:w="700" w:type="dxa"/>
            <w:vAlign w:val="bottom"/>
            <w:tcBorders>
              <w:bottom w:val="single" w:sz="8" w:color="D0CECE"/>
            </w:tcBorders>
          </w:tcPr>
          <w:p>
            <w:pPr>
              <w:spacing w:after="0"/>
              <w:rPr>
                <w:sz w:val="20"/>
                <w:szCs w:val="20"/>
                <w:color w:val="auto"/>
              </w:rPr>
            </w:pPr>
          </w:p>
        </w:tc>
        <w:tc>
          <w:tcPr>
            <w:tcW w:w="900" w:type="dxa"/>
            <w:vAlign w:val="bottom"/>
            <w:tcBorders>
              <w:bottom w:val="single" w:sz="8" w:color="D0CECE"/>
            </w:tcBorders>
          </w:tcPr>
          <w:p>
            <w:pPr>
              <w:spacing w:after="0"/>
              <w:rPr>
                <w:sz w:val="20"/>
                <w:szCs w:val="20"/>
                <w:color w:val="auto"/>
              </w:rPr>
            </w:pPr>
          </w:p>
        </w:tc>
        <w:tc>
          <w:tcPr>
            <w:tcW w:w="1840" w:type="dxa"/>
            <w:vAlign w:val="bottom"/>
            <w:tcBorders>
              <w:bottom w:val="single" w:sz="8" w:color="D0CECE"/>
            </w:tcBorders>
          </w:tcPr>
          <w:p>
            <w:pPr>
              <w:spacing w:after="0"/>
              <w:rPr>
                <w:sz w:val="20"/>
                <w:szCs w:val="20"/>
                <w:color w:val="auto"/>
              </w:rPr>
            </w:pPr>
          </w:p>
        </w:tc>
        <w:tc>
          <w:tcPr>
            <w:tcW w:w="360" w:type="dxa"/>
            <w:vAlign w:val="bottom"/>
            <w:tcBorders>
              <w:bottom w:val="single" w:sz="8" w:color="D0CECE"/>
            </w:tcBorders>
          </w:tcPr>
          <w:p>
            <w:pPr>
              <w:spacing w:after="0"/>
              <w:rPr>
                <w:sz w:val="20"/>
                <w:szCs w:val="20"/>
                <w:color w:val="auto"/>
              </w:rPr>
            </w:pPr>
          </w:p>
        </w:tc>
        <w:tc>
          <w:tcPr>
            <w:tcW w:w="1920" w:type="dxa"/>
            <w:vAlign w:val="bottom"/>
            <w:tcBorders>
              <w:bottom w:val="single" w:sz="8" w:color="D0CECE"/>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MUNISH NANDA</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Audit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Operations</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Fluid Handling</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Former President, Americas &amp; Europe</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60</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2018</w:t>
            </w:r>
          </w:p>
        </w:tc>
        <w:tc>
          <w:tcPr>
            <w:tcW w:w="18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Energy</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Watts Water Technologies, Inc.</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Governance</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Manufacturing</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60" w:type="dxa"/>
            <w:vAlign w:val="bottom"/>
            <w:tcBorders>
              <w:bottom w:val="single" w:sz="8" w:color="D0CECE"/>
            </w:tcBorders>
          </w:tcPr>
          <w:p>
            <w:pPr>
              <w:spacing w:after="0"/>
              <w:rPr>
                <w:sz w:val="13"/>
                <w:szCs w:val="13"/>
                <w:color w:val="auto"/>
              </w:rPr>
            </w:pPr>
          </w:p>
        </w:tc>
        <w:tc>
          <w:tcPr>
            <w:tcW w:w="192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VALERIE GENTILE SACHS</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Legal</w:t>
            </w:r>
          </w:p>
        </w:tc>
        <w:tc>
          <w:tcPr>
            <w:tcW w:w="0" w:type="dxa"/>
            <w:vAlign w:val="bottom"/>
          </w:tcPr>
          <w:p>
            <w:pPr>
              <w:spacing w:after="0"/>
              <w:rPr>
                <w:sz w:val="1"/>
                <w:szCs w:val="1"/>
                <w:color w:val="auto"/>
              </w:rPr>
            </w:pPr>
          </w:p>
        </w:tc>
      </w:tr>
      <w:tr>
        <w:trPr>
          <w:trHeight w:val="83"/>
        </w:trPr>
        <w:tc>
          <w:tcPr>
            <w:tcW w:w="4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67"/>
        </w:trPr>
        <w:tc>
          <w:tcPr>
            <w:tcW w:w="4200" w:type="dxa"/>
            <w:vAlign w:val="bottom"/>
            <w:vMerge w:val="restart"/>
          </w:tcPr>
          <w:p>
            <w:pPr>
              <w:ind w:left="1340"/>
              <w:spacing w:after="0" w:line="143" w:lineRule="exact"/>
              <w:rPr>
                <w:sz w:val="20"/>
                <w:szCs w:val="20"/>
                <w:color w:val="auto"/>
              </w:rPr>
            </w:pPr>
            <w:r>
              <w:rPr>
                <w:rFonts w:ascii="Arial" w:cs="Arial" w:eastAsia="Arial" w:hAnsi="Arial"/>
                <w:sz w:val="13"/>
                <w:szCs w:val="13"/>
                <w:color w:val="7F7F7F"/>
              </w:rPr>
              <w:t>Former Vice President, General Counsel and</w:t>
            </w:r>
          </w:p>
        </w:tc>
        <w:tc>
          <w:tcPr>
            <w:tcW w:w="700" w:type="dxa"/>
            <w:vAlign w:val="bottom"/>
            <w:vMerge w:val="restart"/>
          </w:tcPr>
          <w:p>
            <w:pPr>
              <w:jc w:val="center"/>
              <w:spacing w:after="0" w:line="143" w:lineRule="exact"/>
              <w:rPr>
                <w:sz w:val="20"/>
                <w:szCs w:val="20"/>
                <w:color w:val="auto"/>
              </w:rPr>
            </w:pPr>
            <w:r>
              <w:rPr>
                <w:rFonts w:ascii="Arial" w:cs="Arial" w:eastAsia="Arial" w:hAnsi="Arial"/>
                <w:sz w:val="13"/>
                <w:szCs w:val="13"/>
                <w:color w:val="auto"/>
              </w:rPr>
              <w:t>69</w:t>
            </w:r>
          </w:p>
        </w:tc>
        <w:tc>
          <w:tcPr>
            <w:tcW w:w="900" w:type="dxa"/>
            <w:vAlign w:val="bottom"/>
            <w:vMerge w:val="restart"/>
          </w:tcPr>
          <w:p>
            <w:pPr>
              <w:jc w:val="center"/>
              <w:ind w:left="33"/>
              <w:spacing w:after="0" w:line="143" w:lineRule="exact"/>
              <w:rPr>
                <w:sz w:val="20"/>
                <w:szCs w:val="20"/>
                <w:color w:val="auto"/>
              </w:rPr>
            </w:pPr>
            <w:r>
              <w:rPr>
                <w:rFonts w:ascii="Arial" w:cs="Arial" w:eastAsia="Arial" w:hAnsi="Arial"/>
                <w:sz w:val="13"/>
                <w:szCs w:val="13"/>
                <w:color w:val="auto"/>
                <w:w w:val="96"/>
              </w:rPr>
              <w:t>2016</w:t>
            </w:r>
          </w:p>
        </w:tc>
        <w:tc>
          <w:tcPr>
            <w:tcW w:w="18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Governance</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line="133" w:lineRule="exact"/>
              <w:rPr>
                <w:sz w:val="20"/>
                <w:szCs w:val="20"/>
                <w:color w:val="auto"/>
              </w:rPr>
            </w:pPr>
            <w:r>
              <w:rPr>
                <w:rFonts w:ascii="Arial" w:cs="Arial" w:eastAsia="Arial" w:hAnsi="Arial"/>
                <w:sz w:val="13"/>
                <w:szCs w:val="13"/>
                <w:color w:val="7F7F7F"/>
              </w:rPr>
              <w:t>Corporate Secretary</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Compliance</w:t>
            </w:r>
          </w:p>
        </w:tc>
        <w:tc>
          <w:tcPr>
            <w:tcW w:w="0" w:type="dxa"/>
            <w:vAlign w:val="bottom"/>
          </w:tcPr>
          <w:p>
            <w:pPr>
              <w:spacing w:after="0"/>
              <w:rPr>
                <w:sz w:val="1"/>
                <w:szCs w:val="1"/>
                <w:color w:val="auto"/>
              </w:rPr>
            </w:pPr>
          </w:p>
        </w:tc>
      </w:tr>
      <w:tr>
        <w:trPr>
          <w:trHeight w:val="92"/>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OM Group, Inc.</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 xml:space="preserve">Governance </w:t>
            </w:r>
            <w:r>
              <w:rPr>
                <w:rFonts w:ascii="Arial" w:cs="Arial" w:eastAsia="Arial" w:hAnsi="Arial"/>
                <w:sz w:val="13"/>
                <w:szCs w:val="13"/>
                <w:b w:val="1"/>
                <w:bCs w:val="1"/>
                <w:color w:val="auto"/>
              </w:rPr>
              <w:t>(Chair)</w:t>
            </w:r>
          </w:p>
        </w:tc>
        <w:tc>
          <w:tcPr>
            <w:tcW w:w="36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200" w:type="dxa"/>
            <w:vAlign w:val="bottom"/>
            <w:tcBorders>
              <w:bottom w:val="single" w:sz="8" w:color="D0CECE"/>
            </w:tcBorders>
          </w:tcPr>
          <w:p>
            <w:pPr>
              <w:spacing w:after="0"/>
              <w:rPr>
                <w:sz w:val="7"/>
                <w:szCs w:val="7"/>
                <w:color w:val="auto"/>
              </w:rPr>
            </w:pPr>
          </w:p>
        </w:tc>
        <w:tc>
          <w:tcPr>
            <w:tcW w:w="700" w:type="dxa"/>
            <w:vAlign w:val="bottom"/>
            <w:tcBorders>
              <w:bottom w:val="single" w:sz="8" w:color="D0CECE"/>
            </w:tcBorders>
          </w:tcPr>
          <w:p>
            <w:pPr>
              <w:spacing w:after="0"/>
              <w:rPr>
                <w:sz w:val="7"/>
                <w:szCs w:val="7"/>
                <w:color w:val="auto"/>
              </w:rPr>
            </w:pPr>
          </w:p>
        </w:tc>
        <w:tc>
          <w:tcPr>
            <w:tcW w:w="900" w:type="dxa"/>
            <w:vAlign w:val="bottom"/>
            <w:tcBorders>
              <w:bottom w:val="single" w:sz="8" w:color="D0CECE"/>
            </w:tcBorders>
          </w:tcPr>
          <w:p>
            <w:pPr>
              <w:spacing w:after="0"/>
              <w:rPr>
                <w:sz w:val="7"/>
                <w:szCs w:val="7"/>
                <w:color w:val="auto"/>
              </w:rPr>
            </w:pPr>
          </w:p>
        </w:tc>
        <w:tc>
          <w:tcPr>
            <w:tcW w:w="1840" w:type="dxa"/>
            <w:vAlign w:val="bottom"/>
            <w:tcBorders>
              <w:bottom w:val="single" w:sz="8" w:color="D0CECE"/>
            </w:tcBorders>
          </w:tcPr>
          <w:p>
            <w:pPr>
              <w:spacing w:after="0"/>
              <w:rPr>
                <w:sz w:val="7"/>
                <w:szCs w:val="7"/>
                <w:color w:val="auto"/>
              </w:rPr>
            </w:pPr>
          </w:p>
        </w:tc>
        <w:tc>
          <w:tcPr>
            <w:tcW w:w="360" w:type="dxa"/>
            <w:vAlign w:val="bottom"/>
            <w:tcBorders>
              <w:bottom w:val="single" w:sz="8" w:color="D0CECE"/>
            </w:tcBorders>
          </w:tcPr>
          <w:p>
            <w:pPr>
              <w:spacing w:after="0"/>
              <w:rPr>
                <w:sz w:val="7"/>
                <w:szCs w:val="7"/>
                <w:color w:val="auto"/>
              </w:rPr>
            </w:pPr>
          </w:p>
        </w:tc>
        <w:tc>
          <w:tcPr>
            <w:tcW w:w="1920" w:type="dxa"/>
            <w:vAlign w:val="bottom"/>
            <w:tcBorders>
              <w:bottom w:val="single" w:sz="8" w:color="D0CECE"/>
            </w:tcBorders>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LAURIE A. SIEGEL</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69</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2023</w:t>
            </w: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President</w:t>
            </w: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(Chair)</w:t>
            </w: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LAS Advisory Services.</w:t>
            </w: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Human Resources</w:t>
            </w:r>
          </w:p>
        </w:tc>
        <w:tc>
          <w:tcPr>
            <w:tcW w:w="0" w:type="dxa"/>
            <w:vAlign w:val="bottom"/>
          </w:tcPr>
          <w:p>
            <w:pPr>
              <w:spacing w:after="0"/>
              <w:rPr>
                <w:sz w:val="1"/>
                <w:szCs w:val="1"/>
                <w:color w:val="auto"/>
              </w:rPr>
            </w:pPr>
          </w:p>
        </w:tc>
      </w:tr>
      <w:tr>
        <w:trPr>
          <w:trHeight w:val="86"/>
        </w:trPr>
        <w:tc>
          <w:tcPr>
            <w:tcW w:w="4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200" w:type="dxa"/>
            <w:vAlign w:val="bottom"/>
            <w:tcBorders>
              <w:bottom w:val="single" w:sz="8" w:color="D0CECE"/>
            </w:tcBorders>
          </w:tcPr>
          <w:p>
            <w:pPr>
              <w:spacing w:after="0"/>
              <w:rPr>
                <w:sz w:val="18"/>
                <w:szCs w:val="18"/>
                <w:color w:val="auto"/>
              </w:rPr>
            </w:pPr>
          </w:p>
        </w:tc>
        <w:tc>
          <w:tcPr>
            <w:tcW w:w="700" w:type="dxa"/>
            <w:vAlign w:val="bottom"/>
            <w:tcBorders>
              <w:bottom w:val="single" w:sz="8" w:color="D0CECE"/>
            </w:tcBorders>
          </w:tcPr>
          <w:p>
            <w:pPr>
              <w:spacing w:after="0"/>
              <w:rPr>
                <w:sz w:val="18"/>
                <w:szCs w:val="18"/>
                <w:color w:val="auto"/>
              </w:rPr>
            </w:pPr>
          </w:p>
        </w:tc>
        <w:tc>
          <w:tcPr>
            <w:tcW w:w="900" w:type="dxa"/>
            <w:vAlign w:val="bottom"/>
            <w:tcBorders>
              <w:bottom w:val="single" w:sz="8" w:color="D0CECE"/>
            </w:tcBorders>
          </w:tcPr>
          <w:p>
            <w:pPr>
              <w:spacing w:after="0"/>
              <w:rPr>
                <w:sz w:val="18"/>
                <w:szCs w:val="18"/>
                <w:color w:val="auto"/>
              </w:rPr>
            </w:pPr>
          </w:p>
        </w:tc>
        <w:tc>
          <w:tcPr>
            <w:tcW w:w="1840" w:type="dxa"/>
            <w:vAlign w:val="bottom"/>
            <w:tcBorders>
              <w:bottom w:val="single" w:sz="8" w:color="D0CECE"/>
            </w:tcBorders>
          </w:tcPr>
          <w:p>
            <w:pPr>
              <w:spacing w:after="0"/>
              <w:rPr>
                <w:sz w:val="18"/>
                <w:szCs w:val="18"/>
                <w:color w:val="auto"/>
              </w:rPr>
            </w:pPr>
          </w:p>
        </w:tc>
        <w:tc>
          <w:tcPr>
            <w:tcW w:w="360" w:type="dxa"/>
            <w:vAlign w:val="bottom"/>
            <w:tcBorders>
              <w:bottom w:val="single" w:sz="8" w:color="D0CECE"/>
            </w:tcBorders>
          </w:tcPr>
          <w:p>
            <w:pPr>
              <w:spacing w:after="0"/>
              <w:rPr>
                <w:sz w:val="18"/>
                <w:szCs w:val="18"/>
                <w:color w:val="auto"/>
              </w:rPr>
            </w:pPr>
          </w:p>
        </w:tc>
        <w:tc>
          <w:tcPr>
            <w:tcW w:w="1920" w:type="dxa"/>
            <w:vAlign w:val="bottom"/>
            <w:tcBorders>
              <w:bottom w:val="single" w:sz="8" w:color="D0CECE"/>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RICHARD F. WALLMAN</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 xml:space="preserve">Audit </w:t>
            </w:r>
            <w:r>
              <w:rPr>
                <w:rFonts w:ascii="Arial" w:cs="Arial" w:eastAsia="Arial" w:hAnsi="Arial"/>
                <w:sz w:val="13"/>
                <w:szCs w:val="13"/>
                <w:b w:val="1"/>
                <w:bCs w:val="1"/>
                <w:color w:val="auto"/>
              </w:rPr>
              <w:t>(Chair)</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81"/>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Former Senior Vice President and Chief</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74</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2021</w:t>
            </w:r>
          </w:p>
        </w:tc>
        <w:tc>
          <w:tcPr>
            <w:tcW w:w="1840" w:type="dxa"/>
            <w:vAlign w:val="bottom"/>
            <w:vMerge w:val="continue"/>
          </w:tcPr>
          <w:p>
            <w:pPr>
              <w:spacing w:after="0"/>
              <w:rPr>
                <w:sz w:val="7"/>
                <w:szCs w:val="7"/>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7"/>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6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200" w:type="dxa"/>
            <w:vAlign w:val="bottom"/>
          </w:tcPr>
          <w:p>
            <w:pPr>
              <w:ind w:left="1340"/>
              <w:spacing w:after="0" w:line="143" w:lineRule="exact"/>
              <w:rPr>
                <w:sz w:val="20"/>
                <w:szCs w:val="20"/>
                <w:color w:val="auto"/>
              </w:rPr>
            </w:pPr>
            <w:r>
              <w:rPr>
                <w:rFonts w:ascii="Arial" w:cs="Arial" w:eastAsia="Arial" w:hAnsi="Arial"/>
                <w:sz w:val="13"/>
                <w:szCs w:val="13"/>
                <w:color w:val="7F7F7F"/>
              </w:rPr>
              <w:t>Financial Officer</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6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line="143" w:lineRule="exact"/>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175"/>
        </w:trPr>
        <w:tc>
          <w:tcPr>
            <w:tcW w:w="4200" w:type="dxa"/>
            <w:vAlign w:val="bottom"/>
          </w:tcPr>
          <w:p>
            <w:pPr>
              <w:ind w:left="1340"/>
              <w:spacing w:after="0"/>
              <w:rPr>
                <w:sz w:val="20"/>
                <w:szCs w:val="20"/>
                <w:color w:val="auto"/>
              </w:rPr>
            </w:pPr>
            <w:r>
              <w:rPr>
                <w:rFonts w:ascii="Arial" w:cs="Arial" w:eastAsia="Arial" w:hAnsi="Arial"/>
                <w:sz w:val="13"/>
                <w:szCs w:val="13"/>
                <w:color w:val="7F7F7F"/>
              </w:rPr>
              <w:t>Honeywell International, Inc.</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20" w:type="dxa"/>
            <w:vAlign w:val="bottom"/>
          </w:tcPr>
          <w:p>
            <w:pPr>
              <w:ind w:left="14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-4747895</wp:posOffset>
            </wp:positionV>
            <wp:extent cx="6301105" cy="4857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1105" cy="485711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53340</wp:posOffset>
            </wp:positionV>
            <wp:extent cx="1190625" cy="1508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90625" cy="150812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37465</wp:posOffset>
            </wp:positionV>
            <wp:extent cx="1222375" cy="1476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2375" cy="1476375"/>
                    </a:xfrm>
                    <a:prstGeom prst="rect">
                      <a:avLst/>
                    </a:prstGeom>
                    <a:noFill/>
                  </pic:spPr>
                </pic:pic>
              </a:graphicData>
            </a:graphic>
          </wp:anchor>
        </w:drawing>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C578C"/>
        </w:rPr>
        <w:t>I</w:t>
      </w:r>
      <w:r>
        <w:rPr>
          <w:rFonts w:ascii="Arial" w:cs="Arial" w:eastAsia="Arial" w:hAnsi="Arial"/>
          <w:sz w:val="13"/>
          <w:szCs w:val="13"/>
          <w:b w:val="1"/>
          <w:bCs w:val="1"/>
          <w:color w:val="3C578C"/>
        </w:rPr>
        <w:t>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85090</wp:posOffset>
            </wp:positionV>
            <wp:extent cx="1349375"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9375" cy="142875"/>
                    </a:xfrm>
                    <a:prstGeom prst="rect">
                      <a:avLst/>
                    </a:prstGeom>
                    <a:noFill/>
                  </pic:spPr>
                </pic:pic>
              </a:graphicData>
            </a:graphic>
          </wp:anchor>
        </w:drawing>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33"/>
          <w:szCs w:val="33"/>
          <w:color w:val="3C578C"/>
        </w:rPr>
        <w:t>7 of 8</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3C578C"/>
        </w:rPr>
        <w:t>WOMEN OR MINORITIES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100330</wp:posOffset>
            </wp:positionV>
            <wp:extent cx="1372870" cy="166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2870" cy="16637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33"/>
          <w:szCs w:val="33"/>
          <w:color w:val="3C578C"/>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422910</wp:posOffset>
            </wp:positionV>
            <wp:extent cx="630110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BUSINESS PERFORMANCE AND FINANCIAL HIGHLIGHTS</w:t>
      </w:r>
    </w:p>
    <w:p>
      <w:pPr>
        <w:spacing w:after="0" w:line="192" w:lineRule="exact"/>
        <w:rPr>
          <w:sz w:val="20"/>
          <w:szCs w:val="20"/>
          <w:color w:val="auto"/>
        </w:rPr>
      </w:pPr>
    </w:p>
    <w:p>
      <w:pPr>
        <w:ind w:right="660"/>
        <w:spacing w:after="0" w:line="267" w:lineRule="auto"/>
        <w:rPr>
          <w:sz w:val="20"/>
          <w:szCs w:val="20"/>
          <w:color w:val="auto"/>
        </w:rPr>
      </w:pPr>
      <w:r>
        <w:rPr>
          <w:rFonts w:ascii="Arial" w:cs="Arial" w:eastAsia="Arial" w:hAnsi="Arial"/>
          <w:sz w:val="16"/>
          <w:szCs w:val="16"/>
          <w:color w:val="auto"/>
        </w:rPr>
        <w:t>As an engineering and services company focused on helping our customers meet or exceed regulatory or self-appointed environmental targets, we understand that we have a responsibility to reduce our internal environmental footprint. We are also committed to ensuring that we are fostering an engaged workforce and strong processes around controls and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6301105" cy="1039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1105" cy="1039495"/>
                    </a:xfrm>
                    <a:prstGeom prst="rect">
                      <a:avLst/>
                    </a:prstGeom>
                    <a:noFill/>
                  </pic:spPr>
                </pic:pic>
              </a:graphicData>
            </a:graphic>
          </wp:anchor>
        </w:drawing>
      </w: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200" w:type="dxa"/>
            <w:vAlign w:val="bottom"/>
            <w:vMerge w:val="restart"/>
          </w:tcPr>
          <w:p>
            <w:pPr>
              <w:spacing w:after="0"/>
              <w:rPr>
                <w:sz w:val="20"/>
                <w:szCs w:val="20"/>
                <w:color w:val="auto"/>
              </w:rPr>
            </w:pPr>
            <w:r>
              <w:rPr>
                <w:rFonts w:ascii="Arial" w:cs="Arial" w:eastAsia="Arial" w:hAnsi="Arial"/>
                <w:sz w:val="20"/>
                <w:szCs w:val="20"/>
                <w:b w:val="1"/>
                <w:bCs w:val="1"/>
                <w:color w:val="auto"/>
              </w:rPr>
              <w:t>REVENUE</w:t>
            </w:r>
          </w:p>
        </w:tc>
        <w:tc>
          <w:tcPr>
            <w:tcW w:w="2900" w:type="dxa"/>
            <w:vAlign w:val="bottom"/>
            <w:vMerge w:val="restart"/>
          </w:tcPr>
          <w:p>
            <w:pPr>
              <w:ind w:left="1220"/>
              <w:spacing w:after="0"/>
              <w:rPr>
                <w:sz w:val="20"/>
                <w:szCs w:val="20"/>
                <w:color w:val="auto"/>
              </w:rPr>
            </w:pPr>
            <w:r>
              <w:rPr>
                <w:rFonts w:ascii="Arial" w:cs="Arial" w:eastAsia="Arial" w:hAnsi="Arial"/>
                <w:sz w:val="20"/>
                <w:szCs w:val="20"/>
                <w:b w:val="1"/>
                <w:bCs w:val="1"/>
                <w:color w:val="auto"/>
              </w:rPr>
              <w:t>ORDERS</w:t>
            </w:r>
          </w:p>
        </w:tc>
        <w:tc>
          <w:tcPr>
            <w:tcW w:w="3480" w:type="dxa"/>
            <w:vAlign w:val="bottom"/>
          </w:tcPr>
          <w:p>
            <w:pPr>
              <w:jc w:val="center"/>
              <w:ind w:left="700"/>
              <w:spacing w:after="0"/>
              <w:rPr>
                <w:sz w:val="20"/>
                <w:szCs w:val="20"/>
                <w:color w:val="auto"/>
              </w:rPr>
            </w:pPr>
            <w:r>
              <w:rPr>
                <w:rFonts w:ascii="Arial" w:cs="Arial" w:eastAsia="Arial" w:hAnsi="Arial"/>
                <w:sz w:val="20"/>
                <w:szCs w:val="20"/>
                <w:b w:val="1"/>
                <w:bCs w:val="1"/>
                <w:color w:val="auto"/>
              </w:rPr>
              <w:t>NON-GAAP EARNINGS PER</w:t>
            </w:r>
          </w:p>
        </w:tc>
        <w:tc>
          <w:tcPr>
            <w:tcW w:w="0" w:type="dxa"/>
            <w:vAlign w:val="bottom"/>
          </w:tcPr>
          <w:p>
            <w:pPr>
              <w:spacing w:after="0"/>
              <w:rPr>
                <w:sz w:val="1"/>
                <w:szCs w:val="1"/>
                <w:color w:val="auto"/>
              </w:rPr>
            </w:pPr>
          </w:p>
        </w:tc>
      </w:tr>
      <w:tr>
        <w:trPr>
          <w:trHeight w:val="236"/>
        </w:trPr>
        <w:tc>
          <w:tcPr>
            <w:tcW w:w="2200" w:type="dxa"/>
            <w:vAlign w:val="bottom"/>
            <w:vMerge w:val="continue"/>
          </w:tcPr>
          <w:p>
            <w:pPr>
              <w:spacing w:after="0"/>
              <w:rPr>
                <w:sz w:val="20"/>
                <w:szCs w:val="20"/>
                <w:color w:val="auto"/>
              </w:rPr>
            </w:pPr>
          </w:p>
        </w:tc>
        <w:tc>
          <w:tcPr>
            <w:tcW w:w="2900" w:type="dxa"/>
            <w:vAlign w:val="bottom"/>
            <w:vMerge w:val="continue"/>
          </w:tcPr>
          <w:p>
            <w:pPr>
              <w:spacing w:after="0"/>
              <w:rPr>
                <w:sz w:val="20"/>
                <w:szCs w:val="20"/>
                <w:color w:val="auto"/>
              </w:rPr>
            </w:pPr>
          </w:p>
        </w:tc>
        <w:tc>
          <w:tcPr>
            <w:tcW w:w="3480" w:type="dxa"/>
            <w:vAlign w:val="bottom"/>
          </w:tcPr>
          <w:p>
            <w:pPr>
              <w:jc w:val="center"/>
              <w:ind w:left="680"/>
              <w:spacing w:after="0"/>
              <w:rPr>
                <w:sz w:val="20"/>
                <w:szCs w:val="20"/>
                <w:color w:val="auto"/>
              </w:rPr>
            </w:pPr>
            <w:r>
              <w:rPr>
                <w:rFonts w:ascii="Arial" w:cs="Arial" w:eastAsia="Arial" w:hAnsi="Arial"/>
                <w:sz w:val="20"/>
                <w:szCs w:val="20"/>
                <w:b w:val="1"/>
                <w:bCs w:val="1"/>
                <w:color w:val="auto"/>
                <w:w w:val="99"/>
              </w:rPr>
              <w:t>SHARE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460" w:type="dxa"/>
            <w:vAlign w:val="bottom"/>
            <w:gridSpan w:val="2"/>
          </w:tcPr>
          <w:p>
            <w:pPr>
              <w:jc w:val="center"/>
              <w:ind w:left="540"/>
              <w:spacing w:after="0" w:line="563" w:lineRule="exact"/>
              <w:rPr>
                <w:sz w:val="20"/>
                <w:szCs w:val="20"/>
                <w:color w:val="auto"/>
              </w:rPr>
            </w:pPr>
            <w:r>
              <w:rPr>
                <w:rFonts w:ascii="Arial" w:cs="Arial" w:eastAsia="Arial" w:hAnsi="Arial"/>
                <w:sz w:val="50"/>
                <w:szCs w:val="50"/>
                <w:b w:val="1"/>
                <w:bCs w:val="1"/>
                <w:color w:val="3C578C"/>
                <w:w w:val="99"/>
              </w:rPr>
              <w:t>$558M</w:t>
            </w:r>
          </w:p>
        </w:tc>
        <w:tc>
          <w:tcPr>
            <w:tcW w:w="4900" w:type="dxa"/>
            <w:vAlign w:val="bottom"/>
            <w:gridSpan w:val="4"/>
          </w:tcPr>
          <w:p>
            <w:pPr>
              <w:jc w:val="center"/>
              <w:spacing w:after="0" w:line="563" w:lineRule="exact"/>
              <w:rPr>
                <w:sz w:val="20"/>
                <w:szCs w:val="20"/>
                <w:color w:val="auto"/>
              </w:rPr>
            </w:pPr>
            <w:r>
              <w:rPr>
                <w:rFonts w:ascii="Arial" w:cs="Arial" w:eastAsia="Arial" w:hAnsi="Arial"/>
                <w:sz w:val="50"/>
                <w:szCs w:val="50"/>
                <w:b w:val="1"/>
                <w:bCs w:val="1"/>
                <w:color w:val="3C578C"/>
                <w:w w:val="99"/>
              </w:rPr>
              <w:t>$667M</w:t>
            </w:r>
          </w:p>
        </w:tc>
        <w:tc>
          <w:tcPr>
            <w:tcW w:w="2560" w:type="dxa"/>
            <w:vAlign w:val="bottom"/>
            <w:gridSpan w:val="2"/>
          </w:tcPr>
          <w:p>
            <w:pPr>
              <w:jc w:val="right"/>
              <w:ind w:right="810"/>
              <w:spacing w:after="0" w:line="563" w:lineRule="exact"/>
              <w:rPr>
                <w:sz w:val="20"/>
                <w:szCs w:val="20"/>
                <w:color w:val="auto"/>
              </w:rPr>
            </w:pPr>
            <w:r>
              <w:rPr>
                <w:rFonts w:ascii="Arial" w:cs="Arial" w:eastAsia="Arial" w:hAnsi="Arial"/>
                <w:sz w:val="50"/>
                <w:szCs w:val="50"/>
                <w:b w:val="1"/>
                <w:bCs w:val="1"/>
                <w:color w:val="3C578C"/>
              </w:rPr>
              <w:t>$0.73</w:t>
            </w:r>
          </w:p>
        </w:tc>
      </w:tr>
      <w:tr>
        <w:trPr>
          <w:trHeight w:val="349"/>
        </w:trPr>
        <w:tc>
          <w:tcPr>
            <w:tcW w:w="2460" w:type="dxa"/>
            <w:vAlign w:val="bottom"/>
            <w:gridSpan w:val="2"/>
          </w:tcPr>
          <w:p>
            <w:pPr>
              <w:jc w:val="center"/>
              <w:ind w:left="54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2% YOY</w:t>
            </w:r>
          </w:p>
        </w:tc>
        <w:tc>
          <w:tcPr>
            <w:tcW w:w="1960" w:type="dxa"/>
            <w:vAlign w:val="bottom"/>
          </w:tcPr>
          <w:p>
            <w:pPr>
              <w:spacing w:after="0"/>
              <w:rPr>
                <w:sz w:val="24"/>
                <w:szCs w:val="24"/>
                <w:color w:val="auto"/>
              </w:rPr>
            </w:pPr>
          </w:p>
        </w:tc>
        <w:tc>
          <w:tcPr>
            <w:tcW w:w="2940" w:type="dxa"/>
            <w:vAlign w:val="bottom"/>
            <w:gridSpan w:val="3"/>
          </w:tcPr>
          <w:p>
            <w:pPr>
              <w:jc w:val="center"/>
              <w:ind w:right="171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14% YOY</w:t>
            </w:r>
          </w:p>
        </w:tc>
        <w:tc>
          <w:tcPr>
            <w:tcW w:w="2560" w:type="dxa"/>
            <w:vAlign w:val="bottom"/>
            <w:gridSpan w:val="2"/>
          </w:tcPr>
          <w:p>
            <w:pPr>
              <w:jc w:val="center"/>
              <w:ind w:right="450"/>
              <w:spacing w:after="0"/>
              <w:rPr>
                <w:sz w:val="20"/>
                <w:szCs w:val="20"/>
                <w:color w:val="auto"/>
              </w:rPr>
            </w:pPr>
            <w:r>
              <w:rPr>
                <w:rFonts w:ascii="Times New Roman" w:cs="Times New Roman" w:eastAsia="Times New Roman" w:hAnsi="Times New Roman"/>
                <w:sz w:val="20"/>
                <w:szCs w:val="20"/>
                <w:b w:val="1"/>
                <w:bCs w:val="1"/>
                <w:color w:val="FF0000"/>
              </w:rPr>
              <w:t xml:space="preserve">▼ </w:t>
            </w:r>
            <w:r>
              <w:rPr>
                <w:rFonts w:ascii="Arial" w:cs="Arial" w:eastAsia="Arial" w:hAnsi="Arial"/>
                <w:sz w:val="16"/>
                <w:szCs w:val="16"/>
                <w:b w:val="1"/>
                <w:bCs w:val="1"/>
                <w:color w:val="000000"/>
              </w:rPr>
              <w:t>2% YOY ($0.02 YOY)</w:t>
            </w:r>
          </w:p>
        </w:tc>
      </w:tr>
      <w:tr>
        <w:trPr>
          <w:trHeight w:val="405"/>
        </w:trPr>
        <w:tc>
          <w:tcPr>
            <w:tcW w:w="2460" w:type="dxa"/>
            <w:vAlign w:val="bottom"/>
            <w:gridSpan w:val="2"/>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99"/>
        </w:trPr>
        <w:tc>
          <w:tcPr>
            <w:tcW w:w="2220" w:type="dxa"/>
            <w:vAlign w:val="bottom"/>
            <w:tcBorders>
              <w:top w:val="single" w:sz="8" w:color="3C578C"/>
            </w:tcBorders>
            <w:shd w:val="clear" w:color="auto" w:fill="EDEEE9"/>
          </w:tcPr>
          <w:p>
            <w:pPr>
              <w:jc w:val="center"/>
              <w:spacing w:after="0"/>
              <w:rPr>
                <w:sz w:val="20"/>
                <w:szCs w:val="20"/>
                <w:color w:val="auto"/>
              </w:rPr>
            </w:pPr>
            <w:r>
              <w:rPr>
                <w:rFonts w:ascii="Arial" w:cs="Arial" w:eastAsia="Arial" w:hAnsi="Arial"/>
                <w:sz w:val="20"/>
                <w:szCs w:val="20"/>
                <w:b w:val="1"/>
                <w:bCs w:val="1"/>
                <w:color w:val="auto"/>
                <w:w w:val="99"/>
              </w:rPr>
              <w:t>FREE CASH FLOW</w:t>
            </w:r>
          </w:p>
        </w:tc>
        <w:tc>
          <w:tcPr>
            <w:tcW w:w="240" w:type="dxa"/>
            <w:vAlign w:val="bottom"/>
          </w:tcPr>
          <w:p>
            <w:pPr>
              <w:spacing w:after="0"/>
              <w:rPr>
                <w:sz w:val="24"/>
                <w:szCs w:val="24"/>
                <w:color w:val="auto"/>
              </w:rPr>
            </w:pPr>
          </w:p>
        </w:tc>
        <w:tc>
          <w:tcPr>
            <w:tcW w:w="1960" w:type="dxa"/>
            <w:vAlign w:val="bottom"/>
            <w:tcBorders>
              <w:top w:val="single" w:sz="8" w:color="3C578C"/>
            </w:tcBorders>
            <w:shd w:val="clear" w:color="auto" w:fill="EDEEE9"/>
          </w:tcPr>
          <w:p>
            <w:pPr>
              <w:jc w:val="center"/>
              <w:ind w:left="205"/>
              <w:spacing w:after="0"/>
              <w:rPr>
                <w:sz w:val="20"/>
                <w:szCs w:val="20"/>
                <w:color w:val="auto"/>
              </w:rPr>
            </w:pPr>
            <w:r>
              <w:rPr>
                <w:rFonts w:ascii="Arial" w:cs="Arial" w:eastAsia="Arial" w:hAnsi="Arial"/>
                <w:sz w:val="20"/>
                <w:szCs w:val="20"/>
                <w:b w:val="1"/>
                <w:bCs w:val="1"/>
                <w:color w:val="auto"/>
                <w:w w:val="99"/>
              </w:rPr>
              <w:t>GROSS PROFIT</w:t>
            </w:r>
          </w:p>
        </w:tc>
        <w:tc>
          <w:tcPr>
            <w:tcW w:w="360" w:type="dxa"/>
            <w:vAlign w:val="bottom"/>
            <w:tcBorders>
              <w:top w:val="single" w:sz="8" w:color="3C578C"/>
            </w:tcBorders>
            <w:shd w:val="clear" w:color="auto" w:fill="EDEEE9"/>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Borders>
              <w:top w:val="single" w:sz="8" w:color="3C578C"/>
            </w:tcBorders>
            <w:shd w:val="clear" w:color="auto" w:fill="EDEEE9"/>
          </w:tcPr>
          <w:p>
            <w:pPr>
              <w:jc w:val="center"/>
              <w:spacing w:after="0"/>
              <w:rPr>
                <w:sz w:val="20"/>
                <w:szCs w:val="20"/>
                <w:color w:val="auto"/>
              </w:rPr>
            </w:pPr>
            <w:r>
              <w:rPr>
                <w:rFonts w:ascii="Arial" w:cs="Arial" w:eastAsia="Arial" w:hAnsi="Arial"/>
                <w:sz w:val="20"/>
                <w:szCs w:val="20"/>
                <w:b w:val="1"/>
                <w:bCs w:val="1"/>
                <w:color w:val="auto"/>
              </w:rPr>
              <w:t>BACKLOG</w:t>
            </w:r>
          </w:p>
        </w:tc>
        <w:tc>
          <w:tcPr>
            <w:tcW w:w="220" w:type="dxa"/>
            <w:vAlign w:val="bottom"/>
          </w:tcPr>
          <w:p>
            <w:pPr>
              <w:spacing w:after="0"/>
              <w:rPr>
                <w:sz w:val="24"/>
                <w:szCs w:val="24"/>
                <w:color w:val="auto"/>
              </w:rPr>
            </w:pPr>
          </w:p>
        </w:tc>
        <w:tc>
          <w:tcPr>
            <w:tcW w:w="2340" w:type="dxa"/>
            <w:vAlign w:val="bottom"/>
            <w:tcBorders>
              <w:top w:val="single" w:sz="8" w:color="3C578C"/>
            </w:tcBorders>
            <w:shd w:val="clear" w:color="auto" w:fill="EDEEE9"/>
          </w:tcPr>
          <w:p>
            <w:pPr>
              <w:jc w:val="center"/>
              <w:spacing w:after="0"/>
              <w:rPr>
                <w:sz w:val="20"/>
                <w:szCs w:val="20"/>
                <w:color w:val="auto"/>
              </w:rPr>
            </w:pPr>
            <w:r>
              <w:rPr>
                <w:rFonts w:ascii="Arial" w:cs="Arial" w:eastAsia="Arial" w:hAnsi="Arial"/>
                <w:sz w:val="20"/>
                <w:szCs w:val="20"/>
                <w:b w:val="1"/>
                <w:bCs w:val="1"/>
                <w:color w:val="auto"/>
              </w:rPr>
              <w:t>ADJUSTED EBITDA</w:t>
            </w:r>
          </w:p>
        </w:tc>
      </w:tr>
      <w:tr>
        <w:trPr>
          <w:trHeight w:val="809"/>
        </w:trPr>
        <w:tc>
          <w:tcPr>
            <w:tcW w:w="2220" w:type="dxa"/>
            <w:vAlign w:val="bottom"/>
            <w:shd w:val="clear" w:color="auto" w:fill="EDEEE9"/>
          </w:tcPr>
          <w:p>
            <w:pPr>
              <w:jc w:val="center"/>
              <w:spacing w:after="0"/>
              <w:rPr>
                <w:sz w:val="20"/>
                <w:szCs w:val="20"/>
                <w:color w:val="auto"/>
              </w:rPr>
            </w:pPr>
            <w:r>
              <w:rPr>
                <w:rFonts w:ascii="Arial" w:cs="Arial" w:eastAsia="Arial" w:hAnsi="Arial"/>
                <w:sz w:val="50"/>
                <w:szCs w:val="50"/>
                <w:b w:val="1"/>
                <w:bCs w:val="1"/>
                <w:color w:val="3C578C"/>
                <w:w w:val="99"/>
              </w:rPr>
              <w:t>$7.4M</w:t>
            </w:r>
          </w:p>
        </w:tc>
        <w:tc>
          <w:tcPr>
            <w:tcW w:w="240" w:type="dxa"/>
            <w:vAlign w:val="bottom"/>
          </w:tcPr>
          <w:p>
            <w:pPr>
              <w:spacing w:after="0"/>
              <w:rPr>
                <w:sz w:val="24"/>
                <w:szCs w:val="24"/>
                <w:color w:val="auto"/>
              </w:rPr>
            </w:pPr>
          </w:p>
        </w:tc>
        <w:tc>
          <w:tcPr>
            <w:tcW w:w="1960" w:type="dxa"/>
            <w:vAlign w:val="bottom"/>
            <w:shd w:val="clear" w:color="auto" w:fill="EDEEE9"/>
          </w:tcPr>
          <w:p>
            <w:pPr>
              <w:jc w:val="center"/>
              <w:ind w:left="205"/>
              <w:spacing w:after="0"/>
              <w:rPr>
                <w:sz w:val="20"/>
                <w:szCs w:val="20"/>
                <w:color w:val="auto"/>
              </w:rPr>
            </w:pPr>
            <w:r>
              <w:rPr>
                <w:rFonts w:ascii="Arial" w:cs="Arial" w:eastAsia="Arial" w:hAnsi="Arial"/>
                <w:sz w:val="50"/>
                <w:szCs w:val="50"/>
                <w:b w:val="1"/>
                <w:bCs w:val="1"/>
                <w:color w:val="3C578C"/>
              </w:rPr>
              <w:t>$196M</w:t>
            </w:r>
          </w:p>
        </w:tc>
        <w:tc>
          <w:tcPr>
            <w:tcW w:w="360" w:type="dxa"/>
            <w:vAlign w:val="bottom"/>
            <w:shd w:val="clear" w:color="auto" w:fill="EDEEE9"/>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shd w:val="clear" w:color="auto" w:fill="EDEEE9"/>
          </w:tcPr>
          <w:p>
            <w:pPr>
              <w:jc w:val="center"/>
              <w:spacing w:after="0"/>
              <w:rPr>
                <w:sz w:val="20"/>
                <w:szCs w:val="20"/>
                <w:color w:val="auto"/>
              </w:rPr>
            </w:pPr>
            <w:r>
              <w:rPr>
                <w:rFonts w:ascii="Arial" w:cs="Arial" w:eastAsia="Arial" w:hAnsi="Arial"/>
                <w:sz w:val="50"/>
                <w:szCs w:val="50"/>
                <w:b w:val="1"/>
                <w:bCs w:val="1"/>
                <w:color w:val="3C578C"/>
              </w:rPr>
              <w:t>$541M</w:t>
            </w:r>
          </w:p>
        </w:tc>
        <w:tc>
          <w:tcPr>
            <w:tcW w:w="220" w:type="dxa"/>
            <w:vAlign w:val="bottom"/>
          </w:tcPr>
          <w:p>
            <w:pPr>
              <w:spacing w:after="0"/>
              <w:rPr>
                <w:sz w:val="24"/>
                <w:szCs w:val="24"/>
                <w:color w:val="auto"/>
              </w:rPr>
            </w:pPr>
          </w:p>
        </w:tc>
        <w:tc>
          <w:tcPr>
            <w:tcW w:w="2340" w:type="dxa"/>
            <w:vAlign w:val="bottom"/>
            <w:shd w:val="clear" w:color="auto" w:fill="EDEEE9"/>
          </w:tcPr>
          <w:p>
            <w:pPr>
              <w:jc w:val="center"/>
              <w:spacing w:after="0"/>
              <w:rPr>
                <w:sz w:val="20"/>
                <w:szCs w:val="20"/>
                <w:color w:val="auto"/>
              </w:rPr>
            </w:pPr>
            <w:r>
              <w:rPr>
                <w:rFonts w:ascii="Arial" w:cs="Arial" w:eastAsia="Arial" w:hAnsi="Arial"/>
                <w:sz w:val="50"/>
                <w:szCs w:val="50"/>
                <w:b w:val="1"/>
                <w:bCs w:val="1"/>
                <w:color w:val="3C578C"/>
              </w:rPr>
              <w:t>$62.8M</w:t>
            </w:r>
          </w:p>
        </w:tc>
      </w:tr>
      <w:tr>
        <w:trPr>
          <w:trHeight w:val="291"/>
        </w:trPr>
        <w:tc>
          <w:tcPr>
            <w:tcW w:w="2220" w:type="dxa"/>
            <w:vAlign w:val="bottom"/>
            <w:shd w:val="clear" w:color="auto" w:fill="EDEEE9"/>
          </w:tcPr>
          <w:p>
            <w:pPr>
              <w:jc w:val="center"/>
              <w:spacing w:after="0"/>
              <w:rPr>
                <w:sz w:val="20"/>
                <w:szCs w:val="20"/>
                <w:color w:val="auto"/>
              </w:rPr>
            </w:pPr>
            <w:r>
              <w:rPr>
                <w:rFonts w:ascii="Times New Roman" w:cs="Times New Roman" w:eastAsia="Times New Roman" w:hAnsi="Times New Roman"/>
                <w:sz w:val="20"/>
                <w:szCs w:val="20"/>
                <w:b w:val="1"/>
                <w:bCs w:val="1"/>
                <w:color w:val="FF0000"/>
              </w:rPr>
              <w:t xml:space="preserve">▼ </w:t>
            </w:r>
            <w:r>
              <w:rPr>
                <w:rFonts w:ascii="Arial" w:cs="Arial" w:eastAsia="Arial" w:hAnsi="Arial"/>
                <w:sz w:val="16"/>
                <w:szCs w:val="16"/>
                <w:b w:val="1"/>
                <w:bCs w:val="1"/>
                <w:color w:val="000000"/>
              </w:rPr>
              <w:t>80% YOY</w:t>
            </w:r>
          </w:p>
        </w:tc>
        <w:tc>
          <w:tcPr>
            <w:tcW w:w="240" w:type="dxa"/>
            <w:vAlign w:val="bottom"/>
          </w:tcPr>
          <w:p>
            <w:pPr>
              <w:spacing w:after="0"/>
              <w:rPr>
                <w:sz w:val="24"/>
                <w:szCs w:val="24"/>
                <w:color w:val="auto"/>
              </w:rPr>
            </w:pPr>
          </w:p>
        </w:tc>
        <w:tc>
          <w:tcPr>
            <w:tcW w:w="1960" w:type="dxa"/>
            <w:vAlign w:val="bottom"/>
            <w:shd w:val="clear" w:color="auto" w:fill="EDEEE9"/>
          </w:tcPr>
          <w:p>
            <w:pPr>
              <w:jc w:val="center"/>
              <w:ind w:left="205"/>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15% YOY</w:t>
            </w:r>
          </w:p>
        </w:tc>
        <w:tc>
          <w:tcPr>
            <w:tcW w:w="360" w:type="dxa"/>
            <w:vAlign w:val="bottom"/>
            <w:shd w:val="clear" w:color="auto" w:fill="EDEEE9"/>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shd w:val="clear" w:color="auto" w:fill="EDEEE9"/>
          </w:tcPr>
          <w:p>
            <w:pPr>
              <w:jc w:val="center"/>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46% YOY</w:t>
            </w:r>
          </w:p>
        </w:tc>
        <w:tc>
          <w:tcPr>
            <w:tcW w:w="220" w:type="dxa"/>
            <w:vAlign w:val="bottom"/>
          </w:tcPr>
          <w:p>
            <w:pPr>
              <w:spacing w:after="0"/>
              <w:rPr>
                <w:sz w:val="24"/>
                <w:szCs w:val="24"/>
                <w:color w:val="auto"/>
              </w:rPr>
            </w:pPr>
          </w:p>
        </w:tc>
        <w:tc>
          <w:tcPr>
            <w:tcW w:w="2340" w:type="dxa"/>
            <w:vAlign w:val="bottom"/>
            <w:shd w:val="clear" w:color="auto" w:fill="EDEEE9"/>
          </w:tcPr>
          <w:p>
            <w:pPr>
              <w:jc w:val="center"/>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9% YOY</w:t>
            </w:r>
          </w:p>
        </w:tc>
      </w:tr>
      <w:tr>
        <w:trPr>
          <w:trHeight w:val="75"/>
        </w:trPr>
        <w:tc>
          <w:tcPr>
            <w:tcW w:w="2220" w:type="dxa"/>
            <w:vAlign w:val="bottom"/>
            <w:shd w:val="clear" w:color="auto" w:fill="EDEEE9"/>
          </w:tcPr>
          <w:p>
            <w:pPr>
              <w:spacing w:after="0"/>
              <w:rPr>
                <w:sz w:val="6"/>
                <w:szCs w:val="6"/>
                <w:color w:val="auto"/>
              </w:rPr>
            </w:pPr>
          </w:p>
        </w:tc>
        <w:tc>
          <w:tcPr>
            <w:tcW w:w="240" w:type="dxa"/>
            <w:vAlign w:val="bottom"/>
          </w:tcPr>
          <w:p>
            <w:pPr>
              <w:spacing w:after="0"/>
              <w:rPr>
                <w:sz w:val="6"/>
                <w:szCs w:val="6"/>
                <w:color w:val="auto"/>
              </w:rPr>
            </w:pPr>
          </w:p>
        </w:tc>
        <w:tc>
          <w:tcPr>
            <w:tcW w:w="1960" w:type="dxa"/>
            <w:vAlign w:val="bottom"/>
            <w:shd w:val="clear" w:color="auto" w:fill="EDEEE9"/>
          </w:tcPr>
          <w:p>
            <w:pPr>
              <w:spacing w:after="0"/>
              <w:rPr>
                <w:sz w:val="6"/>
                <w:szCs w:val="6"/>
                <w:color w:val="auto"/>
              </w:rPr>
            </w:pPr>
          </w:p>
        </w:tc>
        <w:tc>
          <w:tcPr>
            <w:tcW w:w="360" w:type="dxa"/>
            <w:vAlign w:val="bottom"/>
            <w:shd w:val="clear" w:color="auto" w:fill="EDEEE9"/>
          </w:tcPr>
          <w:p>
            <w:pPr>
              <w:spacing w:after="0"/>
              <w:rPr>
                <w:sz w:val="6"/>
                <w:szCs w:val="6"/>
                <w:color w:val="auto"/>
              </w:rPr>
            </w:pPr>
          </w:p>
        </w:tc>
        <w:tc>
          <w:tcPr>
            <w:tcW w:w="240" w:type="dxa"/>
            <w:vAlign w:val="bottom"/>
          </w:tcPr>
          <w:p>
            <w:pPr>
              <w:spacing w:after="0"/>
              <w:rPr>
                <w:sz w:val="6"/>
                <w:szCs w:val="6"/>
                <w:color w:val="auto"/>
              </w:rPr>
            </w:pPr>
          </w:p>
        </w:tc>
        <w:tc>
          <w:tcPr>
            <w:tcW w:w="2340" w:type="dxa"/>
            <w:vAlign w:val="bottom"/>
            <w:shd w:val="clear" w:color="auto" w:fill="EDEEE9"/>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shd w:val="clear" w:color="auto" w:fill="EDEEE9"/>
          </w:tcPr>
          <w:p>
            <w:pPr>
              <w:spacing w:after="0"/>
              <w:rPr>
                <w:sz w:val="6"/>
                <w:szCs w:val="6"/>
                <w:color w:val="auto"/>
              </w:rPr>
            </w:pPr>
          </w:p>
        </w:tc>
      </w:tr>
    </w:tbl>
    <w:p>
      <w:pPr>
        <w:spacing w:after="0" w:line="42" w:lineRule="exact"/>
        <w:rPr>
          <w:sz w:val="20"/>
          <w:szCs w:val="20"/>
          <w:color w:val="auto"/>
        </w:rPr>
      </w:pPr>
    </w:p>
    <w:p>
      <w:pPr>
        <w:ind w:right="260"/>
        <w:spacing w:after="0" w:line="281" w:lineRule="auto"/>
        <w:rPr>
          <w:sz w:val="20"/>
          <w:szCs w:val="20"/>
          <w:color w:val="auto"/>
        </w:rPr>
      </w:pPr>
      <w:r>
        <w:rPr>
          <w:rFonts w:ascii="Arial" w:cs="Arial" w:eastAsia="Arial" w:hAnsi="Arial"/>
          <w:sz w:val="13"/>
          <w:szCs w:val="13"/>
          <w:i w:val="1"/>
          <w:iCs w:val="1"/>
          <w:color w:val="auto"/>
        </w:rPr>
        <w:t>Non-GAAP Earnings Per Share, Free Cash Flow and Adjusted EBITDA are non-GAAP financial measures. Please refer to Appendix A-1 for a reconciliation of these non-GAAP measures to the comparable GAAP measures.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6309360" cy="245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9360" cy="24574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BOARD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6309360" cy="2856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9360" cy="285686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164" w:lineRule="exact"/>
        <w:rPr>
          <w:sz w:val="20"/>
          <w:szCs w:val="20"/>
          <w:color w:val="auto"/>
        </w:rPr>
      </w:pPr>
    </w:p>
    <w:p>
      <w:pPr>
        <w:ind w:left="100" w:right="80"/>
        <w:spacing w:after="0" w:line="280" w:lineRule="auto"/>
        <w:rPr>
          <w:sz w:val="20"/>
          <w:szCs w:val="20"/>
          <w:color w:val="auto"/>
        </w:rPr>
      </w:pPr>
      <w:r>
        <w:rPr>
          <w:rFonts w:ascii="Arial" w:cs="Arial" w:eastAsia="Arial" w:hAnsi="Arial"/>
          <w:sz w:val="13"/>
          <w:szCs w:val="13"/>
          <w:b w:val="1"/>
          <w:bCs w:val="1"/>
          <w:color w:val="3C578C"/>
        </w:rPr>
        <w:t>Size of the Board</w:t>
      </w:r>
      <w:r>
        <w:rPr>
          <w:rFonts w:ascii="Arial" w:cs="Arial" w:eastAsia="Arial" w:hAnsi="Arial"/>
          <w:sz w:val="13"/>
          <w:szCs w:val="13"/>
          <w:color w:val="000000"/>
        </w:rPr>
        <w:t>. The Company’s Bylaws provide</w:t>
      </w:r>
      <w:r>
        <w:rPr>
          <w:rFonts w:ascii="Arial" w:cs="Arial" w:eastAsia="Arial" w:hAnsi="Arial"/>
          <w:sz w:val="13"/>
          <w:szCs w:val="13"/>
          <w:b w:val="1"/>
          <w:bCs w:val="1"/>
          <w:color w:val="3C578C"/>
        </w:rPr>
        <w:t xml:space="preserve"> </w:t>
      </w:r>
      <w:r>
        <w:rPr>
          <w:rFonts w:ascii="Arial" w:cs="Arial" w:eastAsia="Arial" w:hAnsi="Arial"/>
          <w:sz w:val="13"/>
          <w:szCs w:val="13"/>
          <w:color w:val="000000"/>
        </w:rPr>
        <w:t>that the Board will be not less than 3 nor more than 9 directors.</w:t>
      </w:r>
    </w:p>
    <w:p>
      <w:pPr>
        <w:spacing w:after="0" w:line="77" w:lineRule="exact"/>
        <w:rPr>
          <w:sz w:val="20"/>
          <w:szCs w:val="20"/>
          <w:color w:val="auto"/>
        </w:rPr>
      </w:pPr>
    </w:p>
    <w:p>
      <w:pPr>
        <w:ind w:left="100" w:right="40"/>
        <w:spacing w:after="0" w:line="280" w:lineRule="auto"/>
        <w:rPr>
          <w:sz w:val="20"/>
          <w:szCs w:val="20"/>
          <w:color w:val="auto"/>
        </w:rPr>
      </w:pPr>
      <w:r>
        <w:rPr>
          <w:rFonts w:ascii="Arial" w:cs="Arial" w:eastAsia="Arial" w:hAnsi="Arial"/>
          <w:sz w:val="13"/>
          <w:szCs w:val="13"/>
          <w:b w:val="1"/>
          <w:bCs w:val="1"/>
          <w:color w:val="3C578C"/>
        </w:rPr>
        <w:t xml:space="preserve">Majority of Independent Directors. </w:t>
      </w:r>
      <w:r>
        <w:rPr>
          <w:rFonts w:ascii="Arial" w:cs="Arial" w:eastAsia="Arial" w:hAnsi="Arial"/>
          <w:sz w:val="13"/>
          <w:szCs w:val="13"/>
          <w:color w:val="000000"/>
        </w:rPr>
        <w:t>It is the policy of</w:t>
      </w:r>
      <w:r>
        <w:rPr>
          <w:rFonts w:ascii="Arial" w:cs="Arial" w:eastAsia="Arial" w:hAnsi="Arial"/>
          <w:sz w:val="13"/>
          <w:szCs w:val="13"/>
          <w:b w:val="1"/>
          <w:bCs w:val="1"/>
          <w:color w:val="3C578C"/>
        </w:rPr>
        <w:t xml:space="preserve"> </w:t>
      </w:r>
      <w:r>
        <w:rPr>
          <w:rFonts w:ascii="Arial" w:cs="Arial" w:eastAsia="Arial" w:hAnsi="Arial"/>
          <w:sz w:val="13"/>
          <w:szCs w:val="13"/>
          <w:color w:val="000000"/>
        </w:rPr>
        <w:t>the Board that a majority of the directors will not be current employees of the Company and will otherwise meet appropriate standards of independence.</w:t>
      </w:r>
    </w:p>
    <w:p>
      <w:pPr>
        <w:spacing w:after="0" w:line="65" w:lineRule="exact"/>
        <w:rPr>
          <w:sz w:val="20"/>
          <w:szCs w:val="20"/>
          <w:color w:val="auto"/>
        </w:rPr>
      </w:pPr>
    </w:p>
    <w:p>
      <w:pPr>
        <w:ind w:left="100" w:right="20"/>
        <w:spacing w:after="0" w:line="290" w:lineRule="auto"/>
        <w:rPr>
          <w:sz w:val="20"/>
          <w:szCs w:val="20"/>
          <w:color w:val="auto"/>
        </w:rPr>
      </w:pPr>
      <w:r>
        <w:rPr>
          <w:rFonts w:ascii="Arial" w:cs="Arial" w:eastAsia="Arial" w:hAnsi="Arial"/>
          <w:sz w:val="13"/>
          <w:szCs w:val="13"/>
          <w:b w:val="1"/>
          <w:bCs w:val="1"/>
          <w:color w:val="3C578C"/>
        </w:rPr>
        <w:t xml:space="preserve">Management Directors. </w:t>
      </w:r>
      <w:r>
        <w:rPr>
          <w:rFonts w:ascii="Arial" w:cs="Arial" w:eastAsia="Arial" w:hAnsi="Arial"/>
          <w:sz w:val="13"/>
          <w:szCs w:val="13"/>
          <w:color w:val="000000"/>
        </w:rPr>
        <w:t>The Board anticipates that</w:t>
      </w:r>
      <w:r>
        <w:rPr>
          <w:rFonts w:ascii="Arial" w:cs="Arial" w:eastAsia="Arial" w:hAnsi="Arial"/>
          <w:sz w:val="13"/>
          <w:szCs w:val="13"/>
          <w:b w:val="1"/>
          <w:bCs w:val="1"/>
          <w:color w:val="3C578C"/>
        </w:rPr>
        <w:t xml:space="preserve"> </w:t>
      </w:r>
      <w:r>
        <w:rPr>
          <w:rFonts w:ascii="Arial" w:cs="Arial" w:eastAsia="Arial" w:hAnsi="Arial"/>
          <w:sz w:val="13"/>
          <w:szCs w:val="13"/>
          <w:color w:val="000000"/>
        </w:rPr>
        <w:t>the Company’s Chief Executive Officer (“CEO”) will be nominated annually to serve on the Board.</w:t>
      </w:r>
    </w:p>
    <w:p>
      <w:pPr>
        <w:spacing w:after="0" w:line="58" w:lineRule="exact"/>
        <w:rPr>
          <w:sz w:val="20"/>
          <w:szCs w:val="20"/>
          <w:color w:val="auto"/>
        </w:rPr>
      </w:pPr>
    </w:p>
    <w:p>
      <w:pPr>
        <w:ind w:left="100" w:right="120"/>
        <w:spacing w:after="0" w:line="290" w:lineRule="auto"/>
        <w:rPr>
          <w:sz w:val="20"/>
          <w:szCs w:val="20"/>
          <w:color w:val="auto"/>
        </w:rPr>
      </w:pPr>
      <w:r>
        <w:rPr>
          <w:rFonts w:ascii="Arial" w:cs="Arial" w:eastAsia="Arial" w:hAnsi="Arial"/>
          <w:sz w:val="13"/>
          <w:szCs w:val="13"/>
          <w:b w:val="1"/>
          <w:bCs w:val="1"/>
          <w:color w:val="3C578C"/>
        </w:rPr>
        <w:t xml:space="preserve">Chairman; Lead Independent Director. </w:t>
      </w:r>
      <w:r>
        <w:rPr>
          <w:rFonts w:ascii="Arial" w:cs="Arial" w:eastAsia="Arial" w:hAnsi="Arial"/>
          <w:sz w:val="13"/>
          <w:szCs w:val="13"/>
          <w:color w:val="000000"/>
        </w:rPr>
        <w:t>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will appoint a Chairman. All directors, including the CEO, are eligible for appointment as the Chairman.</w:t>
      </w:r>
    </w:p>
    <w:p>
      <w:pPr>
        <w:spacing w:after="0" w:line="58" w:lineRule="exact"/>
        <w:rPr>
          <w:sz w:val="20"/>
          <w:szCs w:val="20"/>
          <w:color w:val="auto"/>
        </w:rPr>
      </w:pPr>
    </w:p>
    <w:p>
      <w:pPr>
        <w:ind w:left="100" w:right="40"/>
        <w:spacing w:after="0" w:line="280" w:lineRule="auto"/>
        <w:rPr>
          <w:sz w:val="20"/>
          <w:szCs w:val="20"/>
          <w:color w:val="auto"/>
        </w:rPr>
      </w:pPr>
      <w:r>
        <w:rPr>
          <w:rFonts w:ascii="Arial" w:cs="Arial" w:eastAsia="Arial" w:hAnsi="Arial"/>
          <w:sz w:val="13"/>
          <w:szCs w:val="13"/>
          <w:b w:val="1"/>
          <w:bCs w:val="1"/>
          <w:color w:val="3C578C"/>
        </w:rPr>
        <w:t xml:space="preserve">Selection of Nominees to the Board of Directors. </w:t>
      </w:r>
      <w:r>
        <w:rPr>
          <w:rFonts w:ascii="Arial" w:cs="Arial" w:eastAsia="Arial" w:hAnsi="Arial"/>
          <w:sz w:val="13"/>
          <w:szCs w:val="13"/>
          <w:color w:val="000000"/>
        </w:rPr>
        <w:t>The Board, through the Nominations and Governance Committee, is responsible for the selection of nominees for election or appointment to the Board.</w:t>
      </w:r>
    </w:p>
    <w:p>
      <w:pPr>
        <w:spacing w:after="0" w:line="65" w:lineRule="exact"/>
        <w:rPr>
          <w:sz w:val="20"/>
          <w:szCs w:val="20"/>
          <w:color w:val="auto"/>
        </w:rPr>
      </w:pPr>
    </w:p>
    <w:p>
      <w:pPr>
        <w:ind w:left="100"/>
        <w:spacing w:after="0" w:line="275" w:lineRule="auto"/>
        <w:rPr>
          <w:sz w:val="20"/>
          <w:szCs w:val="20"/>
          <w:color w:val="auto"/>
        </w:rPr>
      </w:pPr>
      <w:r>
        <w:rPr>
          <w:rFonts w:ascii="Arial" w:cs="Arial" w:eastAsia="Arial" w:hAnsi="Arial"/>
          <w:sz w:val="13"/>
          <w:szCs w:val="13"/>
          <w:b w:val="1"/>
          <w:bCs w:val="1"/>
          <w:color w:val="3C578C"/>
        </w:rPr>
        <w:t xml:space="preserve">Board Membership Criteria. </w:t>
      </w:r>
      <w:r>
        <w:rPr>
          <w:rFonts w:ascii="Arial" w:cs="Arial" w:eastAsia="Arial" w:hAnsi="Arial"/>
          <w:sz w:val="13"/>
          <w:szCs w:val="13"/>
          <w:color w:val="000000"/>
        </w:rPr>
        <w:t>Nominees for 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should be committed to enhancing long-term stockholder value and must possess a high level of personal and professional ethics, sound business judgment and integrity.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3C578C"/>
        </w:rPr>
        <w:t xml:space="preserve">Board Compensation. </w:t>
      </w:r>
      <w:r>
        <w:rPr>
          <w:rFonts w:ascii="Arial" w:cs="Arial" w:eastAsia="Arial" w:hAnsi="Arial"/>
          <w:sz w:val="13"/>
          <w:szCs w:val="13"/>
          <w:color w:val="000000"/>
        </w:rPr>
        <w:t>The Board, through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Compensation Committee, reviews, with the assistance of management and the Compensation Committee-retained compensation consultant, pay practices of our peers and establishes compensation policies for the directors serving on the Board and its committees.</w:t>
      </w:r>
    </w:p>
    <w:p>
      <w:pPr>
        <w:spacing w:after="0" w:line="68"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color w:val="3C578C"/>
        </w:rPr>
        <w:t>Other Board Memberships</w:t>
      </w:r>
      <w:r>
        <w:rPr>
          <w:rFonts w:ascii="Arial" w:cs="Arial" w:eastAsia="Arial" w:hAnsi="Arial"/>
          <w:sz w:val="13"/>
          <w:szCs w:val="13"/>
          <w:color w:val="3C578C"/>
        </w:rPr>
        <w:t>.</w:t>
      </w:r>
      <w:r>
        <w:rPr>
          <w:rFonts w:ascii="Arial" w:cs="Arial" w:eastAsia="Arial" w:hAnsi="Arial"/>
          <w:sz w:val="13"/>
          <w:szCs w:val="13"/>
          <w:b w:val="1"/>
          <w:bCs w:val="1"/>
          <w:color w:val="3C578C"/>
        </w:rPr>
        <w:t xml:space="preserve"> </w:t>
      </w:r>
      <w:r>
        <w:rPr>
          <w:rFonts w:ascii="Arial" w:cs="Arial" w:eastAsia="Arial" w:hAnsi="Arial"/>
          <w:sz w:val="13"/>
          <w:szCs w:val="13"/>
          <w:color w:val="000000"/>
        </w:rPr>
        <w:t>Without prior approval</w:t>
      </w:r>
      <w:r>
        <w:rPr>
          <w:rFonts w:ascii="Arial" w:cs="Arial" w:eastAsia="Arial" w:hAnsi="Arial"/>
          <w:sz w:val="13"/>
          <w:szCs w:val="13"/>
          <w:b w:val="1"/>
          <w:bCs w:val="1"/>
          <w:color w:val="3C578C"/>
        </w:rPr>
        <w:t xml:space="preserve"> </w:t>
      </w:r>
      <w:r>
        <w:rPr>
          <w:rFonts w:ascii="Arial" w:cs="Arial" w:eastAsia="Arial" w:hAnsi="Arial"/>
          <w:sz w:val="13"/>
          <w:szCs w:val="13"/>
          <w:color w:val="000000"/>
        </w:rPr>
        <w:t>from the Board, no director may serve on more than four public corporation boards (including the Company’s Board).</w:t>
      </w:r>
    </w:p>
    <w:p>
      <w:pPr>
        <w:spacing w:after="0" w:line="65" w:lineRule="exact"/>
        <w:rPr>
          <w:sz w:val="20"/>
          <w:szCs w:val="20"/>
          <w:color w:val="auto"/>
        </w:rPr>
      </w:pPr>
    </w:p>
    <w:p>
      <w:pPr>
        <w:ind w:right="20"/>
        <w:spacing w:after="0" w:line="321" w:lineRule="auto"/>
        <w:rPr>
          <w:sz w:val="20"/>
          <w:szCs w:val="20"/>
          <w:color w:val="auto"/>
        </w:rPr>
      </w:pPr>
      <w:r>
        <w:rPr>
          <w:rFonts w:ascii="Arial" w:cs="Arial" w:eastAsia="Arial" w:hAnsi="Arial"/>
          <w:sz w:val="13"/>
          <w:szCs w:val="13"/>
          <w:b w:val="1"/>
          <w:bCs w:val="1"/>
          <w:color w:val="3C578C"/>
        </w:rPr>
        <w:t xml:space="preserve">Board Evaluations. </w:t>
      </w:r>
      <w:r>
        <w:rPr>
          <w:rFonts w:ascii="Arial" w:cs="Arial" w:eastAsia="Arial" w:hAnsi="Arial"/>
          <w:sz w:val="13"/>
          <w:szCs w:val="13"/>
          <w:color w:val="000000"/>
        </w:rPr>
        <w:t>The Board shall conduct a self-evaluation at least annually.</w:t>
      </w:r>
    </w:p>
    <w:p>
      <w:pPr>
        <w:spacing w:after="0" w:line="38" w:lineRule="exact"/>
        <w:rPr>
          <w:sz w:val="20"/>
          <w:szCs w:val="20"/>
          <w:color w:val="auto"/>
        </w:rPr>
      </w:pPr>
    </w:p>
    <w:p>
      <w:pPr>
        <w:ind w:right="140"/>
        <w:spacing w:after="0" w:line="280" w:lineRule="auto"/>
        <w:rPr>
          <w:sz w:val="20"/>
          <w:szCs w:val="20"/>
          <w:color w:val="auto"/>
        </w:rPr>
      </w:pPr>
      <w:r>
        <w:rPr>
          <w:rFonts w:ascii="Arial" w:cs="Arial" w:eastAsia="Arial" w:hAnsi="Arial"/>
          <w:sz w:val="13"/>
          <w:szCs w:val="13"/>
          <w:b w:val="1"/>
          <w:bCs w:val="1"/>
          <w:color w:val="3C578C"/>
        </w:rPr>
        <w:t xml:space="preserve">Attendance. </w:t>
      </w:r>
      <w:r>
        <w:rPr>
          <w:rFonts w:ascii="Arial" w:cs="Arial" w:eastAsia="Arial" w:hAnsi="Arial"/>
          <w:sz w:val="13"/>
          <w:szCs w:val="13"/>
          <w:color w:val="000000"/>
        </w:rPr>
        <w:t>Absent unusual circumstances, each</w:t>
      </w:r>
      <w:r>
        <w:rPr>
          <w:rFonts w:ascii="Arial" w:cs="Arial" w:eastAsia="Arial" w:hAnsi="Arial"/>
          <w:sz w:val="13"/>
          <w:szCs w:val="13"/>
          <w:b w:val="1"/>
          <w:bCs w:val="1"/>
          <w:color w:val="3C578C"/>
        </w:rPr>
        <w:t xml:space="preserve"> </w:t>
      </w:r>
      <w:r>
        <w:rPr>
          <w:rFonts w:ascii="Arial" w:cs="Arial" w:eastAsia="Arial" w:hAnsi="Arial"/>
          <w:sz w:val="13"/>
          <w:szCs w:val="13"/>
          <w:color w:val="000000"/>
        </w:rPr>
        <w:t>director is expected to attend all meetings of the Board and all meetings of any committee on which such director serves.</w:t>
      </w:r>
    </w:p>
    <w:p>
      <w:pPr>
        <w:spacing w:after="0" w:line="65" w:lineRule="exact"/>
        <w:rPr>
          <w:sz w:val="20"/>
          <w:szCs w:val="20"/>
          <w:color w:val="auto"/>
        </w:rPr>
      </w:pPr>
    </w:p>
    <w:p>
      <w:pPr>
        <w:ind w:right="200"/>
        <w:spacing w:after="0" w:line="275" w:lineRule="auto"/>
        <w:rPr>
          <w:sz w:val="20"/>
          <w:szCs w:val="20"/>
          <w:color w:val="auto"/>
        </w:rPr>
      </w:pPr>
      <w:r>
        <w:rPr>
          <w:rFonts w:ascii="Arial" w:cs="Arial" w:eastAsia="Arial" w:hAnsi="Arial"/>
          <w:sz w:val="13"/>
          <w:szCs w:val="13"/>
          <w:b w:val="1"/>
          <w:bCs w:val="1"/>
          <w:color w:val="auto"/>
        </w:rPr>
        <w:t>I</w:t>
      </w:r>
      <w:r>
        <w:rPr>
          <w:rFonts w:ascii="Arial" w:cs="Arial" w:eastAsia="Arial" w:hAnsi="Arial"/>
          <w:sz w:val="13"/>
          <w:szCs w:val="13"/>
          <w:b w:val="1"/>
          <w:bCs w:val="1"/>
          <w:color w:val="3C578C"/>
        </w:rPr>
        <w:t>ndependent and Non-Management Directors</w:t>
      </w:r>
      <w:r>
        <w:rPr>
          <w:rFonts w:ascii="Arial" w:cs="Arial" w:eastAsia="Arial" w:hAnsi="Arial"/>
          <w:sz w:val="13"/>
          <w:szCs w:val="13"/>
          <w:b w:val="1"/>
          <w:bCs w:val="1"/>
          <w:color w:val="auto"/>
        </w:rPr>
        <w:t xml:space="preserve"> </w:t>
      </w:r>
      <w:r>
        <w:rPr>
          <w:rFonts w:ascii="Arial" w:cs="Arial" w:eastAsia="Arial" w:hAnsi="Arial"/>
          <w:sz w:val="13"/>
          <w:szCs w:val="13"/>
          <w:b w:val="1"/>
          <w:bCs w:val="1"/>
          <w:color w:val="3C578C"/>
        </w:rPr>
        <w:t>Discussions</w:t>
      </w:r>
      <w:r>
        <w:rPr>
          <w:rFonts w:ascii="Arial" w:cs="Arial" w:eastAsia="Arial" w:hAnsi="Arial"/>
          <w:sz w:val="13"/>
          <w:szCs w:val="13"/>
          <w:color w:val="3C578C"/>
        </w:rPr>
        <w:t>.</w:t>
      </w:r>
      <w:r>
        <w:rPr>
          <w:rFonts w:ascii="Arial" w:cs="Arial" w:eastAsia="Arial" w:hAnsi="Arial"/>
          <w:sz w:val="13"/>
          <w:szCs w:val="13"/>
          <w:b w:val="1"/>
          <w:bCs w:val="1"/>
          <w:color w:val="3C578C"/>
        </w:rPr>
        <w:t xml:space="preserve"> </w:t>
      </w:r>
      <w:r>
        <w:rPr>
          <w:rFonts w:ascii="Arial" w:cs="Arial" w:eastAsia="Arial" w:hAnsi="Arial"/>
          <w:sz w:val="13"/>
          <w:szCs w:val="13"/>
          <w:color w:val="000000"/>
        </w:rPr>
        <w:t>It is the policy of the Board that the</w:t>
      </w:r>
    </w:p>
    <w:p>
      <w:pPr>
        <w:jc w:val="both"/>
        <w:spacing w:after="0" w:line="276" w:lineRule="auto"/>
        <w:rPr>
          <w:sz w:val="20"/>
          <w:szCs w:val="20"/>
          <w:color w:val="auto"/>
        </w:rPr>
      </w:pPr>
      <w:r>
        <w:rPr>
          <w:rFonts w:ascii="Arial" w:cs="Arial" w:eastAsia="Arial" w:hAnsi="Arial"/>
          <w:sz w:val="13"/>
          <w:szCs w:val="13"/>
          <w:color w:val="auto"/>
        </w:rPr>
        <w:t>independent members of the Board meet separately after each Board meeting to discuss such matters as the independent directors consider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649605</wp:posOffset>
            </wp:positionV>
            <wp:extent cx="630110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b w:val="1"/>
          <w:bCs w:val="1"/>
          <w:color w:val="3C578C"/>
        </w:rPr>
        <w:t xml:space="preserve">Board Presentations and Access to Information. </w:t>
      </w:r>
      <w:r>
        <w:rPr>
          <w:rFonts w:ascii="Arial" w:cs="Arial" w:eastAsia="Arial" w:hAnsi="Arial"/>
          <w:sz w:val="13"/>
          <w:szCs w:val="13"/>
          <w:color w:val="000000"/>
        </w:rPr>
        <w:t>The Board encourages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presentation at meetings by managers who can provide additional insight into matters being discussed and the CEO will occasionally ask high-potential employees to present to the Board to give these individuals exposure to the Board.</w:t>
      </w:r>
    </w:p>
    <w:p>
      <w:pPr>
        <w:spacing w:after="0" w:line="68"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b w:val="1"/>
          <w:bCs w:val="1"/>
          <w:color w:val="3C578C"/>
        </w:rPr>
        <w:t xml:space="preserve">Director Stock Ownership. </w:t>
      </w:r>
      <w:r>
        <w:rPr>
          <w:rFonts w:ascii="Arial" w:cs="Arial" w:eastAsia="Arial" w:hAnsi="Arial"/>
          <w:sz w:val="13"/>
          <w:szCs w:val="13"/>
          <w:color w:val="000000"/>
        </w:rPr>
        <w:t>To further align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interests of non-management directors and stockholders, each non-management director is required to own shares of the Company’s common stock having a value equal to at least three times the non-management director’s regular annual cash retainer.</w:t>
      </w:r>
    </w:p>
    <w:p>
      <w:pPr>
        <w:spacing w:after="0" w:line="68"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b w:val="1"/>
          <w:bCs w:val="1"/>
          <w:color w:val="3C578C"/>
        </w:rPr>
        <w:t xml:space="preserve">CEO Stock Ownership. </w:t>
      </w:r>
      <w:r>
        <w:rPr>
          <w:rFonts w:ascii="Arial" w:cs="Arial" w:eastAsia="Arial" w:hAnsi="Arial"/>
          <w:sz w:val="13"/>
          <w:szCs w:val="13"/>
          <w:color w:val="000000"/>
        </w:rPr>
        <w:t>To further align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interests of the CEO and stockholders, the CEO is required to own shares of the Company’s common stock having a value equal to at least five times his or her base salary.</w:t>
      </w:r>
    </w:p>
    <w:p>
      <w:pPr>
        <w:spacing w:after="0" w:line="81" w:lineRule="exact"/>
        <w:rPr>
          <w:sz w:val="20"/>
          <w:szCs w:val="20"/>
          <w:color w:val="auto"/>
        </w:rPr>
      </w:pPr>
    </w:p>
    <w:p>
      <w:pPr>
        <w:ind w:right="380"/>
        <w:spacing w:after="0" w:line="275" w:lineRule="auto"/>
        <w:rPr>
          <w:sz w:val="20"/>
          <w:szCs w:val="20"/>
          <w:color w:val="auto"/>
        </w:rPr>
      </w:pPr>
      <w:r>
        <w:rPr>
          <w:rFonts w:ascii="Arial" w:cs="Arial" w:eastAsia="Arial" w:hAnsi="Arial"/>
          <w:sz w:val="13"/>
          <w:szCs w:val="13"/>
          <w:b w:val="1"/>
          <w:bCs w:val="1"/>
          <w:color w:val="3C578C"/>
        </w:rPr>
        <w:t xml:space="preserve">Management Succession and Development Planning. </w:t>
      </w:r>
      <w:r>
        <w:rPr>
          <w:rFonts w:ascii="Arial" w:cs="Arial" w:eastAsia="Arial" w:hAnsi="Arial"/>
          <w:sz w:val="13"/>
          <w:szCs w:val="13"/>
          <w:color w:val="000000"/>
        </w:rPr>
        <w:t>The CEO reviews with 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succession and development plans for senior executive officers. The Board discusses CEO succession planning annually.</w:t>
      </w:r>
    </w:p>
    <w:p>
      <w:pPr>
        <w:sectPr>
          <w:pgSz w:w="11900" w:h="16838" w:orient="portrait"/>
          <w:cols w:equalWidth="0" w:num="3">
            <w:col w:w="3300" w:space="200"/>
            <w:col w:w="3100" w:space="200"/>
            <w:col w:w="3120"/>
          </w:cols>
          <w:pgMar w:left="980" w:top="485" w:right="9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5"/>
              </w:rPr>
              <w:t>Table of Contents</w:t>
            </w:r>
          </w:p>
        </w:tc>
        <w:tc>
          <w:tcPr>
            <w:tcW w:w="154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7"/>
        </w:trPr>
        <w:tc>
          <w:tcPr>
            <w:tcW w:w="2840" w:type="dxa"/>
            <w:vAlign w:val="bottom"/>
            <w:gridSpan w:val="5"/>
          </w:tcPr>
          <w:p>
            <w:pPr>
              <w:spacing w:after="0"/>
              <w:rPr>
                <w:sz w:val="20"/>
                <w:szCs w:val="20"/>
                <w:color w:val="auto"/>
              </w:rPr>
            </w:pPr>
            <w:r>
              <w:rPr>
                <w:rFonts w:ascii="Arial" w:cs="Arial" w:eastAsia="Arial" w:hAnsi="Arial"/>
                <w:sz w:val="17"/>
                <w:szCs w:val="17"/>
                <w:b w:val="1"/>
                <w:bCs w:val="1"/>
                <w:color w:val="3C578C"/>
              </w:rPr>
              <w:t>COMPENSATION HIGHLIGHTS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bottom w:val="single" w:sz="8" w:color="3C578C"/>
            </w:tcBorders>
          </w:tcPr>
          <w:p>
            <w:pPr>
              <w:spacing w:after="0"/>
              <w:rPr>
                <w:sz w:val="15"/>
                <w:szCs w:val="15"/>
                <w:color w:val="auto"/>
              </w:rPr>
            </w:pPr>
          </w:p>
        </w:tc>
        <w:tc>
          <w:tcPr>
            <w:tcW w:w="860" w:type="dxa"/>
            <w:vAlign w:val="bottom"/>
            <w:tcBorders>
              <w:bottom w:val="single" w:sz="8" w:color="3C578C"/>
            </w:tcBorders>
          </w:tcPr>
          <w:p>
            <w:pPr>
              <w:spacing w:after="0"/>
              <w:rPr>
                <w:sz w:val="15"/>
                <w:szCs w:val="15"/>
                <w:color w:val="auto"/>
              </w:rPr>
            </w:pPr>
          </w:p>
        </w:tc>
        <w:tc>
          <w:tcPr>
            <w:tcW w:w="1240" w:type="dxa"/>
            <w:vAlign w:val="bottom"/>
            <w:tcBorders>
              <w:bottom w:val="single" w:sz="8" w:color="3C578C"/>
            </w:tcBorders>
          </w:tcPr>
          <w:p>
            <w:pPr>
              <w:spacing w:after="0"/>
              <w:rPr>
                <w:sz w:val="15"/>
                <w:szCs w:val="15"/>
                <w:color w:val="auto"/>
              </w:rPr>
            </w:pPr>
          </w:p>
        </w:tc>
        <w:tc>
          <w:tcPr>
            <w:tcW w:w="220" w:type="dxa"/>
            <w:vAlign w:val="bottom"/>
            <w:tcBorders>
              <w:bottom w:val="single" w:sz="8" w:color="3C578C"/>
            </w:tcBorders>
          </w:tcPr>
          <w:p>
            <w:pPr>
              <w:spacing w:after="0"/>
              <w:rPr>
                <w:sz w:val="15"/>
                <w:szCs w:val="15"/>
                <w:color w:val="auto"/>
              </w:rPr>
            </w:pPr>
          </w:p>
        </w:tc>
        <w:tc>
          <w:tcPr>
            <w:tcW w:w="80" w:type="dxa"/>
            <w:vAlign w:val="bottom"/>
            <w:tcBorders>
              <w:bottom w:val="single" w:sz="8" w:color="3C578C"/>
            </w:tcBorders>
          </w:tcPr>
          <w:p>
            <w:pPr>
              <w:spacing w:after="0"/>
              <w:rPr>
                <w:sz w:val="15"/>
                <w:szCs w:val="15"/>
                <w:color w:val="auto"/>
              </w:rPr>
            </w:pPr>
          </w:p>
        </w:tc>
        <w:tc>
          <w:tcPr>
            <w:tcW w:w="400" w:type="dxa"/>
            <w:vAlign w:val="bottom"/>
            <w:tcBorders>
              <w:bottom w:val="single" w:sz="8" w:color="3C578C"/>
            </w:tcBorders>
          </w:tcPr>
          <w:p>
            <w:pPr>
              <w:spacing w:after="0"/>
              <w:rPr>
                <w:sz w:val="15"/>
                <w:szCs w:val="15"/>
                <w:color w:val="auto"/>
              </w:rPr>
            </w:pPr>
          </w:p>
        </w:tc>
        <w:tc>
          <w:tcPr>
            <w:tcW w:w="140" w:type="dxa"/>
            <w:vAlign w:val="bottom"/>
            <w:tcBorders>
              <w:bottom w:val="single" w:sz="8" w:color="3C578C"/>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3C578C"/>
            </w:tcBorders>
          </w:tcPr>
          <w:p>
            <w:pPr>
              <w:spacing w:after="0"/>
              <w:rPr>
                <w:sz w:val="15"/>
                <w:szCs w:val="15"/>
                <w:color w:val="auto"/>
              </w:rPr>
            </w:pPr>
          </w:p>
        </w:tc>
        <w:tc>
          <w:tcPr>
            <w:tcW w:w="860" w:type="dxa"/>
            <w:vAlign w:val="bottom"/>
            <w:tcBorders>
              <w:bottom w:val="single" w:sz="8" w:color="3C578C"/>
            </w:tcBorders>
          </w:tcPr>
          <w:p>
            <w:pPr>
              <w:spacing w:after="0"/>
              <w:rPr>
                <w:sz w:val="15"/>
                <w:szCs w:val="15"/>
                <w:color w:val="auto"/>
              </w:rPr>
            </w:pPr>
          </w:p>
        </w:tc>
        <w:tc>
          <w:tcPr>
            <w:tcW w:w="220" w:type="dxa"/>
            <w:vAlign w:val="bottom"/>
            <w:tcBorders>
              <w:bottom w:val="single" w:sz="8" w:color="3C578C"/>
            </w:tcBorders>
          </w:tcPr>
          <w:p>
            <w:pPr>
              <w:spacing w:after="0"/>
              <w:rPr>
                <w:sz w:val="15"/>
                <w:szCs w:val="15"/>
                <w:color w:val="auto"/>
              </w:rPr>
            </w:pPr>
          </w:p>
        </w:tc>
        <w:tc>
          <w:tcPr>
            <w:tcW w:w="440" w:type="dxa"/>
            <w:vAlign w:val="bottom"/>
            <w:tcBorders>
              <w:bottom w:val="single" w:sz="8" w:color="3C578C"/>
            </w:tcBorders>
          </w:tcPr>
          <w:p>
            <w:pPr>
              <w:spacing w:after="0"/>
              <w:rPr>
                <w:sz w:val="15"/>
                <w:szCs w:val="15"/>
                <w:color w:val="auto"/>
              </w:rPr>
            </w:pPr>
          </w:p>
        </w:tc>
        <w:tc>
          <w:tcPr>
            <w:tcW w:w="900" w:type="dxa"/>
            <w:vAlign w:val="bottom"/>
            <w:tcBorders>
              <w:bottom w:val="single" w:sz="8" w:color="3C578C"/>
            </w:tcBorders>
          </w:tcPr>
          <w:p>
            <w:pPr>
              <w:spacing w:after="0"/>
              <w:rPr>
                <w:sz w:val="15"/>
                <w:szCs w:val="15"/>
                <w:color w:val="auto"/>
              </w:rPr>
            </w:pPr>
          </w:p>
        </w:tc>
        <w:tc>
          <w:tcPr>
            <w:tcW w:w="220" w:type="dxa"/>
            <w:vAlign w:val="bottom"/>
            <w:tcBorders>
              <w:bottom w:val="single" w:sz="8" w:color="3C578C"/>
            </w:tcBorders>
          </w:tcPr>
          <w:p>
            <w:pPr>
              <w:spacing w:after="0"/>
              <w:rPr>
                <w:sz w:val="15"/>
                <w:szCs w:val="15"/>
                <w:color w:val="auto"/>
              </w:rPr>
            </w:pPr>
          </w:p>
        </w:tc>
        <w:tc>
          <w:tcPr>
            <w:tcW w:w="1240" w:type="dxa"/>
            <w:vAlign w:val="bottom"/>
            <w:tcBorders>
              <w:bottom w:val="single" w:sz="8" w:color="3C578C"/>
            </w:tcBorders>
          </w:tcPr>
          <w:p>
            <w:pPr>
              <w:spacing w:after="0"/>
              <w:rPr>
                <w:sz w:val="15"/>
                <w:szCs w:val="15"/>
                <w:color w:val="auto"/>
              </w:rPr>
            </w:pPr>
          </w:p>
        </w:tc>
        <w:tc>
          <w:tcPr>
            <w:tcW w:w="2060" w:type="dxa"/>
            <w:vAlign w:val="bottom"/>
            <w:tcBorders>
              <w:bottom w:val="single" w:sz="8" w:color="3C578C"/>
            </w:tcBorders>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40" w:type="dxa"/>
            <w:vAlign w:val="bottom"/>
            <w:tcBorders>
              <w:bottom w:val="single" w:sz="8" w:color="3C578C"/>
              <w:right w:val="single" w:sz="8" w:color="F3F8FB"/>
            </w:tcBorders>
            <w:shd w:val="clear" w:color="auto" w:fill="3C578C"/>
          </w:tcPr>
          <w:p>
            <w:pPr>
              <w:ind w:left="160"/>
              <w:spacing w:after="0"/>
              <w:rPr>
                <w:sz w:val="20"/>
                <w:szCs w:val="20"/>
                <w:color w:val="auto"/>
              </w:rPr>
            </w:pPr>
            <w:r>
              <w:rPr>
                <w:rFonts w:ascii="Arial" w:cs="Arial" w:eastAsia="Arial" w:hAnsi="Arial"/>
                <w:sz w:val="17"/>
                <w:szCs w:val="17"/>
                <w:b w:val="1"/>
                <w:bCs w:val="1"/>
                <w:color w:val="FFFFFF"/>
              </w:rPr>
              <w:t>1</w:t>
            </w:r>
          </w:p>
        </w:tc>
        <w:tc>
          <w:tcPr>
            <w:tcW w:w="860" w:type="dxa"/>
            <w:vAlign w:val="bottom"/>
            <w:tcBorders>
              <w:bottom w:val="single" w:sz="8" w:color="F3F8FB"/>
            </w:tcBorders>
            <w:shd w:val="clear" w:color="auto" w:fill="F3F8FB"/>
          </w:tcPr>
          <w:p>
            <w:pPr>
              <w:spacing w:after="0"/>
              <w:rPr>
                <w:sz w:val="22"/>
                <w:szCs w:val="22"/>
                <w:color w:val="auto"/>
              </w:rPr>
            </w:pPr>
          </w:p>
        </w:tc>
        <w:tc>
          <w:tcPr>
            <w:tcW w:w="1240" w:type="dxa"/>
            <w:vAlign w:val="bottom"/>
            <w:tcBorders>
              <w:bottom w:val="single" w:sz="8" w:color="F3F8FB"/>
            </w:tcBorders>
            <w:shd w:val="clear" w:color="auto" w:fill="F3F8FB"/>
          </w:tcPr>
          <w:p>
            <w:pPr>
              <w:spacing w:after="0"/>
              <w:rPr>
                <w:sz w:val="22"/>
                <w:szCs w:val="22"/>
                <w:color w:val="auto"/>
              </w:rPr>
            </w:pPr>
          </w:p>
        </w:tc>
        <w:tc>
          <w:tcPr>
            <w:tcW w:w="220" w:type="dxa"/>
            <w:vAlign w:val="bottom"/>
            <w:tcBorders>
              <w:bottom w:val="single" w:sz="8" w:color="F3F8FB"/>
            </w:tcBorders>
            <w:shd w:val="clear" w:color="auto" w:fill="F3F8FB"/>
          </w:tcPr>
          <w:p>
            <w:pPr>
              <w:spacing w:after="0"/>
              <w:rPr>
                <w:sz w:val="22"/>
                <w:szCs w:val="22"/>
                <w:color w:val="auto"/>
              </w:rPr>
            </w:pPr>
          </w:p>
        </w:tc>
        <w:tc>
          <w:tcPr>
            <w:tcW w:w="80" w:type="dxa"/>
            <w:vAlign w:val="bottom"/>
            <w:tcBorders>
              <w:bottom w:val="single" w:sz="8" w:color="F3F8FB"/>
            </w:tcBorders>
            <w:shd w:val="clear" w:color="auto" w:fill="F3F8FB"/>
          </w:tcPr>
          <w:p>
            <w:pPr>
              <w:spacing w:after="0"/>
              <w:rPr>
                <w:sz w:val="22"/>
                <w:szCs w:val="22"/>
                <w:color w:val="auto"/>
              </w:rPr>
            </w:pPr>
          </w:p>
        </w:tc>
        <w:tc>
          <w:tcPr>
            <w:tcW w:w="400" w:type="dxa"/>
            <w:vAlign w:val="bottom"/>
            <w:tcBorders>
              <w:bottom w:val="single" w:sz="8" w:color="F3F8FB"/>
              <w:right w:val="single" w:sz="8" w:color="F3F8FB"/>
            </w:tcBorders>
            <w:shd w:val="clear" w:color="auto" w:fill="F3F8FB"/>
          </w:tcPr>
          <w:p>
            <w:pPr>
              <w:spacing w:after="0"/>
              <w:rPr>
                <w:sz w:val="22"/>
                <w:szCs w:val="22"/>
                <w:color w:val="auto"/>
              </w:rPr>
            </w:pPr>
          </w:p>
        </w:tc>
        <w:tc>
          <w:tcPr>
            <w:tcW w:w="140" w:type="dxa"/>
            <w:vAlign w:val="bottom"/>
            <w:tcBorders>
              <w:bottom w:val="single" w:sz="8" w:color="F3F8FB"/>
            </w:tcBorders>
            <w:shd w:val="clear" w:color="auto" w:fill="F3F8FB"/>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Borders>
              <w:bottom w:val="single" w:sz="8" w:color="3C578C"/>
            </w:tcBorders>
            <w:shd w:val="clear" w:color="auto" w:fill="3C578C"/>
          </w:tcPr>
          <w:p>
            <w:pPr>
              <w:jc w:val="right"/>
              <w:ind w:right="82"/>
              <w:spacing w:after="0"/>
              <w:rPr>
                <w:sz w:val="20"/>
                <w:szCs w:val="20"/>
                <w:color w:val="auto"/>
              </w:rPr>
            </w:pPr>
            <w:r>
              <w:rPr>
                <w:rFonts w:ascii="Arial" w:cs="Arial" w:eastAsia="Arial" w:hAnsi="Arial"/>
                <w:sz w:val="17"/>
                <w:szCs w:val="17"/>
                <w:b w:val="1"/>
                <w:bCs w:val="1"/>
                <w:color w:val="FFFFFF"/>
              </w:rPr>
              <w:t>2</w:t>
            </w:r>
          </w:p>
        </w:tc>
        <w:tc>
          <w:tcPr>
            <w:tcW w:w="860" w:type="dxa"/>
            <w:vAlign w:val="bottom"/>
            <w:tcBorders>
              <w:bottom w:val="single" w:sz="8" w:color="F3F8FB"/>
            </w:tcBorders>
            <w:shd w:val="clear" w:color="auto" w:fill="F3F8FB"/>
          </w:tcPr>
          <w:p>
            <w:pPr>
              <w:spacing w:after="0"/>
              <w:rPr>
                <w:sz w:val="22"/>
                <w:szCs w:val="22"/>
                <w:color w:val="auto"/>
              </w:rPr>
            </w:pPr>
          </w:p>
        </w:tc>
        <w:tc>
          <w:tcPr>
            <w:tcW w:w="220" w:type="dxa"/>
            <w:vAlign w:val="bottom"/>
            <w:tcBorders>
              <w:bottom w:val="single" w:sz="8" w:color="F3F8FB"/>
            </w:tcBorders>
            <w:shd w:val="clear" w:color="auto" w:fill="F3F8FB"/>
          </w:tcPr>
          <w:p>
            <w:pPr>
              <w:spacing w:after="0"/>
              <w:rPr>
                <w:sz w:val="22"/>
                <w:szCs w:val="22"/>
                <w:color w:val="auto"/>
              </w:rPr>
            </w:pPr>
          </w:p>
        </w:tc>
        <w:tc>
          <w:tcPr>
            <w:tcW w:w="440" w:type="dxa"/>
            <w:vAlign w:val="bottom"/>
            <w:tcBorders>
              <w:bottom w:val="single" w:sz="8" w:color="F3F8FB"/>
            </w:tcBorders>
            <w:shd w:val="clear" w:color="auto" w:fill="F3F8FB"/>
          </w:tcPr>
          <w:p>
            <w:pPr>
              <w:spacing w:after="0"/>
              <w:rPr>
                <w:sz w:val="22"/>
                <w:szCs w:val="22"/>
                <w:color w:val="auto"/>
              </w:rPr>
            </w:pPr>
          </w:p>
        </w:tc>
        <w:tc>
          <w:tcPr>
            <w:tcW w:w="900" w:type="dxa"/>
            <w:vAlign w:val="bottom"/>
            <w:tcBorders>
              <w:bottom w:val="single" w:sz="8" w:color="F3F8FB"/>
            </w:tcBorders>
            <w:shd w:val="clear" w:color="auto" w:fill="F3F8FB"/>
          </w:tcPr>
          <w:p>
            <w:pPr>
              <w:spacing w:after="0"/>
              <w:rPr>
                <w:sz w:val="22"/>
                <w:szCs w:val="22"/>
                <w:color w:val="auto"/>
              </w:rPr>
            </w:pPr>
          </w:p>
        </w:tc>
        <w:tc>
          <w:tcPr>
            <w:tcW w:w="220" w:type="dxa"/>
            <w:vAlign w:val="bottom"/>
            <w:tcBorders>
              <w:bottom w:val="single" w:sz="8" w:color="F3F8FB"/>
            </w:tcBorders>
            <w:shd w:val="clear" w:color="auto" w:fill="F3F8FB"/>
          </w:tcPr>
          <w:p>
            <w:pPr>
              <w:spacing w:after="0"/>
              <w:rPr>
                <w:sz w:val="22"/>
                <w:szCs w:val="22"/>
                <w:color w:val="auto"/>
              </w:rPr>
            </w:pPr>
          </w:p>
        </w:tc>
        <w:tc>
          <w:tcPr>
            <w:tcW w:w="1240" w:type="dxa"/>
            <w:vAlign w:val="bottom"/>
            <w:tcBorders>
              <w:bottom w:val="single" w:sz="8" w:color="F3F8FB"/>
            </w:tcBorders>
            <w:shd w:val="clear" w:color="auto" w:fill="F3F8FB"/>
          </w:tcPr>
          <w:p>
            <w:pPr>
              <w:spacing w:after="0"/>
              <w:rPr>
                <w:sz w:val="22"/>
                <w:szCs w:val="22"/>
                <w:color w:val="auto"/>
              </w:rPr>
            </w:pPr>
          </w:p>
        </w:tc>
        <w:tc>
          <w:tcPr>
            <w:tcW w:w="2060" w:type="dxa"/>
            <w:vAlign w:val="bottom"/>
            <w:tcBorders>
              <w:bottom w:val="single" w:sz="8" w:color="F3F8FB"/>
            </w:tcBorders>
            <w:shd w:val="clear" w:color="auto" w:fill="F3F8FB"/>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240" w:type="dxa"/>
            <w:vAlign w:val="bottom"/>
            <w:tcBorders>
              <w:right w:val="single" w:sz="8" w:color="F3F8FB"/>
            </w:tcBorders>
            <w:gridSpan w:val="6"/>
            <w:shd w:val="clear" w:color="auto" w:fill="F3F8FB"/>
          </w:tcPr>
          <w:p>
            <w:pPr>
              <w:jc w:val="center"/>
              <w:ind w:left="64"/>
              <w:spacing w:after="0"/>
              <w:rPr>
                <w:sz w:val="20"/>
                <w:szCs w:val="20"/>
                <w:color w:val="auto"/>
              </w:rPr>
            </w:pPr>
            <w:r>
              <w:rPr>
                <w:rFonts w:ascii="Arial" w:cs="Arial" w:eastAsia="Arial" w:hAnsi="Arial"/>
                <w:sz w:val="15"/>
                <w:szCs w:val="15"/>
                <w:color w:val="auto"/>
              </w:rPr>
              <w:t>During 2024, our Compensation Committee</w:t>
            </w:r>
          </w:p>
        </w:tc>
        <w:tc>
          <w:tcPr>
            <w:tcW w:w="140" w:type="dxa"/>
            <w:vAlign w:val="bottom"/>
            <w:shd w:val="clear" w:color="auto" w:fill="F3F8FB"/>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shd w:val="clear" w:color="auto" w:fill="F3F8FB"/>
          </w:tcPr>
          <w:p>
            <w:pPr>
              <w:spacing w:after="0"/>
              <w:rPr>
                <w:sz w:val="16"/>
                <w:szCs w:val="16"/>
                <w:color w:val="auto"/>
              </w:rPr>
            </w:pPr>
          </w:p>
        </w:tc>
        <w:tc>
          <w:tcPr>
            <w:tcW w:w="5940" w:type="dxa"/>
            <w:vAlign w:val="bottom"/>
            <w:gridSpan w:val="7"/>
            <w:shd w:val="clear" w:color="auto" w:fill="F3F8FB"/>
          </w:tcPr>
          <w:p>
            <w:pPr>
              <w:jc w:val="center"/>
              <w:ind w:right="280"/>
              <w:spacing w:after="0"/>
              <w:rPr>
                <w:sz w:val="20"/>
                <w:szCs w:val="20"/>
                <w:color w:val="auto"/>
              </w:rPr>
            </w:pPr>
            <w:r>
              <w:rPr>
                <w:rFonts w:ascii="Arial" w:cs="Arial" w:eastAsia="Arial" w:hAnsi="Arial"/>
                <w:sz w:val="15"/>
                <w:szCs w:val="15"/>
                <w:color w:val="auto"/>
                <w:w w:val="98"/>
              </w:rPr>
              <w:t> Our annual performance-based cash incentive compensation program is designed to</w:t>
            </w:r>
          </w:p>
        </w:tc>
        <w:tc>
          <w:tcPr>
            <w:tcW w:w="0" w:type="dxa"/>
            <w:vAlign w:val="bottom"/>
          </w:tcPr>
          <w:p>
            <w:pPr>
              <w:spacing w:after="0"/>
              <w:rPr>
                <w:sz w:val="1"/>
                <w:szCs w:val="1"/>
                <w:color w:val="auto"/>
              </w:rPr>
            </w:pPr>
          </w:p>
        </w:tc>
      </w:tr>
      <w:tr>
        <w:trPr>
          <w:trHeight w:val="175"/>
        </w:trPr>
        <w:tc>
          <w:tcPr>
            <w:tcW w:w="440" w:type="dxa"/>
            <w:vAlign w:val="bottom"/>
            <w:tcBorders>
              <w:right w:val="single" w:sz="8" w:color="F3F8FB"/>
            </w:tcBorders>
            <w:shd w:val="clear" w:color="auto" w:fill="F3F8FB"/>
          </w:tcPr>
          <w:p>
            <w:pPr>
              <w:spacing w:after="0"/>
              <w:rPr>
                <w:sz w:val="15"/>
                <w:szCs w:val="15"/>
                <w:color w:val="auto"/>
              </w:rPr>
            </w:pPr>
          </w:p>
        </w:tc>
        <w:tc>
          <w:tcPr>
            <w:tcW w:w="2400" w:type="dxa"/>
            <w:vAlign w:val="bottom"/>
            <w:gridSpan w:val="4"/>
            <w:shd w:val="clear" w:color="auto" w:fill="F3F8FB"/>
          </w:tcPr>
          <w:p>
            <w:pPr>
              <w:jc w:val="center"/>
              <w:ind w:left="25"/>
              <w:spacing w:after="0"/>
              <w:rPr>
                <w:sz w:val="20"/>
                <w:szCs w:val="20"/>
                <w:color w:val="auto"/>
              </w:rPr>
            </w:pPr>
            <w:r>
              <w:rPr>
                <w:rFonts w:ascii="Arial" w:cs="Arial" w:eastAsia="Arial" w:hAnsi="Arial"/>
                <w:sz w:val="15"/>
                <w:szCs w:val="15"/>
                <w:color w:val="auto"/>
                <w:w w:val="99"/>
              </w:rPr>
              <w:t>continued to administer executive</w:t>
            </w:r>
          </w:p>
        </w:tc>
        <w:tc>
          <w:tcPr>
            <w:tcW w:w="400" w:type="dxa"/>
            <w:vAlign w:val="bottom"/>
            <w:tcBorders>
              <w:right w:val="single" w:sz="8" w:color="F3F8FB"/>
            </w:tcBorders>
            <w:shd w:val="clear" w:color="auto" w:fill="F3F8FB"/>
          </w:tcPr>
          <w:p>
            <w:pPr>
              <w:spacing w:after="0"/>
              <w:rPr>
                <w:sz w:val="15"/>
                <w:szCs w:val="15"/>
                <w:color w:val="auto"/>
              </w:rPr>
            </w:pPr>
          </w:p>
        </w:tc>
        <w:tc>
          <w:tcPr>
            <w:tcW w:w="140" w:type="dxa"/>
            <w:vAlign w:val="bottom"/>
            <w:shd w:val="clear" w:color="auto" w:fill="F3F8FB"/>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7"/>
            <w:shd w:val="clear" w:color="auto" w:fill="F3F8FB"/>
          </w:tcPr>
          <w:p>
            <w:pPr>
              <w:jc w:val="center"/>
              <w:ind w:right="280"/>
              <w:spacing w:after="0"/>
              <w:rPr>
                <w:sz w:val="20"/>
                <w:szCs w:val="20"/>
                <w:color w:val="auto"/>
              </w:rPr>
            </w:pPr>
            <w:r>
              <w:rPr>
                <w:rFonts w:ascii="Arial" w:cs="Arial" w:eastAsia="Arial" w:hAnsi="Arial"/>
                <w:sz w:val="15"/>
                <w:szCs w:val="15"/>
                <w:color w:val="auto"/>
                <w:w w:val="97"/>
              </w:rPr>
              <w:t>reward our management team (including our named executive officers (“NEOs”) for</w:t>
            </w:r>
          </w:p>
        </w:tc>
        <w:tc>
          <w:tcPr>
            <w:tcW w:w="0" w:type="dxa"/>
            <w:vAlign w:val="bottom"/>
          </w:tcPr>
          <w:p>
            <w:pPr>
              <w:spacing w:after="0"/>
              <w:rPr>
                <w:sz w:val="1"/>
                <w:szCs w:val="1"/>
                <w:color w:val="auto"/>
              </w:rPr>
            </w:pPr>
          </w:p>
        </w:tc>
      </w:tr>
      <w:tr>
        <w:trPr>
          <w:trHeight w:val="175"/>
        </w:trPr>
        <w:tc>
          <w:tcPr>
            <w:tcW w:w="3240" w:type="dxa"/>
            <w:vAlign w:val="bottom"/>
            <w:tcBorders>
              <w:right w:val="single" w:sz="8" w:color="F3F8FB"/>
            </w:tcBorders>
            <w:gridSpan w:val="6"/>
            <w:shd w:val="clear" w:color="auto" w:fill="F3F8FB"/>
          </w:tcPr>
          <w:p>
            <w:pPr>
              <w:jc w:val="center"/>
              <w:ind w:left="64"/>
              <w:spacing w:after="0"/>
              <w:rPr>
                <w:sz w:val="20"/>
                <w:szCs w:val="20"/>
                <w:color w:val="auto"/>
              </w:rPr>
            </w:pPr>
            <w:r>
              <w:rPr>
                <w:rFonts w:ascii="Arial" w:cs="Arial" w:eastAsia="Arial" w:hAnsi="Arial"/>
                <w:sz w:val="15"/>
                <w:szCs w:val="15"/>
                <w:color w:val="auto"/>
                <w:w w:val="99"/>
              </w:rPr>
              <w:t>compensation programs that it considers to be</w:t>
            </w:r>
          </w:p>
        </w:tc>
        <w:tc>
          <w:tcPr>
            <w:tcW w:w="140" w:type="dxa"/>
            <w:vAlign w:val="bottom"/>
            <w:shd w:val="clear" w:color="auto" w:fill="F3F8FB"/>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gridSpan w:val="8"/>
            <w:shd w:val="clear" w:color="auto" w:fill="F3F8FB"/>
          </w:tcPr>
          <w:p>
            <w:pPr>
              <w:jc w:val="center"/>
              <w:ind w:left="62"/>
              <w:spacing w:after="0"/>
              <w:rPr>
                <w:sz w:val="20"/>
                <w:szCs w:val="20"/>
                <w:color w:val="auto"/>
              </w:rPr>
            </w:pPr>
            <w:r>
              <w:rPr>
                <w:rFonts w:ascii="Arial" w:cs="Arial" w:eastAsia="Arial" w:hAnsi="Arial"/>
                <w:sz w:val="15"/>
                <w:szCs w:val="15"/>
                <w:color w:val="auto"/>
                <w:w w:val="97"/>
              </w:rPr>
              <w:t>achievement of certain pre-established, short-term financial and/or operational goals. For</w:t>
            </w:r>
          </w:p>
        </w:tc>
        <w:tc>
          <w:tcPr>
            <w:tcW w:w="0" w:type="dxa"/>
            <w:vAlign w:val="bottom"/>
          </w:tcPr>
          <w:p>
            <w:pPr>
              <w:spacing w:after="0"/>
              <w:rPr>
                <w:sz w:val="1"/>
                <w:szCs w:val="1"/>
                <w:color w:val="auto"/>
              </w:rPr>
            </w:pPr>
          </w:p>
        </w:tc>
      </w:tr>
      <w:tr>
        <w:trPr>
          <w:trHeight w:val="175"/>
        </w:trPr>
        <w:tc>
          <w:tcPr>
            <w:tcW w:w="3240" w:type="dxa"/>
            <w:vAlign w:val="bottom"/>
            <w:tcBorders>
              <w:right w:val="single" w:sz="8" w:color="F3F8FB"/>
            </w:tcBorders>
            <w:gridSpan w:val="6"/>
            <w:shd w:val="clear" w:color="auto" w:fill="F3F8FB"/>
          </w:tcPr>
          <w:p>
            <w:pPr>
              <w:jc w:val="center"/>
              <w:ind w:left="64"/>
              <w:spacing w:after="0"/>
              <w:rPr>
                <w:sz w:val="20"/>
                <w:szCs w:val="20"/>
                <w:color w:val="auto"/>
              </w:rPr>
            </w:pPr>
            <w:r>
              <w:rPr>
                <w:rFonts w:ascii="Arial" w:cs="Arial" w:eastAsia="Arial" w:hAnsi="Arial"/>
                <w:sz w:val="15"/>
                <w:szCs w:val="15"/>
                <w:color w:val="auto"/>
                <w:w w:val="99"/>
              </w:rPr>
              <w:t>competitive in the market for talent and aligned</w:t>
            </w:r>
          </w:p>
        </w:tc>
        <w:tc>
          <w:tcPr>
            <w:tcW w:w="140" w:type="dxa"/>
            <w:vAlign w:val="bottom"/>
            <w:shd w:val="clear" w:color="auto" w:fill="F3F8FB"/>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7"/>
            <w:shd w:val="clear" w:color="auto" w:fill="F3F8FB"/>
          </w:tcPr>
          <w:p>
            <w:pPr>
              <w:jc w:val="center"/>
              <w:ind w:right="260"/>
              <w:spacing w:after="0"/>
              <w:rPr>
                <w:sz w:val="20"/>
                <w:szCs w:val="20"/>
                <w:color w:val="auto"/>
              </w:rPr>
            </w:pPr>
            <w:r>
              <w:rPr>
                <w:rFonts w:ascii="Arial" w:cs="Arial" w:eastAsia="Arial" w:hAnsi="Arial"/>
                <w:sz w:val="15"/>
                <w:szCs w:val="15"/>
                <w:color w:val="auto"/>
                <w:w w:val="97"/>
              </w:rPr>
              <w:t>2024, the performance objectives under our performance-based incentive program</w:t>
            </w:r>
          </w:p>
        </w:tc>
        <w:tc>
          <w:tcPr>
            <w:tcW w:w="0" w:type="dxa"/>
            <w:vAlign w:val="bottom"/>
          </w:tcPr>
          <w:p>
            <w:pPr>
              <w:spacing w:after="0"/>
              <w:rPr>
                <w:sz w:val="1"/>
                <w:szCs w:val="1"/>
                <w:color w:val="auto"/>
              </w:rPr>
            </w:pPr>
          </w:p>
        </w:tc>
      </w:tr>
      <w:tr>
        <w:trPr>
          <w:trHeight w:val="175"/>
        </w:trPr>
        <w:tc>
          <w:tcPr>
            <w:tcW w:w="3240" w:type="dxa"/>
            <w:vAlign w:val="bottom"/>
            <w:tcBorders>
              <w:right w:val="single" w:sz="8" w:color="F3F8FB"/>
            </w:tcBorders>
            <w:gridSpan w:val="6"/>
            <w:shd w:val="clear" w:color="auto" w:fill="F3F8FB"/>
          </w:tcPr>
          <w:p>
            <w:pPr>
              <w:ind w:left="180"/>
              <w:spacing w:after="0"/>
              <w:rPr>
                <w:sz w:val="20"/>
                <w:szCs w:val="20"/>
                <w:color w:val="auto"/>
              </w:rPr>
            </w:pPr>
            <w:r>
              <w:rPr>
                <w:rFonts w:ascii="Arial" w:cs="Arial" w:eastAsia="Arial" w:hAnsi="Arial"/>
                <w:sz w:val="15"/>
                <w:szCs w:val="15"/>
                <w:color w:val="auto"/>
              </w:rPr>
              <w:t>with industry best practices and the long-term</w:t>
            </w:r>
          </w:p>
        </w:tc>
        <w:tc>
          <w:tcPr>
            <w:tcW w:w="140" w:type="dxa"/>
            <w:vAlign w:val="bottom"/>
            <w:shd w:val="clear" w:color="auto" w:fill="F3F8FB"/>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gridSpan w:val="8"/>
            <w:shd w:val="clear" w:color="auto" w:fill="F3F8FB"/>
          </w:tcPr>
          <w:p>
            <w:pPr>
              <w:jc w:val="center"/>
              <w:ind w:left="62"/>
              <w:spacing w:after="0"/>
              <w:rPr>
                <w:sz w:val="20"/>
                <w:szCs w:val="20"/>
                <w:color w:val="auto"/>
              </w:rPr>
            </w:pPr>
            <w:r>
              <w:rPr>
                <w:rFonts w:ascii="Arial" w:cs="Arial" w:eastAsia="Arial" w:hAnsi="Arial"/>
                <w:sz w:val="15"/>
                <w:szCs w:val="15"/>
                <w:color w:val="auto"/>
                <w:w w:val="97"/>
              </w:rPr>
              <w:t xml:space="preserve">consisted of </w:t>
            </w:r>
            <w:r>
              <w:rPr>
                <w:rFonts w:ascii="Arial" w:cs="Arial" w:eastAsia="Arial" w:hAnsi="Arial"/>
                <w:sz w:val="15"/>
                <w:szCs w:val="15"/>
                <w:b w:val="1"/>
                <w:bCs w:val="1"/>
                <w:color w:val="auto"/>
                <w:w w:val="97"/>
              </w:rPr>
              <w:t>Adjusted EBITDA (50)% and Revenue (50)%</w:t>
            </w:r>
            <w:r>
              <w:rPr>
                <w:rFonts w:ascii="Arial" w:cs="Arial" w:eastAsia="Arial" w:hAnsi="Arial"/>
                <w:sz w:val="15"/>
                <w:szCs w:val="15"/>
                <w:color w:val="auto"/>
                <w:w w:val="97"/>
              </w:rPr>
              <w:t>, in each case established by</w:t>
            </w:r>
          </w:p>
        </w:tc>
        <w:tc>
          <w:tcPr>
            <w:tcW w:w="0" w:type="dxa"/>
            <w:vAlign w:val="bottom"/>
          </w:tcPr>
          <w:p>
            <w:pPr>
              <w:spacing w:after="0"/>
              <w:rPr>
                <w:sz w:val="1"/>
                <w:szCs w:val="1"/>
                <w:color w:val="auto"/>
              </w:rPr>
            </w:pPr>
          </w:p>
        </w:tc>
      </w:tr>
      <w:tr>
        <w:trPr>
          <w:trHeight w:val="198"/>
        </w:trPr>
        <w:tc>
          <w:tcPr>
            <w:tcW w:w="440" w:type="dxa"/>
            <w:vAlign w:val="bottom"/>
            <w:tcBorders>
              <w:right w:val="single" w:sz="8" w:color="F3F8FB"/>
            </w:tcBorders>
            <w:shd w:val="clear" w:color="auto" w:fill="F3F8FB"/>
          </w:tcPr>
          <w:p>
            <w:pPr>
              <w:spacing w:after="0"/>
              <w:rPr>
                <w:sz w:val="17"/>
                <w:szCs w:val="17"/>
                <w:color w:val="auto"/>
              </w:rPr>
            </w:pPr>
          </w:p>
        </w:tc>
        <w:tc>
          <w:tcPr>
            <w:tcW w:w="2400" w:type="dxa"/>
            <w:vAlign w:val="bottom"/>
            <w:gridSpan w:val="4"/>
            <w:shd w:val="clear" w:color="auto" w:fill="F3F8FB"/>
          </w:tcPr>
          <w:p>
            <w:pPr>
              <w:jc w:val="center"/>
              <w:ind w:left="25"/>
              <w:spacing w:after="0"/>
              <w:rPr>
                <w:sz w:val="20"/>
                <w:szCs w:val="20"/>
                <w:color w:val="auto"/>
              </w:rPr>
            </w:pPr>
            <w:r>
              <w:rPr>
                <w:rFonts w:ascii="Arial" w:cs="Arial" w:eastAsia="Arial" w:hAnsi="Arial"/>
                <w:sz w:val="15"/>
                <w:szCs w:val="15"/>
                <w:color w:val="auto"/>
                <w:w w:val="99"/>
              </w:rPr>
              <w:t>interests of our stockholders.</w:t>
            </w:r>
          </w:p>
        </w:tc>
        <w:tc>
          <w:tcPr>
            <w:tcW w:w="400" w:type="dxa"/>
            <w:vAlign w:val="bottom"/>
            <w:tcBorders>
              <w:right w:val="single" w:sz="8" w:color="F3F8FB"/>
            </w:tcBorders>
            <w:shd w:val="clear" w:color="auto" w:fill="F3F8FB"/>
          </w:tcPr>
          <w:p>
            <w:pPr>
              <w:spacing w:after="0"/>
              <w:rPr>
                <w:sz w:val="17"/>
                <w:szCs w:val="17"/>
                <w:color w:val="auto"/>
              </w:rPr>
            </w:pPr>
          </w:p>
        </w:tc>
        <w:tc>
          <w:tcPr>
            <w:tcW w:w="140" w:type="dxa"/>
            <w:vAlign w:val="bottom"/>
            <w:shd w:val="clear" w:color="auto" w:fill="F3F8FB"/>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shd w:val="clear" w:color="auto" w:fill="F3F8FB"/>
          </w:tcPr>
          <w:p>
            <w:pPr>
              <w:spacing w:after="0"/>
              <w:rPr>
                <w:sz w:val="17"/>
                <w:szCs w:val="17"/>
                <w:color w:val="auto"/>
              </w:rPr>
            </w:pPr>
          </w:p>
        </w:tc>
        <w:tc>
          <w:tcPr>
            <w:tcW w:w="860" w:type="dxa"/>
            <w:vAlign w:val="bottom"/>
            <w:shd w:val="clear" w:color="auto" w:fill="F3F8FB"/>
          </w:tcPr>
          <w:p>
            <w:pPr>
              <w:spacing w:after="0"/>
              <w:rPr>
                <w:sz w:val="17"/>
                <w:szCs w:val="17"/>
                <w:color w:val="auto"/>
              </w:rPr>
            </w:pPr>
          </w:p>
        </w:tc>
        <w:tc>
          <w:tcPr>
            <w:tcW w:w="220" w:type="dxa"/>
            <w:vAlign w:val="bottom"/>
            <w:shd w:val="clear" w:color="auto" w:fill="F3F8FB"/>
          </w:tcPr>
          <w:p>
            <w:pPr>
              <w:spacing w:after="0"/>
              <w:rPr>
                <w:sz w:val="17"/>
                <w:szCs w:val="17"/>
                <w:color w:val="auto"/>
              </w:rPr>
            </w:pPr>
          </w:p>
        </w:tc>
        <w:tc>
          <w:tcPr>
            <w:tcW w:w="4860" w:type="dxa"/>
            <w:vAlign w:val="bottom"/>
            <w:gridSpan w:val="5"/>
            <w:shd w:val="clear" w:color="auto" w:fill="F3F8FB"/>
          </w:tcPr>
          <w:p>
            <w:pPr>
              <w:jc w:val="center"/>
              <w:ind w:right="1340"/>
              <w:spacing w:after="0"/>
              <w:rPr>
                <w:sz w:val="20"/>
                <w:szCs w:val="20"/>
                <w:color w:val="auto"/>
              </w:rPr>
            </w:pPr>
            <w:r>
              <w:rPr>
                <w:rFonts w:ascii="Arial" w:cs="Arial" w:eastAsia="Arial" w:hAnsi="Arial"/>
                <w:sz w:val="15"/>
                <w:szCs w:val="15"/>
                <w:color w:val="auto"/>
                <w:w w:val="97"/>
              </w:rPr>
              <w:t>reference to the Company’s annual operating plan.</w:t>
            </w:r>
          </w:p>
        </w:tc>
        <w:tc>
          <w:tcPr>
            <w:tcW w:w="0" w:type="dxa"/>
            <w:vAlign w:val="bottom"/>
          </w:tcPr>
          <w:p>
            <w:pPr>
              <w:spacing w:after="0"/>
              <w:rPr>
                <w:sz w:val="1"/>
                <w:szCs w:val="1"/>
                <w:color w:val="auto"/>
              </w:rPr>
            </w:pPr>
          </w:p>
        </w:tc>
      </w:tr>
      <w:tr>
        <w:trPr>
          <w:trHeight w:val="202"/>
        </w:trPr>
        <w:tc>
          <w:tcPr>
            <w:tcW w:w="440" w:type="dxa"/>
            <w:vAlign w:val="bottom"/>
            <w:tcBorders>
              <w:right w:val="single" w:sz="8" w:color="F3F8FB"/>
            </w:tcBorders>
            <w:shd w:val="clear" w:color="auto" w:fill="F3F8FB"/>
          </w:tcPr>
          <w:p>
            <w:pPr>
              <w:spacing w:after="0"/>
              <w:rPr>
                <w:sz w:val="17"/>
                <w:szCs w:val="17"/>
                <w:color w:val="auto"/>
              </w:rPr>
            </w:pPr>
          </w:p>
        </w:tc>
        <w:tc>
          <w:tcPr>
            <w:tcW w:w="860" w:type="dxa"/>
            <w:vAlign w:val="bottom"/>
            <w:shd w:val="clear" w:color="auto" w:fill="F3F8FB"/>
          </w:tcPr>
          <w:p>
            <w:pPr>
              <w:spacing w:after="0"/>
              <w:rPr>
                <w:sz w:val="17"/>
                <w:szCs w:val="17"/>
                <w:color w:val="auto"/>
              </w:rPr>
            </w:pPr>
          </w:p>
        </w:tc>
        <w:tc>
          <w:tcPr>
            <w:tcW w:w="1240" w:type="dxa"/>
            <w:vAlign w:val="bottom"/>
            <w:shd w:val="clear" w:color="auto" w:fill="F3F8FB"/>
          </w:tcPr>
          <w:p>
            <w:pPr>
              <w:spacing w:after="0"/>
              <w:rPr>
                <w:sz w:val="17"/>
                <w:szCs w:val="17"/>
                <w:color w:val="auto"/>
              </w:rPr>
            </w:pPr>
          </w:p>
        </w:tc>
        <w:tc>
          <w:tcPr>
            <w:tcW w:w="220" w:type="dxa"/>
            <w:vAlign w:val="bottom"/>
            <w:shd w:val="clear" w:color="auto" w:fill="F3F8FB"/>
          </w:tcPr>
          <w:p>
            <w:pPr>
              <w:spacing w:after="0"/>
              <w:rPr>
                <w:sz w:val="17"/>
                <w:szCs w:val="17"/>
                <w:color w:val="auto"/>
              </w:rPr>
            </w:pPr>
          </w:p>
        </w:tc>
        <w:tc>
          <w:tcPr>
            <w:tcW w:w="80" w:type="dxa"/>
            <w:vAlign w:val="bottom"/>
            <w:shd w:val="clear" w:color="auto" w:fill="F3F8FB"/>
          </w:tcPr>
          <w:p>
            <w:pPr>
              <w:spacing w:after="0"/>
              <w:rPr>
                <w:sz w:val="17"/>
                <w:szCs w:val="17"/>
                <w:color w:val="auto"/>
              </w:rPr>
            </w:pPr>
          </w:p>
        </w:tc>
        <w:tc>
          <w:tcPr>
            <w:tcW w:w="400" w:type="dxa"/>
            <w:vAlign w:val="bottom"/>
            <w:tcBorders>
              <w:right w:val="single" w:sz="8" w:color="F3F8FB"/>
            </w:tcBorders>
            <w:shd w:val="clear" w:color="auto" w:fill="F3F8FB"/>
          </w:tcPr>
          <w:p>
            <w:pPr>
              <w:spacing w:after="0"/>
              <w:rPr>
                <w:sz w:val="17"/>
                <w:szCs w:val="17"/>
                <w:color w:val="auto"/>
              </w:rPr>
            </w:pPr>
          </w:p>
        </w:tc>
        <w:tc>
          <w:tcPr>
            <w:tcW w:w="140" w:type="dxa"/>
            <w:vAlign w:val="bottom"/>
            <w:shd w:val="clear" w:color="auto" w:fill="F3F8FB"/>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shd w:val="clear" w:color="auto" w:fill="F3F8FB"/>
          </w:tcPr>
          <w:p>
            <w:pPr>
              <w:spacing w:after="0"/>
              <w:rPr>
                <w:sz w:val="17"/>
                <w:szCs w:val="17"/>
                <w:color w:val="auto"/>
              </w:rPr>
            </w:pPr>
          </w:p>
        </w:tc>
        <w:tc>
          <w:tcPr>
            <w:tcW w:w="860" w:type="dxa"/>
            <w:vAlign w:val="bottom"/>
            <w:shd w:val="clear" w:color="auto" w:fill="F3F8FB"/>
          </w:tcPr>
          <w:p>
            <w:pPr>
              <w:spacing w:after="0"/>
              <w:rPr>
                <w:sz w:val="17"/>
                <w:szCs w:val="17"/>
                <w:color w:val="auto"/>
              </w:rPr>
            </w:pPr>
          </w:p>
        </w:tc>
        <w:tc>
          <w:tcPr>
            <w:tcW w:w="220" w:type="dxa"/>
            <w:vAlign w:val="bottom"/>
            <w:shd w:val="clear" w:color="auto" w:fill="F3F8FB"/>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900" w:type="dxa"/>
            <w:vAlign w:val="bottom"/>
            <w:shd w:val="clear" w:color="auto" w:fill="F3F8FB"/>
          </w:tcPr>
          <w:p>
            <w:pPr>
              <w:spacing w:after="0"/>
              <w:rPr>
                <w:sz w:val="17"/>
                <w:szCs w:val="17"/>
                <w:color w:val="auto"/>
              </w:rPr>
            </w:pPr>
          </w:p>
        </w:tc>
        <w:tc>
          <w:tcPr>
            <w:tcW w:w="220" w:type="dxa"/>
            <w:vAlign w:val="bottom"/>
            <w:shd w:val="clear" w:color="auto" w:fill="F3F8FB"/>
          </w:tcPr>
          <w:p>
            <w:pPr>
              <w:spacing w:after="0"/>
              <w:rPr>
                <w:sz w:val="17"/>
                <w:szCs w:val="17"/>
                <w:color w:val="auto"/>
              </w:rPr>
            </w:pPr>
          </w:p>
        </w:tc>
        <w:tc>
          <w:tcPr>
            <w:tcW w:w="1240" w:type="dxa"/>
            <w:vAlign w:val="bottom"/>
            <w:shd w:val="clear" w:color="auto" w:fill="F3F8FB"/>
          </w:tcPr>
          <w:p>
            <w:pPr>
              <w:spacing w:after="0"/>
              <w:rPr>
                <w:sz w:val="17"/>
                <w:szCs w:val="17"/>
                <w:color w:val="auto"/>
              </w:rPr>
            </w:pPr>
          </w:p>
        </w:tc>
        <w:tc>
          <w:tcPr>
            <w:tcW w:w="2060" w:type="dxa"/>
            <w:vAlign w:val="bottom"/>
            <w:shd w:val="clear" w:color="auto" w:fill="F3F8FB"/>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44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1240" w:type="dxa"/>
            <w:vAlign w:val="bottom"/>
            <w:tcBorders>
              <w:bottom w:val="single" w:sz="8" w:color="3C578C"/>
            </w:tcBorders>
          </w:tcPr>
          <w:p>
            <w:pPr>
              <w:spacing w:after="0"/>
              <w:rPr>
                <w:sz w:val="10"/>
                <w:szCs w:val="10"/>
                <w:color w:val="auto"/>
              </w:rPr>
            </w:pPr>
          </w:p>
        </w:tc>
        <w:tc>
          <w:tcPr>
            <w:tcW w:w="220" w:type="dxa"/>
            <w:vAlign w:val="bottom"/>
            <w:tcBorders>
              <w:bottom w:val="single" w:sz="8" w:color="3C578C"/>
            </w:tcBorders>
          </w:tcPr>
          <w:p>
            <w:pPr>
              <w:spacing w:after="0"/>
              <w:rPr>
                <w:sz w:val="10"/>
                <w:szCs w:val="10"/>
                <w:color w:val="auto"/>
              </w:rPr>
            </w:pPr>
          </w:p>
        </w:tc>
        <w:tc>
          <w:tcPr>
            <w:tcW w:w="80" w:type="dxa"/>
            <w:vAlign w:val="bottom"/>
            <w:tcBorders>
              <w:bottom w:val="single" w:sz="8" w:color="3C578C"/>
            </w:tcBorders>
          </w:tcPr>
          <w:p>
            <w:pPr>
              <w:spacing w:after="0"/>
              <w:rPr>
                <w:sz w:val="10"/>
                <w:szCs w:val="10"/>
                <w:color w:val="auto"/>
              </w:rPr>
            </w:pPr>
          </w:p>
        </w:tc>
        <w:tc>
          <w:tcPr>
            <w:tcW w:w="400" w:type="dxa"/>
            <w:vAlign w:val="bottom"/>
            <w:tcBorders>
              <w:bottom w:val="single" w:sz="8" w:color="3C578C"/>
            </w:tcBorders>
          </w:tcPr>
          <w:p>
            <w:pPr>
              <w:spacing w:after="0"/>
              <w:rPr>
                <w:sz w:val="10"/>
                <w:szCs w:val="10"/>
                <w:color w:val="auto"/>
              </w:rPr>
            </w:pPr>
          </w:p>
        </w:tc>
        <w:tc>
          <w:tcPr>
            <w:tcW w:w="140" w:type="dxa"/>
            <w:vAlign w:val="bottom"/>
            <w:tcBorders>
              <w:bottom w:val="single" w:sz="8" w:color="3C578C"/>
            </w:tcBorders>
          </w:tcPr>
          <w:p>
            <w:pPr>
              <w:spacing w:after="0"/>
              <w:rPr>
                <w:sz w:val="10"/>
                <w:szCs w:val="10"/>
                <w:color w:val="auto"/>
              </w:rPr>
            </w:pPr>
          </w:p>
        </w:tc>
        <w:tc>
          <w:tcPr>
            <w:tcW w:w="200" w:type="dxa"/>
            <w:vAlign w:val="bottom"/>
            <w:tcBorders>
              <w:bottom w:val="single" w:sz="8" w:color="3C578C"/>
            </w:tcBorders>
          </w:tcPr>
          <w:p>
            <w:pPr>
              <w:spacing w:after="0"/>
              <w:rPr>
                <w:sz w:val="10"/>
                <w:szCs w:val="10"/>
                <w:color w:val="auto"/>
              </w:rPr>
            </w:pPr>
          </w:p>
        </w:tc>
        <w:tc>
          <w:tcPr>
            <w:tcW w:w="40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3C578C"/>
            </w:tcBorders>
          </w:tcPr>
          <w:p>
            <w:pPr>
              <w:spacing w:after="0"/>
              <w:rPr>
                <w:sz w:val="10"/>
                <w:szCs w:val="10"/>
                <w:color w:val="auto"/>
              </w:rPr>
            </w:pPr>
          </w:p>
        </w:tc>
        <w:tc>
          <w:tcPr>
            <w:tcW w:w="900" w:type="dxa"/>
            <w:vAlign w:val="bottom"/>
            <w:tcBorders>
              <w:bottom w:val="single" w:sz="8" w:color="3C578C"/>
            </w:tcBorders>
          </w:tcPr>
          <w:p>
            <w:pPr>
              <w:spacing w:after="0"/>
              <w:rPr>
                <w:sz w:val="10"/>
                <w:szCs w:val="10"/>
                <w:color w:val="auto"/>
              </w:rPr>
            </w:pPr>
          </w:p>
        </w:tc>
        <w:tc>
          <w:tcPr>
            <w:tcW w:w="220" w:type="dxa"/>
            <w:vAlign w:val="bottom"/>
            <w:tcBorders>
              <w:bottom w:val="single" w:sz="8" w:color="3C578C"/>
            </w:tcBorders>
          </w:tcPr>
          <w:p>
            <w:pPr>
              <w:spacing w:after="0"/>
              <w:rPr>
                <w:sz w:val="10"/>
                <w:szCs w:val="10"/>
                <w:color w:val="auto"/>
              </w:rPr>
            </w:pPr>
          </w:p>
        </w:tc>
        <w:tc>
          <w:tcPr>
            <w:tcW w:w="1240" w:type="dxa"/>
            <w:vAlign w:val="bottom"/>
            <w:tcBorders>
              <w:bottom w:val="single" w:sz="8" w:color="3C578C"/>
            </w:tcBorders>
          </w:tcPr>
          <w:p>
            <w:pPr>
              <w:spacing w:after="0"/>
              <w:rPr>
                <w:sz w:val="10"/>
                <w:szCs w:val="10"/>
                <w:color w:val="auto"/>
              </w:rPr>
            </w:pPr>
          </w:p>
        </w:tc>
        <w:tc>
          <w:tcPr>
            <w:tcW w:w="2060" w:type="dxa"/>
            <w:vAlign w:val="bottom"/>
            <w:tcBorders>
              <w:bottom w:val="single" w:sz="8" w:color="3C578C"/>
            </w:tcBorders>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440" w:type="dxa"/>
            <w:vAlign w:val="bottom"/>
            <w:tcBorders>
              <w:bottom w:val="single" w:sz="8" w:color="3C578C"/>
              <w:right w:val="single" w:sz="8" w:color="3C578C"/>
            </w:tcBorders>
            <w:shd w:val="clear" w:color="auto" w:fill="3C578C"/>
          </w:tcPr>
          <w:p>
            <w:pPr>
              <w:ind w:left="180"/>
              <w:spacing w:after="0"/>
              <w:rPr>
                <w:sz w:val="20"/>
                <w:szCs w:val="20"/>
                <w:color w:val="auto"/>
              </w:rPr>
            </w:pPr>
            <w:r>
              <w:rPr>
                <w:rFonts w:ascii="Arial" w:cs="Arial" w:eastAsia="Arial" w:hAnsi="Arial"/>
                <w:sz w:val="17"/>
                <w:szCs w:val="17"/>
                <w:b w:val="1"/>
                <w:bCs w:val="1"/>
                <w:color w:val="FFFFFF"/>
              </w:rPr>
              <w:t>3</w:t>
            </w:r>
          </w:p>
        </w:tc>
        <w:tc>
          <w:tcPr>
            <w:tcW w:w="860" w:type="dxa"/>
            <w:vAlign w:val="bottom"/>
            <w:tcBorders>
              <w:bottom w:val="single" w:sz="8" w:color="F3F8FB"/>
            </w:tcBorders>
            <w:shd w:val="clear" w:color="auto" w:fill="F3F8FB"/>
          </w:tcPr>
          <w:p>
            <w:pPr>
              <w:spacing w:after="0"/>
              <w:rPr>
                <w:sz w:val="22"/>
                <w:szCs w:val="22"/>
                <w:color w:val="auto"/>
              </w:rPr>
            </w:pPr>
          </w:p>
        </w:tc>
        <w:tc>
          <w:tcPr>
            <w:tcW w:w="1240" w:type="dxa"/>
            <w:vAlign w:val="bottom"/>
            <w:tcBorders>
              <w:bottom w:val="single" w:sz="8" w:color="F3F8FB"/>
            </w:tcBorders>
            <w:shd w:val="clear" w:color="auto" w:fill="F3F8FB"/>
          </w:tcPr>
          <w:p>
            <w:pPr>
              <w:spacing w:after="0"/>
              <w:rPr>
                <w:sz w:val="22"/>
                <w:szCs w:val="22"/>
                <w:color w:val="auto"/>
              </w:rPr>
            </w:pPr>
          </w:p>
        </w:tc>
        <w:tc>
          <w:tcPr>
            <w:tcW w:w="220" w:type="dxa"/>
            <w:vAlign w:val="bottom"/>
            <w:tcBorders>
              <w:bottom w:val="single" w:sz="8" w:color="F3F8FB"/>
            </w:tcBorders>
            <w:shd w:val="clear" w:color="auto" w:fill="F3F8FB"/>
          </w:tcPr>
          <w:p>
            <w:pPr>
              <w:spacing w:after="0"/>
              <w:rPr>
                <w:sz w:val="22"/>
                <w:szCs w:val="22"/>
                <w:color w:val="auto"/>
              </w:rPr>
            </w:pPr>
          </w:p>
        </w:tc>
        <w:tc>
          <w:tcPr>
            <w:tcW w:w="80" w:type="dxa"/>
            <w:vAlign w:val="bottom"/>
            <w:tcBorders>
              <w:bottom w:val="single" w:sz="8" w:color="F3F8FB"/>
            </w:tcBorders>
            <w:shd w:val="clear" w:color="auto" w:fill="F3F8FB"/>
          </w:tcPr>
          <w:p>
            <w:pPr>
              <w:spacing w:after="0"/>
              <w:rPr>
                <w:sz w:val="22"/>
                <w:szCs w:val="22"/>
                <w:color w:val="auto"/>
              </w:rPr>
            </w:pPr>
          </w:p>
        </w:tc>
        <w:tc>
          <w:tcPr>
            <w:tcW w:w="400" w:type="dxa"/>
            <w:vAlign w:val="bottom"/>
            <w:tcBorders>
              <w:bottom w:val="single" w:sz="8" w:color="F3F8FB"/>
              <w:right w:val="single" w:sz="8" w:color="F3F8FB"/>
            </w:tcBorders>
            <w:shd w:val="clear" w:color="auto" w:fill="F3F8FB"/>
          </w:tcPr>
          <w:p>
            <w:pPr>
              <w:spacing w:after="0"/>
              <w:rPr>
                <w:sz w:val="22"/>
                <w:szCs w:val="22"/>
                <w:color w:val="auto"/>
              </w:rPr>
            </w:pPr>
          </w:p>
        </w:tc>
        <w:tc>
          <w:tcPr>
            <w:tcW w:w="140" w:type="dxa"/>
            <w:vAlign w:val="bottom"/>
            <w:tcBorders>
              <w:bottom w:val="single" w:sz="8" w:color="F3F8FB"/>
            </w:tcBorders>
            <w:shd w:val="clear" w:color="auto" w:fill="F3F8FB"/>
          </w:tcPr>
          <w:p>
            <w:pPr>
              <w:spacing w:after="0"/>
              <w:rPr>
                <w:sz w:val="22"/>
                <w:szCs w:val="22"/>
                <w:color w:val="auto"/>
              </w:rPr>
            </w:pPr>
          </w:p>
        </w:tc>
        <w:tc>
          <w:tcPr>
            <w:tcW w:w="200" w:type="dxa"/>
            <w:vAlign w:val="bottom"/>
            <w:tcBorders>
              <w:bottom w:val="single" w:sz="8" w:color="F3F8FB"/>
            </w:tcBorders>
            <w:shd w:val="clear" w:color="auto" w:fill="F3F8FB"/>
          </w:tcPr>
          <w:p>
            <w:pPr>
              <w:spacing w:after="0"/>
              <w:rPr>
                <w:sz w:val="22"/>
                <w:szCs w:val="22"/>
                <w:color w:val="auto"/>
              </w:rPr>
            </w:pPr>
          </w:p>
        </w:tc>
        <w:tc>
          <w:tcPr>
            <w:tcW w:w="400" w:type="dxa"/>
            <w:vAlign w:val="bottom"/>
            <w:tcBorders>
              <w:bottom w:val="single" w:sz="8" w:color="F3F8FB"/>
            </w:tcBorders>
            <w:shd w:val="clear" w:color="auto" w:fill="F3F8FB"/>
          </w:tcPr>
          <w:p>
            <w:pPr>
              <w:spacing w:after="0"/>
              <w:rPr>
                <w:sz w:val="22"/>
                <w:szCs w:val="22"/>
                <w:color w:val="auto"/>
              </w:rPr>
            </w:pPr>
          </w:p>
        </w:tc>
        <w:tc>
          <w:tcPr>
            <w:tcW w:w="860" w:type="dxa"/>
            <w:vAlign w:val="bottom"/>
            <w:tcBorders>
              <w:bottom w:val="single" w:sz="8" w:color="F3F8FB"/>
            </w:tcBorders>
            <w:shd w:val="clear" w:color="auto" w:fill="F3F8FB"/>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3C578C"/>
            </w:tcBorders>
            <w:shd w:val="clear" w:color="auto" w:fill="3C578C"/>
          </w:tcPr>
          <w:p>
            <w:pPr>
              <w:jc w:val="right"/>
              <w:ind w:right="102"/>
              <w:spacing w:after="0"/>
              <w:rPr>
                <w:sz w:val="20"/>
                <w:szCs w:val="20"/>
                <w:color w:val="auto"/>
              </w:rPr>
            </w:pPr>
            <w:r>
              <w:rPr>
                <w:rFonts w:ascii="Arial" w:cs="Arial" w:eastAsia="Arial" w:hAnsi="Arial"/>
                <w:sz w:val="17"/>
                <w:szCs w:val="17"/>
                <w:b w:val="1"/>
                <w:bCs w:val="1"/>
                <w:color w:val="FFFFFF"/>
              </w:rPr>
              <w:t>4</w:t>
            </w:r>
          </w:p>
        </w:tc>
        <w:tc>
          <w:tcPr>
            <w:tcW w:w="900" w:type="dxa"/>
            <w:vAlign w:val="bottom"/>
            <w:tcBorders>
              <w:bottom w:val="single" w:sz="8" w:color="F3F8FB"/>
            </w:tcBorders>
            <w:shd w:val="clear" w:color="auto" w:fill="F3F8FB"/>
          </w:tcPr>
          <w:p>
            <w:pPr>
              <w:spacing w:after="0"/>
              <w:rPr>
                <w:sz w:val="22"/>
                <w:szCs w:val="22"/>
                <w:color w:val="auto"/>
              </w:rPr>
            </w:pPr>
          </w:p>
        </w:tc>
        <w:tc>
          <w:tcPr>
            <w:tcW w:w="220" w:type="dxa"/>
            <w:vAlign w:val="bottom"/>
            <w:tcBorders>
              <w:bottom w:val="single" w:sz="8" w:color="F3F8FB"/>
            </w:tcBorders>
            <w:shd w:val="clear" w:color="auto" w:fill="F3F8FB"/>
          </w:tcPr>
          <w:p>
            <w:pPr>
              <w:spacing w:after="0"/>
              <w:rPr>
                <w:sz w:val="22"/>
                <w:szCs w:val="22"/>
                <w:color w:val="auto"/>
              </w:rPr>
            </w:pPr>
          </w:p>
        </w:tc>
        <w:tc>
          <w:tcPr>
            <w:tcW w:w="1240" w:type="dxa"/>
            <w:vAlign w:val="bottom"/>
            <w:tcBorders>
              <w:bottom w:val="single" w:sz="8" w:color="F3F8FB"/>
            </w:tcBorders>
            <w:shd w:val="clear" w:color="auto" w:fill="F3F8FB"/>
          </w:tcPr>
          <w:p>
            <w:pPr>
              <w:spacing w:after="0"/>
              <w:rPr>
                <w:sz w:val="22"/>
                <w:szCs w:val="22"/>
                <w:color w:val="auto"/>
              </w:rPr>
            </w:pPr>
          </w:p>
        </w:tc>
        <w:tc>
          <w:tcPr>
            <w:tcW w:w="2060" w:type="dxa"/>
            <w:vAlign w:val="bottom"/>
            <w:tcBorders>
              <w:bottom w:val="single" w:sz="8" w:color="F3F8FB"/>
            </w:tcBorders>
            <w:shd w:val="clear" w:color="auto" w:fill="F3F8FB"/>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840" w:type="dxa"/>
            <w:vAlign w:val="bottom"/>
            <w:gridSpan w:val="10"/>
            <w:shd w:val="clear" w:color="auto" w:fill="F3F8FB"/>
          </w:tcPr>
          <w:p>
            <w:pPr>
              <w:jc w:val="center"/>
              <w:spacing w:after="0"/>
              <w:rPr>
                <w:sz w:val="20"/>
                <w:szCs w:val="20"/>
                <w:color w:val="auto"/>
              </w:rPr>
            </w:pPr>
            <w:r>
              <w:rPr>
                <w:rFonts w:ascii="Arial" w:cs="Arial" w:eastAsia="Arial" w:hAnsi="Arial"/>
                <w:sz w:val="15"/>
                <w:szCs w:val="15"/>
                <w:color w:val="auto"/>
              </w:rPr>
              <w:t>Performance-based restricted stock units (“PRSUs”) that were</w:t>
            </w:r>
          </w:p>
        </w:tc>
        <w:tc>
          <w:tcPr>
            <w:tcW w:w="220" w:type="dxa"/>
            <w:vAlign w:val="bottom"/>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4420" w:type="dxa"/>
            <w:vAlign w:val="bottom"/>
            <w:gridSpan w:val="4"/>
            <w:shd w:val="clear" w:color="auto" w:fill="F3F8FB"/>
          </w:tcPr>
          <w:p>
            <w:pPr>
              <w:jc w:val="center"/>
              <w:ind w:right="320"/>
              <w:spacing w:after="0"/>
              <w:rPr>
                <w:sz w:val="20"/>
                <w:szCs w:val="20"/>
                <w:color w:val="auto"/>
              </w:rPr>
            </w:pPr>
            <w:r>
              <w:rPr>
                <w:rFonts w:ascii="Arial" w:cs="Arial" w:eastAsia="Arial" w:hAnsi="Arial"/>
                <w:sz w:val="15"/>
                <w:szCs w:val="15"/>
                <w:color w:val="auto"/>
              </w:rPr>
              <w:t>Our Compensation Committee has engaged an independent</w:t>
            </w:r>
          </w:p>
        </w:tc>
        <w:tc>
          <w:tcPr>
            <w:tcW w:w="0" w:type="dxa"/>
            <w:vAlign w:val="bottom"/>
          </w:tcPr>
          <w:p>
            <w:pPr>
              <w:spacing w:after="0"/>
              <w:rPr>
                <w:sz w:val="1"/>
                <w:szCs w:val="1"/>
                <w:color w:val="auto"/>
              </w:rPr>
            </w:pPr>
          </w:p>
        </w:tc>
      </w:tr>
      <w:tr>
        <w:trPr>
          <w:trHeight w:val="175"/>
        </w:trPr>
        <w:tc>
          <w:tcPr>
            <w:tcW w:w="4840" w:type="dxa"/>
            <w:vAlign w:val="bottom"/>
            <w:gridSpan w:val="10"/>
            <w:shd w:val="clear" w:color="auto" w:fill="F3F8FB"/>
          </w:tcPr>
          <w:p>
            <w:pPr>
              <w:jc w:val="center"/>
              <w:spacing w:after="0"/>
              <w:rPr>
                <w:sz w:val="20"/>
                <w:szCs w:val="20"/>
                <w:color w:val="auto"/>
              </w:rPr>
            </w:pPr>
            <w:r>
              <w:rPr>
                <w:rFonts w:ascii="Arial" w:cs="Arial" w:eastAsia="Arial" w:hAnsi="Arial"/>
                <w:sz w:val="15"/>
                <w:szCs w:val="15"/>
                <w:color w:val="auto"/>
              </w:rPr>
              <w:t>granted in 2024 under our long-term equity incentive program require</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gridSpan w:val="4"/>
            <w:shd w:val="clear" w:color="auto" w:fill="F3F8FB"/>
          </w:tcPr>
          <w:p>
            <w:pPr>
              <w:jc w:val="center"/>
              <w:ind w:right="300"/>
              <w:spacing w:after="0"/>
              <w:rPr>
                <w:sz w:val="20"/>
                <w:szCs w:val="20"/>
                <w:color w:val="auto"/>
              </w:rPr>
            </w:pPr>
            <w:r>
              <w:rPr>
                <w:rFonts w:ascii="Arial" w:cs="Arial" w:eastAsia="Arial" w:hAnsi="Arial"/>
                <w:sz w:val="15"/>
                <w:szCs w:val="15"/>
                <w:color w:val="auto"/>
              </w:rPr>
              <w:t>executive compensation consultant to provide advice on</w:t>
            </w:r>
          </w:p>
        </w:tc>
        <w:tc>
          <w:tcPr>
            <w:tcW w:w="0" w:type="dxa"/>
            <w:vAlign w:val="bottom"/>
          </w:tcPr>
          <w:p>
            <w:pPr>
              <w:spacing w:after="0"/>
              <w:rPr>
                <w:sz w:val="1"/>
                <w:szCs w:val="1"/>
                <w:color w:val="auto"/>
              </w:rPr>
            </w:pPr>
          </w:p>
        </w:tc>
      </w:tr>
      <w:tr>
        <w:trPr>
          <w:trHeight w:val="175"/>
        </w:trPr>
        <w:tc>
          <w:tcPr>
            <w:tcW w:w="4840" w:type="dxa"/>
            <w:vAlign w:val="bottom"/>
            <w:gridSpan w:val="10"/>
            <w:shd w:val="clear" w:color="auto" w:fill="F3F8FB"/>
          </w:tcPr>
          <w:p>
            <w:pPr>
              <w:ind w:left="160"/>
              <w:spacing w:after="0"/>
              <w:rPr>
                <w:sz w:val="20"/>
                <w:szCs w:val="20"/>
                <w:color w:val="auto"/>
              </w:rPr>
            </w:pPr>
            <w:r>
              <w:rPr>
                <w:rFonts w:ascii="Arial" w:cs="Arial" w:eastAsia="Arial" w:hAnsi="Arial"/>
                <w:sz w:val="15"/>
                <w:szCs w:val="15"/>
                <w:color w:val="auto"/>
              </w:rPr>
              <w:t>attainment of relative total shareholder return (“Relative TSR”) goals</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gridSpan w:val="4"/>
            <w:shd w:val="clear" w:color="auto" w:fill="F3F8FB"/>
          </w:tcPr>
          <w:p>
            <w:pPr>
              <w:jc w:val="center"/>
              <w:ind w:right="300"/>
              <w:spacing w:after="0"/>
              <w:rPr>
                <w:sz w:val="20"/>
                <w:szCs w:val="20"/>
                <w:color w:val="auto"/>
              </w:rPr>
            </w:pPr>
            <w:r>
              <w:rPr>
                <w:rFonts w:ascii="Arial" w:cs="Arial" w:eastAsia="Arial" w:hAnsi="Arial"/>
                <w:sz w:val="15"/>
                <w:szCs w:val="15"/>
                <w:color w:val="auto"/>
                <w:w w:val="99"/>
              </w:rPr>
              <w:t>compensation matters. In 2024, we engaged our independent</w:t>
            </w:r>
          </w:p>
        </w:tc>
        <w:tc>
          <w:tcPr>
            <w:tcW w:w="0" w:type="dxa"/>
            <w:vAlign w:val="bottom"/>
          </w:tcPr>
          <w:p>
            <w:pPr>
              <w:spacing w:after="0"/>
              <w:rPr>
                <w:sz w:val="1"/>
                <w:szCs w:val="1"/>
                <w:color w:val="auto"/>
              </w:rPr>
            </w:pPr>
          </w:p>
        </w:tc>
      </w:tr>
      <w:tr>
        <w:trPr>
          <w:trHeight w:val="175"/>
        </w:trPr>
        <w:tc>
          <w:tcPr>
            <w:tcW w:w="4840" w:type="dxa"/>
            <w:vAlign w:val="bottom"/>
            <w:gridSpan w:val="10"/>
            <w:shd w:val="clear" w:color="auto" w:fill="F3F8FB"/>
          </w:tcPr>
          <w:p>
            <w:pPr>
              <w:ind w:left="200"/>
              <w:spacing w:after="0"/>
              <w:rPr>
                <w:sz w:val="20"/>
                <w:szCs w:val="20"/>
                <w:color w:val="auto"/>
              </w:rPr>
            </w:pPr>
            <w:r>
              <w:rPr>
                <w:rFonts w:ascii="Arial" w:cs="Arial" w:eastAsia="Arial" w:hAnsi="Arial"/>
                <w:sz w:val="15"/>
                <w:szCs w:val="15"/>
                <w:color w:val="auto"/>
              </w:rPr>
              <w:t>during the 2024-2026 performance period for a specific percentage</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gridSpan w:val="4"/>
            <w:shd w:val="clear" w:color="auto" w:fill="F3F8FB"/>
          </w:tcPr>
          <w:p>
            <w:pPr>
              <w:jc w:val="center"/>
              <w:ind w:right="320"/>
              <w:spacing w:after="0"/>
              <w:rPr>
                <w:sz w:val="20"/>
                <w:szCs w:val="20"/>
                <w:color w:val="auto"/>
              </w:rPr>
            </w:pPr>
            <w:r>
              <w:rPr>
                <w:rFonts w:ascii="Arial" w:cs="Arial" w:eastAsia="Arial" w:hAnsi="Arial"/>
                <w:sz w:val="15"/>
                <w:szCs w:val="15"/>
                <w:color w:val="auto"/>
              </w:rPr>
              <w:t>compensation consultant to conduct a market analysis of the</w:t>
            </w:r>
          </w:p>
        </w:tc>
        <w:tc>
          <w:tcPr>
            <w:tcW w:w="0" w:type="dxa"/>
            <w:vAlign w:val="bottom"/>
          </w:tcPr>
          <w:p>
            <w:pPr>
              <w:spacing w:after="0"/>
              <w:rPr>
                <w:sz w:val="1"/>
                <w:szCs w:val="1"/>
                <w:color w:val="auto"/>
              </w:rPr>
            </w:pPr>
          </w:p>
        </w:tc>
      </w:tr>
      <w:tr>
        <w:trPr>
          <w:trHeight w:val="175"/>
        </w:trPr>
        <w:tc>
          <w:tcPr>
            <w:tcW w:w="4840" w:type="dxa"/>
            <w:vAlign w:val="bottom"/>
            <w:gridSpan w:val="10"/>
            <w:shd w:val="clear" w:color="auto" w:fill="F3F8FB"/>
          </w:tcPr>
          <w:p>
            <w:pPr>
              <w:jc w:val="center"/>
              <w:spacing w:after="0"/>
              <w:rPr>
                <w:sz w:val="20"/>
                <w:szCs w:val="20"/>
                <w:color w:val="auto"/>
              </w:rPr>
            </w:pPr>
            <w:r>
              <w:rPr>
                <w:rFonts w:ascii="Arial" w:cs="Arial" w:eastAsia="Arial" w:hAnsi="Arial"/>
                <w:sz w:val="15"/>
                <w:szCs w:val="15"/>
                <w:color w:val="auto"/>
                <w:w w:val="99"/>
              </w:rPr>
              <w:t>of those PRSUs to vest. We also granted time-based restricted stock</w:t>
            </w:r>
          </w:p>
        </w:tc>
        <w:tc>
          <w:tcPr>
            <w:tcW w:w="220" w:type="dxa"/>
            <w:vAlign w:val="bottom"/>
          </w:tcPr>
          <w:p>
            <w:pPr>
              <w:spacing w:after="0"/>
              <w:rPr>
                <w:sz w:val="15"/>
                <w:szCs w:val="15"/>
                <w:color w:val="auto"/>
              </w:rPr>
            </w:pPr>
          </w:p>
        </w:tc>
        <w:tc>
          <w:tcPr>
            <w:tcW w:w="4860" w:type="dxa"/>
            <w:vAlign w:val="bottom"/>
            <w:gridSpan w:val="5"/>
            <w:shd w:val="clear" w:color="auto" w:fill="F3F8FB"/>
          </w:tcPr>
          <w:p>
            <w:pPr>
              <w:jc w:val="center"/>
              <w:ind w:left="62"/>
              <w:spacing w:after="0"/>
              <w:rPr>
                <w:sz w:val="20"/>
                <w:szCs w:val="20"/>
                <w:color w:val="auto"/>
              </w:rPr>
            </w:pPr>
            <w:r>
              <w:rPr>
                <w:rFonts w:ascii="Arial" w:cs="Arial" w:eastAsia="Arial" w:hAnsi="Arial"/>
                <w:sz w:val="15"/>
                <w:szCs w:val="15"/>
                <w:color w:val="auto"/>
                <w:w w:val="99"/>
              </w:rPr>
              <w:t>compensation of all our executive officers and the Board members</w:t>
            </w:r>
          </w:p>
        </w:tc>
        <w:tc>
          <w:tcPr>
            <w:tcW w:w="0" w:type="dxa"/>
            <w:vAlign w:val="bottom"/>
          </w:tcPr>
          <w:p>
            <w:pPr>
              <w:spacing w:after="0"/>
              <w:rPr>
                <w:sz w:val="1"/>
                <w:szCs w:val="1"/>
                <w:color w:val="auto"/>
              </w:rPr>
            </w:pPr>
          </w:p>
        </w:tc>
      </w:tr>
      <w:tr>
        <w:trPr>
          <w:trHeight w:val="175"/>
        </w:trPr>
        <w:tc>
          <w:tcPr>
            <w:tcW w:w="4840" w:type="dxa"/>
            <w:vAlign w:val="bottom"/>
            <w:gridSpan w:val="10"/>
            <w:shd w:val="clear" w:color="auto" w:fill="F3F8FB"/>
          </w:tcPr>
          <w:p>
            <w:pPr>
              <w:ind w:left="180"/>
              <w:spacing w:after="0"/>
              <w:rPr>
                <w:sz w:val="20"/>
                <w:szCs w:val="20"/>
                <w:color w:val="auto"/>
              </w:rPr>
            </w:pPr>
            <w:r>
              <w:rPr>
                <w:rFonts w:ascii="Arial" w:cs="Arial" w:eastAsia="Arial" w:hAnsi="Arial"/>
                <w:sz w:val="15"/>
                <w:szCs w:val="15"/>
                <w:color w:val="auto"/>
              </w:rPr>
              <w:t>units (“RSUs”) in 2024 to our NEOs. These RSUs have a three-year</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gridSpan w:val="4"/>
            <w:shd w:val="clear" w:color="auto" w:fill="F3F8FB"/>
          </w:tcPr>
          <w:p>
            <w:pPr>
              <w:jc w:val="center"/>
              <w:ind w:right="320"/>
              <w:spacing w:after="0"/>
              <w:rPr>
                <w:sz w:val="20"/>
                <w:szCs w:val="20"/>
                <w:color w:val="auto"/>
              </w:rPr>
            </w:pPr>
            <w:r>
              <w:rPr>
                <w:rFonts w:ascii="Arial" w:cs="Arial" w:eastAsia="Arial" w:hAnsi="Arial"/>
                <w:sz w:val="15"/>
                <w:szCs w:val="15"/>
                <w:color w:val="auto"/>
              </w:rPr>
              <w:t>against the general market and our peer group.</w:t>
            </w:r>
          </w:p>
        </w:tc>
        <w:tc>
          <w:tcPr>
            <w:tcW w:w="0" w:type="dxa"/>
            <w:vAlign w:val="bottom"/>
          </w:tcPr>
          <w:p>
            <w:pPr>
              <w:spacing w:after="0"/>
              <w:rPr>
                <w:sz w:val="1"/>
                <w:szCs w:val="1"/>
                <w:color w:val="auto"/>
              </w:rPr>
            </w:pPr>
          </w:p>
        </w:tc>
      </w:tr>
      <w:tr>
        <w:trPr>
          <w:trHeight w:val="198"/>
        </w:trPr>
        <w:tc>
          <w:tcPr>
            <w:tcW w:w="4840" w:type="dxa"/>
            <w:vAlign w:val="bottom"/>
            <w:gridSpan w:val="10"/>
            <w:shd w:val="clear" w:color="auto" w:fill="F3F8FB"/>
          </w:tcPr>
          <w:p>
            <w:pPr>
              <w:ind w:left="160"/>
              <w:spacing w:after="0"/>
              <w:rPr>
                <w:sz w:val="20"/>
                <w:szCs w:val="20"/>
                <w:color w:val="auto"/>
              </w:rPr>
            </w:pPr>
            <w:r>
              <w:rPr>
                <w:rFonts w:ascii="Arial" w:cs="Arial" w:eastAsia="Arial" w:hAnsi="Arial"/>
                <w:sz w:val="15"/>
                <w:szCs w:val="15"/>
                <w:color w:val="auto"/>
              </w:rPr>
              <w:t>vesting period, with 33% vesting annually on each anniversary date.</w:t>
            </w:r>
          </w:p>
        </w:tc>
        <w:tc>
          <w:tcPr>
            <w:tcW w:w="220" w:type="dxa"/>
            <w:vAlign w:val="bottom"/>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900" w:type="dxa"/>
            <w:vAlign w:val="bottom"/>
            <w:shd w:val="clear" w:color="auto" w:fill="F3F8FB"/>
          </w:tcPr>
          <w:p>
            <w:pPr>
              <w:spacing w:after="0"/>
              <w:rPr>
                <w:sz w:val="17"/>
                <w:szCs w:val="17"/>
                <w:color w:val="auto"/>
              </w:rPr>
            </w:pPr>
          </w:p>
        </w:tc>
        <w:tc>
          <w:tcPr>
            <w:tcW w:w="220" w:type="dxa"/>
            <w:vAlign w:val="bottom"/>
            <w:shd w:val="clear" w:color="auto" w:fill="F3F8FB"/>
          </w:tcPr>
          <w:p>
            <w:pPr>
              <w:spacing w:after="0"/>
              <w:rPr>
                <w:sz w:val="17"/>
                <w:szCs w:val="17"/>
                <w:color w:val="auto"/>
              </w:rPr>
            </w:pPr>
          </w:p>
        </w:tc>
        <w:tc>
          <w:tcPr>
            <w:tcW w:w="1240" w:type="dxa"/>
            <w:vAlign w:val="bottom"/>
            <w:shd w:val="clear" w:color="auto" w:fill="F3F8FB"/>
          </w:tcPr>
          <w:p>
            <w:pPr>
              <w:spacing w:after="0"/>
              <w:rPr>
                <w:sz w:val="17"/>
                <w:szCs w:val="17"/>
                <w:color w:val="auto"/>
              </w:rPr>
            </w:pPr>
          </w:p>
        </w:tc>
        <w:tc>
          <w:tcPr>
            <w:tcW w:w="2060" w:type="dxa"/>
            <w:vAlign w:val="bottom"/>
            <w:shd w:val="clear" w:color="auto" w:fill="F3F8F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Borders>
              <w:right w:val="single" w:sz="8" w:color="F3F8FB"/>
            </w:tcBorders>
            <w:shd w:val="clear" w:color="auto" w:fill="F3F8FB"/>
          </w:tcPr>
          <w:p>
            <w:pPr>
              <w:spacing w:after="0"/>
              <w:rPr>
                <w:sz w:val="16"/>
                <w:szCs w:val="16"/>
                <w:color w:val="auto"/>
              </w:rPr>
            </w:pPr>
          </w:p>
        </w:tc>
        <w:tc>
          <w:tcPr>
            <w:tcW w:w="860" w:type="dxa"/>
            <w:vAlign w:val="bottom"/>
            <w:shd w:val="clear" w:color="auto" w:fill="F3F8FB"/>
          </w:tcPr>
          <w:p>
            <w:pPr>
              <w:spacing w:after="0"/>
              <w:rPr>
                <w:sz w:val="16"/>
                <w:szCs w:val="16"/>
                <w:color w:val="auto"/>
              </w:rPr>
            </w:pPr>
          </w:p>
        </w:tc>
        <w:tc>
          <w:tcPr>
            <w:tcW w:w="1240" w:type="dxa"/>
            <w:vAlign w:val="bottom"/>
            <w:shd w:val="clear" w:color="auto" w:fill="F3F8FB"/>
          </w:tcPr>
          <w:p>
            <w:pPr>
              <w:spacing w:after="0"/>
              <w:rPr>
                <w:sz w:val="16"/>
                <w:szCs w:val="16"/>
                <w:color w:val="auto"/>
              </w:rPr>
            </w:pPr>
          </w:p>
        </w:tc>
        <w:tc>
          <w:tcPr>
            <w:tcW w:w="220" w:type="dxa"/>
            <w:vAlign w:val="bottom"/>
            <w:shd w:val="clear" w:color="auto" w:fill="F3F8FB"/>
          </w:tcPr>
          <w:p>
            <w:pPr>
              <w:spacing w:after="0"/>
              <w:rPr>
                <w:sz w:val="16"/>
                <w:szCs w:val="16"/>
                <w:color w:val="auto"/>
              </w:rPr>
            </w:pPr>
          </w:p>
        </w:tc>
        <w:tc>
          <w:tcPr>
            <w:tcW w:w="80" w:type="dxa"/>
            <w:vAlign w:val="bottom"/>
            <w:shd w:val="clear" w:color="auto" w:fill="F3F8FB"/>
          </w:tcPr>
          <w:p>
            <w:pPr>
              <w:spacing w:after="0"/>
              <w:rPr>
                <w:sz w:val="16"/>
                <w:szCs w:val="16"/>
                <w:color w:val="auto"/>
              </w:rPr>
            </w:pPr>
          </w:p>
        </w:tc>
        <w:tc>
          <w:tcPr>
            <w:tcW w:w="400" w:type="dxa"/>
            <w:vAlign w:val="bottom"/>
            <w:tcBorders>
              <w:right w:val="single" w:sz="8" w:color="F3F8FB"/>
            </w:tcBorders>
            <w:shd w:val="clear" w:color="auto" w:fill="F3F8FB"/>
          </w:tcPr>
          <w:p>
            <w:pPr>
              <w:spacing w:after="0"/>
              <w:rPr>
                <w:sz w:val="16"/>
                <w:szCs w:val="16"/>
                <w:color w:val="auto"/>
              </w:rPr>
            </w:pPr>
          </w:p>
        </w:tc>
        <w:tc>
          <w:tcPr>
            <w:tcW w:w="140" w:type="dxa"/>
            <w:vAlign w:val="bottom"/>
            <w:shd w:val="clear" w:color="auto" w:fill="F3F8FB"/>
          </w:tcPr>
          <w:p>
            <w:pPr>
              <w:spacing w:after="0"/>
              <w:rPr>
                <w:sz w:val="16"/>
                <w:szCs w:val="16"/>
                <w:color w:val="auto"/>
              </w:rPr>
            </w:pPr>
          </w:p>
        </w:tc>
        <w:tc>
          <w:tcPr>
            <w:tcW w:w="200" w:type="dxa"/>
            <w:vAlign w:val="bottom"/>
            <w:shd w:val="clear" w:color="auto" w:fill="F3F8FB"/>
          </w:tcPr>
          <w:p>
            <w:pPr>
              <w:spacing w:after="0"/>
              <w:rPr>
                <w:sz w:val="16"/>
                <w:szCs w:val="16"/>
                <w:color w:val="auto"/>
              </w:rPr>
            </w:pPr>
          </w:p>
        </w:tc>
        <w:tc>
          <w:tcPr>
            <w:tcW w:w="400" w:type="dxa"/>
            <w:vAlign w:val="bottom"/>
            <w:shd w:val="clear" w:color="auto" w:fill="F3F8FB"/>
          </w:tcPr>
          <w:p>
            <w:pPr>
              <w:spacing w:after="0"/>
              <w:rPr>
                <w:sz w:val="16"/>
                <w:szCs w:val="16"/>
                <w:color w:val="auto"/>
              </w:rPr>
            </w:pPr>
          </w:p>
        </w:tc>
        <w:tc>
          <w:tcPr>
            <w:tcW w:w="860" w:type="dxa"/>
            <w:vAlign w:val="bottom"/>
            <w:shd w:val="clear" w:color="auto" w:fill="F3F8FB"/>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shd w:val="clear" w:color="auto" w:fill="F3F8FB"/>
          </w:tcPr>
          <w:p>
            <w:pPr>
              <w:spacing w:after="0"/>
              <w:rPr>
                <w:sz w:val="16"/>
                <w:szCs w:val="16"/>
                <w:color w:val="auto"/>
              </w:rPr>
            </w:pPr>
          </w:p>
        </w:tc>
        <w:tc>
          <w:tcPr>
            <w:tcW w:w="900" w:type="dxa"/>
            <w:vAlign w:val="bottom"/>
            <w:shd w:val="clear" w:color="auto" w:fill="F3F8FB"/>
          </w:tcPr>
          <w:p>
            <w:pPr>
              <w:spacing w:after="0"/>
              <w:rPr>
                <w:sz w:val="16"/>
                <w:szCs w:val="16"/>
                <w:color w:val="auto"/>
              </w:rPr>
            </w:pPr>
          </w:p>
        </w:tc>
        <w:tc>
          <w:tcPr>
            <w:tcW w:w="220" w:type="dxa"/>
            <w:vAlign w:val="bottom"/>
            <w:shd w:val="clear" w:color="auto" w:fill="F3F8FB"/>
          </w:tcPr>
          <w:p>
            <w:pPr>
              <w:spacing w:after="0"/>
              <w:rPr>
                <w:sz w:val="16"/>
                <w:szCs w:val="16"/>
                <w:color w:val="auto"/>
              </w:rPr>
            </w:pPr>
          </w:p>
        </w:tc>
        <w:tc>
          <w:tcPr>
            <w:tcW w:w="1240" w:type="dxa"/>
            <w:vAlign w:val="bottom"/>
            <w:shd w:val="clear" w:color="auto" w:fill="F3F8FB"/>
          </w:tcPr>
          <w:p>
            <w:pPr>
              <w:spacing w:after="0"/>
              <w:rPr>
                <w:sz w:val="16"/>
                <w:szCs w:val="16"/>
                <w:color w:val="auto"/>
              </w:rPr>
            </w:pPr>
          </w:p>
        </w:tc>
        <w:tc>
          <w:tcPr>
            <w:tcW w:w="2060" w:type="dxa"/>
            <w:vAlign w:val="bottom"/>
            <w:shd w:val="clear" w:color="auto" w:fill="F3F8FB"/>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4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1240" w:type="dxa"/>
            <w:vAlign w:val="bottom"/>
            <w:tcBorders>
              <w:bottom w:val="single" w:sz="8" w:color="3C578C"/>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3C578C"/>
            </w:tcBorders>
          </w:tcPr>
          <w:p>
            <w:pPr>
              <w:spacing w:after="0"/>
              <w:rPr>
                <w:sz w:val="10"/>
                <w:szCs w:val="10"/>
                <w:color w:val="auto"/>
              </w:rPr>
            </w:pPr>
          </w:p>
        </w:tc>
        <w:tc>
          <w:tcPr>
            <w:tcW w:w="400" w:type="dxa"/>
            <w:vAlign w:val="bottom"/>
            <w:tcBorders>
              <w:bottom w:val="single" w:sz="8" w:color="3C578C"/>
            </w:tcBorders>
          </w:tcPr>
          <w:p>
            <w:pPr>
              <w:spacing w:after="0"/>
              <w:rPr>
                <w:sz w:val="10"/>
                <w:szCs w:val="10"/>
                <w:color w:val="auto"/>
              </w:rPr>
            </w:pPr>
          </w:p>
        </w:tc>
        <w:tc>
          <w:tcPr>
            <w:tcW w:w="140" w:type="dxa"/>
            <w:vAlign w:val="bottom"/>
            <w:tcBorders>
              <w:bottom w:val="single" w:sz="8" w:color="3C578C"/>
            </w:tcBorders>
          </w:tcPr>
          <w:p>
            <w:pPr>
              <w:spacing w:after="0"/>
              <w:rPr>
                <w:sz w:val="10"/>
                <w:szCs w:val="10"/>
                <w:color w:val="auto"/>
              </w:rPr>
            </w:pPr>
          </w:p>
        </w:tc>
        <w:tc>
          <w:tcPr>
            <w:tcW w:w="200" w:type="dxa"/>
            <w:vAlign w:val="bottom"/>
            <w:tcBorders>
              <w:bottom w:val="single" w:sz="8" w:color="3C578C"/>
            </w:tcBorders>
          </w:tcPr>
          <w:p>
            <w:pPr>
              <w:spacing w:after="0"/>
              <w:rPr>
                <w:sz w:val="10"/>
                <w:szCs w:val="10"/>
                <w:color w:val="auto"/>
              </w:rPr>
            </w:pPr>
          </w:p>
        </w:tc>
        <w:tc>
          <w:tcPr>
            <w:tcW w:w="40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220" w:type="dxa"/>
            <w:vAlign w:val="bottom"/>
            <w:tcBorders>
              <w:bottom w:val="single" w:sz="8" w:color="3C578C"/>
            </w:tcBorders>
          </w:tcPr>
          <w:p>
            <w:pPr>
              <w:spacing w:after="0"/>
              <w:rPr>
                <w:sz w:val="10"/>
                <w:szCs w:val="10"/>
                <w:color w:val="auto"/>
              </w:rPr>
            </w:pPr>
          </w:p>
        </w:tc>
        <w:tc>
          <w:tcPr>
            <w:tcW w:w="440" w:type="dxa"/>
            <w:vAlign w:val="bottom"/>
            <w:tcBorders>
              <w:bottom w:val="single" w:sz="8" w:color="3C578C"/>
            </w:tcBorders>
          </w:tcPr>
          <w:p>
            <w:pPr>
              <w:spacing w:after="0"/>
              <w:rPr>
                <w:sz w:val="10"/>
                <w:szCs w:val="10"/>
                <w:color w:val="auto"/>
              </w:rPr>
            </w:pPr>
          </w:p>
        </w:tc>
        <w:tc>
          <w:tcPr>
            <w:tcW w:w="900" w:type="dxa"/>
            <w:vAlign w:val="bottom"/>
            <w:tcBorders>
              <w:bottom w:val="single" w:sz="8" w:color="3C578C"/>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3C578C"/>
            </w:tcBorders>
          </w:tcPr>
          <w:p>
            <w:pPr>
              <w:spacing w:after="0"/>
              <w:rPr>
                <w:sz w:val="10"/>
                <w:szCs w:val="10"/>
                <w:color w:val="auto"/>
              </w:rPr>
            </w:pPr>
          </w:p>
        </w:tc>
        <w:tc>
          <w:tcPr>
            <w:tcW w:w="2060" w:type="dxa"/>
            <w:vAlign w:val="bottom"/>
            <w:tcBorders>
              <w:bottom w:val="single" w:sz="8" w:color="3C578C"/>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440" w:type="dxa"/>
            <w:vAlign w:val="bottom"/>
            <w:tcBorders>
              <w:right w:val="single" w:sz="8" w:color="3C578C"/>
            </w:tcBorders>
            <w:shd w:val="clear" w:color="auto" w:fill="3C578C"/>
          </w:tcPr>
          <w:p>
            <w:pPr>
              <w:ind w:left="160"/>
              <w:spacing w:after="0"/>
              <w:rPr>
                <w:sz w:val="20"/>
                <w:szCs w:val="20"/>
                <w:color w:val="auto"/>
              </w:rPr>
            </w:pPr>
            <w:r>
              <w:rPr>
                <w:rFonts w:ascii="Arial" w:cs="Arial" w:eastAsia="Arial" w:hAnsi="Arial"/>
                <w:sz w:val="17"/>
                <w:szCs w:val="17"/>
                <w:b w:val="1"/>
                <w:bCs w:val="1"/>
                <w:color w:val="FFFFFF"/>
              </w:rPr>
              <w:t>5</w:t>
            </w:r>
          </w:p>
        </w:tc>
        <w:tc>
          <w:tcPr>
            <w:tcW w:w="860" w:type="dxa"/>
            <w:vAlign w:val="bottom"/>
            <w:shd w:val="clear" w:color="auto" w:fill="F3F8FB"/>
          </w:tcPr>
          <w:p>
            <w:pPr>
              <w:spacing w:after="0"/>
              <w:rPr>
                <w:sz w:val="24"/>
                <w:szCs w:val="24"/>
                <w:color w:val="auto"/>
              </w:rPr>
            </w:pPr>
          </w:p>
        </w:tc>
        <w:tc>
          <w:tcPr>
            <w:tcW w:w="1240" w:type="dxa"/>
            <w:vAlign w:val="bottom"/>
            <w:shd w:val="clear" w:color="auto" w:fill="F3F8FB"/>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shd w:val="clear" w:color="auto" w:fill="3C578C"/>
          </w:tcPr>
          <w:p>
            <w:pPr>
              <w:spacing w:after="0"/>
              <w:rPr>
                <w:sz w:val="24"/>
                <w:szCs w:val="24"/>
                <w:color w:val="auto"/>
              </w:rPr>
            </w:pPr>
          </w:p>
        </w:tc>
        <w:tc>
          <w:tcPr>
            <w:tcW w:w="400" w:type="dxa"/>
            <w:vAlign w:val="bottom"/>
            <w:tcBorders>
              <w:right w:val="single" w:sz="8" w:color="F3F8FB"/>
            </w:tcBorders>
            <w:shd w:val="clear" w:color="auto" w:fill="3C578C"/>
          </w:tcPr>
          <w:p>
            <w:pPr>
              <w:jc w:val="right"/>
              <w:ind w:right="144"/>
              <w:spacing w:after="0"/>
              <w:rPr>
                <w:sz w:val="20"/>
                <w:szCs w:val="20"/>
                <w:color w:val="auto"/>
              </w:rPr>
            </w:pPr>
            <w:r>
              <w:rPr>
                <w:rFonts w:ascii="Arial" w:cs="Arial" w:eastAsia="Arial" w:hAnsi="Arial"/>
                <w:sz w:val="17"/>
                <w:szCs w:val="17"/>
                <w:b w:val="1"/>
                <w:bCs w:val="1"/>
                <w:color w:val="FFFFFF"/>
              </w:rPr>
              <w:t>6</w:t>
            </w:r>
          </w:p>
        </w:tc>
        <w:tc>
          <w:tcPr>
            <w:tcW w:w="140" w:type="dxa"/>
            <w:vAlign w:val="bottom"/>
            <w:shd w:val="clear" w:color="auto" w:fill="F3F8FB"/>
          </w:tcPr>
          <w:p>
            <w:pPr>
              <w:spacing w:after="0"/>
              <w:rPr>
                <w:sz w:val="24"/>
                <w:szCs w:val="24"/>
                <w:color w:val="auto"/>
              </w:rPr>
            </w:pPr>
          </w:p>
        </w:tc>
        <w:tc>
          <w:tcPr>
            <w:tcW w:w="200" w:type="dxa"/>
            <w:vAlign w:val="bottom"/>
            <w:shd w:val="clear" w:color="auto" w:fill="F3F8FB"/>
          </w:tcPr>
          <w:p>
            <w:pPr>
              <w:spacing w:after="0"/>
              <w:rPr>
                <w:sz w:val="24"/>
                <w:szCs w:val="24"/>
                <w:color w:val="auto"/>
              </w:rPr>
            </w:pPr>
          </w:p>
        </w:tc>
        <w:tc>
          <w:tcPr>
            <w:tcW w:w="400" w:type="dxa"/>
            <w:vAlign w:val="bottom"/>
            <w:shd w:val="clear" w:color="auto" w:fill="F3F8FB"/>
          </w:tcPr>
          <w:p>
            <w:pPr>
              <w:spacing w:after="0"/>
              <w:rPr>
                <w:sz w:val="24"/>
                <w:szCs w:val="24"/>
                <w:color w:val="auto"/>
              </w:rPr>
            </w:pPr>
          </w:p>
        </w:tc>
        <w:tc>
          <w:tcPr>
            <w:tcW w:w="860" w:type="dxa"/>
            <w:vAlign w:val="bottom"/>
            <w:shd w:val="clear" w:color="auto" w:fill="F3F8FB"/>
          </w:tcPr>
          <w:p>
            <w:pPr>
              <w:spacing w:after="0"/>
              <w:rPr>
                <w:sz w:val="24"/>
                <w:szCs w:val="24"/>
                <w:color w:val="auto"/>
              </w:rPr>
            </w:pPr>
          </w:p>
        </w:tc>
        <w:tc>
          <w:tcPr>
            <w:tcW w:w="220" w:type="dxa"/>
            <w:vAlign w:val="bottom"/>
            <w:shd w:val="clear" w:color="auto" w:fill="F3F8FB"/>
          </w:tcPr>
          <w:p>
            <w:pPr>
              <w:spacing w:after="0"/>
              <w:rPr>
                <w:sz w:val="24"/>
                <w:szCs w:val="24"/>
                <w:color w:val="auto"/>
              </w:rPr>
            </w:pPr>
          </w:p>
        </w:tc>
        <w:tc>
          <w:tcPr>
            <w:tcW w:w="440" w:type="dxa"/>
            <w:vAlign w:val="bottom"/>
            <w:shd w:val="clear" w:color="auto" w:fill="F3F8FB"/>
          </w:tcPr>
          <w:p>
            <w:pPr>
              <w:spacing w:after="0"/>
              <w:rPr>
                <w:sz w:val="24"/>
                <w:szCs w:val="24"/>
                <w:color w:val="auto"/>
              </w:rPr>
            </w:pPr>
          </w:p>
        </w:tc>
        <w:tc>
          <w:tcPr>
            <w:tcW w:w="900" w:type="dxa"/>
            <w:vAlign w:val="bottom"/>
            <w:shd w:val="clear" w:color="auto" w:fill="F3F8FB"/>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shd w:val="clear" w:color="auto" w:fill="3C578C"/>
          </w:tcPr>
          <w:p>
            <w:pPr>
              <w:jc w:val="right"/>
              <w:ind w:right="501"/>
              <w:spacing w:after="0"/>
              <w:rPr>
                <w:sz w:val="20"/>
                <w:szCs w:val="20"/>
                <w:color w:val="auto"/>
              </w:rPr>
            </w:pPr>
            <w:r>
              <w:rPr>
                <w:rFonts w:ascii="Arial" w:cs="Arial" w:eastAsia="Arial" w:hAnsi="Arial"/>
                <w:sz w:val="18"/>
                <w:szCs w:val="18"/>
                <w:b w:val="1"/>
                <w:bCs w:val="1"/>
                <w:color w:val="FFFFFF"/>
              </w:rPr>
              <w:t>7</w:t>
            </w:r>
          </w:p>
        </w:tc>
        <w:tc>
          <w:tcPr>
            <w:tcW w:w="2060" w:type="dxa"/>
            <w:vAlign w:val="bottom"/>
            <w:shd w:val="clear" w:color="auto" w:fill="F3F8FB"/>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40" w:type="dxa"/>
            <w:vAlign w:val="bottom"/>
            <w:gridSpan w:val="5"/>
          </w:tcPr>
          <w:p>
            <w:pPr>
              <w:jc w:val="center"/>
              <w:ind w:right="300"/>
              <w:spacing w:after="0"/>
              <w:rPr>
                <w:sz w:val="20"/>
                <w:szCs w:val="20"/>
                <w:color w:val="auto"/>
              </w:rPr>
            </w:pPr>
            <w:r>
              <w:rPr>
                <w:rFonts w:ascii="Arial" w:cs="Arial" w:eastAsia="Arial" w:hAnsi="Arial"/>
                <w:sz w:val="15"/>
                <w:szCs w:val="15"/>
                <w:color w:val="auto"/>
              </w:rPr>
              <w:t>Our stock ownership guidelines</w:t>
            </w:r>
          </w:p>
        </w:tc>
        <w:tc>
          <w:tcPr>
            <w:tcW w:w="3560" w:type="dxa"/>
            <w:vAlign w:val="bottom"/>
            <w:gridSpan w:val="8"/>
          </w:tcPr>
          <w:p>
            <w:pPr>
              <w:jc w:val="center"/>
              <w:ind w:right="25"/>
              <w:spacing w:after="0"/>
              <w:rPr>
                <w:sz w:val="20"/>
                <w:szCs w:val="20"/>
                <w:color w:val="auto"/>
              </w:rPr>
            </w:pPr>
            <w:r>
              <w:rPr>
                <w:rFonts w:ascii="Arial" w:cs="Arial" w:eastAsia="Arial" w:hAnsi="Arial"/>
                <w:sz w:val="15"/>
                <w:szCs w:val="15"/>
                <w:color w:val="auto"/>
                <w:w w:val="99"/>
              </w:rPr>
              <w:t>Our clawback policy governs the recovery of</w:t>
            </w:r>
          </w:p>
        </w:tc>
        <w:tc>
          <w:tcPr>
            <w:tcW w:w="220" w:type="dxa"/>
            <w:vAlign w:val="bottom"/>
          </w:tcPr>
          <w:p>
            <w:pPr>
              <w:spacing w:after="0"/>
              <w:rPr>
                <w:sz w:val="17"/>
                <w:szCs w:val="17"/>
                <w:color w:val="auto"/>
              </w:rPr>
            </w:pPr>
          </w:p>
        </w:tc>
        <w:tc>
          <w:tcPr>
            <w:tcW w:w="330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We use tally sheets when determining</w:t>
            </w:r>
          </w:p>
        </w:tc>
        <w:tc>
          <w:tcPr>
            <w:tcW w:w="0" w:type="dxa"/>
            <w:vAlign w:val="bottom"/>
          </w:tcPr>
          <w:p>
            <w:pPr>
              <w:spacing w:after="0"/>
              <w:rPr>
                <w:sz w:val="1"/>
                <w:szCs w:val="1"/>
                <w:color w:val="auto"/>
              </w:rPr>
            </w:pPr>
          </w:p>
        </w:tc>
      </w:tr>
      <w:tr>
        <w:trPr>
          <w:trHeight w:val="175"/>
        </w:trPr>
        <w:tc>
          <w:tcPr>
            <w:tcW w:w="2840" w:type="dxa"/>
            <w:vAlign w:val="bottom"/>
            <w:gridSpan w:val="5"/>
          </w:tcPr>
          <w:p>
            <w:pPr>
              <w:jc w:val="center"/>
              <w:ind w:right="300"/>
              <w:spacing w:after="0"/>
              <w:rPr>
                <w:sz w:val="20"/>
                <w:szCs w:val="20"/>
                <w:color w:val="auto"/>
              </w:rPr>
            </w:pPr>
            <w:r>
              <w:rPr>
                <w:rFonts w:ascii="Arial" w:cs="Arial" w:eastAsia="Arial" w:hAnsi="Arial"/>
                <w:sz w:val="15"/>
                <w:szCs w:val="15"/>
                <w:color w:val="auto"/>
                <w:w w:val="98"/>
              </w:rPr>
              <w:t>apply to all executive officers,</w:t>
            </w:r>
          </w:p>
        </w:tc>
        <w:tc>
          <w:tcPr>
            <w:tcW w:w="400" w:type="dxa"/>
            <w:vAlign w:val="bottom"/>
          </w:tcPr>
          <w:p>
            <w:pPr>
              <w:spacing w:after="0"/>
              <w:rPr>
                <w:sz w:val="15"/>
                <w:szCs w:val="15"/>
                <w:color w:val="auto"/>
              </w:rPr>
            </w:pPr>
          </w:p>
        </w:tc>
        <w:tc>
          <w:tcPr>
            <w:tcW w:w="3160" w:type="dxa"/>
            <w:vAlign w:val="bottom"/>
            <w:gridSpan w:val="7"/>
          </w:tcPr>
          <w:p>
            <w:pPr>
              <w:jc w:val="center"/>
              <w:ind w:right="445"/>
              <w:spacing w:after="0"/>
              <w:rPr>
                <w:sz w:val="20"/>
                <w:szCs w:val="20"/>
                <w:color w:val="auto"/>
              </w:rPr>
            </w:pPr>
            <w:r>
              <w:rPr>
                <w:rFonts w:ascii="Arial" w:cs="Arial" w:eastAsia="Arial" w:hAnsi="Arial"/>
                <w:sz w:val="15"/>
                <w:szCs w:val="15"/>
                <w:color w:val="auto"/>
                <w:w w:val="99"/>
              </w:rPr>
              <w:t>erroneously awarded incentive-based</w:t>
            </w:r>
          </w:p>
        </w:tc>
        <w:tc>
          <w:tcPr>
            <w:tcW w:w="220" w:type="dxa"/>
            <w:vAlign w:val="bottom"/>
          </w:tcPr>
          <w:p>
            <w:pPr>
              <w:spacing w:after="0"/>
              <w:rPr>
                <w:sz w:val="15"/>
                <w:szCs w:val="15"/>
                <w:color w:val="auto"/>
              </w:rPr>
            </w:pPr>
          </w:p>
        </w:tc>
        <w:tc>
          <w:tcPr>
            <w:tcW w:w="330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executive compensation.</w:t>
            </w:r>
          </w:p>
        </w:tc>
        <w:tc>
          <w:tcPr>
            <w:tcW w:w="0" w:type="dxa"/>
            <w:vAlign w:val="bottom"/>
          </w:tcPr>
          <w:p>
            <w:pPr>
              <w:spacing w:after="0"/>
              <w:rPr>
                <w:sz w:val="1"/>
                <w:szCs w:val="1"/>
                <w:color w:val="auto"/>
              </w:rPr>
            </w:pPr>
          </w:p>
        </w:tc>
      </w:tr>
      <w:tr>
        <w:trPr>
          <w:trHeight w:val="175"/>
        </w:trPr>
        <w:tc>
          <w:tcPr>
            <w:tcW w:w="2840" w:type="dxa"/>
            <w:vAlign w:val="bottom"/>
            <w:gridSpan w:val="5"/>
          </w:tcPr>
          <w:p>
            <w:pPr>
              <w:jc w:val="center"/>
              <w:ind w:right="300"/>
              <w:spacing w:after="0"/>
              <w:rPr>
                <w:sz w:val="20"/>
                <w:szCs w:val="20"/>
                <w:color w:val="auto"/>
              </w:rPr>
            </w:pPr>
            <w:r>
              <w:rPr>
                <w:rFonts w:ascii="Arial" w:cs="Arial" w:eastAsia="Arial" w:hAnsi="Arial"/>
                <w:sz w:val="15"/>
                <w:szCs w:val="15"/>
                <w:color w:val="auto"/>
                <w:w w:val="99"/>
              </w:rPr>
              <w:t>including our named executive</w:t>
            </w:r>
          </w:p>
        </w:tc>
        <w:tc>
          <w:tcPr>
            <w:tcW w:w="3560" w:type="dxa"/>
            <w:vAlign w:val="bottom"/>
            <w:gridSpan w:val="8"/>
          </w:tcPr>
          <w:p>
            <w:pPr>
              <w:jc w:val="center"/>
              <w:ind w:right="45"/>
              <w:spacing w:after="0"/>
              <w:rPr>
                <w:sz w:val="20"/>
                <w:szCs w:val="20"/>
                <w:color w:val="auto"/>
              </w:rPr>
            </w:pPr>
            <w:r>
              <w:rPr>
                <w:rFonts w:ascii="Arial" w:cs="Arial" w:eastAsia="Arial" w:hAnsi="Arial"/>
                <w:sz w:val="15"/>
                <w:szCs w:val="15"/>
                <w:color w:val="auto"/>
                <w:w w:val="99"/>
              </w:rPr>
              <w:t>compensation consistent with the requirements of</w:t>
            </w:r>
          </w:p>
        </w:tc>
        <w:tc>
          <w:tcPr>
            <w:tcW w:w="220" w:type="dxa"/>
            <w:vAlign w:val="bottom"/>
          </w:tcPr>
          <w:p>
            <w:pPr>
              <w:spacing w:after="0"/>
              <w:rPr>
                <w:sz w:val="15"/>
                <w:szCs w:val="15"/>
                <w:color w:val="auto"/>
              </w:rPr>
            </w:pPr>
          </w:p>
        </w:tc>
        <w:tc>
          <w:tcPr>
            <w:tcW w:w="1240" w:type="dxa"/>
            <w:vAlign w:val="bottom"/>
            <w:shd w:val="clear" w:color="auto" w:fill="F3F8FB"/>
          </w:tcPr>
          <w:p>
            <w:pPr>
              <w:spacing w:after="0"/>
              <w:rPr>
                <w:sz w:val="15"/>
                <w:szCs w:val="15"/>
                <w:color w:val="auto"/>
              </w:rPr>
            </w:pPr>
          </w:p>
        </w:tc>
        <w:tc>
          <w:tcPr>
            <w:tcW w:w="2060" w:type="dxa"/>
            <w:vAlign w:val="bottom"/>
            <w:shd w:val="clear" w:color="auto" w:fill="F3F8FB"/>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840" w:type="dxa"/>
            <w:vAlign w:val="bottom"/>
            <w:gridSpan w:val="5"/>
            <w:vMerge w:val="restart"/>
          </w:tcPr>
          <w:p>
            <w:pPr>
              <w:jc w:val="center"/>
              <w:ind w:right="300"/>
              <w:spacing w:after="0"/>
              <w:rPr>
                <w:sz w:val="20"/>
                <w:szCs w:val="20"/>
                <w:color w:val="auto"/>
              </w:rPr>
            </w:pPr>
            <w:r>
              <w:rPr>
                <w:rFonts w:ascii="Arial" w:cs="Arial" w:eastAsia="Arial" w:hAnsi="Arial"/>
                <w:sz w:val="15"/>
                <w:szCs w:val="15"/>
                <w:color w:val="auto"/>
              </w:rPr>
              <w:t>officers. Our CEO is required to</w:t>
            </w:r>
          </w:p>
        </w:tc>
        <w:tc>
          <w:tcPr>
            <w:tcW w:w="3560" w:type="dxa"/>
            <w:vAlign w:val="bottom"/>
            <w:gridSpan w:val="8"/>
            <w:vMerge w:val="restart"/>
          </w:tcPr>
          <w:p>
            <w:pPr>
              <w:jc w:val="center"/>
              <w:ind w:right="5"/>
              <w:spacing w:after="0"/>
              <w:rPr>
                <w:sz w:val="20"/>
                <w:szCs w:val="20"/>
                <w:color w:val="auto"/>
              </w:rPr>
            </w:pPr>
            <w:r>
              <w:rPr>
                <w:rFonts w:ascii="Arial" w:cs="Arial" w:eastAsia="Arial" w:hAnsi="Arial"/>
                <w:sz w:val="15"/>
                <w:szCs w:val="15"/>
                <w:color w:val="auto"/>
              </w:rPr>
              <w:t>the SEC and NASDAQ. The policy provides that, if</w:t>
            </w:r>
          </w:p>
        </w:tc>
        <w:tc>
          <w:tcPr>
            <w:tcW w:w="220" w:type="dxa"/>
            <w:vAlign w:val="bottom"/>
          </w:tcPr>
          <w:p>
            <w:pPr>
              <w:spacing w:after="0"/>
              <w:rPr>
                <w:sz w:val="5"/>
                <w:szCs w:val="5"/>
                <w:color w:val="auto"/>
              </w:rPr>
            </w:pPr>
          </w:p>
        </w:tc>
        <w:tc>
          <w:tcPr>
            <w:tcW w:w="1240" w:type="dxa"/>
            <w:vAlign w:val="bottom"/>
            <w:shd w:val="clear" w:color="auto" w:fill="F3F8FB"/>
          </w:tcPr>
          <w:p>
            <w:pPr>
              <w:spacing w:after="0"/>
              <w:rPr>
                <w:sz w:val="5"/>
                <w:szCs w:val="5"/>
                <w:color w:val="auto"/>
              </w:rPr>
            </w:pPr>
          </w:p>
        </w:tc>
        <w:tc>
          <w:tcPr>
            <w:tcW w:w="2060" w:type="dxa"/>
            <w:vAlign w:val="bottom"/>
            <w:shd w:val="clear" w:color="auto" w:fill="F3F8FB"/>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840" w:type="dxa"/>
            <w:vAlign w:val="bottom"/>
            <w:gridSpan w:val="5"/>
            <w:vMerge w:val="continue"/>
          </w:tcPr>
          <w:p>
            <w:pPr>
              <w:spacing w:after="0"/>
              <w:rPr>
                <w:sz w:val="9"/>
                <w:szCs w:val="9"/>
                <w:color w:val="auto"/>
              </w:rPr>
            </w:pPr>
          </w:p>
        </w:tc>
        <w:tc>
          <w:tcPr>
            <w:tcW w:w="3560" w:type="dxa"/>
            <w:vAlign w:val="bottom"/>
            <w:gridSpan w:val="8"/>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840" w:type="dxa"/>
            <w:vAlign w:val="bottom"/>
            <w:gridSpan w:val="5"/>
          </w:tcPr>
          <w:p>
            <w:pPr>
              <w:ind w:left="200"/>
              <w:spacing w:after="0" w:line="155" w:lineRule="exact"/>
              <w:rPr>
                <w:sz w:val="20"/>
                <w:szCs w:val="20"/>
                <w:color w:val="auto"/>
              </w:rPr>
            </w:pPr>
            <w:r>
              <w:rPr>
                <w:rFonts w:ascii="Arial" w:cs="Arial" w:eastAsia="Arial" w:hAnsi="Arial"/>
                <w:sz w:val="15"/>
                <w:szCs w:val="15"/>
                <w:color w:val="auto"/>
              </w:rPr>
              <w:t>own shares of our stock or stock</w:t>
            </w:r>
          </w:p>
        </w:tc>
        <w:tc>
          <w:tcPr>
            <w:tcW w:w="3560" w:type="dxa"/>
            <w:vAlign w:val="bottom"/>
            <w:gridSpan w:val="8"/>
          </w:tcPr>
          <w:p>
            <w:pPr>
              <w:jc w:val="center"/>
              <w:ind w:right="45"/>
              <w:spacing w:after="0" w:line="155" w:lineRule="exact"/>
              <w:rPr>
                <w:sz w:val="20"/>
                <w:szCs w:val="20"/>
                <w:color w:val="auto"/>
              </w:rPr>
            </w:pPr>
            <w:r>
              <w:rPr>
                <w:rFonts w:ascii="Arial" w:cs="Arial" w:eastAsia="Arial" w:hAnsi="Arial"/>
                <w:sz w:val="15"/>
                <w:szCs w:val="15"/>
                <w:color w:val="auto"/>
                <w:w w:val="99"/>
              </w:rPr>
              <w:t>we are required to prepare a qualifying accounting</w:t>
            </w:r>
          </w:p>
        </w:tc>
        <w:tc>
          <w:tcPr>
            <w:tcW w:w="220" w:type="dxa"/>
            <w:vAlign w:val="bottom"/>
          </w:tcPr>
          <w:p>
            <w:pPr>
              <w:spacing w:after="0"/>
              <w:rPr>
                <w:sz w:val="13"/>
                <w:szCs w:val="13"/>
                <w:color w:val="auto"/>
              </w:rPr>
            </w:pPr>
          </w:p>
        </w:tc>
        <w:tc>
          <w:tcPr>
            <w:tcW w:w="1240" w:type="dxa"/>
            <w:vAlign w:val="bottom"/>
            <w:tcBorders>
              <w:bottom w:val="single" w:sz="8" w:color="3C578C"/>
            </w:tcBorders>
          </w:tcPr>
          <w:p>
            <w:pPr>
              <w:spacing w:after="0"/>
              <w:rPr>
                <w:sz w:val="13"/>
                <w:szCs w:val="13"/>
                <w:color w:val="auto"/>
              </w:rPr>
            </w:pPr>
          </w:p>
        </w:tc>
        <w:tc>
          <w:tcPr>
            <w:tcW w:w="2060" w:type="dxa"/>
            <w:vAlign w:val="bottom"/>
            <w:tcBorders>
              <w:bottom w:val="single" w:sz="8" w:color="3C578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40" w:type="dxa"/>
            <w:vAlign w:val="bottom"/>
            <w:gridSpan w:val="5"/>
          </w:tcPr>
          <w:p>
            <w:pPr>
              <w:ind w:left="180"/>
              <w:spacing w:after="0"/>
              <w:rPr>
                <w:sz w:val="20"/>
                <w:szCs w:val="20"/>
                <w:color w:val="auto"/>
              </w:rPr>
            </w:pPr>
            <w:r>
              <w:rPr>
                <w:rFonts w:ascii="Arial" w:cs="Arial" w:eastAsia="Arial" w:hAnsi="Arial"/>
                <w:sz w:val="15"/>
                <w:szCs w:val="15"/>
                <w:color w:val="auto"/>
              </w:rPr>
              <w:t>equivalents having a value equal</w:t>
            </w:r>
          </w:p>
        </w:tc>
        <w:tc>
          <w:tcPr>
            <w:tcW w:w="3560" w:type="dxa"/>
            <w:vAlign w:val="bottom"/>
            <w:gridSpan w:val="8"/>
          </w:tcPr>
          <w:p>
            <w:pPr>
              <w:jc w:val="center"/>
              <w:ind w:right="25"/>
              <w:spacing w:after="0"/>
              <w:rPr>
                <w:sz w:val="20"/>
                <w:szCs w:val="20"/>
                <w:color w:val="auto"/>
              </w:rPr>
            </w:pPr>
            <w:r>
              <w:rPr>
                <w:rFonts w:ascii="Arial" w:cs="Arial" w:eastAsia="Arial" w:hAnsi="Arial"/>
                <w:sz w:val="15"/>
                <w:szCs w:val="15"/>
                <w:color w:val="auto"/>
              </w:rPr>
              <w:t>restatement, then, unless an exception applies, we</w:t>
            </w:r>
          </w:p>
        </w:tc>
        <w:tc>
          <w:tcPr>
            <w:tcW w:w="220" w:type="dxa"/>
            <w:vAlign w:val="bottom"/>
          </w:tcPr>
          <w:p>
            <w:pPr>
              <w:spacing w:after="0"/>
              <w:rPr>
                <w:sz w:val="15"/>
                <w:szCs w:val="15"/>
                <w:color w:val="auto"/>
              </w:rPr>
            </w:pPr>
          </w:p>
        </w:tc>
        <w:tc>
          <w:tcPr>
            <w:tcW w:w="1240" w:type="dxa"/>
            <w:vAlign w:val="bottom"/>
            <w:tcBorders>
              <w:top w:val="single" w:sz="8" w:color="3C578C"/>
            </w:tcBorders>
            <w:shd w:val="clear" w:color="auto" w:fill="3C578C"/>
          </w:tcPr>
          <w:p>
            <w:pPr>
              <w:jc w:val="right"/>
              <w:ind w:right="501"/>
              <w:spacing w:after="0" w:line="175" w:lineRule="exact"/>
              <w:rPr>
                <w:sz w:val="20"/>
                <w:szCs w:val="20"/>
                <w:color w:val="auto"/>
              </w:rPr>
            </w:pPr>
            <w:r>
              <w:rPr>
                <w:rFonts w:ascii="Arial" w:cs="Arial" w:eastAsia="Arial" w:hAnsi="Arial"/>
                <w:sz w:val="17"/>
                <w:szCs w:val="17"/>
                <w:b w:val="1"/>
                <w:bCs w:val="1"/>
                <w:color w:val="FFFFFF"/>
              </w:rPr>
              <w:t>8</w:t>
            </w:r>
          </w:p>
        </w:tc>
        <w:tc>
          <w:tcPr>
            <w:tcW w:w="2060" w:type="dxa"/>
            <w:vAlign w:val="bottom"/>
            <w:tcBorders>
              <w:top w:val="single" w:sz="8" w:color="F3F8FB"/>
            </w:tcBorders>
            <w:shd w:val="clear" w:color="auto" w:fill="F3F8FB"/>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2840" w:type="dxa"/>
            <w:vAlign w:val="bottom"/>
            <w:gridSpan w:val="5"/>
            <w:vMerge w:val="restart"/>
          </w:tcPr>
          <w:p>
            <w:pPr>
              <w:ind w:left="180"/>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15"/>
                <w:szCs w:val="15"/>
                <w:b w:val="1"/>
                <w:bCs w:val="1"/>
                <w:color w:val="auto"/>
              </w:rPr>
              <w:t>five</w:t>
            </w:r>
            <w:r>
              <w:rPr>
                <w:rFonts w:ascii="Arial" w:cs="Arial" w:eastAsia="Arial" w:hAnsi="Arial"/>
                <w:sz w:val="15"/>
                <w:szCs w:val="15"/>
                <w:color w:val="auto"/>
              </w:rPr>
              <w:t xml:space="preserve"> times his base salary. Our</w:t>
            </w:r>
          </w:p>
        </w:tc>
        <w:tc>
          <w:tcPr>
            <w:tcW w:w="400" w:type="dxa"/>
            <w:vAlign w:val="bottom"/>
          </w:tcPr>
          <w:p>
            <w:pPr>
              <w:spacing w:after="0"/>
              <w:rPr>
                <w:sz w:val="7"/>
                <w:szCs w:val="7"/>
                <w:color w:val="auto"/>
              </w:rPr>
            </w:pPr>
          </w:p>
        </w:tc>
        <w:tc>
          <w:tcPr>
            <w:tcW w:w="3160" w:type="dxa"/>
            <w:vAlign w:val="bottom"/>
            <w:gridSpan w:val="7"/>
            <w:vMerge w:val="restart"/>
          </w:tcPr>
          <w:p>
            <w:pPr>
              <w:jc w:val="center"/>
              <w:ind w:right="445"/>
              <w:spacing w:after="0"/>
              <w:rPr>
                <w:sz w:val="20"/>
                <w:szCs w:val="20"/>
                <w:color w:val="auto"/>
              </w:rPr>
            </w:pPr>
            <w:r>
              <w:rPr>
                <w:rFonts w:ascii="Arial" w:cs="Arial" w:eastAsia="Arial" w:hAnsi="Arial"/>
                <w:sz w:val="15"/>
                <w:szCs w:val="15"/>
                <w:color w:val="auto"/>
              </w:rPr>
              <w:t>will recover any excess incentive-based</w:t>
            </w:r>
          </w:p>
        </w:tc>
        <w:tc>
          <w:tcPr>
            <w:tcW w:w="220" w:type="dxa"/>
            <w:vAlign w:val="bottom"/>
          </w:tcPr>
          <w:p>
            <w:pPr>
              <w:spacing w:after="0"/>
              <w:rPr>
                <w:sz w:val="7"/>
                <w:szCs w:val="7"/>
                <w:color w:val="auto"/>
              </w:rPr>
            </w:pPr>
          </w:p>
        </w:tc>
        <w:tc>
          <w:tcPr>
            <w:tcW w:w="1240" w:type="dxa"/>
            <w:vAlign w:val="bottom"/>
            <w:shd w:val="clear" w:color="auto" w:fill="3C578C"/>
          </w:tcPr>
          <w:p>
            <w:pPr>
              <w:spacing w:after="0"/>
              <w:rPr>
                <w:sz w:val="7"/>
                <w:szCs w:val="7"/>
                <w:color w:val="auto"/>
              </w:rPr>
            </w:pPr>
          </w:p>
        </w:tc>
        <w:tc>
          <w:tcPr>
            <w:tcW w:w="2060" w:type="dxa"/>
            <w:vAlign w:val="bottom"/>
            <w:shd w:val="clear" w:color="auto" w:fill="F3F8FB"/>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gridSpan w:val="5"/>
            <w:vMerge w:val="continue"/>
          </w:tcPr>
          <w:p>
            <w:pPr>
              <w:spacing w:after="0"/>
              <w:rPr>
                <w:sz w:val="7"/>
                <w:szCs w:val="7"/>
                <w:color w:val="auto"/>
              </w:rPr>
            </w:pPr>
          </w:p>
        </w:tc>
        <w:tc>
          <w:tcPr>
            <w:tcW w:w="400" w:type="dxa"/>
            <w:vAlign w:val="bottom"/>
          </w:tcPr>
          <w:p>
            <w:pPr>
              <w:spacing w:after="0"/>
              <w:rPr>
                <w:sz w:val="7"/>
                <w:szCs w:val="7"/>
                <w:color w:val="auto"/>
              </w:rPr>
            </w:pPr>
          </w:p>
        </w:tc>
        <w:tc>
          <w:tcPr>
            <w:tcW w:w="316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3300" w:type="dxa"/>
            <w:vAlign w:val="bottom"/>
            <w:gridSpan w:val="2"/>
            <w:vMerge w:val="restart"/>
          </w:tcPr>
          <w:p>
            <w:pPr>
              <w:jc w:val="center"/>
              <w:spacing w:after="0"/>
              <w:rPr>
                <w:sz w:val="20"/>
                <w:szCs w:val="20"/>
                <w:color w:val="auto"/>
              </w:rPr>
            </w:pPr>
            <w:r>
              <w:rPr>
                <w:rFonts w:ascii="Arial" w:cs="Arial" w:eastAsia="Arial" w:hAnsi="Arial"/>
                <w:sz w:val="15"/>
                <w:szCs w:val="15"/>
                <w:color w:val="auto"/>
                <w:w w:val="99"/>
              </w:rPr>
              <w:t>We provide very few perquisites; the value of</w:t>
            </w:r>
          </w:p>
        </w:tc>
        <w:tc>
          <w:tcPr>
            <w:tcW w:w="0" w:type="dxa"/>
            <w:vAlign w:val="bottom"/>
          </w:tcPr>
          <w:p>
            <w:pPr>
              <w:spacing w:after="0"/>
              <w:rPr>
                <w:sz w:val="1"/>
                <w:szCs w:val="1"/>
                <w:color w:val="auto"/>
              </w:rPr>
            </w:pPr>
          </w:p>
        </w:tc>
      </w:tr>
      <w:tr>
        <w:trPr>
          <w:trHeight w:val="112"/>
        </w:trPr>
        <w:tc>
          <w:tcPr>
            <w:tcW w:w="2840" w:type="dxa"/>
            <w:vAlign w:val="bottom"/>
            <w:gridSpan w:val="5"/>
            <w:vMerge w:val="restart"/>
          </w:tcPr>
          <w:p>
            <w:pPr>
              <w:jc w:val="center"/>
              <w:ind w:right="300"/>
              <w:spacing w:after="0"/>
              <w:rPr>
                <w:sz w:val="20"/>
                <w:szCs w:val="20"/>
                <w:color w:val="auto"/>
              </w:rPr>
            </w:pPr>
            <w:r>
              <w:rPr>
                <w:rFonts w:ascii="Arial" w:cs="Arial" w:eastAsia="Arial" w:hAnsi="Arial"/>
                <w:sz w:val="15"/>
                <w:szCs w:val="15"/>
                <w:color w:val="auto"/>
                <w:w w:val="99"/>
              </w:rPr>
              <w:t>other NEOs are required to own</w:t>
            </w:r>
          </w:p>
        </w:tc>
        <w:tc>
          <w:tcPr>
            <w:tcW w:w="400" w:type="dxa"/>
            <w:vAlign w:val="bottom"/>
          </w:tcPr>
          <w:p>
            <w:pPr>
              <w:spacing w:after="0"/>
              <w:rPr>
                <w:sz w:val="9"/>
                <w:szCs w:val="9"/>
                <w:color w:val="auto"/>
              </w:rPr>
            </w:pPr>
          </w:p>
        </w:tc>
        <w:tc>
          <w:tcPr>
            <w:tcW w:w="3160" w:type="dxa"/>
            <w:vAlign w:val="bottom"/>
            <w:gridSpan w:val="7"/>
            <w:vMerge w:val="restart"/>
          </w:tcPr>
          <w:p>
            <w:pPr>
              <w:ind w:left="60"/>
              <w:spacing w:after="0"/>
              <w:rPr>
                <w:sz w:val="20"/>
                <w:szCs w:val="20"/>
                <w:color w:val="auto"/>
              </w:rPr>
            </w:pPr>
            <w:r>
              <w:rPr>
                <w:rFonts w:ascii="Arial" w:cs="Arial" w:eastAsia="Arial" w:hAnsi="Arial"/>
                <w:sz w:val="15"/>
                <w:szCs w:val="15"/>
                <w:color w:val="auto"/>
              </w:rPr>
              <w:t>compensation paid to covered officers.</w:t>
            </w:r>
          </w:p>
        </w:tc>
        <w:tc>
          <w:tcPr>
            <w:tcW w:w="22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84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3160" w:type="dxa"/>
            <w:vAlign w:val="bottom"/>
            <w:gridSpan w:val="7"/>
            <w:vMerge w:val="continue"/>
          </w:tcPr>
          <w:p>
            <w:pPr>
              <w:spacing w:after="0"/>
              <w:rPr>
                <w:sz w:val="5"/>
                <w:szCs w:val="5"/>
                <w:color w:val="auto"/>
              </w:rPr>
            </w:pPr>
          </w:p>
        </w:tc>
        <w:tc>
          <w:tcPr>
            <w:tcW w:w="220" w:type="dxa"/>
            <w:vAlign w:val="bottom"/>
          </w:tcPr>
          <w:p>
            <w:pPr>
              <w:spacing w:after="0"/>
              <w:rPr>
                <w:sz w:val="5"/>
                <w:szCs w:val="5"/>
                <w:color w:val="auto"/>
              </w:rPr>
            </w:pPr>
          </w:p>
        </w:tc>
        <w:tc>
          <w:tcPr>
            <w:tcW w:w="3300" w:type="dxa"/>
            <w:vAlign w:val="bottom"/>
            <w:gridSpan w:val="2"/>
            <w:vMerge w:val="restart"/>
          </w:tcPr>
          <w:p>
            <w:pPr>
              <w:jc w:val="center"/>
              <w:spacing w:after="0"/>
              <w:rPr>
                <w:sz w:val="20"/>
                <w:szCs w:val="20"/>
                <w:color w:val="auto"/>
              </w:rPr>
            </w:pPr>
            <w:r>
              <w:rPr>
                <w:rFonts w:ascii="Arial" w:cs="Arial" w:eastAsia="Arial" w:hAnsi="Arial"/>
                <w:sz w:val="15"/>
                <w:szCs w:val="15"/>
                <w:color w:val="auto"/>
                <w:w w:val="99"/>
              </w:rPr>
              <w:t>the perquisites we do provide is reasonable</w:t>
            </w:r>
          </w:p>
        </w:tc>
        <w:tc>
          <w:tcPr>
            <w:tcW w:w="0" w:type="dxa"/>
            <w:vAlign w:val="bottom"/>
          </w:tcPr>
          <w:p>
            <w:pPr>
              <w:spacing w:after="0"/>
              <w:rPr>
                <w:sz w:val="1"/>
                <w:szCs w:val="1"/>
                <w:color w:val="auto"/>
              </w:rPr>
            </w:pPr>
          </w:p>
        </w:tc>
      </w:tr>
      <w:tr>
        <w:trPr>
          <w:trHeight w:val="135"/>
        </w:trPr>
        <w:tc>
          <w:tcPr>
            <w:tcW w:w="2840" w:type="dxa"/>
            <w:vAlign w:val="bottom"/>
            <w:gridSpan w:val="5"/>
          </w:tcPr>
          <w:p>
            <w:pPr>
              <w:jc w:val="center"/>
              <w:ind w:right="300"/>
              <w:spacing w:after="0" w:line="127" w:lineRule="exact"/>
              <w:rPr>
                <w:sz w:val="20"/>
                <w:szCs w:val="20"/>
                <w:color w:val="auto"/>
              </w:rPr>
            </w:pPr>
            <w:r>
              <w:rPr>
                <w:rFonts w:ascii="Arial" w:cs="Arial" w:eastAsia="Arial" w:hAnsi="Arial"/>
                <w:sz w:val="14"/>
                <w:szCs w:val="14"/>
                <w:color w:val="auto"/>
              </w:rPr>
              <w:t>shares of our stock or stock</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-989965</wp:posOffset>
            </wp:positionV>
            <wp:extent cx="6301105" cy="137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1105" cy="137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jc w:val="center"/>
              <w:ind w:right="1965"/>
              <w:spacing w:after="0"/>
              <w:rPr>
                <w:sz w:val="20"/>
                <w:szCs w:val="20"/>
                <w:color w:val="auto"/>
              </w:rPr>
            </w:pPr>
            <w:r>
              <w:rPr>
                <w:rFonts w:ascii="Arial" w:cs="Arial" w:eastAsia="Arial" w:hAnsi="Arial"/>
                <w:sz w:val="15"/>
                <w:szCs w:val="15"/>
                <w:color w:val="auto"/>
              </w:rPr>
              <w:t>equivalents having a value equal</w:t>
            </w:r>
          </w:p>
        </w:tc>
        <w:tc>
          <w:tcPr>
            <w:tcW w:w="5340" w:type="dxa"/>
            <w:vAlign w:val="bottom"/>
          </w:tcPr>
          <w:p>
            <w:pPr>
              <w:jc w:val="center"/>
              <w:ind w:left="1985"/>
              <w:spacing w:after="0" w:line="161" w:lineRule="exact"/>
              <w:rPr>
                <w:sz w:val="20"/>
                <w:szCs w:val="20"/>
                <w:color w:val="auto"/>
              </w:rPr>
            </w:pPr>
            <w:r>
              <w:rPr>
                <w:rFonts w:ascii="Arial" w:cs="Arial" w:eastAsia="Arial" w:hAnsi="Arial"/>
                <w:sz w:val="15"/>
                <w:szCs w:val="15"/>
                <w:color w:val="auto"/>
              </w:rPr>
              <w:t>and reflects only a small portion of executive</w:t>
            </w:r>
          </w:p>
        </w:tc>
        <w:tc>
          <w:tcPr>
            <w:tcW w:w="0" w:type="dxa"/>
            <w:vAlign w:val="bottom"/>
          </w:tcPr>
          <w:p>
            <w:pPr>
              <w:spacing w:after="0"/>
              <w:rPr>
                <w:sz w:val="1"/>
                <w:szCs w:val="1"/>
                <w:color w:val="auto"/>
              </w:rPr>
            </w:pPr>
          </w:p>
        </w:tc>
      </w:tr>
      <w:tr>
        <w:trPr>
          <w:trHeight w:val="62"/>
        </w:trPr>
        <w:tc>
          <w:tcPr>
            <w:tcW w:w="4580" w:type="dxa"/>
            <w:vAlign w:val="bottom"/>
            <w:vMerge w:val="continue"/>
          </w:tcPr>
          <w:p>
            <w:pPr>
              <w:spacing w:after="0"/>
              <w:rPr>
                <w:sz w:val="5"/>
                <w:szCs w:val="5"/>
                <w:color w:val="auto"/>
              </w:rPr>
            </w:pPr>
          </w:p>
        </w:tc>
        <w:tc>
          <w:tcPr>
            <w:tcW w:w="5340" w:type="dxa"/>
            <w:vAlign w:val="bottom"/>
            <w:vMerge w:val="restart"/>
          </w:tcPr>
          <w:p>
            <w:pPr>
              <w:jc w:val="center"/>
              <w:ind w:left="1965"/>
              <w:spacing w:after="0"/>
              <w:rPr>
                <w:sz w:val="20"/>
                <w:szCs w:val="20"/>
                <w:color w:val="auto"/>
              </w:rPr>
            </w:pPr>
            <w:r>
              <w:rPr>
                <w:rFonts w:ascii="Arial" w:cs="Arial" w:eastAsia="Arial" w:hAnsi="Arial"/>
                <w:sz w:val="15"/>
                <w:szCs w:val="15"/>
                <w:color w:val="auto"/>
                <w:w w:val="99"/>
              </w:rPr>
              <w:t>officer compensation.</w:t>
            </w:r>
          </w:p>
        </w:tc>
        <w:tc>
          <w:tcPr>
            <w:tcW w:w="0" w:type="dxa"/>
            <w:vAlign w:val="bottom"/>
          </w:tcPr>
          <w:p>
            <w:pPr>
              <w:spacing w:after="0"/>
              <w:rPr>
                <w:sz w:val="1"/>
                <w:szCs w:val="1"/>
                <w:color w:val="auto"/>
              </w:rPr>
            </w:pPr>
          </w:p>
        </w:tc>
      </w:tr>
      <w:tr>
        <w:trPr>
          <w:trHeight w:val="135"/>
        </w:trPr>
        <w:tc>
          <w:tcPr>
            <w:tcW w:w="4580" w:type="dxa"/>
            <w:vAlign w:val="bottom"/>
            <w:vMerge w:val="restart"/>
          </w:tcPr>
          <w:p>
            <w:pPr>
              <w:jc w:val="center"/>
              <w:ind w:right="1965"/>
              <w:spacing w:after="0"/>
              <w:rPr>
                <w:sz w:val="20"/>
                <w:szCs w:val="20"/>
                <w:color w:val="auto"/>
              </w:rPr>
            </w:pPr>
            <w:r>
              <w:rPr>
                <w:rFonts w:ascii="Arial" w:cs="Arial" w:eastAsia="Arial" w:hAnsi="Arial"/>
                <w:sz w:val="15"/>
                <w:szCs w:val="15"/>
                <w:color w:val="auto"/>
                <w:w w:val="99"/>
              </w:rPr>
              <w:t xml:space="preserve">to </w:t>
            </w:r>
            <w:r>
              <w:rPr>
                <w:rFonts w:ascii="Arial" w:cs="Arial" w:eastAsia="Arial" w:hAnsi="Arial"/>
                <w:sz w:val="15"/>
                <w:szCs w:val="15"/>
                <w:b w:val="1"/>
                <w:bCs w:val="1"/>
                <w:color w:val="auto"/>
                <w:w w:val="99"/>
              </w:rPr>
              <w:t>three</w:t>
            </w:r>
            <w:r>
              <w:rPr>
                <w:rFonts w:ascii="Arial" w:cs="Arial" w:eastAsia="Arial" w:hAnsi="Arial"/>
                <w:sz w:val="15"/>
                <w:szCs w:val="15"/>
                <w:color w:val="auto"/>
                <w:w w:val="99"/>
              </w:rPr>
              <w:t xml:space="preserve"> times their base salary.</w:t>
            </w:r>
          </w:p>
        </w:tc>
        <w:tc>
          <w:tcPr>
            <w:tcW w:w="5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580" w:type="dxa"/>
            <w:vAlign w:val="bottom"/>
            <w:vMerge w:val="continue"/>
          </w:tcPr>
          <w:p>
            <w:pPr>
              <w:spacing w:after="0"/>
              <w:rPr>
                <w:sz w:val="6"/>
                <w:szCs w:val="6"/>
                <w:color w:val="auto"/>
              </w:rPr>
            </w:pPr>
          </w:p>
        </w:tc>
        <w:tc>
          <w:tcPr>
            <w:tcW w:w="5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1"/>
        </w:trPr>
        <w:tc>
          <w:tcPr>
            <w:tcW w:w="45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69" w:right="99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TABLE OF CONTENTS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4420" w:type="dxa"/>
            <w:vAlign w:val="bottom"/>
            <w:gridSpan w:val="19"/>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INFORMATION ABOUT THE ANNUAL MEETING</w:t>
            </w:r>
          </w:p>
        </w:tc>
        <w:tc>
          <w:tcPr>
            <w:tcW w:w="380" w:type="dxa"/>
            <w:vAlign w:val="bottom"/>
            <w:shd w:val="clear" w:color="auto" w:fill="F3F6F7"/>
          </w:tcPr>
          <w:p>
            <w:pPr>
              <w:spacing w:after="0"/>
              <w:rPr>
                <w:sz w:val="21"/>
                <w:szCs w:val="21"/>
                <w:color w:val="auto"/>
              </w:rPr>
            </w:pPr>
          </w:p>
        </w:tc>
        <w:tc>
          <w:tcPr>
            <w:tcW w:w="380" w:type="dxa"/>
            <w:vAlign w:val="bottom"/>
            <w:shd w:val="clear" w:color="auto" w:fill="F3F6F7"/>
          </w:tcPr>
          <w:p>
            <w:pPr>
              <w:spacing w:after="0"/>
              <w:rPr>
                <w:sz w:val="21"/>
                <w:szCs w:val="21"/>
                <w:color w:val="auto"/>
              </w:rPr>
            </w:pPr>
          </w:p>
        </w:tc>
        <w:tc>
          <w:tcPr>
            <w:tcW w:w="660" w:type="dxa"/>
            <w:vAlign w:val="bottom"/>
            <w:shd w:val="clear" w:color="auto" w:fill="F3F6F7"/>
          </w:tcPr>
          <w:p>
            <w:pPr>
              <w:spacing w:after="0"/>
              <w:rPr>
                <w:sz w:val="21"/>
                <w:szCs w:val="21"/>
                <w:color w:val="auto"/>
              </w:rPr>
            </w:pPr>
          </w:p>
        </w:tc>
        <w:tc>
          <w:tcPr>
            <w:tcW w:w="220" w:type="dxa"/>
            <w:vAlign w:val="bottom"/>
            <w:shd w:val="clear" w:color="auto" w:fill="F3F6F7"/>
          </w:tcPr>
          <w:p>
            <w:pPr>
              <w:spacing w:after="0"/>
              <w:rPr>
                <w:sz w:val="21"/>
                <w:szCs w:val="21"/>
                <w:color w:val="auto"/>
              </w:rPr>
            </w:pPr>
          </w:p>
        </w:tc>
        <w:tc>
          <w:tcPr>
            <w:tcW w:w="420" w:type="dxa"/>
            <w:vAlign w:val="bottom"/>
            <w:shd w:val="clear" w:color="auto" w:fill="F3F6F7"/>
          </w:tcPr>
          <w:p>
            <w:pPr>
              <w:spacing w:after="0"/>
              <w:rPr>
                <w:sz w:val="21"/>
                <w:szCs w:val="21"/>
                <w:color w:val="auto"/>
              </w:rPr>
            </w:pPr>
          </w:p>
        </w:tc>
        <w:tc>
          <w:tcPr>
            <w:tcW w:w="16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260" w:type="dxa"/>
            <w:vAlign w:val="bottom"/>
            <w:shd w:val="clear" w:color="auto" w:fill="F3F6F7"/>
          </w:tcPr>
          <w:p>
            <w:pPr>
              <w:spacing w:after="0"/>
              <w:rPr>
                <w:sz w:val="21"/>
                <w:szCs w:val="21"/>
                <w:color w:val="auto"/>
              </w:rPr>
            </w:pPr>
          </w:p>
        </w:tc>
        <w:tc>
          <w:tcPr>
            <w:tcW w:w="800" w:type="dxa"/>
            <w:vAlign w:val="bottom"/>
            <w:shd w:val="clear" w:color="auto" w:fill="F3F6F7"/>
          </w:tcPr>
          <w:p>
            <w:pPr>
              <w:spacing w:after="0"/>
              <w:rPr>
                <w:sz w:val="21"/>
                <w:szCs w:val="21"/>
                <w:color w:val="auto"/>
              </w:rPr>
            </w:pPr>
          </w:p>
        </w:tc>
        <w:tc>
          <w:tcPr>
            <w:tcW w:w="30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200" w:type="dxa"/>
            <w:vAlign w:val="bottom"/>
            <w:tcBorders>
              <w:right w:val="single" w:sz="8" w:color="F3F6F7"/>
            </w:tcBorders>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320" w:type="dxa"/>
            <w:vAlign w:val="bottom"/>
            <w:shd w:val="clear" w:color="auto" w:fill="F3F6F7"/>
          </w:tcPr>
          <w:p>
            <w:pPr>
              <w:spacing w:after="0"/>
              <w:rPr>
                <w:sz w:val="21"/>
                <w:szCs w:val="21"/>
                <w:color w:val="auto"/>
              </w:rPr>
            </w:pPr>
          </w:p>
        </w:tc>
        <w:tc>
          <w:tcPr>
            <w:tcW w:w="700" w:type="dxa"/>
            <w:vAlign w:val="bottom"/>
            <w:shd w:val="clear" w:color="auto" w:fill="F3F6F7"/>
          </w:tcPr>
          <w:p>
            <w:pPr>
              <w:jc w:val="right"/>
              <w:ind w:right="41"/>
              <w:spacing w:after="0" w:line="200"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80" w:type="dxa"/>
            <w:vAlign w:val="bottom"/>
            <w:tcBorders>
              <w:top w:val="single" w:sz="8" w:color="F3F6F7"/>
            </w:tcBorders>
          </w:tcPr>
          <w:p>
            <w:pPr>
              <w:spacing w:after="0"/>
              <w:rPr>
                <w:sz w:val="11"/>
                <w:szCs w:val="11"/>
                <w:color w:val="auto"/>
              </w:rPr>
            </w:pPr>
          </w:p>
        </w:tc>
        <w:tc>
          <w:tcPr>
            <w:tcW w:w="38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42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260" w:type="dxa"/>
            <w:vAlign w:val="bottom"/>
            <w:tcBorders>
              <w:top w:val="single" w:sz="8" w:color="F3F6F7"/>
            </w:tcBorders>
          </w:tcPr>
          <w:p>
            <w:pPr>
              <w:spacing w:after="0"/>
              <w:rPr>
                <w:sz w:val="11"/>
                <w:szCs w:val="11"/>
                <w:color w:val="auto"/>
              </w:rPr>
            </w:pPr>
          </w:p>
        </w:tc>
        <w:tc>
          <w:tcPr>
            <w:tcW w:w="8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20" w:type="dxa"/>
            <w:vAlign w:val="bottom"/>
            <w:tcBorders>
              <w:top w:val="single" w:sz="8" w:color="F3F6F7"/>
            </w:tcBorders>
          </w:tcPr>
          <w:p>
            <w:pPr>
              <w:spacing w:after="0"/>
              <w:rPr>
                <w:sz w:val="11"/>
                <w:szCs w:val="11"/>
                <w:color w:val="auto"/>
              </w:rPr>
            </w:pPr>
          </w:p>
        </w:tc>
        <w:tc>
          <w:tcPr>
            <w:tcW w:w="70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3600" w:type="dxa"/>
            <w:vAlign w:val="bottom"/>
            <w:tcBorders>
              <w:bottom w:val="single" w:sz="8" w:color="0000EE"/>
            </w:tcBorders>
            <w:gridSpan w:val="14"/>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1 ELECTION OF DIRECTORS</w:t>
            </w:r>
          </w:p>
        </w:tc>
        <w:tc>
          <w:tcPr>
            <w:tcW w:w="820" w:type="dxa"/>
            <w:vAlign w:val="bottom"/>
            <w:tcBorders>
              <w:bottom w:val="single" w:sz="8" w:color="F3F6F7"/>
            </w:tcBorders>
            <w:gridSpan w:val="5"/>
            <w:shd w:val="clear" w:color="auto" w:fill="F3F6F7"/>
          </w:tcPr>
          <w:p>
            <w:pPr>
              <w:spacing w:after="0"/>
              <w:rPr>
                <w:sz w:val="17"/>
                <w:szCs w:val="17"/>
                <w:color w:val="auto"/>
              </w:rPr>
            </w:pPr>
          </w:p>
        </w:tc>
        <w:tc>
          <w:tcPr>
            <w:tcW w:w="380" w:type="dxa"/>
            <w:vAlign w:val="bottom"/>
            <w:tcBorders>
              <w:bottom w:val="single" w:sz="8" w:color="F3F6F7"/>
            </w:tcBorders>
            <w:shd w:val="clear" w:color="auto" w:fill="F3F6F7"/>
          </w:tcPr>
          <w:p>
            <w:pPr>
              <w:spacing w:after="0"/>
              <w:rPr>
                <w:sz w:val="17"/>
                <w:szCs w:val="17"/>
                <w:color w:val="auto"/>
              </w:rPr>
            </w:pPr>
          </w:p>
        </w:tc>
        <w:tc>
          <w:tcPr>
            <w:tcW w:w="38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42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260" w:type="dxa"/>
            <w:vAlign w:val="bottom"/>
            <w:tcBorders>
              <w:bottom w:val="single" w:sz="8" w:color="F3F6F7"/>
            </w:tcBorders>
            <w:shd w:val="clear" w:color="auto" w:fill="F3F6F7"/>
          </w:tcPr>
          <w:p>
            <w:pPr>
              <w:spacing w:after="0"/>
              <w:rPr>
                <w:sz w:val="17"/>
                <w:szCs w:val="17"/>
                <w:color w:val="auto"/>
              </w:rPr>
            </w:pPr>
          </w:p>
        </w:tc>
        <w:tc>
          <w:tcPr>
            <w:tcW w:w="800" w:type="dxa"/>
            <w:vAlign w:val="bottom"/>
            <w:tcBorders>
              <w:bottom w:val="single" w:sz="8" w:color="F3F6F7"/>
            </w:tcBorders>
            <w:shd w:val="clear" w:color="auto" w:fill="F3F6F7"/>
          </w:tcPr>
          <w:p>
            <w:pPr>
              <w:spacing w:after="0"/>
              <w:rPr>
                <w:sz w:val="17"/>
                <w:szCs w:val="17"/>
                <w:color w:val="auto"/>
              </w:rPr>
            </w:pPr>
          </w:p>
        </w:tc>
        <w:tc>
          <w:tcPr>
            <w:tcW w:w="3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00" w:type="dxa"/>
            <w:vAlign w:val="bottom"/>
            <w:tcBorders>
              <w:bottom w:val="single" w:sz="8" w:color="F3F6F7"/>
              <w:right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320" w:type="dxa"/>
            <w:vAlign w:val="bottom"/>
            <w:tcBorders>
              <w:bottom w:val="single" w:sz="8" w:color="F3F6F7"/>
            </w:tcBorders>
            <w:shd w:val="clear" w:color="auto" w:fill="F3F6F7"/>
          </w:tcPr>
          <w:p>
            <w:pPr>
              <w:spacing w:after="0"/>
              <w:rPr>
                <w:sz w:val="17"/>
                <w:szCs w:val="17"/>
                <w:color w:val="auto"/>
              </w:rPr>
            </w:pPr>
          </w:p>
        </w:tc>
        <w:tc>
          <w:tcPr>
            <w:tcW w:w="700" w:type="dxa"/>
            <w:vAlign w:val="bottom"/>
            <w:tcBorders>
              <w:bottom w:val="single" w:sz="8" w:color="F3F6F7"/>
            </w:tcBorders>
            <w:shd w:val="clear" w:color="auto" w:fill="F3F6F7"/>
          </w:tcPr>
          <w:p>
            <w:pPr>
              <w:jc w:val="right"/>
              <w:ind w:right="41"/>
              <w:spacing w:after="0" w:line="200"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80"/>
        </w:trPr>
        <w:tc>
          <w:tcPr>
            <w:tcW w:w="120" w:type="dxa"/>
            <w:vAlign w:val="bottom"/>
            <w:shd w:val="clear" w:color="auto" w:fill="F3F6F7"/>
          </w:tcPr>
          <w:p>
            <w:pPr>
              <w:spacing w:after="0"/>
              <w:rPr>
                <w:sz w:val="24"/>
                <w:szCs w:val="24"/>
                <w:color w:val="auto"/>
              </w:rPr>
            </w:pPr>
          </w:p>
        </w:tc>
        <w:tc>
          <w:tcPr>
            <w:tcW w:w="4100" w:type="dxa"/>
            <w:vAlign w:val="bottom"/>
            <w:gridSpan w:val="16"/>
            <w:shd w:val="clear" w:color="auto" w:fill="F3F6F7"/>
          </w:tcPr>
          <w:p>
            <w:pPr>
              <w:spacing w:after="0"/>
              <w:rPr>
                <w:sz w:val="20"/>
                <w:szCs w:val="20"/>
                <w:color w:val="auto"/>
              </w:rPr>
            </w:pPr>
            <w:r>
              <w:rPr>
                <w:rFonts w:ascii="Arial" w:cs="Arial" w:eastAsia="Arial" w:hAnsi="Arial"/>
                <w:sz w:val="13"/>
                <w:szCs w:val="13"/>
                <w:color w:val="0000EE"/>
              </w:rPr>
              <w:t>Directors and Nominees</w:t>
            </w:r>
          </w:p>
        </w:tc>
        <w:tc>
          <w:tcPr>
            <w:tcW w:w="40" w:type="dxa"/>
            <w:vAlign w:val="bottom"/>
            <w:shd w:val="clear" w:color="auto" w:fill="F3F6F7"/>
          </w:tcPr>
          <w:p>
            <w:pPr>
              <w:spacing w:after="0"/>
              <w:rPr>
                <w:sz w:val="24"/>
                <w:szCs w:val="24"/>
                <w:color w:val="auto"/>
              </w:rPr>
            </w:pPr>
          </w:p>
        </w:tc>
        <w:tc>
          <w:tcPr>
            <w:tcW w:w="2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2</w:t>
            </w:r>
          </w:p>
        </w:tc>
        <w:tc>
          <w:tcPr>
            <w:tcW w:w="380" w:type="dxa"/>
            <w:vAlign w:val="bottom"/>
            <w:shd w:val="clear" w:color="auto" w:fill="F3F6F7"/>
          </w:tcPr>
          <w:p>
            <w:pPr>
              <w:spacing w:after="0"/>
              <w:rPr>
                <w:sz w:val="24"/>
                <w:szCs w:val="24"/>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ESG Oversight</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F3F6F7"/>
            </w:tcBorders>
            <w:shd w:val="clear" w:color="auto" w:fill="0000EE"/>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0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4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260" w:type="dxa"/>
            <w:vAlign w:val="bottom"/>
            <w:shd w:val="clear" w:color="auto" w:fill="F3F6F7"/>
          </w:tcPr>
          <w:p>
            <w:pPr>
              <w:spacing w:after="0" w:line="20" w:lineRule="exact"/>
              <w:rPr>
                <w:sz w:val="1"/>
                <w:szCs w:val="1"/>
                <w:color w:val="auto"/>
              </w:rPr>
            </w:pPr>
          </w:p>
        </w:tc>
        <w:tc>
          <w:tcPr>
            <w:tcW w:w="8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tcBorders>
              <w:right w:val="single" w:sz="8" w:color="F3F6F7"/>
            </w:tcBorders>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20" w:type="dxa"/>
            <w:vAlign w:val="bottom"/>
            <w:shd w:val="clear" w:color="auto" w:fill="F3F6F7"/>
          </w:tcPr>
          <w:p>
            <w:pPr>
              <w:spacing w:after="0" w:line="20" w:lineRule="exact"/>
              <w:rPr>
                <w:sz w:val="1"/>
                <w:szCs w:val="1"/>
                <w:color w:val="auto"/>
              </w:rPr>
            </w:pPr>
          </w:p>
        </w:tc>
        <w:tc>
          <w:tcPr>
            <w:tcW w:w="70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4100" w:type="dxa"/>
            <w:vAlign w:val="bottom"/>
            <w:gridSpan w:val="16"/>
            <w:shd w:val="clear" w:color="auto" w:fill="F3F6F7"/>
          </w:tcPr>
          <w:p>
            <w:pPr>
              <w:spacing w:after="0"/>
              <w:rPr>
                <w:sz w:val="20"/>
                <w:szCs w:val="20"/>
                <w:color w:val="auto"/>
              </w:rPr>
            </w:pPr>
            <w:r>
              <w:rPr>
                <w:rFonts w:ascii="Arial" w:cs="Arial" w:eastAsia="Arial" w:hAnsi="Arial"/>
                <w:sz w:val="13"/>
                <w:szCs w:val="13"/>
                <w:color w:val="0000EE"/>
              </w:rPr>
              <w:t>Attributes And Experience</w:t>
            </w:r>
          </w:p>
        </w:tc>
        <w:tc>
          <w:tcPr>
            <w:tcW w:w="40" w:type="dxa"/>
            <w:vAlign w:val="bottom"/>
            <w:shd w:val="clear" w:color="auto" w:fill="F3F6F7"/>
          </w:tcPr>
          <w:p>
            <w:pPr>
              <w:spacing w:after="0"/>
              <w:rPr>
                <w:sz w:val="23"/>
                <w:szCs w:val="23"/>
                <w:color w:val="auto"/>
              </w:rPr>
            </w:pPr>
          </w:p>
        </w:tc>
        <w:tc>
          <w:tcPr>
            <w:tcW w:w="2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w:t>
            </w:r>
          </w:p>
        </w:tc>
        <w:tc>
          <w:tcPr>
            <w:tcW w:w="380" w:type="dxa"/>
            <w:vAlign w:val="bottom"/>
            <w:shd w:val="clear" w:color="auto" w:fill="F3F6F7"/>
          </w:tcPr>
          <w:p>
            <w:pPr>
              <w:spacing w:after="0"/>
              <w:rPr>
                <w:sz w:val="23"/>
                <w:szCs w:val="23"/>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Director Qualifications</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0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4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260" w:type="dxa"/>
            <w:vAlign w:val="bottom"/>
            <w:shd w:val="clear" w:color="auto" w:fill="F3F6F7"/>
          </w:tcPr>
          <w:p>
            <w:pPr>
              <w:spacing w:after="0" w:line="20" w:lineRule="exact"/>
              <w:rPr>
                <w:sz w:val="1"/>
                <w:szCs w:val="1"/>
                <w:color w:val="auto"/>
              </w:rPr>
            </w:pPr>
          </w:p>
        </w:tc>
        <w:tc>
          <w:tcPr>
            <w:tcW w:w="8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tcBorders>
              <w:right w:val="single" w:sz="8" w:color="F3F6F7"/>
            </w:tcBorders>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20" w:type="dxa"/>
            <w:vAlign w:val="bottom"/>
            <w:shd w:val="clear" w:color="auto" w:fill="F3F6F7"/>
          </w:tcPr>
          <w:p>
            <w:pPr>
              <w:spacing w:after="0" w:line="20" w:lineRule="exact"/>
              <w:rPr>
                <w:sz w:val="1"/>
                <w:szCs w:val="1"/>
                <w:color w:val="auto"/>
              </w:rPr>
            </w:pPr>
          </w:p>
        </w:tc>
        <w:tc>
          <w:tcPr>
            <w:tcW w:w="70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tcBorders>
              <w:bottom w:val="single" w:sz="8" w:color="F3F6F7"/>
            </w:tcBorders>
            <w:shd w:val="clear" w:color="auto" w:fill="F3F6F7"/>
          </w:tcPr>
          <w:p>
            <w:pPr>
              <w:spacing w:after="0"/>
              <w:rPr>
                <w:sz w:val="23"/>
                <w:szCs w:val="23"/>
                <w:color w:val="auto"/>
              </w:rPr>
            </w:pPr>
          </w:p>
        </w:tc>
        <w:tc>
          <w:tcPr>
            <w:tcW w:w="1800" w:type="dxa"/>
            <w:vAlign w:val="bottom"/>
            <w:tcBorders>
              <w:bottom w:val="single" w:sz="8" w:color="0000EE"/>
            </w:tcBorders>
            <w:gridSpan w:val="7"/>
            <w:shd w:val="clear" w:color="auto" w:fill="F3F6F7"/>
          </w:tcPr>
          <w:p>
            <w:pPr>
              <w:spacing w:after="0"/>
              <w:rPr>
                <w:sz w:val="20"/>
                <w:szCs w:val="20"/>
                <w:color w:val="auto"/>
              </w:rPr>
            </w:pPr>
            <w:r>
              <w:rPr>
                <w:rFonts w:ascii="Arial" w:cs="Arial" w:eastAsia="Arial" w:hAnsi="Arial"/>
                <w:sz w:val="13"/>
                <w:szCs w:val="13"/>
                <w:color w:val="0000EE"/>
              </w:rPr>
              <w:t>Our Board and Its Committees</w:t>
            </w:r>
          </w:p>
        </w:tc>
        <w:tc>
          <w:tcPr>
            <w:tcW w:w="2300" w:type="dxa"/>
            <w:vAlign w:val="bottom"/>
            <w:tcBorders>
              <w:bottom w:val="single" w:sz="8" w:color="F3F6F7"/>
            </w:tcBorders>
            <w:gridSpan w:val="9"/>
            <w:shd w:val="clear" w:color="auto" w:fill="F3F6F7"/>
          </w:tcPr>
          <w:p>
            <w:pPr>
              <w:spacing w:after="0"/>
              <w:rPr>
                <w:sz w:val="23"/>
                <w:szCs w:val="23"/>
                <w:color w:val="auto"/>
              </w:rPr>
            </w:pPr>
          </w:p>
        </w:tc>
        <w:tc>
          <w:tcPr>
            <w:tcW w:w="40" w:type="dxa"/>
            <w:vAlign w:val="bottom"/>
            <w:tcBorders>
              <w:bottom w:val="single" w:sz="8" w:color="F3F6F7"/>
            </w:tcBorders>
            <w:shd w:val="clear" w:color="auto" w:fill="F3F6F7"/>
          </w:tcPr>
          <w:p>
            <w:pPr>
              <w:spacing w:after="0"/>
              <w:rPr>
                <w:sz w:val="23"/>
                <w:szCs w:val="23"/>
                <w:color w:val="auto"/>
              </w:rPr>
            </w:pPr>
          </w:p>
        </w:tc>
        <w:tc>
          <w:tcPr>
            <w:tcW w:w="200" w:type="dxa"/>
            <w:vAlign w:val="bottom"/>
            <w:tcBorders>
              <w:bottom w:val="single" w:sz="8" w:color="F3F6F7"/>
            </w:tcBorders>
            <w:shd w:val="clear" w:color="auto" w:fill="F3F6F7"/>
          </w:tcPr>
          <w:p>
            <w:pPr>
              <w:spacing w:after="0"/>
              <w:rPr>
                <w:sz w:val="23"/>
                <w:szCs w:val="23"/>
                <w:color w:val="auto"/>
              </w:rPr>
            </w:pPr>
          </w:p>
        </w:tc>
        <w:tc>
          <w:tcPr>
            <w:tcW w:w="80" w:type="dxa"/>
            <w:vAlign w:val="bottom"/>
            <w:tcBorders>
              <w:bottom w:val="single" w:sz="8" w:color="F3F6F7"/>
            </w:tcBorders>
            <w:shd w:val="clear" w:color="auto" w:fill="F3F6F7"/>
          </w:tcPr>
          <w:p>
            <w:pPr>
              <w:spacing w:after="0"/>
              <w:rPr>
                <w:sz w:val="23"/>
                <w:szCs w:val="23"/>
                <w:color w:val="auto"/>
              </w:rPr>
            </w:pPr>
          </w:p>
        </w:tc>
        <w:tc>
          <w:tcPr>
            <w:tcW w:w="38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8</w:t>
            </w:r>
          </w:p>
        </w:tc>
        <w:tc>
          <w:tcPr>
            <w:tcW w:w="380" w:type="dxa"/>
            <w:vAlign w:val="bottom"/>
            <w:tcBorders>
              <w:bottom w:val="single" w:sz="8" w:color="F3F6F7"/>
            </w:tcBorders>
            <w:shd w:val="clear" w:color="auto" w:fill="F3F6F7"/>
          </w:tcPr>
          <w:p>
            <w:pPr>
              <w:spacing w:after="0"/>
              <w:rPr>
                <w:sz w:val="23"/>
                <w:szCs w:val="23"/>
                <w:color w:val="auto"/>
              </w:rPr>
            </w:pPr>
          </w:p>
        </w:tc>
        <w:tc>
          <w:tcPr>
            <w:tcW w:w="1700" w:type="dxa"/>
            <w:vAlign w:val="bottom"/>
            <w:tcBorders>
              <w:bottom w:val="single" w:sz="8" w:color="0000EE"/>
            </w:tcBorders>
            <w:gridSpan w:val="5"/>
            <w:shd w:val="clear" w:color="auto" w:fill="F3F6F7"/>
          </w:tcPr>
          <w:p>
            <w:pPr>
              <w:spacing w:after="0"/>
              <w:rPr>
                <w:sz w:val="20"/>
                <w:szCs w:val="20"/>
                <w:color w:val="auto"/>
              </w:rPr>
            </w:pPr>
            <w:r>
              <w:rPr>
                <w:rFonts w:ascii="Arial" w:cs="Arial" w:eastAsia="Arial" w:hAnsi="Arial"/>
                <w:sz w:val="13"/>
                <w:szCs w:val="13"/>
                <w:color w:val="0000EE"/>
              </w:rPr>
              <w:t>2024 Director Compensation</w:t>
            </w:r>
          </w:p>
        </w:tc>
        <w:tc>
          <w:tcPr>
            <w:tcW w:w="2220" w:type="dxa"/>
            <w:vAlign w:val="bottom"/>
            <w:tcBorders>
              <w:bottom w:val="single" w:sz="8" w:color="F3F6F7"/>
            </w:tcBorders>
            <w:gridSpan w:val="8"/>
            <w:shd w:val="clear" w:color="auto" w:fill="F3F6F7"/>
          </w:tcPr>
          <w:p>
            <w:pPr>
              <w:spacing w:after="0"/>
              <w:rPr>
                <w:sz w:val="23"/>
                <w:szCs w:val="23"/>
                <w:color w:val="auto"/>
              </w:rPr>
            </w:pPr>
          </w:p>
        </w:tc>
        <w:tc>
          <w:tcPr>
            <w:tcW w:w="700" w:type="dxa"/>
            <w:vAlign w:val="bottom"/>
            <w:tcBorders>
              <w:bottom w:val="single" w:sz="8" w:color="F3F6F7"/>
            </w:tcBorders>
            <w:shd w:val="clear" w:color="auto" w:fill="F3F6F7"/>
          </w:tcPr>
          <w:p>
            <w:pPr>
              <w:jc w:val="right"/>
              <w:ind w:right="4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4100" w:type="dxa"/>
            <w:vAlign w:val="bottom"/>
            <w:gridSpan w:val="16"/>
            <w:shd w:val="clear" w:color="auto" w:fill="F3F6F7"/>
          </w:tcPr>
          <w:p>
            <w:pPr>
              <w:spacing w:after="0"/>
              <w:rPr>
                <w:sz w:val="20"/>
                <w:szCs w:val="20"/>
                <w:color w:val="auto"/>
              </w:rPr>
            </w:pPr>
            <w:r>
              <w:rPr>
                <w:rFonts w:ascii="Arial" w:cs="Arial" w:eastAsia="Arial" w:hAnsi="Arial"/>
                <w:sz w:val="13"/>
                <w:szCs w:val="13"/>
                <w:color w:val="0000EE"/>
              </w:rPr>
              <w:t>Director Independence</w:t>
            </w:r>
          </w:p>
        </w:tc>
        <w:tc>
          <w:tcPr>
            <w:tcW w:w="40" w:type="dxa"/>
            <w:vAlign w:val="bottom"/>
            <w:shd w:val="clear" w:color="auto" w:fill="F3F6F7"/>
          </w:tcPr>
          <w:p>
            <w:pPr>
              <w:spacing w:after="0"/>
              <w:rPr>
                <w:sz w:val="23"/>
                <w:szCs w:val="23"/>
                <w:color w:val="auto"/>
              </w:rPr>
            </w:pPr>
          </w:p>
        </w:tc>
        <w:tc>
          <w:tcPr>
            <w:tcW w:w="2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8</w:t>
            </w:r>
          </w:p>
        </w:tc>
        <w:tc>
          <w:tcPr>
            <w:tcW w:w="380" w:type="dxa"/>
            <w:vAlign w:val="bottom"/>
            <w:shd w:val="clear" w:color="auto" w:fill="F3F6F7"/>
          </w:tcPr>
          <w:p>
            <w:pPr>
              <w:spacing w:after="0"/>
              <w:rPr>
                <w:sz w:val="23"/>
                <w:szCs w:val="23"/>
                <w:color w:val="auto"/>
              </w:rPr>
            </w:pPr>
          </w:p>
        </w:tc>
        <w:tc>
          <w:tcPr>
            <w:tcW w:w="660" w:type="dxa"/>
            <w:vAlign w:val="bottom"/>
            <w:shd w:val="clear" w:color="auto" w:fill="F3F6F7"/>
          </w:tcPr>
          <w:p>
            <w:pPr>
              <w:spacing w:after="0"/>
              <w:rPr>
                <w:sz w:val="23"/>
                <w:szCs w:val="23"/>
                <w:color w:val="auto"/>
              </w:rPr>
            </w:pPr>
          </w:p>
        </w:tc>
        <w:tc>
          <w:tcPr>
            <w:tcW w:w="220" w:type="dxa"/>
            <w:vAlign w:val="bottom"/>
            <w:shd w:val="clear" w:color="auto" w:fill="F3F6F7"/>
          </w:tcPr>
          <w:p>
            <w:pPr>
              <w:spacing w:after="0"/>
              <w:rPr>
                <w:sz w:val="23"/>
                <w:szCs w:val="23"/>
                <w:color w:val="auto"/>
              </w:rPr>
            </w:pPr>
          </w:p>
        </w:tc>
        <w:tc>
          <w:tcPr>
            <w:tcW w:w="420" w:type="dxa"/>
            <w:vAlign w:val="bottom"/>
            <w:shd w:val="clear" w:color="auto" w:fill="F3F6F7"/>
          </w:tcPr>
          <w:p>
            <w:pPr>
              <w:spacing w:after="0"/>
              <w:rPr>
                <w:sz w:val="23"/>
                <w:szCs w:val="23"/>
                <w:color w:val="auto"/>
              </w:rPr>
            </w:pPr>
          </w:p>
        </w:tc>
        <w:tc>
          <w:tcPr>
            <w:tcW w:w="16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260" w:type="dxa"/>
            <w:vAlign w:val="bottom"/>
            <w:shd w:val="clear" w:color="auto" w:fill="F3F6F7"/>
          </w:tcPr>
          <w:p>
            <w:pPr>
              <w:spacing w:after="0"/>
              <w:rPr>
                <w:sz w:val="23"/>
                <w:szCs w:val="23"/>
                <w:color w:val="auto"/>
              </w:rPr>
            </w:pPr>
          </w:p>
        </w:tc>
        <w:tc>
          <w:tcPr>
            <w:tcW w:w="800" w:type="dxa"/>
            <w:vAlign w:val="bottom"/>
            <w:shd w:val="clear" w:color="auto" w:fill="F3F6F7"/>
          </w:tcPr>
          <w:p>
            <w:pPr>
              <w:spacing w:after="0"/>
              <w:rPr>
                <w:sz w:val="23"/>
                <w:szCs w:val="23"/>
                <w:color w:val="auto"/>
              </w:rPr>
            </w:pPr>
          </w:p>
        </w:tc>
        <w:tc>
          <w:tcPr>
            <w:tcW w:w="3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180" w:type="dxa"/>
            <w:vAlign w:val="bottom"/>
            <w:shd w:val="clear" w:color="auto" w:fill="F3F6F7"/>
          </w:tcPr>
          <w:p>
            <w:pPr>
              <w:spacing w:after="0"/>
              <w:rPr>
                <w:sz w:val="23"/>
                <w:szCs w:val="23"/>
                <w:color w:val="auto"/>
              </w:rPr>
            </w:pPr>
          </w:p>
        </w:tc>
        <w:tc>
          <w:tcPr>
            <w:tcW w:w="200" w:type="dxa"/>
            <w:vAlign w:val="bottom"/>
            <w:tcBorders>
              <w:right w:val="single" w:sz="8" w:color="F3F6F7"/>
            </w:tcBorders>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20" w:type="dxa"/>
            <w:vAlign w:val="bottom"/>
            <w:shd w:val="clear" w:color="auto" w:fill="F3F6F7"/>
          </w:tcPr>
          <w:p>
            <w:pPr>
              <w:spacing w:after="0"/>
              <w:rPr>
                <w:sz w:val="23"/>
                <w:szCs w:val="23"/>
                <w:color w:val="auto"/>
              </w:rPr>
            </w:pPr>
          </w:p>
        </w:tc>
        <w:tc>
          <w:tcPr>
            <w:tcW w:w="700" w:type="dxa"/>
            <w:vAlign w:val="bottom"/>
            <w:shd w:val="clear" w:color="auto" w:fill="F3F6F7"/>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20" w:type="dxa"/>
            <w:vAlign w:val="bottom"/>
            <w:tcBorders>
              <w:top w:val="single" w:sz="8" w:color="0000EE"/>
            </w:tcBorders>
            <w:shd w:val="clear" w:color="auto" w:fill="F3F6F7"/>
          </w:tcPr>
          <w:p>
            <w:pPr>
              <w:spacing w:after="0"/>
              <w:rPr>
                <w:sz w:val="9"/>
                <w:szCs w:val="9"/>
                <w:color w:val="auto"/>
              </w:rPr>
            </w:pPr>
          </w:p>
        </w:tc>
        <w:tc>
          <w:tcPr>
            <w:tcW w:w="2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F3F6F7"/>
              <w:right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0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tcBorders>
            <w:shd w:val="clear" w:color="auto" w:fill="F3F6F7"/>
          </w:tcPr>
          <w:p>
            <w:pPr>
              <w:spacing w:after="0"/>
              <w:rPr>
                <w:sz w:val="9"/>
                <w:szCs w:val="9"/>
                <w:color w:val="auto"/>
              </w:rPr>
            </w:pPr>
          </w:p>
        </w:tc>
        <w:tc>
          <w:tcPr>
            <w:tcW w:w="300" w:type="dxa"/>
            <w:vAlign w:val="bottom"/>
            <w:tcBorders>
              <w:top w:val="single" w:sz="8" w:color="F3F6F7"/>
            </w:tcBorders>
            <w:shd w:val="clear" w:color="auto" w:fill="F3F6F7"/>
          </w:tcPr>
          <w:p>
            <w:pPr>
              <w:spacing w:after="0"/>
              <w:rPr>
                <w:sz w:val="9"/>
                <w:szCs w:val="9"/>
                <w:color w:val="auto"/>
              </w:rPr>
            </w:pPr>
          </w:p>
        </w:tc>
        <w:tc>
          <w:tcPr>
            <w:tcW w:w="4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380" w:type="dxa"/>
            <w:vAlign w:val="bottom"/>
            <w:tcBorders>
              <w:top w:val="single" w:sz="8" w:color="F3F6F7"/>
            </w:tcBorders>
            <w:shd w:val="clear" w:color="auto" w:fill="F3F6F7"/>
          </w:tcPr>
          <w:p>
            <w:pPr>
              <w:spacing w:after="0"/>
              <w:rPr>
                <w:sz w:val="9"/>
                <w:szCs w:val="9"/>
                <w:color w:val="auto"/>
              </w:rPr>
            </w:pPr>
          </w:p>
        </w:tc>
        <w:tc>
          <w:tcPr>
            <w:tcW w:w="38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220" w:type="dxa"/>
            <w:vAlign w:val="bottom"/>
            <w:tcBorders>
              <w:top w:val="single" w:sz="8" w:color="F3F6F7"/>
            </w:tcBorders>
            <w:shd w:val="clear" w:color="auto" w:fill="F3F6F7"/>
          </w:tcPr>
          <w:p>
            <w:pPr>
              <w:spacing w:after="0"/>
              <w:rPr>
                <w:sz w:val="9"/>
                <w:szCs w:val="9"/>
                <w:color w:val="auto"/>
              </w:rPr>
            </w:pPr>
          </w:p>
        </w:tc>
        <w:tc>
          <w:tcPr>
            <w:tcW w:w="420" w:type="dxa"/>
            <w:vAlign w:val="bottom"/>
            <w:tcBorders>
              <w:top w:val="single" w:sz="8" w:color="F3F6F7"/>
            </w:tcBorders>
            <w:shd w:val="clear" w:color="auto" w:fill="F3F6F7"/>
          </w:tcPr>
          <w:p>
            <w:pPr>
              <w:spacing w:after="0"/>
              <w:rPr>
                <w:sz w:val="9"/>
                <w:szCs w:val="9"/>
                <w:color w:val="auto"/>
              </w:rPr>
            </w:pPr>
          </w:p>
        </w:tc>
        <w:tc>
          <w:tcPr>
            <w:tcW w:w="16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260" w:type="dxa"/>
            <w:vAlign w:val="bottom"/>
            <w:tcBorders>
              <w:top w:val="single" w:sz="8" w:color="F3F6F7"/>
            </w:tcBorders>
            <w:shd w:val="clear" w:color="auto" w:fill="F3F6F7"/>
          </w:tcPr>
          <w:p>
            <w:pPr>
              <w:spacing w:after="0"/>
              <w:rPr>
                <w:sz w:val="9"/>
                <w:szCs w:val="9"/>
                <w:color w:val="auto"/>
              </w:rPr>
            </w:pPr>
          </w:p>
        </w:tc>
        <w:tc>
          <w:tcPr>
            <w:tcW w:w="800" w:type="dxa"/>
            <w:vAlign w:val="bottom"/>
            <w:tcBorders>
              <w:top w:val="single" w:sz="8" w:color="F3F6F7"/>
            </w:tcBorders>
            <w:shd w:val="clear" w:color="auto" w:fill="F3F6F7"/>
          </w:tcPr>
          <w:p>
            <w:pPr>
              <w:spacing w:after="0"/>
              <w:rPr>
                <w:sz w:val="9"/>
                <w:szCs w:val="9"/>
                <w:color w:val="auto"/>
              </w:rPr>
            </w:pPr>
          </w:p>
        </w:tc>
        <w:tc>
          <w:tcPr>
            <w:tcW w:w="3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320" w:type="dxa"/>
            <w:vAlign w:val="bottom"/>
            <w:tcBorders>
              <w:top w:val="single" w:sz="8" w:color="F3F6F7"/>
            </w:tcBorders>
            <w:shd w:val="clear" w:color="auto" w:fill="F3F6F7"/>
          </w:tcPr>
          <w:p>
            <w:pPr>
              <w:spacing w:after="0"/>
              <w:rPr>
                <w:sz w:val="9"/>
                <w:szCs w:val="9"/>
                <w:color w:val="auto"/>
              </w:rPr>
            </w:pPr>
          </w:p>
        </w:tc>
        <w:tc>
          <w:tcPr>
            <w:tcW w:w="70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00" w:type="dxa"/>
            <w:vAlign w:val="bottom"/>
            <w:gridSpan w:val="34"/>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2 ADVISORY VOTE TO APPROVE THE COMPENSATION OF OUR NAMED EXECUTIVE</w:t>
            </w:r>
          </w:p>
        </w:tc>
        <w:tc>
          <w:tcPr>
            <w:tcW w:w="700" w:type="dxa"/>
            <w:vAlign w:val="bottom"/>
            <w:vMerge w:val="restart"/>
            <w:shd w:val="clear" w:color="auto" w:fill="F3F6F7"/>
          </w:tcPr>
          <w:p>
            <w:pPr>
              <w:jc w:val="right"/>
              <w:ind w:right="41"/>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2"/>
        </w:trPr>
        <w:tc>
          <w:tcPr>
            <w:tcW w:w="120" w:type="dxa"/>
            <w:vAlign w:val="bottom"/>
            <w:tcBorders>
              <w:top w:val="single" w:sz="8" w:color="F3F6F7"/>
            </w:tcBorders>
            <w:shd w:val="clear" w:color="auto" w:fill="F3F6F7"/>
          </w:tcPr>
          <w:p>
            <w:pPr>
              <w:spacing w:after="0"/>
              <w:rPr>
                <w:sz w:val="19"/>
                <w:szCs w:val="19"/>
                <w:color w:val="auto"/>
              </w:rPr>
            </w:pPr>
          </w:p>
        </w:tc>
        <w:tc>
          <w:tcPr>
            <w:tcW w:w="4420" w:type="dxa"/>
            <w:vAlign w:val="bottom"/>
            <w:tcBorders>
              <w:top w:val="single" w:sz="8" w:color="0000EE"/>
            </w:tcBorders>
            <w:gridSpan w:val="19"/>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OFFICERS</w:t>
            </w:r>
          </w:p>
        </w:tc>
        <w:tc>
          <w:tcPr>
            <w:tcW w:w="380" w:type="dxa"/>
            <w:vAlign w:val="bottom"/>
            <w:tcBorders>
              <w:top w:val="single" w:sz="8" w:color="0000EE"/>
            </w:tcBorders>
            <w:shd w:val="clear" w:color="auto" w:fill="F3F6F7"/>
          </w:tcPr>
          <w:p>
            <w:pPr>
              <w:spacing w:after="0"/>
              <w:rPr>
                <w:sz w:val="19"/>
                <w:szCs w:val="19"/>
                <w:color w:val="auto"/>
              </w:rPr>
            </w:pPr>
          </w:p>
        </w:tc>
        <w:tc>
          <w:tcPr>
            <w:tcW w:w="380" w:type="dxa"/>
            <w:vAlign w:val="bottom"/>
            <w:tcBorders>
              <w:top w:val="single" w:sz="8" w:color="0000EE"/>
            </w:tcBorders>
            <w:shd w:val="clear" w:color="auto" w:fill="F3F6F7"/>
          </w:tcPr>
          <w:p>
            <w:pPr>
              <w:spacing w:after="0"/>
              <w:rPr>
                <w:sz w:val="19"/>
                <w:szCs w:val="19"/>
                <w:color w:val="auto"/>
              </w:rPr>
            </w:pPr>
          </w:p>
        </w:tc>
        <w:tc>
          <w:tcPr>
            <w:tcW w:w="660" w:type="dxa"/>
            <w:vAlign w:val="bottom"/>
            <w:tcBorders>
              <w:top w:val="single" w:sz="8" w:color="0000EE"/>
            </w:tcBorders>
            <w:shd w:val="clear" w:color="auto" w:fill="F3F6F7"/>
          </w:tcPr>
          <w:p>
            <w:pPr>
              <w:spacing w:after="0"/>
              <w:rPr>
                <w:sz w:val="19"/>
                <w:szCs w:val="19"/>
                <w:color w:val="auto"/>
              </w:rPr>
            </w:pPr>
          </w:p>
        </w:tc>
        <w:tc>
          <w:tcPr>
            <w:tcW w:w="220" w:type="dxa"/>
            <w:vAlign w:val="bottom"/>
            <w:tcBorders>
              <w:top w:val="single" w:sz="8" w:color="0000EE"/>
            </w:tcBorders>
            <w:shd w:val="clear" w:color="auto" w:fill="F3F6F7"/>
          </w:tcPr>
          <w:p>
            <w:pPr>
              <w:spacing w:after="0"/>
              <w:rPr>
                <w:sz w:val="19"/>
                <w:szCs w:val="19"/>
                <w:color w:val="auto"/>
              </w:rPr>
            </w:pPr>
          </w:p>
        </w:tc>
        <w:tc>
          <w:tcPr>
            <w:tcW w:w="420" w:type="dxa"/>
            <w:vAlign w:val="bottom"/>
            <w:tcBorders>
              <w:top w:val="single" w:sz="8" w:color="0000EE"/>
            </w:tcBorders>
            <w:shd w:val="clear" w:color="auto" w:fill="F3F6F7"/>
          </w:tcPr>
          <w:p>
            <w:pPr>
              <w:spacing w:after="0"/>
              <w:rPr>
                <w:sz w:val="19"/>
                <w:szCs w:val="19"/>
                <w:color w:val="auto"/>
              </w:rPr>
            </w:pPr>
          </w:p>
        </w:tc>
        <w:tc>
          <w:tcPr>
            <w:tcW w:w="160" w:type="dxa"/>
            <w:vAlign w:val="bottom"/>
            <w:tcBorders>
              <w:top w:val="single" w:sz="8" w:color="0000EE"/>
            </w:tcBorders>
            <w:shd w:val="clear" w:color="auto" w:fill="F3F6F7"/>
          </w:tcPr>
          <w:p>
            <w:pPr>
              <w:spacing w:after="0"/>
              <w:rPr>
                <w:sz w:val="19"/>
                <w:szCs w:val="19"/>
                <w:color w:val="auto"/>
              </w:rPr>
            </w:pPr>
          </w:p>
        </w:tc>
        <w:tc>
          <w:tcPr>
            <w:tcW w:w="240" w:type="dxa"/>
            <w:vAlign w:val="bottom"/>
            <w:tcBorders>
              <w:top w:val="single" w:sz="8" w:color="0000EE"/>
            </w:tcBorders>
            <w:shd w:val="clear" w:color="auto" w:fill="F3F6F7"/>
          </w:tcPr>
          <w:p>
            <w:pPr>
              <w:spacing w:after="0"/>
              <w:rPr>
                <w:sz w:val="19"/>
                <w:szCs w:val="19"/>
                <w:color w:val="auto"/>
              </w:rPr>
            </w:pPr>
          </w:p>
        </w:tc>
        <w:tc>
          <w:tcPr>
            <w:tcW w:w="260" w:type="dxa"/>
            <w:vAlign w:val="bottom"/>
            <w:tcBorders>
              <w:top w:val="single" w:sz="8" w:color="0000EE"/>
            </w:tcBorders>
            <w:shd w:val="clear" w:color="auto" w:fill="F3F6F7"/>
          </w:tcPr>
          <w:p>
            <w:pPr>
              <w:spacing w:after="0"/>
              <w:rPr>
                <w:sz w:val="19"/>
                <w:szCs w:val="19"/>
                <w:color w:val="auto"/>
              </w:rPr>
            </w:pPr>
          </w:p>
        </w:tc>
        <w:tc>
          <w:tcPr>
            <w:tcW w:w="800" w:type="dxa"/>
            <w:vAlign w:val="bottom"/>
            <w:tcBorders>
              <w:top w:val="single" w:sz="8" w:color="0000EE"/>
            </w:tcBorders>
            <w:shd w:val="clear" w:color="auto" w:fill="F3F6F7"/>
          </w:tcPr>
          <w:p>
            <w:pPr>
              <w:spacing w:after="0"/>
              <w:rPr>
                <w:sz w:val="19"/>
                <w:szCs w:val="19"/>
                <w:color w:val="auto"/>
              </w:rPr>
            </w:pPr>
          </w:p>
        </w:tc>
        <w:tc>
          <w:tcPr>
            <w:tcW w:w="300" w:type="dxa"/>
            <w:vAlign w:val="bottom"/>
            <w:tcBorders>
              <w:top w:val="single" w:sz="8" w:color="0000EE"/>
            </w:tcBorders>
            <w:shd w:val="clear" w:color="auto" w:fill="F3F6F7"/>
          </w:tcPr>
          <w:p>
            <w:pPr>
              <w:spacing w:after="0"/>
              <w:rPr>
                <w:sz w:val="19"/>
                <w:szCs w:val="19"/>
                <w:color w:val="auto"/>
              </w:rPr>
            </w:pPr>
          </w:p>
        </w:tc>
        <w:tc>
          <w:tcPr>
            <w:tcW w:w="80" w:type="dxa"/>
            <w:vAlign w:val="bottom"/>
            <w:tcBorders>
              <w:top w:val="single" w:sz="8" w:color="0000EE"/>
            </w:tcBorders>
            <w:shd w:val="clear" w:color="auto" w:fill="F3F6F7"/>
          </w:tcPr>
          <w:p>
            <w:pPr>
              <w:spacing w:after="0"/>
              <w:rPr>
                <w:sz w:val="19"/>
                <w:szCs w:val="19"/>
                <w:color w:val="auto"/>
              </w:rPr>
            </w:pPr>
          </w:p>
        </w:tc>
        <w:tc>
          <w:tcPr>
            <w:tcW w:w="180" w:type="dxa"/>
            <w:vAlign w:val="bottom"/>
            <w:tcBorders>
              <w:top w:val="single" w:sz="8" w:color="0000EE"/>
            </w:tcBorders>
            <w:shd w:val="clear" w:color="auto" w:fill="F3F6F7"/>
          </w:tcPr>
          <w:p>
            <w:pPr>
              <w:spacing w:after="0"/>
              <w:rPr>
                <w:sz w:val="19"/>
                <w:szCs w:val="19"/>
                <w:color w:val="auto"/>
              </w:rPr>
            </w:pPr>
          </w:p>
        </w:tc>
        <w:tc>
          <w:tcPr>
            <w:tcW w:w="200" w:type="dxa"/>
            <w:vAlign w:val="bottom"/>
            <w:tcBorders>
              <w:top w:val="single" w:sz="8" w:color="F3F6F7"/>
              <w:right w:val="single" w:sz="8" w:color="F3F6F7"/>
            </w:tcBorders>
            <w:shd w:val="clear" w:color="auto" w:fill="F3F6F7"/>
          </w:tcPr>
          <w:p>
            <w:pPr>
              <w:spacing w:after="0"/>
              <w:rPr>
                <w:sz w:val="19"/>
                <w:szCs w:val="19"/>
                <w:color w:val="auto"/>
              </w:rPr>
            </w:pPr>
          </w:p>
        </w:tc>
        <w:tc>
          <w:tcPr>
            <w:tcW w:w="80" w:type="dxa"/>
            <w:vAlign w:val="bottom"/>
            <w:tcBorders>
              <w:top w:val="single" w:sz="8" w:color="F3F6F7"/>
            </w:tcBorders>
            <w:shd w:val="clear" w:color="auto" w:fill="F3F6F7"/>
          </w:tcPr>
          <w:p>
            <w:pPr>
              <w:spacing w:after="0"/>
              <w:rPr>
                <w:sz w:val="19"/>
                <w:szCs w:val="19"/>
                <w:color w:val="auto"/>
              </w:rPr>
            </w:pPr>
          </w:p>
        </w:tc>
        <w:tc>
          <w:tcPr>
            <w:tcW w:w="320" w:type="dxa"/>
            <w:vAlign w:val="bottom"/>
            <w:tcBorders>
              <w:top w:val="single" w:sz="8" w:color="F3F6F7"/>
            </w:tcBorders>
            <w:shd w:val="clear" w:color="auto" w:fill="F3F6F7"/>
          </w:tcPr>
          <w:p>
            <w:pPr>
              <w:spacing w:after="0"/>
              <w:rPr>
                <w:sz w:val="19"/>
                <w:szCs w:val="19"/>
                <w:color w:val="auto"/>
              </w:rPr>
            </w:pPr>
          </w:p>
        </w:tc>
        <w:tc>
          <w:tcPr>
            <w:tcW w:w="700" w:type="dxa"/>
            <w:vAlign w:val="bottom"/>
            <w:tcBorders>
              <w:top w:val="single" w:sz="8" w:color="F3F6F7"/>
            </w:tcBorders>
            <w:vMerge w:val="continue"/>
            <w:shd w:val="clear" w:color="auto" w:fill="F3F6F7"/>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2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26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6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0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4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80" w:type="dxa"/>
            <w:vAlign w:val="bottom"/>
            <w:tcBorders>
              <w:top w:val="single" w:sz="8" w:color="F3F6F7"/>
            </w:tcBorders>
          </w:tcPr>
          <w:p>
            <w:pPr>
              <w:spacing w:after="0"/>
              <w:rPr>
                <w:sz w:val="11"/>
                <w:szCs w:val="11"/>
                <w:color w:val="auto"/>
              </w:rPr>
            </w:pPr>
          </w:p>
        </w:tc>
        <w:tc>
          <w:tcPr>
            <w:tcW w:w="38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42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260" w:type="dxa"/>
            <w:vAlign w:val="bottom"/>
            <w:tcBorders>
              <w:top w:val="single" w:sz="8" w:color="F3F6F7"/>
            </w:tcBorders>
          </w:tcPr>
          <w:p>
            <w:pPr>
              <w:spacing w:after="0"/>
              <w:rPr>
                <w:sz w:val="11"/>
                <w:szCs w:val="11"/>
                <w:color w:val="auto"/>
              </w:rPr>
            </w:pPr>
          </w:p>
        </w:tc>
        <w:tc>
          <w:tcPr>
            <w:tcW w:w="8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20" w:type="dxa"/>
            <w:vAlign w:val="bottom"/>
            <w:tcBorders>
              <w:top w:val="single" w:sz="8" w:color="F3F6F7"/>
            </w:tcBorders>
          </w:tcPr>
          <w:p>
            <w:pPr>
              <w:spacing w:after="0"/>
              <w:rPr>
                <w:sz w:val="11"/>
                <w:szCs w:val="11"/>
                <w:color w:val="auto"/>
              </w:rPr>
            </w:pPr>
          </w:p>
        </w:tc>
        <w:tc>
          <w:tcPr>
            <w:tcW w:w="70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F3F6F7"/>
            </w:tcBorders>
            <w:shd w:val="clear" w:color="auto" w:fill="F3F6F7"/>
          </w:tcPr>
          <w:p>
            <w:pPr>
              <w:spacing w:after="0"/>
              <w:rPr>
                <w:sz w:val="14"/>
                <w:szCs w:val="14"/>
                <w:color w:val="auto"/>
              </w:rPr>
            </w:pPr>
          </w:p>
        </w:tc>
        <w:tc>
          <w:tcPr>
            <w:tcW w:w="1880" w:type="dxa"/>
            <w:vAlign w:val="bottom"/>
            <w:tcBorders>
              <w:bottom w:val="single" w:sz="8" w:color="0000EE"/>
            </w:tcBorders>
            <w:gridSpan w:val="8"/>
            <w:shd w:val="clear" w:color="auto" w:fill="F3F6F7"/>
          </w:tcPr>
          <w:p>
            <w:pPr>
              <w:spacing w:after="0"/>
              <w:rPr>
                <w:sz w:val="20"/>
                <w:szCs w:val="20"/>
                <w:color w:val="auto"/>
              </w:rPr>
            </w:pPr>
            <w:r>
              <w:rPr>
                <w:rFonts w:ascii="Arial" w:cs="Arial" w:eastAsia="Arial" w:hAnsi="Arial"/>
                <w:sz w:val="13"/>
                <w:szCs w:val="13"/>
                <w:b w:val="1"/>
                <w:bCs w:val="1"/>
                <w:color w:val="0000EE"/>
              </w:rPr>
              <w:t>EXECUTIVE COMPENSATION</w:t>
            </w:r>
          </w:p>
        </w:tc>
        <w:tc>
          <w:tcPr>
            <w:tcW w:w="2220" w:type="dxa"/>
            <w:vAlign w:val="bottom"/>
            <w:tcBorders>
              <w:bottom w:val="single" w:sz="8" w:color="F3F6F7"/>
            </w:tcBorders>
            <w:gridSpan w:val="8"/>
            <w:shd w:val="clear" w:color="auto" w:fill="F3F6F7"/>
          </w:tcPr>
          <w:p>
            <w:pPr>
              <w:spacing w:after="0"/>
              <w:rPr>
                <w:sz w:val="14"/>
                <w:szCs w:val="14"/>
                <w:color w:val="auto"/>
              </w:rPr>
            </w:pPr>
          </w:p>
        </w:tc>
        <w:tc>
          <w:tcPr>
            <w:tcW w:w="40" w:type="dxa"/>
            <w:vAlign w:val="bottom"/>
            <w:tcBorders>
              <w:bottom w:val="single" w:sz="8" w:color="F3F6F7"/>
            </w:tcBorders>
            <w:shd w:val="clear" w:color="auto" w:fill="F3F6F7"/>
          </w:tcPr>
          <w:p>
            <w:pPr>
              <w:spacing w:after="0"/>
              <w:rPr>
                <w:sz w:val="14"/>
                <w:szCs w:val="14"/>
                <w:color w:val="auto"/>
              </w:rPr>
            </w:pPr>
          </w:p>
        </w:tc>
        <w:tc>
          <w:tcPr>
            <w:tcW w:w="200" w:type="dxa"/>
            <w:vAlign w:val="bottom"/>
            <w:tcBorders>
              <w:bottom w:val="single" w:sz="8" w:color="F3F6F7"/>
            </w:tcBorders>
            <w:shd w:val="clear" w:color="auto" w:fill="F3F6F7"/>
          </w:tcPr>
          <w:p>
            <w:pPr>
              <w:spacing w:after="0"/>
              <w:rPr>
                <w:sz w:val="14"/>
                <w:szCs w:val="14"/>
                <w:color w:val="auto"/>
              </w:rPr>
            </w:pPr>
          </w:p>
        </w:tc>
        <w:tc>
          <w:tcPr>
            <w:tcW w:w="80" w:type="dxa"/>
            <w:vAlign w:val="bottom"/>
            <w:tcBorders>
              <w:bottom w:val="single" w:sz="8" w:color="F3F6F7"/>
            </w:tcBorders>
            <w:shd w:val="clear" w:color="auto" w:fill="F3F6F7"/>
          </w:tcPr>
          <w:p>
            <w:pPr>
              <w:spacing w:after="0"/>
              <w:rPr>
                <w:sz w:val="14"/>
                <w:szCs w:val="14"/>
                <w:color w:val="auto"/>
              </w:rPr>
            </w:pPr>
          </w:p>
        </w:tc>
        <w:tc>
          <w:tcPr>
            <w:tcW w:w="38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18</w:t>
            </w:r>
          </w:p>
        </w:tc>
        <w:tc>
          <w:tcPr>
            <w:tcW w:w="380" w:type="dxa"/>
            <w:vAlign w:val="bottom"/>
            <w:tcBorders>
              <w:bottom w:val="single" w:sz="8" w:color="F3F6F7"/>
            </w:tcBorders>
            <w:shd w:val="clear" w:color="auto" w:fill="F3F6F7"/>
          </w:tcPr>
          <w:p>
            <w:pPr>
              <w:spacing w:after="0"/>
              <w:rPr>
                <w:sz w:val="14"/>
                <w:szCs w:val="14"/>
                <w:color w:val="auto"/>
              </w:rPr>
            </w:pPr>
          </w:p>
        </w:tc>
        <w:tc>
          <w:tcPr>
            <w:tcW w:w="660" w:type="dxa"/>
            <w:vAlign w:val="bottom"/>
            <w:tcBorders>
              <w:bottom w:val="single" w:sz="8" w:color="F3F6F7"/>
            </w:tcBorders>
            <w:shd w:val="clear" w:color="auto" w:fill="F3F6F7"/>
          </w:tcPr>
          <w:p>
            <w:pPr>
              <w:spacing w:after="0"/>
              <w:rPr>
                <w:sz w:val="14"/>
                <w:szCs w:val="14"/>
                <w:color w:val="auto"/>
              </w:rPr>
            </w:pPr>
          </w:p>
        </w:tc>
        <w:tc>
          <w:tcPr>
            <w:tcW w:w="220" w:type="dxa"/>
            <w:vAlign w:val="bottom"/>
            <w:tcBorders>
              <w:bottom w:val="single" w:sz="8" w:color="F3F6F7"/>
            </w:tcBorders>
            <w:shd w:val="clear" w:color="auto" w:fill="F3F6F7"/>
          </w:tcPr>
          <w:p>
            <w:pPr>
              <w:spacing w:after="0"/>
              <w:rPr>
                <w:sz w:val="14"/>
                <w:szCs w:val="14"/>
                <w:color w:val="auto"/>
              </w:rPr>
            </w:pPr>
          </w:p>
        </w:tc>
        <w:tc>
          <w:tcPr>
            <w:tcW w:w="420" w:type="dxa"/>
            <w:vAlign w:val="bottom"/>
            <w:tcBorders>
              <w:bottom w:val="single" w:sz="8" w:color="F3F6F7"/>
            </w:tcBorders>
            <w:shd w:val="clear" w:color="auto" w:fill="F3F6F7"/>
          </w:tcPr>
          <w:p>
            <w:pPr>
              <w:spacing w:after="0"/>
              <w:rPr>
                <w:sz w:val="14"/>
                <w:szCs w:val="14"/>
                <w:color w:val="auto"/>
              </w:rPr>
            </w:pPr>
          </w:p>
        </w:tc>
        <w:tc>
          <w:tcPr>
            <w:tcW w:w="160" w:type="dxa"/>
            <w:vAlign w:val="bottom"/>
            <w:tcBorders>
              <w:bottom w:val="single" w:sz="8" w:color="F3F6F7"/>
            </w:tcBorders>
            <w:shd w:val="clear" w:color="auto" w:fill="F3F6F7"/>
          </w:tcPr>
          <w:p>
            <w:pPr>
              <w:spacing w:after="0"/>
              <w:rPr>
                <w:sz w:val="14"/>
                <w:szCs w:val="14"/>
                <w:color w:val="auto"/>
              </w:rPr>
            </w:pPr>
          </w:p>
        </w:tc>
        <w:tc>
          <w:tcPr>
            <w:tcW w:w="240" w:type="dxa"/>
            <w:vAlign w:val="bottom"/>
            <w:tcBorders>
              <w:bottom w:val="single" w:sz="8" w:color="F3F6F7"/>
            </w:tcBorders>
            <w:shd w:val="clear" w:color="auto" w:fill="F3F6F7"/>
          </w:tcPr>
          <w:p>
            <w:pPr>
              <w:spacing w:after="0"/>
              <w:rPr>
                <w:sz w:val="14"/>
                <w:szCs w:val="14"/>
                <w:color w:val="auto"/>
              </w:rPr>
            </w:pPr>
          </w:p>
        </w:tc>
        <w:tc>
          <w:tcPr>
            <w:tcW w:w="260" w:type="dxa"/>
            <w:vAlign w:val="bottom"/>
            <w:tcBorders>
              <w:bottom w:val="single" w:sz="8" w:color="F3F6F7"/>
            </w:tcBorders>
            <w:shd w:val="clear" w:color="auto" w:fill="F3F6F7"/>
          </w:tcPr>
          <w:p>
            <w:pPr>
              <w:spacing w:after="0"/>
              <w:rPr>
                <w:sz w:val="14"/>
                <w:szCs w:val="14"/>
                <w:color w:val="auto"/>
              </w:rPr>
            </w:pPr>
          </w:p>
        </w:tc>
        <w:tc>
          <w:tcPr>
            <w:tcW w:w="800" w:type="dxa"/>
            <w:vAlign w:val="bottom"/>
            <w:tcBorders>
              <w:bottom w:val="single" w:sz="8" w:color="F3F6F7"/>
            </w:tcBorders>
            <w:shd w:val="clear" w:color="auto" w:fill="F3F6F7"/>
          </w:tcPr>
          <w:p>
            <w:pPr>
              <w:spacing w:after="0"/>
              <w:rPr>
                <w:sz w:val="14"/>
                <w:szCs w:val="14"/>
                <w:color w:val="auto"/>
              </w:rPr>
            </w:pPr>
          </w:p>
        </w:tc>
        <w:tc>
          <w:tcPr>
            <w:tcW w:w="300" w:type="dxa"/>
            <w:vAlign w:val="bottom"/>
            <w:tcBorders>
              <w:bottom w:val="single" w:sz="8" w:color="F3F6F7"/>
            </w:tcBorders>
            <w:shd w:val="clear" w:color="auto" w:fill="F3F6F7"/>
          </w:tcPr>
          <w:p>
            <w:pPr>
              <w:spacing w:after="0"/>
              <w:rPr>
                <w:sz w:val="14"/>
                <w:szCs w:val="14"/>
                <w:color w:val="auto"/>
              </w:rPr>
            </w:pPr>
          </w:p>
        </w:tc>
        <w:tc>
          <w:tcPr>
            <w:tcW w:w="80" w:type="dxa"/>
            <w:vAlign w:val="bottom"/>
            <w:tcBorders>
              <w:bottom w:val="single" w:sz="8" w:color="F3F6F7"/>
            </w:tcBorders>
            <w:shd w:val="clear" w:color="auto" w:fill="F3F6F7"/>
          </w:tcPr>
          <w:p>
            <w:pPr>
              <w:spacing w:after="0"/>
              <w:rPr>
                <w:sz w:val="14"/>
                <w:szCs w:val="14"/>
                <w:color w:val="auto"/>
              </w:rPr>
            </w:pPr>
          </w:p>
        </w:tc>
        <w:tc>
          <w:tcPr>
            <w:tcW w:w="180" w:type="dxa"/>
            <w:vAlign w:val="bottom"/>
            <w:tcBorders>
              <w:bottom w:val="single" w:sz="8" w:color="F3F6F7"/>
            </w:tcBorders>
            <w:shd w:val="clear" w:color="auto" w:fill="F3F6F7"/>
          </w:tcPr>
          <w:p>
            <w:pPr>
              <w:spacing w:after="0"/>
              <w:rPr>
                <w:sz w:val="14"/>
                <w:szCs w:val="14"/>
                <w:color w:val="auto"/>
              </w:rPr>
            </w:pPr>
          </w:p>
        </w:tc>
        <w:tc>
          <w:tcPr>
            <w:tcW w:w="200" w:type="dxa"/>
            <w:vAlign w:val="bottom"/>
            <w:tcBorders>
              <w:bottom w:val="single" w:sz="8" w:color="F3F6F7"/>
              <w:right w:val="single" w:sz="8" w:color="F3F6F7"/>
            </w:tcBorders>
            <w:shd w:val="clear" w:color="auto" w:fill="F3F6F7"/>
          </w:tcPr>
          <w:p>
            <w:pPr>
              <w:spacing w:after="0"/>
              <w:rPr>
                <w:sz w:val="14"/>
                <w:szCs w:val="14"/>
                <w:color w:val="auto"/>
              </w:rPr>
            </w:pPr>
          </w:p>
        </w:tc>
        <w:tc>
          <w:tcPr>
            <w:tcW w:w="80" w:type="dxa"/>
            <w:vAlign w:val="bottom"/>
            <w:tcBorders>
              <w:bottom w:val="single" w:sz="8" w:color="F3F6F7"/>
            </w:tcBorders>
            <w:shd w:val="clear" w:color="auto" w:fill="F3F6F7"/>
          </w:tcPr>
          <w:p>
            <w:pPr>
              <w:spacing w:after="0"/>
              <w:rPr>
                <w:sz w:val="14"/>
                <w:szCs w:val="14"/>
                <w:color w:val="auto"/>
              </w:rPr>
            </w:pPr>
          </w:p>
        </w:tc>
        <w:tc>
          <w:tcPr>
            <w:tcW w:w="320" w:type="dxa"/>
            <w:vAlign w:val="bottom"/>
            <w:tcBorders>
              <w:bottom w:val="single" w:sz="8" w:color="F3F6F7"/>
            </w:tcBorders>
            <w:shd w:val="clear" w:color="auto" w:fill="F3F6F7"/>
          </w:tcPr>
          <w:p>
            <w:pPr>
              <w:spacing w:after="0"/>
              <w:rPr>
                <w:sz w:val="14"/>
                <w:szCs w:val="14"/>
                <w:color w:val="auto"/>
              </w:rPr>
            </w:pPr>
          </w:p>
        </w:tc>
        <w:tc>
          <w:tcPr>
            <w:tcW w:w="700" w:type="dxa"/>
            <w:vAlign w:val="bottom"/>
            <w:tcBorders>
              <w:bottom w:val="single" w:sz="8" w:color="F3F6F7"/>
            </w:tcBorders>
            <w:shd w:val="clear" w:color="auto" w:fill="F3F6F7"/>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2340" w:type="dxa"/>
            <w:vAlign w:val="bottom"/>
            <w:gridSpan w:val="12"/>
            <w:shd w:val="clear" w:color="auto" w:fill="F3F6F7"/>
          </w:tcPr>
          <w:p>
            <w:pPr>
              <w:spacing w:after="0"/>
              <w:rPr>
                <w:sz w:val="20"/>
                <w:szCs w:val="20"/>
                <w:color w:val="auto"/>
              </w:rPr>
            </w:pPr>
            <w:r>
              <w:rPr>
                <w:rFonts w:ascii="Arial" w:cs="Arial" w:eastAsia="Arial" w:hAnsi="Arial"/>
                <w:sz w:val="13"/>
                <w:szCs w:val="13"/>
                <w:color w:val="0000EE"/>
              </w:rPr>
              <w:t>Compensation Discussion and Analysis</w:t>
            </w:r>
          </w:p>
        </w:tc>
        <w:tc>
          <w:tcPr>
            <w:tcW w:w="1760" w:type="dxa"/>
            <w:vAlign w:val="bottom"/>
            <w:gridSpan w:val="4"/>
            <w:shd w:val="clear" w:color="auto" w:fill="F3F6F7"/>
          </w:tcPr>
          <w:p>
            <w:pPr>
              <w:spacing w:after="0"/>
              <w:rPr>
                <w:sz w:val="23"/>
                <w:szCs w:val="23"/>
                <w:color w:val="auto"/>
              </w:rPr>
            </w:pPr>
          </w:p>
        </w:tc>
        <w:tc>
          <w:tcPr>
            <w:tcW w:w="40" w:type="dxa"/>
            <w:vAlign w:val="bottom"/>
            <w:shd w:val="clear" w:color="auto" w:fill="F3F6F7"/>
          </w:tcPr>
          <w:p>
            <w:pPr>
              <w:spacing w:after="0"/>
              <w:rPr>
                <w:sz w:val="23"/>
                <w:szCs w:val="23"/>
                <w:color w:val="auto"/>
              </w:rPr>
            </w:pPr>
          </w:p>
        </w:tc>
        <w:tc>
          <w:tcPr>
            <w:tcW w:w="2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18</w:t>
            </w:r>
          </w:p>
        </w:tc>
        <w:tc>
          <w:tcPr>
            <w:tcW w:w="380" w:type="dxa"/>
            <w:vAlign w:val="bottom"/>
            <w:shd w:val="clear" w:color="auto" w:fill="F3F6F7"/>
          </w:tcPr>
          <w:p>
            <w:pPr>
              <w:spacing w:after="0"/>
              <w:rPr>
                <w:sz w:val="23"/>
                <w:szCs w:val="23"/>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2024 Option Exercises and Stock Vested Table</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4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tcBorders>
              <w:right w:val="single" w:sz="8" w:color="F3F6F7"/>
            </w:tcBorders>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20" w:type="dxa"/>
            <w:vAlign w:val="bottom"/>
            <w:shd w:val="clear" w:color="auto" w:fill="F3F6F7"/>
          </w:tcPr>
          <w:p>
            <w:pPr>
              <w:spacing w:after="0" w:line="20" w:lineRule="exact"/>
              <w:rPr>
                <w:sz w:val="1"/>
                <w:szCs w:val="1"/>
                <w:color w:val="auto"/>
              </w:rPr>
            </w:pPr>
          </w:p>
        </w:tc>
        <w:tc>
          <w:tcPr>
            <w:tcW w:w="70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1980" w:type="dxa"/>
            <w:vAlign w:val="bottom"/>
            <w:gridSpan w:val="9"/>
            <w:shd w:val="clear" w:color="auto" w:fill="F3F6F7"/>
          </w:tcPr>
          <w:p>
            <w:pPr>
              <w:spacing w:after="0"/>
              <w:rPr>
                <w:sz w:val="20"/>
                <w:szCs w:val="20"/>
                <w:color w:val="auto"/>
              </w:rPr>
            </w:pPr>
            <w:r>
              <w:rPr>
                <w:rFonts w:ascii="Arial" w:cs="Arial" w:eastAsia="Arial" w:hAnsi="Arial"/>
                <w:sz w:val="13"/>
                <w:szCs w:val="13"/>
                <w:color w:val="0000EE"/>
              </w:rPr>
              <w:t>Compensation Committee Report</w:t>
            </w:r>
          </w:p>
        </w:tc>
        <w:tc>
          <w:tcPr>
            <w:tcW w:w="360" w:type="dxa"/>
            <w:vAlign w:val="bottom"/>
            <w:gridSpan w:val="3"/>
            <w:shd w:val="clear" w:color="auto" w:fill="F3F6F7"/>
          </w:tcPr>
          <w:p>
            <w:pPr>
              <w:spacing w:after="0"/>
              <w:rPr>
                <w:sz w:val="23"/>
                <w:szCs w:val="23"/>
                <w:color w:val="auto"/>
              </w:rPr>
            </w:pPr>
          </w:p>
        </w:tc>
        <w:tc>
          <w:tcPr>
            <w:tcW w:w="1760" w:type="dxa"/>
            <w:vAlign w:val="bottom"/>
            <w:gridSpan w:val="4"/>
            <w:shd w:val="clear" w:color="auto" w:fill="F3F6F7"/>
          </w:tcPr>
          <w:p>
            <w:pPr>
              <w:spacing w:after="0"/>
              <w:rPr>
                <w:sz w:val="23"/>
                <w:szCs w:val="23"/>
                <w:color w:val="auto"/>
              </w:rPr>
            </w:pPr>
          </w:p>
        </w:tc>
        <w:tc>
          <w:tcPr>
            <w:tcW w:w="40" w:type="dxa"/>
            <w:vAlign w:val="bottom"/>
            <w:shd w:val="clear" w:color="auto" w:fill="F3F6F7"/>
          </w:tcPr>
          <w:p>
            <w:pPr>
              <w:spacing w:after="0"/>
              <w:rPr>
                <w:sz w:val="23"/>
                <w:szCs w:val="23"/>
                <w:color w:val="auto"/>
              </w:rPr>
            </w:pPr>
          </w:p>
        </w:tc>
        <w:tc>
          <w:tcPr>
            <w:tcW w:w="2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28</w:t>
            </w:r>
          </w:p>
        </w:tc>
        <w:tc>
          <w:tcPr>
            <w:tcW w:w="380" w:type="dxa"/>
            <w:vAlign w:val="bottom"/>
            <w:shd w:val="clear" w:color="auto" w:fill="F3F6F7"/>
          </w:tcPr>
          <w:p>
            <w:pPr>
              <w:spacing w:after="0"/>
              <w:rPr>
                <w:sz w:val="23"/>
                <w:szCs w:val="23"/>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Potential Payments Upon Termination or Change in Control</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0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4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F3F6F7"/>
            </w:tcBorders>
            <w:shd w:val="clear" w:color="auto" w:fill="0000EE"/>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20" w:type="dxa"/>
            <w:vAlign w:val="bottom"/>
            <w:shd w:val="clear" w:color="auto" w:fill="F3F6F7"/>
          </w:tcPr>
          <w:p>
            <w:pPr>
              <w:spacing w:after="0" w:line="20" w:lineRule="exact"/>
              <w:rPr>
                <w:sz w:val="1"/>
                <w:szCs w:val="1"/>
                <w:color w:val="auto"/>
              </w:rPr>
            </w:pPr>
          </w:p>
        </w:tc>
        <w:tc>
          <w:tcPr>
            <w:tcW w:w="70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2160" w:type="dxa"/>
            <w:vAlign w:val="bottom"/>
            <w:gridSpan w:val="11"/>
            <w:shd w:val="clear" w:color="auto" w:fill="F3F6F7"/>
          </w:tcPr>
          <w:p>
            <w:pPr>
              <w:spacing w:after="0"/>
              <w:rPr>
                <w:sz w:val="20"/>
                <w:szCs w:val="20"/>
                <w:color w:val="auto"/>
              </w:rPr>
            </w:pPr>
            <w:r>
              <w:rPr>
                <w:rFonts w:ascii="Arial" w:cs="Arial" w:eastAsia="Arial" w:hAnsi="Arial"/>
                <w:sz w:val="13"/>
                <w:szCs w:val="13"/>
                <w:color w:val="0000EE"/>
              </w:rPr>
              <w:t>2024 Summary Compensation Table</w:t>
            </w:r>
          </w:p>
        </w:tc>
        <w:tc>
          <w:tcPr>
            <w:tcW w:w="1940" w:type="dxa"/>
            <w:vAlign w:val="bottom"/>
            <w:gridSpan w:val="5"/>
            <w:shd w:val="clear" w:color="auto" w:fill="F3F6F7"/>
          </w:tcPr>
          <w:p>
            <w:pPr>
              <w:spacing w:after="0"/>
              <w:rPr>
                <w:sz w:val="23"/>
                <w:szCs w:val="23"/>
                <w:color w:val="auto"/>
              </w:rPr>
            </w:pPr>
          </w:p>
        </w:tc>
        <w:tc>
          <w:tcPr>
            <w:tcW w:w="40" w:type="dxa"/>
            <w:vAlign w:val="bottom"/>
            <w:shd w:val="clear" w:color="auto" w:fill="F3F6F7"/>
          </w:tcPr>
          <w:p>
            <w:pPr>
              <w:spacing w:after="0"/>
              <w:rPr>
                <w:sz w:val="23"/>
                <w:szCs w:val="23"/>
                <w:color w:val="auto"/>
              </w:rPr>
            </w:pPr>
          </w:p>
        </w:tc>
        <w:tc>
          <w:tcPr>
            <w:tcW w:w="2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28</w:t>
            </w:r>
          </w:p>
        </w:tc>
        <w:tc>
          <w:tcPr>
            <w:tcW w:w="380" w:type="dxa"/>
            <w:vAlign w:val="bottom"/>
            <w:shd w:val="clear" w:color="auto" w:fill="F3F6F7"/>
          </w:tcPr>
          <w:p>
            <w:pPr>
              <w:spacing w:after="0"/>
              <w:rPr>
                <w:sz w:val="23"/>
                <w:szCs w:val="23"/>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Chief Executive Officer Pay Ratio</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67"/>
        </w:trPr>
        <w:tc>
          <w:tcPr>
            <w:tcW w:w="120" w:type="dxa"/>
            <w:vAlign w:val="bottom"/>
            <w:tcBorders>
              <w:top w:val="single" w:sz="8" w:color="F3F6F7"/>
            </w:tcBorders>
            <w:shd w:val="clear" w:color="auto" w:fill="F3F6F7"/>
          </w:tcPr>
          <w:p>
            <w:pPr>
              <w:spacing w:after="0"/>
              <w:rPr>
                <w:sz w:val="23"/>
                <w:szCs w:val="23"/>
                <w:color w:val="auto"/>
              </w:rPr>
            </w:pPr>
          </w:p>
        </w:tc>
        <w:tc>
          <w:tcPr>
            <w:tcW w:w="2160" w:type="dxa"/>
            <w:vAlign w:val="bottom"/>
            <w:tcBorders>
              <w:top w:val="single" w:sz="8" w:color="0000EE"/>
            </w:tcBorders>
            <w:gridSpan w:val="11"/>
            <w:shd w:val="clear" w:color="auto" w:fill="F3F6F7"/>
          </w:tcPr>
          <w:p>
            <w:pPr>
              <w:spacing w:after="0"/>
              <w:rPr>
                <w:sz w:val="20"/>
                <w:szCs w:val="20"/>
                <w:color w:val="auto"/>
              </w:rPr>
            </w:pPr>
            <w:r>
              <w:rPr>
                <w:rFonts w:ascii="Arial" w:cs="Arial" w:eastAsia="Arial" w:hAnsi="Arial"/>
                <w:sz w:val="13"/>
                <w:szCs w:val="13"/>
                <w:color w:val="0000EE"/>
              </w:rPr>
              <w:t>2024 Grants of Plan-Based Awards</w:t>
            </w:r>
          </w:p>
        </w:tc>
        <w:tc>
          <w:tcPr>
            <w:tcW w:w="1940" w:type="dxa"/>
            <w:vAlign w:val="bottom"/>
            <w:tcBorders>
              <w:top w:val="single" w:sz="8" w:color="F3F6F7"/>
            </w:tcBorders>
            <w:gridSpan w:val="5"/>
            <w:shd w:val="clear" w:color="auto" w:fill="F3F6F7"/>
          </w:tcPr>
          <w:p>
            <w:pPr>
              <w:spacing w:after="0"/>
              <w:rPr>
                <w:sz w:val="23"/>
                <w:szCs w:val="23"/>
                <w:color w:val="auto"/>
              </w:rPr>
            </w:pPr>
          </w:p>
        </w:tc>
        <w:tc>
          <w:tcPr>
            <w:tcW w:w="40" w:type="dxa"/>
            <w:vAlign w:val="bottom"/>
            <w:tcBorders>
              <w:top w:val="single" w:sz="8" w:color="F3F6F7"/>
            </w:tcBorders>
            <w:shd w:val="clear" w:color="auto" w:fill="F3F6F7"/>
          </w:tcPr>
          <w:p>
            <w:pPr>
              <w:spacing w:after="0"/>
              <w:rPr>
                <w:sz w:val="23"/>
                <w:szCs w:val="23"/>
                <w:color w:val="auto"/>
              </w:rPr>
            </w:pPr>
          </w:p>
        </w:tc>
        <w:tc>
          <w:tcPr>
            <w:tcW w:w="200" w:type="dxa"/>
            <w:vAlign w:val="bottom"/>
            <w:tcBorders>
              <w:top w:val="single" w:sz="8" w:color="F3F6F7"/>
            </w:tcBorders>
            <w:shd w:val="clear" w:color="auto" w:fill="F3F6F7"/>
          </w:tcPr>
          <w:p>
            <w:pPr>
              <w:spacing w:after="0"/>
              <w:rPr>
                <w:sz w:val="23"/>
                <w:szCs w:val="23"/>
                <w:color w:val="auto"/>
              </w:rPr>
            </w:pPr>
          </w:p>
        </w:tc>
        <w:tc>
          <w:tcPr>
            <w:tcW w:w="80" w:type="dxa"/>
            <w:vAlign w:val="bottom"/>
            <w:tcBorders>
              <w:top w:val="single" w:sz="8" w:color="F3F6F7"/>
            </w:tcBorders>
            <w:shd w:val="clear" w:color="auto" w:fill="F3F6F7"/>
          </w:tcPr>
          <w:p>
            <w:pPr>
              <w:spacing w:after="0"/>
              <w:rPr>
                <w:sz w:val="23"/>
                <w:szCs w:val="23"/>
                <w:color w:val="auto"/>
              </w:rPr>
            </w:pPr>
          </w:p>
        </w:tc>
        <w:tc>
          <w:tcPr>
            <w:tcW w:w="380" w:type="dxa"/>
            <w:vAlign w:val="bottom"/>
            <w:tcBorders>
              <w:top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29</w:t>
            </w:r>
          </w:p>
        </w:tc>
        <w:tc>
          <w:tcPr>
            <w:tcW w:w="380" w:type="dxa"/>
            <w:vAlign w:val="bottom"/>
            <w:tcBorders>
              <w:top w:val="single" w:sz="8" w:color="F3F6F7"/>
            </w:tcBorders>
            <w:shd w:val="clear" w:color="auto" w:fill="F3F6F7"/>
          </w:tcPr>
          <w:p>
            <w:pPr>
              <w:spacing w:after="0"/>
              <w:rPr>
                <w:sz w:val="23"/>
                <w:szCs w:val="23"/>
                <w:color w:val="auto"/>
              </w:rPr>
            </w:pPr>
          </w:p>
        </w:tc>
        <w:tc>
          <w:tcPr>
            <w:tcW w:w="1960" w:type="dxa"/>
            <w:vAlign w:val="bottom"/>
            <w:tcBorders>
              <w:top w:val="single" w:sz="8" w:color="0000EE"/>
            </w:tcBorders>
            <w:gridSpan w:val="6"/>
            <w:shd w:val="clear" w:color="auto" w:fill="F3F6F7"/>
          </w:tcPr>
          <w:p>
            <w:pPr>
              <w:spacing w:after="0"/>
              <w:rPr>
                <w:sz w:val="20"/>
                <w:szCs w:val="20"/>
                <w:color w:val="auto"/>
              </w:rPr>
            </w:pPr>
            <w:r>
              <w:rPr>
                <w:rFonts w:ascii="Arial" w:cs="Arial" w:eastAsia="Arial" w:hAnsi="Arial"/>
                <w:sz w:val="13"/>
                <w:szCs w:val="13"/>
                <w:color w:val="0000EE"/>
              </w:rPr>
              <w:t>Pay Versus Performance</w:t>
            </w:r>
          </w:p>
        </w:tc>
        <w:tc>
          <w:tcPr>
            <w:tcW w:w="1960" w:type="dxa"/>
            <w:vAlign w:val="bottom"/>
            <w:tcBorders>
              <w:top w:val="single" w:sz="8" w:color="F3F6F7"/>
            </w:tcBorders>
            <w:gridSpan w:val="7"/>
            <w:shd w:val="clear" w:color="auto" w:fill="F3F6F7"/>
          </w:tcPr>
          <w:p>
            <w:pPr>
              <w:spacing w:after="0"/>
              <w:rPr>
                <w:sz w:val="23"/>
                <w:szCs w:val="23"/>
                <w:color w:val="auto"/>
              </w:rPr>
            </w:pPr>
          </w:p>
        </w:tc>
        <w:tc>
          <w:tcPr>
            <w:tcW w:w="700" w:type="dxa"/>
            <w:vAlign w:val="bottom"/>
            <w:tcBorders>
              <w:top w:val="single" w:sz="8" w:color="F3F6F7"/>
            </w:tcBorders>
            <w:shd w:val="clear" w:color="auto" w:fill="F3F6F7"/>
          </w:tcPr>
          <w:p>
            <w:pPr>
              <w:jc w:val="right"/>
              <w:ind w:right="41"/>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F3F6F7"/>
          </w:tcPr>
          <w:p>
            <w:pPr>
              <w:spacing w:after="0" w:line="20" w:lineRule="exact"/>
              <w:rPr>
                <w:sz w:val="1"/>
                <w:szCs w:val="1"/>
                <w:color w:val="auto"/>
              </w:rPr>
            </w:pPr>
          </w:p>
        </w:tc>
        <w:tc>
          <w:tcPr>
            <w:tcW w:w="380" w:type="dxa"/>
            <w:vAlign w:val="bottom"/>
            <w:gridSpan w:val="2"/>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4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260" w:type="dxa"/>
            <w:vAlign w:val="bottom"/>
            <w:shd w:val="clear" w:color="auto" w:fill="F3F6F7"/>
          </w:tcPr>
          <w:p>
            <w:pPr>
              <w:spacing w:after="0" w:line="20" w:lineRule="exact"/>
              <w:rPr>
                <w:sz w:val="1"/>
                <w:szCs w:val="1"/>
                <w:color w:val="auto"/>
              </w:rPr>
            </w:pPr>
          </w:p>
        </w:tc>
        <w:tc>
          <w:tcPr>
            <w:tcW w:w="8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tcBorders>
              <w:right w:val="single" w:sz="8" w:color="F3F6F7"/>
            </w:tcBorders>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20" w:type="dxa"/>
            <w:vAlign w:val="bottom"/>
            <w:shd w:val="clear" w:color="auto" w:fill="F3F6F7"/>
          </w:tcPr>
          <w:p>
            <w:pPr>
              <w:spacing w:after="0" w:line="20" w:lineRule="exact"/>
              <w:rPr>
                <w:sz w:val="1"/>
                <w:szCs w:val="1"/>
                <w:color w:val="auto"/>
              </w:rPr>
            </w:pPr>
          </w:p>
        </w:tc>
        <w:tc>
          <w:tcPr>
            <w:tcW w:w="70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0" w:type="dxa"/>
            <w:vAlign w:val="bottom"/>
            <w:shd w:val="clear" w:color="auto" w:fill="F3F6F7"/>
          </w:tcPr>
          <w:p>
            <w:pPr>
              <w:spacing w:after="0"/>
              <w:rPr>
                <w:sz w:val="24"/>
                <w:szCs w:val="24"/>
                <w:color w:val="auto"/>
              </w:rPr>
            </w:pPr>
          </w:p>
        </w:tc>
        <w:tc>
          <w:tcPr>
            <w:tcW w:w="4100" w:type="dxa"/>
            <w:vAlign w:val="bottom"/>
            <w:gridSpan w:val="16"/>
            <w:shd w:val="clear" w:color="auto" w:fill="F3F6F7"/>
          </w:tcPr>
          <w:p>
            <w:pPr>
              <w:spacing w:after="0"/>
              <w:rPr>
                <w:sz w:val="20"/>
                <w:szCs w:val="20"/>
                <w:color w:val="auto"/>
              </w:rPr>
            </w:pPr>
            <w:r>
              <w:rPr>
                <w:rFonts w:ascii="Arial" w:cs="Arial" w:eastAsia="Arial" w:hAnsi="Arial"/>
                <w:sz w:val="13"/>
                <w:szCs w:val="13"/>
                <w:color w:val="0000EE"/>
              </w:rPr>
              <w:t>2024 Outstanding Equity Awards at Fiscal Year-End Table</w:t>
            </w:r>
          </w:p>
        </w:tc>
        <w:tc>
          <w:tcPr>
            <w:tcW w:w="40" w:type="dxa"/>
            <w:vAlign w:val="bottom"/>
            <w:shd w:val="clear" w:color="auto" w:fill="F3F6F7"/>
          </w:tcPr>
          <w:p>
            <w:pPr>
              <w:spacing w:after="0"/>
              <w:rPr>
                <w:sz w:val="24"/>
                <w:szCs w:val="24"/>
                <w:color w:val="auto"/>
              </w:rPr>
            </w:pPr>
          </w:p>
        </w:tc>
        <w:tc>
          <w:tcPr>
            <w:tcW w:w="2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30</w:t>
            </w:r>
          </w:p>
        </w:tc>
        <w:tc>
          <w:tcPr>
            <w:tcW w:w="380" w:type="dxa"/>
            <w:vAlign w:val="bottom"/>
            <w:shd w:val="clear" w:color="auto" w:fill="F3F6F7"/>
          </w:tcPr>
          <w:p>
            <w:pPr>
              <w:spacing w:after="0"/>
              <w:rPr>
                <w:sz w:val="24"/>
                <w:szCs w:val="24"/>
                <w:color w:val="auto"/>
              </w:rPr>
            </w:pPr>
          </w:p>
        </w:tc>
        <w:tc>
          <w:tcPr>
            <w:tcW w:w="660" w:type="dxa"/>
            <w:vAlign w:val="bottom"/>
            <w:shd w:val="clear" w:color="auto" w:fill="F3F6F7"/>
          </w:tcPr>
          <w:p>
            <w:pPr>
              <w:spacing w:after="0"/>
              <w:rPr>
                <w:sz w:val="24"/>
                <w:szCs w:val="24"/>
                <w:color w:val="auto"/>
              </w:rPr>
            </w:pPr>
          </w:p>
        </w:tc>
        <w:tc>
          <w:tcPr>
            <w:tcW w:w="220" w:type="dxa"/>
            <w:vAlign w:val="bottom"/>
            <w:shd w:val="clear" w:color="auto" w:fill="F3F6F7"/>
          </w:tcPr>
          <w:p>
            <w:pPr>
              <w:spacing w:after="0"/>
              <w:rPr>
                <w:sz w:val="24"/>
                <w:szCs w:val="24"/>
                <w:color w:val="auto"/>
              </w:rPr>
            </w:pPr>
          </w:p>
        </w:tc>
        <w:tc>
          <w:tcPr>
            <w:tcW w:w="420" w:type="dxa"/>
            <w:vAlign w:val="bottom"/>
            <w:shd w:val="clear" w:color="auto" w:fill="F3F6F7"/>
          </w:tcPr>
          <w:p>
            <w:pPr>
              <w:spacing w:after="0"/>
              <w:rPr>
                <w:sz w:val="24"/>
                <w:szCs w:val="24"/>
                <w:color w:val="auto"/>
              </w:rPr>
            </w:pPr>
          </w:p>
        </w:tc>
        <w:tc>
          <w:tcPr>
            <w:tcW w:w="16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260" w:type="dxa"/>
            <w:vAlign w:val="bottom"/>
            <w:shd w:val="clear" w:color="auto" w:fill="F3F6F7"/>
          </w:tcPr>
          <w:p>
            <w:pPr>
              <w:spacing w:after="0"/>
              <w:rPr>
                <w:sz w:val="24"/>
                <w:szCs w:val="24"/>
                <w:color w:val="auto"/>
              </w:rPr>
            </w:pPr>
          </w:p>
        </w:tc>
        <w:tc>
          <w:tcPr>
            <w:tcW w:w="800" w:type="dxa"/>
            <w:vAlign w:val="bottom"/>
            <w:shd w:val="clear" w:color="auto" w:fill="F3F6F7"/>
          </w:tcPr>
          <w:p>
            <w:pPr>
              <w:spacing w:after="0"/>
              <w:rPr>
                <w:sz w:val="24"/>
                <w:szCs w:val="24"/>
                <w:color w:val="auto"/>
              </w:rPr>
            </w:pPr>
          </w:p>
        </w:tc>
        <w:tc>
          <w:tcPr>
            <w:tcW w:w="3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200" w:type="dxa"/>
            <w:vAlign w:val="bottom"/>
            <w:tcBorders>
              <w:right w:val="single" w:sz="8" w:color="F3F6F7"/>
            </w:tcBorders>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320" w:type="dxa"/>
            <w:vAlign w:val="bottom"/>
            <w:shd w:val="clear" w:color="auto" w:fill="F3F6F7"/>
          </w:tcPr>
          <w:p>
            <w:pPr>
              <w:spacing w:after="0"/>
              <w:rPr>
                <w:sz w:val="24"/>
                <w:szCs w:val="24"/>
                <w:color w:val="auto"/>
              </w:rPr>
            </w:pPr>
          </w:p>
        </w:tc>
        <w:tc>
          <w:tcPr>
            <w:tcW w:w="700" w:type="dxa"/>
            <w:vAlign w:val="bottom"/>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4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40" w:type="dxa"/>
            <w:vAlign w:val="bottom"/>
            <w:tcBorders>
              <w:top w:val="single" w:sz="8" w:color="F3F6F7"/>
            </w:tcBorders>
            <w:gridSpan w:val="3"/>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42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260" w:type="dxa"/>
            <w:vAlign w:val="bottom"/>
            <w:tcBorders>
              <w:top w:val="single" w:sz="8" w:color="F3F6F7"/>
            </w:tcBorders>
          </w:tcPr>
          <w:p>
            <w:pPr>
              <w:spacing w:after="0"/>
              <w:rPr>
                <w:sz w:val="11"/>
                <w:szCs w:val="11"/>
                <w:color w:val="auto"/>
              </w:rPr>
            </w:pPr>
          </w:p>
        </w:tc>
        <w:tc>
          <w:tcPr>
            <w:tcW w:w="8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20" w:type="dxa"/>
            <w:vAlign w:val="bottom"/>
            <w:tcBorders>
              <w:top w:val="single" w:sz="8" w:color="F3F6F7"/>
            </w:tcBorders>
          </w:tcPr>
          <w:p>
            <w:pPr>
              <w:spacing w:after="0"/>
              <w:rPr>
                <w:sz w:val="11"/>
                <w:szCs w:val="11"/>
                <w:color w:val="auto"/>
              </w:rPr>
            </w:pPr>
          </w:p>
        </w:tc>
        <w:tc>
          <w:tcPr>
            <w:tcW w:w="70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00" w:type="dxa"/>
            <w:vAlign w:val="bottom"/>
            <w:gridSpan w:val="34"/>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3 ADVISORY VOTE ON THE FREQUENCY OF FUTURE ADVISORY VOTES TO APPROVE</w:t>
            </w:r>
          </w:p>
        </w:tc>
        <w:tc>
          <w:tcPr>
            <w:tcW w:w="700" w:type="dxa"/>
            <w:vAlign w:val="bottom"/>
            <w:vMerge w:val="restart"/>
            <w:shd w:val="clear" w:color="auto" w:fill="F3F6F7"/>
          </w:tcPr>
          <w:p>
            <w:pPr>
              <w:jc w:val="right"/>
              <w:ind w:right="41"/>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2"/>
        </w:trPr>
        <w:tc>
          <w:tcPr>
            <w:tcW w:w="120" w:type="dxa"/>
            <w:vAlign w:val="bottom"/>
            <w:tcBorders>
              <w:top w:val="single" w:sz="8" w:color="F3F6F7"/>
            </w:tcBorders>
            <w:shd w:val="clear" w:color="auto" w:fill="F3F6F7"/>
          </w:tcPr>
          <w:p>
            <w:pPr>
              <w:spacing w:after="0"/>
              <w:rPr>
                <w:sz w:val="19"/>
                <w:szCs w:val="19"/>
                <w:color w:val="auto"/>
              </w:rPr>
            </w:pPr>
          </w:p>
        </w:tc>
        <w:tc>
          <w:tcPr>
            <w:tcW w:w="4420" w:type="dxa"/>
            <w:vAlign w:val="bottom"/>
            <w:tcBorders>
              <w:top w:val="single" w:sz="8" w:color="0000EE"/>
            </w:tcBorders>
            <w:gridSpan w:val="19"/>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NAMED EXECUTIVE OFFICER COMPENSATION</w:t>
            </w:r>
          </w:p>
        </w:tc>
        <w:tc>
          <w:tcPr>
            <w:tcW w:w="380" w:type="dxa"/>
            <w:vAlign w:val="bottom"/>
            <w:tcBorders>
              <w:top w:val="single" w:sz="8" w:color="0000EE"/>
            </w:tcBorders>
            <w:shd w:val="clear" w:color="auto" w:fill="F3F6F7"/>
          </w:tcPr>
          <w:p>
            <w:pPr>
              <w:spacing w:after="0"/>
              <w:rPr>
                <w:sz w:val="19"/>
                <w:szCs w:val="19"/>
                <w:color w:val="auto"/>
              </w:rPr>
            </w:pPr>
          </w:p>
        </w:tc>
        <w:tc>
          <w:tcPr>
            <w:tcW w:w="380" w:type="dxa"/>
            <w:vAlign w:val="bottom"/>
            <w:tcBorders>
              <w:top w:val="single" w:sz="8" w:color="0000EE"/>
            </w:tcBorders>
            <w:shd w:val="clear" w:color="auto" w:fill="F3F6F7"/>
          </w:tcPr>
          <w:p>
            <w:pPr>
              <w:spacing w:after="0"/>
              <w:rPr>
                <w:sz w:val="19"/>
                <w:szCs w:val="19"/>
                <w:color w:val="auto"/>
              </w:rPr>
            </w:pPr>
          </w:p>
        </w:tc>
        <w:tc>
          <w:tcPr>
            <w:tcW w:w="660" w:type="dxa"/>
            <w:vAlign w:val="bottom"/>
            <w:tcBorders>
              <w:top w:val="single" w:sz="8" w:color="0000EE"/>
            </w:tcBorders>
            <w:shd w:val="clear" w:color="auto" w:fill="F3F6F7"/>
          </w:tcPr>
          <w:p>
            <w:pPr>
              <w:spacing w:after="0"/>
              <w:rPr>
                <w:sz w:val="19"/>
                <w:szCs w:val="19"/>
                <w:color w:val="auto"/>
              </w:rPr>
            </w:pPr>
          </w:p>
        </w:tc>
        <w:tc>
          <w:tcPr>
            <w:tcW w:w="220" w:type="dxa"/>
            <w:vAlign w:val="bottom"/>
            <w:tcBorders>
              <w:top w:val="single" w:sz="8" w:color="0000EE"/>
            </w:tcBorders>
            <w:shd w:val="clear" w:color="auto" w:fill="F3F6F7"/>
          </w:tcPr>
          <w:p>
            <w:pPr>
              <w:spacing w:after="0"/>
              <w:rPr>
                <w:sz w:val="19"/>
                <w:szCs w:val="19"/>
                <w:color w:val="auto"/>
              </w:rPr>
            </w:pPr>
          </w:p>
        </w:tc>
        <w:tc>
          <w:tcPr>
            <w:tcW w:w="420" w:type="dxa"/>
            <w:vAlign w:val="bottom"/>
            <w:tcBorders>
              <w:top w:val="single" w:sz="8" w:color="0000EE"/>
            </w:tcBorders>
            <w:shd w:val="clear" w:color="auto" w:fill="F3F6F7"/>
          </w:tcPr>
          <w:p>
            <w:pPr>
              <w:spacing w:after="0"/>
              <w:rPr>
                <w:sz w:val="19"/>
                <w:szCs w:val="19"/>
                <w:color w:val="auto"/>
              </w:rPr>
            </w:pPr>
          </w:p>
        </w:tc>
        <w:tc>
          <w:tcPr>
            <w:tcW w:w="160" w:type="dxa"/>
            <w:vAlign w:val="bottom"/>
            <w:tcBorders>
              <w:top w:val="single" w:sz="8" w:color="0000EE"/>
            </w:tcBorders>
            <w:shd w:val="clear" w:color="auto" w:fill="F3F6F7"/>
          </w:tcPr>
          <w:p>
            <w:pPr>
              <w:spacing w:after="0"/>
              <w:rPr>
                <w:sz w:val="19"/>
                <w:szCs w:val="19"/>
                <w:color w:val="auto"/>
              </w:rPr>
            </w:pPr>
          </w:p>
        </w:tc>
        <w:tc>
          <w:tcPr>
            <w:tcW w:w="240" w:type="dxa"/>
            <w:vAlign w:val="bottom"/>
            <w:tcBorders>
              <w:top w:val="single" w:sz="8" w:color="0000EE"/>
            </w:tcBorders>
            <w:shd w:val="clear" w:color="auto" w:fill="F3F6F7"/>
          </w:tcPr>
          <w:p>
            <w:pPr>
              <w:spacing w:after="0"/>
              <w:rPr>
                <w:sz w:val="19"/>
                <w:szCs w:val="19"/>
                <w:color w:val="auto"/>
              </w:rPr>
            </w:pPr>
          </w:p>
        </w:tc>
        <w:tc>
          <w:tcPr>
            <w:tcW w:w="260" w:type="dxa"/>
            <w:vAlign w:val="bottom"/>
            <w:tcBorders>
              <w:top w:val="single" w:sz="8" w:color="0000EE"/>
            </w:tcBorders>
            <w:shd w:val="clear" w:color="auto" w:fill="F3F6F7"/>
          </w:tcPr>
          <w:p>
            <w:pPr>
              <w:spacing w:after="0"/>
              <w:rPr>
                <w:sz w:val="19"/>
                <w:szCs w:val="19"/>
                <w:color w:val="auto"/>
              </w:rPr>
            </w:pPr>
          </w:p>
        </w:tc>
        <w:tc>
          <w:tcPr>
            <w:tcW w:w="800" w:type="dxa"/>
            <w:vAlign w:val="bottom"/>
            <w:tcBorders>
              <w:top w:val="single" w:sz="8" w:color="0000EE"/>
            </w:tcBorders>
            <w:shd w:val="clear" w:color="auto" w:fill="F3F6F7"/>
          </w:tcPr>
          <w:p>
            <w:pPr>
              <w:spacing w:after="0"/>
              <w:rPr>
                <w:sz w:val="19"/>
                <w:szCs w:val="19"/>
                <w:color w:val="auto"/>
              </w:rPr>
            </w:pPr>
          </w:p>
        </w:tc>
        <w:tc>
          <w:tcPr>
            <w:tcW w:w="300" w:type="dxa"/>
            <w:vAlign w:val="bottom"/>
            <w:tcBorders>
              <w:top w:val="single" w:sz="8" w:color="0000EE"/>
            </w:tcBorders>
            <w:shd w:val="clear" w:color="auto" w:fill="F3F6F7"/>
          </w:tcPr>
          <w:p>
            <w:pPr>
              <w:spacing w:after="0"/>
              <w:rPr>
                <w:sz w:val="19"/>
                <w:szCs w:val="19"/>
                <w:color w:val="auto"/>
              </w:rPr>
            </w:pPr>
          </w:p>
        </w:tc>
        <w:tc>
          <w:tcPr>
            <w:tcW w:w="80" w:type="dxa"/>
            <w:vAlign w:val="bottom"/>
            <w:tcBorders>
              <w:top w:val="single" w:sz="8" w:color="0000EE"/>
            </w:tcBorders>
            <w:shd w:val="clear" w:color="auto" w:fill="F3F6F7"/>
          </w:tcPr>
          <w:p>
            <w:pPr>
              <w:spacing w:after="0"/>
              <w:rPr>
                <w:sz w:val="19"/>
                <w:szCs w:val="19"/>
                <w:color w:val="auto"/>
              </w:rPr>
            </w:pPr>
          </w:p>
        </w:tc>
        <w:tc>
          <w:tcPr>
            <w:tcW w:w="180" w:type="dxa"/>
            <w:vAlign w:val="bottom"/>
            <w:tcBorders>
              <w:top w:val="single" w:sz="8" w:color="0000EE"/>
            </w:tcBorders>
            <w:shd w:val="clear" w:color="auto" w:fill="F3F6F7"/>
          </w:tcPr>
          <w:p>
            <w:pPr>
              <w:spacing w:after="0"/>
              <w:rPr>
                <w:sz w:val="19"/>
                <w:szCs w:val="19"/>
                <w:color w:val="auto"/>
              </w:rPr>
            </w:pPr>
          </w:p>
        </w:tc>
        <w:tc>
          <w:tcPr>
            <w:tcW w:w="200" w:type="dxa"/>
            <w:vAlign w:val="bottom"/>
            <w:tcBorders>
              <w:top w:val="single" w:sz="8" w:color="0000EE"/>
              <w:right w:val="single" w:sz="8" w:color="F3F6F7"/>
            </w:tcBorders>
            <w:shd w:val="clear" w:color="auto" w:fill="F3F6F7"/>
          </w:tcPr>
          <w:p>
            <w:pPr>
              <w:spacing w:after="0"/>
              <w:rPr>
                <w:sz w:val="19"/>
                <w:szCs w:val="19"/>
                <w:color w:val="auto"/>
              </w:rPr>
            </w:pPr>
          </w:p>
        </w:tc>
        <w:tc>
          <w:tcPr>
            <w:tcW w:w="80" w:type="dxa"/>
            <w:vAlign w:val="bottom"/>
            <w:tcBorders>
              <w:top w:val="single" w:sz="8" w:color="F3F6F7"/>
            </w:tcBorders>
            <w:shd w:val="clear" w:color="auto" w:fill="F3F6F7"/>
          </w:tcPr>
          <w:p>
            <w:pPr>
              <w:spacing w:after="0"/>
              <w:rPr>
                <w:sz w:val="19"/>
                <w:szCs w:val="19"/>
                <w:color w:val="auto"/>
              </w:rPr>
            </w:pPr>
          </w:p>
        </w:tc>
        <w:tc>
          <w:tcPr>
            <w:tcW w:w="320" w:type="dxa"/>
            <w:vAlign w:val="bottom"/>
            <w:tcBorders>
              <w:top w:val="single" w:sz="8" w:color="F3F6F7"/>
            </w:tcBorders>
            <w:shd w:val="clear" w:color="auto" w:fill="F3F6F7"/>
          </w:tcPr>
          <w:p>
            <w:pPr>
              <w:spacing w:after="0"/>
              <w:rPr>
                <w:sz w:val="19"/>
                <w:szCs w:val="19"/>
                <w:color w:val="auto"/>
              </w:rPr>
            </w:pPr>
          </w:p>
        </w:tc>
        <w:tc>
          <w:tcPr>
            <w:tcW w:w="700" w:type="dxa"/>
            <w:vAlign w:val="bottom"/>
            <w:tcBorders>
              <w:top w:val="single" w:sz="8" w:color="F3F6F7"/>
            </w:tcBorders>
            <w:vMerge w:val="continue"/>
            <w:shd w:val="clear" w:color="auto" w:fill="F3F6F7"/>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40" w:type="dxa"/>
            <w:vAlign w:val="bottom"/>
            <w:tcBorders>
              <w:top w:val="single" w:sz="8" w:color="F3F6F7"/>
            </w:tcBorders>
            <w:gridSpan w:val="3"/>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42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260" w:type="dxa"/>
            <w:vAlign w:val="bottom"/>
            <w:tcBorders>
              <w:top w:val="single" w:sz="8" w:color="F3F6F7"/>
            </w:tcBorders>
          </w:tcPr>
          <w:p>
            <w:pPr>
              <w:spacing w:after="0"/>
              <w:rPr>
                <w:sz w:val="11"/>
                <w:szCs w:val="11"/>
                <w:color w:val="auto"/>
              </w:rPr>
            </w:pPr>
          </w:p>
        </w:tc>
        <w:tc>
          <w:tcPr>
            <w:tcW w:w="8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20" w:type="dxa"/>
            <w:vAlign w:val="bottom"/>
            <w:tcBorders>
              <w:top w:val="single" w:sz="8" w:color="F3F6F7"/>
            </w:tcBorders>
          </w:tcPr>
          <w:p>
            <w:pPr>
              <w:spacing w:after="0"/>
              <w:rPr>
                <w:sz w:val="11"/>
                <w:szCs w:val="11"/>
                <w:color w:val="auto"/>
              </w:rPr>
            </w:pPr>
          </w:p>
        </w:tc>
        <w:tc>
          <w:tcPr>
            <w:tcW w:w="70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00" w:type="dxa"/>
            <w:vAlign w:val="bottom"/>
            <w:gridSpan w:val="34"/>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4 RATIFICATION OF THE APPOINTMENT OF INDEPENDENT REGISTERED PUBLIC</w:t>
            </w:r>
          </w:p>
        </w:tc>
        <w:tc>
          <w:tcPr>
            <w:tcW w:w="700" w:type="dxa"/>
            <w:vAlign w:val="bottom"/>
            <w:vMerge w:val="restart"/>
            <w:shd w:val="clear" w:color="auto" w:fill="F3F6F7"/>
          </w:tcPr>
          <w:p>
            <w:pPr>
              <w:jc w:val="right"/>
              <w:ind w:right="41"/>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180"/>
        </w:trPr>
        <w:tc>
          <w:tcPr>
            <w:tcW w:w="120" w:type="dxa"/>
            <w:vAlign w:val="bottom"/>
            <w:tcBorders>
              <w:top w:val="single" w:sz="8" w:color="F3F6F7"/>
            </w:tcBorders>
            <w:shd w:val="clear" w:color="auto" w:fill="F3F6F7"/>
          </w:tcPr>
          <w:p>
            <w:pPr>
              <w:spacing w:after="0"/>
              <w:rPr>
                <w:sz w:val="15"/>
                <w:szCs w:val="15"/>
                <w:color w:val="auto"/>
              </w:rPr>
            </w:pPr>
          </w:p>
        </w:tc>
        <w:tc>
          <w:tcPr>
            <w:tcW w:w="4420" w:type="dxa"/>
            <w:vAlign w:val="bottom"/>
            <w:tcBorders>
              <w:top w:val="single" w:sz="8" w:color="0000EE"/>
            </w:tcBorders>
            <w:gridSpan w:val="19"/>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ACCOUNTING FIRM</w:t>
            </w:r>
          </w:p>
        </w:tc>
        <w:tc>
          <w:tcPr>
            <w:tcW w:w="380" w:type="dxa"/>
            <w:vAlign w:val="bottom"/>
            <w:tcBorders>
              <w:top w:val="single" w:sz="8" w:color="0000EE"/>
            </w:tcBorders>
            <w:shd w:val="clear" w:color="auto" w:fill="F3F6F7"/>
          </w:tcPr>
          <w:p>
            <w:pPr>
              <w:spacing w:after="0"/>
              <w:rPr>
                <w:sz w:val="15"/>
                <w:szCs w:val="15"/>
                <w:color w:val="auto"/>
              </w:rPr>
            </w:pPr>
          </w:p>
        </w:tc>
        <w:tc>
          <w:tcPr>
            <w:tcW w:w="380" w:type="dxa"/>
            <w:vAlign w:val="bottom"/>
            <w:tcBorders>
              <w:top w:val="single" w:sz="8" w:color="0000EE"/>
            </w:tcBorders>
            <w:shd w:val="clear" w:color="auto" w:fill="F3F6F7"/>
          </w:tcPr>
          <w:p>
            <w:pPr>
              <w:spacing w:after="0"/>
              <w:rPr>
                <w:sz w:val="15"/>
                <w:szCs w:val="15"/>
                <w:color w:val="auto"/>
              </w:rPr>
            </w:pPr>
          </w:p>
        </w:tc>
        <w:tc>
          <w:tcPr>
            <w:tcW w:w="660" w:type="dxa"/>
            <w:vAlign w:val="bottom"/>
            <w:tcBorders>
              <w:top w:val="single" w:sz="8" w:color="0000EE"/>
            </w:tcBorders>
            <w:shd w:val="clear" w:color="auto" w:fill="F3F6F7"/>
          </w:tcPr>
          <w:p>
            <w:pPr>
              <w:spacing w:after="0"/>
              <w:rPr>
                <w:sz w:val="15"/>
                <w:szCs w:val="15"/>
                <w:color w:val="auto"/>
              </w:rPr>
            </w:pPr>
          </w:p>
        </w:tc>
        <w:tc>
          <w:tcPr>
            <w:tcW w:w="220" w:type="dxa"/>
            <w:vAlign w:val="bottom"/>
            <w:tcBorders>
              <w:top w:val="single" w:sz="8" w:color="0000EE"/>
            </w:tcBorders>
            <w:shd w:val="clear" w:color="auto" w:fill="F3F6F7"/>
          </w:tcPr>
          <w:p>
            <w:pPr>
              <w:spacing w:after="0"/>
              <w:rPr>
                <w:sz w:val="15"/>
                <w:szCs w:val="15"/>
                <w:color w:val="auto"/>
              </w:rPr>
            </w:pPr>
          </w:p>
        </w:tc>
        <w:tc>
          <w:tcPr>
            <w:tcW w:w="420" w:type="dxa"/>
            <w:vAlign w:val="bottom"/>
            <w:tcBorders>
              <w:top w:val="single" w:sz="8" w:color="0000EE"/>
            </w:tcBorders>
            <w:shd w:val="clear" w:color="auto" w:fill="F3F6F7"/>
          </w:tcPr>
          <w:p>
            <w:pPr>
              <w:spacing w:after="0"/>
              <w:rPr>
                <w:sz w:val="15"/>
                <w:szCs w:val="15"/>
                <w:color w:val="auto"/>
              </w:rPr>
            </w:pPr>
          </w:p>
        </w:tc>
        <w:tc>
          <w:tcPr>
            <w:tcW w:w="16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260" w:type="dxa"/>
            <w:vAlign w:val="bottom"/>
            <w:tcBorders>
              <w:top w:val="single" w:sz="8" w:color="0000EE"/>
            </w:tcBorders>
            <w:shd w:val="clear" w:color="auto" w:fill="F3F6F7"/>
          </w:tcPr>
          <w:p>
            <w:pPr>
              <w:spacing w:after="0"/>
              <w:rPr>
                <w:sz w:val="15"/>
                <w:szCs w:val="15"/>
                <w:color w:val="auto"/>
              </w:rPr>
            </w:pPr>
          </w:p>
        </w:tc>
        <w:tc>
          <w:tcPr>
            <w:tcW w:w="800" w:type="dxa"/>
            <w:vAlign w:val="bottom"/>
            <w:tcBorders>
              <w:top w:val="single" w:sz="8" w:color="0000EE"/>
            </w:tcBorders>
            <w:shd w:val="clear" w:color="auto" w:fill="F3F6F7"/>
          </w:tcPr>
          <w:p>
            <w:pPr>
              <w:spacing w:after="0"/>
              <w:rPr>
                <w:sz w:val="15"/>
                <w:szCs w:val="15"/>
                <w:color w:val="auto"/>
              </w:rPr>
            </w:pPr>
          </w:p>
        </w:tc>
        <w:tc>
          <w:tcPr>
            <w:tcW w:w="300" w:type="dxa"/>
            <w:vAlign w:val="bottom"/>
            <w:tcBorders>
              <w:top w:val="single" w:sz="8" w:color="0000EE"/>
            </w:tcBorders>
            <w:shd w:val="clear" w:color="auto" w:fill="F3F6F7"/>
          </w:tcPr>
          <w:p>
            <w:pPr>
              <w:spacing w:after="0"/>
              <w:rPr>
                <w:sz w:val="15"/>
                <w:szCs w:val="15"/>
                <w:color w:val="auto"/>
              </w:rPr>
            </w:pPr>
          </w:p>
        </w:tc>
        <w:tc>
          <w:tcPr>
            <w:tcW w:w="8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200" w:type="dxa"/>
            <w:vAlign w:val="bottom"/>
            <w:tcBorders>
              <w:top w:val="single" w:sz="8" w:color="F3F6F7"/>
              <w:right w:val="single" w:sz="8" w:color="F3F6F7"/>
            </w:tcBorders>
            <w:shd w:val="clear" w:color="auto" w:fill="F3F6F7"/>
          </w:tcPr>
          <w:p>
            <w:pPr>
              <w:spacing w:after="0"/>
              <w:rPr>
                <w:sz w:val="15"/>
                <w:szCs w:val="15"/>
                <w:color w:val="auto"/>
              </w:rPr>
            </w:pPr>
          </w:p>
        </w:tc>
        <w:tc>
          <w:tcPr>
            <w:tcW w:w="80" w:type="dxa"/>
            <w:vAlign w:val="bottom"/>
            <w:tcBorders>
              <w:top w:val="single" w:sz="8" w:color="F3F6F7"/>
            </w:tcBorders>
            <w:shd w:val="clear" w:color="auto" w:fill="F3F6F7"/>
          </w:tcPr>
          <w:p>
            <w:pPr>
              <w:spacing w:after="0"/>
              <w:rPr>
                <w:sz w:val="15"/>
                <w:szCs w:val="15"/>
                <w:color w:val="auto"/>
              </w:rPr>
            </w:pPr>
          </w:p>
        </w:tc>
        <w:tc>
          <w:tcPr>
            <w:tcW w:w="320" w:type="dxa"/>
            <w:vAlign w:val="bottom"/>
            <w:tcBorders>
              <w:top w:val="single" w:sz="8" w:color="F3F6F7"/>
            </w:tcBorders>
            <w:shd w:val="clear" w:color="auto" w:fill="F3F6F7"/>
          </w:tcPr>
          <w:p>
            <w:pPr>
              <w:spacing w:after="0"/>
              <w:rPr>
                <w:sz w:val="15"/>
                <w:szCs w:val="15"/>
                <w:color w:val="auto"/>
              </w:rPr>
            </w:pPr>
          </w:p>
        </w:tc>
        <w:tc>
          <w:tcPr>
            <w:tcW w:w="700" w:type="dxa"/>
            <w:vAlign w:val="bottom"/>
            <w:tcBorders>
              <w:top w:val="single" w:sz="8" w:color="F3F6F7"/>
            </w:tcBorders>
            <w:vMerge w:val="continue"/>
            <w:shd w:val="clear" w:color="auto" w:fill="F3F6F7"/>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1080" w:type="dxa"/>
            <w:vAlign w:val="bottom"/>
            <w:tcBorders>
              <w:top w:val="single" w:sz="8" w:color="0000EE"/>
              <w:bottom w:val="single" w:sz="8" w:color="0000EE"/>
            </w:tcBorders>
            <w:gridSpan w:val="3"/>
            <w:shd w:val="clear" w:color="auto" w:fill="F3F6F7"/>
          </w:tcPr>
          <w:p>
            <w:pPr>
              <w:spacing w:after="0"/>
              <w:rPr>
                <w:sz w:val="20"/>
                <w:szCs w:val="20"/>
                <w:color w:val="auto"/>
              </w:rPr>
            </w:pPr>
            <w:r>
              <w:rPr>
                <w:rFonts w:ascii="Arial" w:cs="Arial" w:eastAsia="Arial" w:hAnsi="Arial"/>
                <w:sz w:val="13"/>
                <w:szCs w:val="13"/>
                <w:b w:val="1"/>
                <w:bCs w:val="1"/>
                <w:color w:val="0000EE"/>
                <w:w w:val="99"/>
              </w:rPr>
              <w:t>AUDIT MATTERS</w:t>
            </w:r>
          </w:p>
        </w:tc>
        <w:tc>
          <w:tcPr>
            <w:tcW w:w="660" w:type="dxa"/>
            <w:vAlign w:val="bottom"/>
            <w:tcBorders>
              <w:top w:val="single" w:sz="8" w:color="0000EE"/>
              <w:bottom w:val="single" w:sz="8" w:color="F3F6F7"/>
            </w:tcBorders>
            <w:gridSpan w:val="3"/>
            <w:shd w:val="clear" w:color="auto" w:fill="F3F6F7"/>
          </w:tcPr>
          <w:p>
            <w:pPr>
              <w:spacing w:after="0"/>
              <w:rPr>
                <w:sz w:val="24"/>
                <w:szCs w:val="24"/>
                <w:color w:val="auto"/>
              </w:rPr>
            </w:pPr>
          </w:p>
        </w:tc>
        <w:tc>
          <w:tcPr>
            <w:tcW w:w="2360" w:type="dxa"/>
            <w:vAlign w:val="bottom"/>
            <w:tcBorders>
              <w:top w:val="single" w:sz="8" w:color="F3F6F7"/>
              <w:bottom w:val="single" w:sz="8" w:color="F3F6F7"/>
            </w:tcBorders>
            <w:gridSpan w:val="10"/>
            <w:shd w:val="clear" w:color="auto" w:fill="F3F6F7"/>
          </w:tcPr>
          <w:p>
            <w:pPr>
              <w:spacing w:after="0"/>
              <w:rPr>
                <w:sz w:val="24"/>
                <w:szCs w:val="24"/>
                <w:color w:val="auto"/>
              </w:rPr>
            </w:pPr>
          </w:p>
        </w:tc>
        <w:tc>
          <w:tcPr>
            <w:tcW w:w="40" w:type="dxa"/>
            <w:vAlign w:val="bottom"/>
            <w:tcBorders>
              <w:top w:val="single" w:sz="8" w:color="F3F6F7"/>
              <w:bottom w:val="single" w:sz="8" w:color="F3F6F7"/>
            </w:tcBorders>
            <w:shd w:val="clear" w:color="auto" w:fill="F3F6F7"/>
          </w:tcPr>
          <w:p>
            <w:pPr>
              <w:spacing w:after="0"/>
              <w:rPr>
                <w:sz w:val="24"/>
                <w:szCs w:val="24"/>
                <w:color w:val="auto"/>
              </w:rPr>
            </w:pPr>
          </w:p>
        </w:tc>
        <w:tc>
          <w:tcPr>
            <w:tcW w:w="20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380" w:type="dxa"/>
            <w:vAlign w:val="bottom"/>
            <w:tcBorders>
              <w:top w:val="single" w:sz="8" w:color="F3F6F7"/>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40</w:t>
            </w:r>
          </w:p>
        </w:tc>
        <w:tc>
          <w:tcPr>
            <w:tcW w:w="380" w:type="dxa"/>
            <w:vAlign w:val="bottom"/>
            <w:tcBorders>
              <w:top w:val="single" w:sz="8" w:color="F3F6F7"/>
              <w:bottom w:val="single" w:sz="8" w:color="F3F6F7"/>
            </w:tcBorders>
            <w:shd w:val="clear" w:color="auto" w:fill="F3F6F7"/>
          </w:tcPr>
          <w:p>
            <w:pPr>
              <w:spacing w:after="0"/>
              <w:rPr>
                <w:sz w:val="24"/>
                <w:szCs w:val="24"/>
                <w:color w:val="auto"/>
              </w:rPr>
            </w:pPr>
          </w:p>
        </w:tc>
        <w:tc>
          <w:tcPr>
            <w:tcW w:w="660" w:type="dxa"/>
            <w:vAlign w:val="bottom"/>
            <w:tcBorders>
              <w:top w:val="single" w:sz="8" w:color="F3F6F7"/>
              <w:bottom w:val="single" w:sz="8" w:color="F3F6F7"/>
            </w:tcBorders>
            <w:shd w:val="clear" w:color="auto" w:fill="F3F6F7"/>
          </w:tcPr>
          <w:p>
            <w:pPr>
              <w:spacing w:after="0"/>
              <w:rPr>
                <w:sz w:val="24"/>
                <w:szCs w:val="24"/>
                <w:color w:val="auto"/>
              </w:rPr>
            </w:pPr>
          </w:p>
        </w:tc>
        <w:tc>
          <w:tcPr>
            <w:tcW w:w="220" w:type="dxa"/>
            <w:vAlign w:val="bottom"/>
            <w:tcBorders>
              <w:top w:val="single" w:sz="8" w:color="F3F6F7"/>
              <w:bottom w:val="single" w:sz="8" w:color="F3F6F7"/>
            </w:tcBorders>
            <w:shd w:val="clear" w:color="auto" w:fill="F3F6F7"/>
          </w:tcPr>
          <w:p>
            <w:pPr>
              <w:spacing w:after="0"/>
              <w:rPr>
                <w:sz w:val="24"/>
                <w:szCs w:val="24"/>
                <w:color w:val="auto"/>
              </w:rPr>
            </w:pPr>
          </w:p>
        </w:tc>
        <w:tc>
          <w:tcPr>
            <w:tcW w:w="420" w:type="dxa"/>
            <w:vAlign w:val="bottom"/>
            <w:tcBorders>
              <w:top w:val="single" w:sz="8" w:color="F3F6F7"/>
              <w:bottom w:val="single" w:sz="8" w:color="F3F6F7"/>
            </w:tcBorders>
            <w:shd w:val="clear" w:color="auto" w:fill="F3F6F7"/>
          </w:tcPr>
          <w:p>
            <w:pPr>
              <w:spacing w:after="0"/>
              <w:rPr>
                <w:sz w:val="24"/>
                <w:szCs w:val="24"/>
                <w:color w:val="auto"/>
              </w:rPr>
            </w:pPr>
          </w:p>
        </w:tc>
        <w:tc>
          <w:tcPr>
            <w:tcW w:w="160" w:type="dxa"/>
            <w:vAlign w:val="bottom"/>
            <w:tcBorders>
              <w:top w:val="single" w:sz="8" w:color="F3F6F7"/>
              <w:bottom w:val="single" w:sz="8" w:color="F3F6F7"/>
            </w:tcBorders>
            <w:shd w:val="clear" w:color="auto" w:fill="F3F6F7"/>
          </w:tcPr>
          <w:p>
            <w:pPr>
              <w:spacing w:after="0"/>
              <w:rPr>
                <w:sz w:val="24"/>
                <w:szCs w:val="24"/>
                <w:color w:val="auto"/>
              </w:rPr>
            </w:pPr>
          </w:p>
        </w:tc>
        <w:tc>
          <w:tcPr>
            <w:tcW w:w="240" w:type="dxa"/>
            <w:vAlign w:val="bottom"/>
            <w:tcBorders>
              <w:top w:val="single" w:sz="8" w:color="F3F6F7"/>
              <w:bottom w:val="single" w:sz="8" w:color="F3F6F7"/>
            </w:tcBorders>
            <w:shd w:val="clear" w:color="auto" w:fill="F3F6F7"/>
          </w:tcPr>
          <w:p>
            <w:pPr>
              <w:spacing w:after="0"/>
              <w:rPr>
                <w:sz w:val="24"/>
                <w:szCs w:val="24"/>
                <w:color w:val="auto"/>
              </w:rPr>
            </w:pPr>
          </w:p>
        </w:tc>
        <w:tc>
          <w:tcPr>
            <w:tcW w:w="260" w:type="dxa"/>
            <w:vAlign w:val="bottom"/>
            <w:tcBorders>
              <w:top w:val="single" w:sz="8" w:color="F3F6F7"/>
              <w:bottom w:val="single" w:sz="8" w:color="F3F6F7"/>
            </w:tcBorders>
            <w:shd w:val="clear" w:color="auto" w:fill="F3F6F7"/>
          </w:tcPr>
          <w:p>
            <w:pPr>
              <w:spacing w:after="0"/>
              <w:rPr>
                <w:sz w:val="24"/>
                <w:szCs w:val="24"/>
                <w:color w:val="auto"/>
              </w:rPr>
            </w:pPr>
          </w:p>
        </w:tc>
        <w:tc>
          <w:tcPr>
            <w:tcW w:w="800" w:type="dxa"/>
            <w:vAlign w:val="bottom"/>
            <w:tcBorders>
              <w:top w:val="single" w:sz="8" w:color="F3F6F7"/>
              <w:bottom w:val="single" w:sz="8" w:color="F3F6F7"/>
            </w:tcBorders>
            <w:shd w:val="clear" w:color="auto" w:fill="F3F6F7"/>
          </w:tcPr>
          <w:p>
            <w:pPr>
              <w:spacing w:after="0"/>
              <w:rPr>
                <w:sz w:val="24"/>
                <w:szCs w:val="24"/>
                <w:color w:val="auto"/>
              </w:rPr>
            </w:pPr>
          </w:p>
        </w:tc>
        <w:tc>
          <w:tcPr>
            <w:tcW w:w="30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180" w:type="dxa"/>
            <w:vAlign w:val="bottom"/>
            <w:tcBorders>
              <w:top w:val="single" w:sz="8" w:color="F3F6F7"/>
              <w:bottom w:val="single" w:sz="8" w:color="F3F6F7"/>
            </w:tcBorders>
            <w:shd w:val="clear" w:color="auto" w:fill="F3F6F7"/>
          </w:tcPr>
          <w:p>
            <w:pPr>
              <w:spacing w:after="0"/>
              <w:rPr>
                <w:sz w:val="24"/>
                <w:szCs w:val="24"/>
                <w:color w:val="auto"/>
              </w:rPr>
            </w:pPr>
          </w:p>
        </w:tc>
        <w:tc>
          <w:tcPr>
            <w:tcW w:w="200" w:type="dxa"/>
            <w:vAlign w:val="bottom"/>
            <w:tcBorders>
              <w:top w:val="single" w:sz="8" w:color="F3F6F7"/>
              <w:bottom w:val="single" w:sz="8" w:color="F3F6F7"/>
              <w:right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320" w:type="dxa"/>
            <w:vAlign w:val="bottom"/>
            <w:tcBorders>
              <w:top w:val="single" w:sz="8" w:color="F3F6F7"/>
              <w:bottom w:val="single" w:sz="8" w:color="F3F6F7"/>
            </w:tcBorders>
            <w:shd w:val="clear" w:color="auto" w:fill="F3F6F7"/>
          </w:tcPr>
          <w:p>
            <w:pPr>
              <w:spacing w:after="0"/>
              <w:rPr>
                <w:sz w:val="24"/>
                <w:szCs w:val="24"/>
                <w:color w:val="auto"/>
              </w:rPr>
            </w:pPr>
          </w:p>
        </w:tc>
        <w:tc>
          <w:tcPr>
            <w:tcW w:w="700" w:type="dxa"/>
            <w:vAlign w:val="bottom"/>
            <w:tcBorders>
              <w:top w:val="single" w:sz="8" w:color="F3F6F7"/>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4100" w:type="dxa"/>
            <w:vAlign w:val="bottom"/>
            <w:gridSpan w:val="16"/>
            <w:shd w:val="clear" w:color="auto" w:fill="F3F6F7"/>
          </w:tcPr>
          <w:p>
            <w:pPr>
              <w:spacing w:after="0"/>
              <w:rPr>
                <w:sz w:val="20"/>
                <w:szCs w:val="20"/>
                <w:color w:val="auto"/>
              </w:rPr>
            </w:pPr>
            <w:r>
              <w:rPr>
                <w:rFonts w:ascii="Arial" w:cs="Arial" w:eastAsia="Arial" w:hAnsi="Arial"/>
                <w:sz w:val="13"/>
                <w:szCs w:val="13"/>
                <w:color w:val="0000EE"/>
              </w:rPr>
              <w:t>Audit Committee Report</w:t>
            </w:r>
          </w:p>
        </w:tc>
        <w:tc>
          <w:tcPr>
            <w:tcW w:w="40" w:type="dxa"/>
            <w:vAlign w:val="bottom"/>
            <w:shd w:val="clear" w:color="auto" w:fill="F3F6F7"/>
          </w:tcPr>
          <w:p>
            <w:pPr>
              <w:spacing w:after="0"/>
              <w:rPr>
                <w:sz w:val="23"/>
                <w:szCs w:val="23"/>
                <w:color w:val="auto"/>
              </w:rPr>
            </w:pPr>
          </w:p>
        </w:tc>
        <w:tc>
          <w:tcPr>
            <w:tcW w:w="2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40</w:t>
            </w:r>
          </w:p>
        </w:tc>
        <w:tc>
          <w:tcPr>
            <w:tcW w:w="380" w:type="dxa"/>
            <w:vAlign w:val="bottom"/>
            <w:shd w:val="clear" w:color="auto" w:fill="F3F6F7"/>
          </w:tcPr>
          <w:p>
            <w:pPr>
              <w:spacing w:after="0"/>
              <w:rPr>
                <w:sz w:val="23"/>
                <w:szCs w:val="23"/>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Independent Registered Public Accounting Firm Fees</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20" w:type="dxa"/>
            <w:vAlign w:val="bottom"/>
            <w:tcBorders>
              <w:top w:val="single" w:sz="8" w:color="0000EE"/>
            </w:tcBorders>
            <w:shd w:val="clear" w:color="auto" w:fill="F3F6F7"/>
          </w:tcPr>
          <w:p>
            <w:pPr>
              <w:spacing w:after="0"/>
              <w:rPr>
                <w:sz w:val="9"/>
                <w:szCs w:val="9"/>
                <w:color w:val="auto"/>
              </w:rPr>
            </w:pPr>
          </w:p>
        </w:tc>
        <w:tc>
          <w:tcPr>
            <w:tcW w:w="2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right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0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tcBorders>
            <w:shd w:val="clear" w:color="auto" w:fill="F3F6F7"/>
          </w:tcPr>
          <w:p>
            <w:pPr>
              <w:spacing w:after="0"/>
              <w:rPr>
                <w:sz w:val="9"/>
                <w:szCs w:val="9"/>
                <w:color w:val="auto"/>
              </w:rPr>
            </w:pPr>
          </w:p>
        </w:tc>
        <w:tc>
          <w:tcPr>
            <w:tcW w:w="300" w:type="dxa"/>
            <w:vAlign w:val="bottom"/>
            <w:tcBorders>
              <w:top w:val="single" w:sz="8" w:color="F3F6F7"/>
            </w:tcBorders>
            <w:shd w:val="clear" w:color="auto" w:fill="F3F6F7"/>
          </w:tcPr>
          <w:p>
            <w:pPr>
              <w:spacing w:after="0"/>
              <w:rPr>
                <w:sz w:val="9"/>
                <w:szCs w:val="9"/>
                <w:color w:val="auto"/>
              </w:rPr>
            </w:pPr>
          </w:p>
        </w:tc>
        <w:tc>
          <w:tcPr>
            <w:tcW w:w="4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380" w:type="dxa"/>
            <w:vAlign w:val="bottom"/>
            <w:tcBorders>
              <w:top w:val="single" w:sz="8" w:color="F3F6F7"/>
            </w:tcBorders>
            <w:shd w:val="clear" w:color="auto" w:fill="F3F6F7"/>
          </w:tcPr>
          <w:p>
            <w:pPr>
              <w:spacing w:after="0"/>
              <w:rPr>
                <w:sz w:val="9"/>
                <w:szCs w:val="9"/>
                <w:color w:val="auto"/>
              </w:rPr>
            </w:pPr>
          </w:p>
        </w:tc>
        <w:tc>
          <w:tcPr>
            <w:tcW w:w="38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tcBorders>
            <w:shd w:val="clear" w:color="auto" w:fill="F3F6F7"/>
          </w:tcPr>
          <w:p>
            <w:pPr>
              <w:spacing w:after="0"/>
              <w:rPr>
                <w:sz w:val="9"/>
                <w:szCs w:val="9"/>
                <w:color w:val="auto"/>
              </w:rPr>
            </w:pPr>
          </w:p>
        </w:tc>
        <w:tc>
          <w:tcPr>
            <w:tcW w:w="420" w:type="dxa"/>
            <w:vAlign w:val="bottom"/>
            <w:tcBorders>
              <w:top w:val="single" w:sz="8" w:color="0000EE"/>
            </w:tcBorders>
            <w:shd w:val="clear" w:color="auto" w:fill="F3F6F7"/>
          </w:tcPr>
          <w:p>
            <w:pPr>
              <w:spacing w:after="0"/>
              <w:rPr>
                <w:sz w:val="9"/>
                <w:szCs w:val="9"/>
                <w:color w:val="auto"/>
              </w:rPr>
            </w:pPr>
          </w:p>
        </w:tc>
        <w:tc>
          <w:tcPr>
            <w:tcW w:w="160" w:type="dxa"/>
            <w:vAlign w:val="bottom"/>
            <w:tcBorders>
              <w:top w:val="single" w:sz="8" w:color="0000EE"/>
            </w:tcBorders>
            <w:shd w:val="clear" w:color="auto" w:fill="F3F6F7"/>
          </w:tcPr>
          <w:p>
            <w:pPr>
              <w:spacing w:after="0"/>
              <w:rPr>
                <w:sz w:val="9"/>
                <w:szCs w:val="9"/>
                <w:color w:val="auto"/>
              </w:rPr>
            </w:pPr>
          </w:p>
        </w:tc>
        <w:tc>
          <w:tcPr>
            <w:tcW w:w="2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800" w:type="dxa"/>
            <w:vAlign w:val="bottom"/>
            <w:tcBorders>
              <w:top w:val="single" w:sz="8" w:color="0000EE"/>
            </w:tcBorders>
            <w:shd w:val="clear" w:color="auto" w:fill="F3F6F7"/>
          </w:tcPr>
          <w:p>
            <w:pPr>
              <w:spacing w:after="0"/>
              <w:rPr>
                <w:sz w:val="9"/>
                <w:szCs w:val="9"/>
                <w:color w:val="auto"/>
              </w:rPr>
            </w:pPr>
          </w:p>
        </w:tc>
        <w:tc>
          <w:tcPr>
            <w:tcW w:w="30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320" w:type="dxa"/>
            <w:vAlign w:val="bottom"/>
            <w:tcBorders>
              <w:top w:val="single" w:sz="8" w:color="F3F6F7"/>
            </w:tcBorders>
            <w:shd w:val="clear" w:color="auto" w:fill="F3F6F7"/>
          </w:tcPr>
          <w:p>
            <w:pPr>
              <w:spacing w:after="0"/>
              <w:rPr>
                <w:sz w:val="9"/>
                <w:szCs w:val="9"/>
                <w:color w:val="auto"/>
              </w:rPr>
            </w:pPr>
          </w:p>
        </w:tc>
        <w:tc>
          <w:tcPr>
            <w:tcW w:w="70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1980" w:type="dxa"/>
            <w:vAlign w:val="bottom"/>
            <w:tcBorders>
              <w:bottom w:val="single" w:sz="8" w:color="0000EE"/>
            </w:tcBorders>
            <w:gridSpan w:val="9"/>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OTHER INFORMATION</w:t>
            </w:r>
          </w:p>
        </w:tc>
        <w:tc>
          <w:tcPr>
            <w:tcW w:w="2120" w:type="dxa"/>
            <w:vAlign w:val="bottom"/>
            <w:tcBorders>
              <w:bottom w:val="single" w:sz="8" w:color="F3F6F7"/>
            </w:tcBorders>
            <w:gridSpan w:val="7"/>
            <w:shd w:val="clear" w:color="auto" w:fill="F3F6F7"/>
          </w:tcPr>
          <w:p>
            <w:pPr>
              <w:spacing w:after="0"/>
              <w:rPr>
                <w:sz w:val="17"/>
                <w:szCs w:val="17"/>
                <w:color w:val="auto"/>
              </w:rPr>
            </w:pPr>
          </w:p>
        </w:tc>
        <w:tc>
          <w:tcPr>
            <w:tcW w:w="40" w:type="dxa"/>
            <w:vAlign w:val="bottom"/>
            <w:tcBorders>
              <w:bottom w:val="single" w:sz="8" w:color="F3F6F7"/>
            </w:tcBorders>
            <w:shd w:val="clear" w:color="auto" w:fill="F3F6F7"/>
          </w:tcPr>
          <w:p>
            <w:pPr>
              <w:spacing w:after="0"/>
              <w:rPr>
                <w:sz w:val="17"/>
                <w:szCs w:val="17"/>
                <w:color w:val="auto"/>
              </w:rPr>
            </w:pPr>
          </w:p>
        </w:tc>
        <w:tc>
          <w:tcPr>
            <w:tcW w:w="2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380" w:type="dxa"/>
            <w:vAlign w:val="bottom"/>
            <w:tcBorders>
              <w:bottom w:val="single" w:sz="8" w:color="F3F6F7"/>
            </w:tcBorders>
            <w:shd w:val="clear" w:color="auto" w:fill="F3F6F7"/>
          </w:tcPr>
          <w:p>
            <w:pPr>
              <w:spacing w:after="0"/>
              <w:rPr>
                <w:sz w:val="17"/>
                <w:szCs w:val="17"/>
                <w:color w:val="auto"/>
              </w:rPr>
            </w:pPr>
          </w:p>
        </w:tc>
        <w:tc>
          <w:tcPr>
            <w:tcW w:w="38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42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260" w:type="dxa"/>
            <w:vAlign w:val="bottom"/>
            <w:tcBorders>
              <w:bottom w:val="single" w:sz="8" w:color="F3F6F7"/>
            </w:tcBorders>
            <w:shd w:val="clear" w:color="auto" w:fill="F3F6F7"/>
          </w:tcPr>
          <w:p>
            <w:pPr>
              <w:spacing w:after="0"/>
              <w:rPr>
                <w:sz w:val="17"/>
                <w:szCs w:val="17"/>
                <w:color w:val="auto"/>
              </w:rPr>
            </w:pPr>
          </w:p>
        </w:tc>
        <w:tc>
          <w:tcPr>
            <w:tcW w:w="800" w:type="dxa"/>
            <w:vAlign w:val="bottom"/>
            <w:tcBorders>
              <w:bottom w:val="single" w:sz="8" w:color="F3F6F7"/>
            </w:tcBorders>
            <w:shd w:val="clear" w:color="auto" w:fill="F3F6F7"/>
          </w:tcPr>
          <w:p>
            <w:pPr>
              <w:spacing w:after="0"/>
              <w:rPr>
                <w:sz w:val="17"/>
                <w:szCs w:val="17"/>
                <w:color w:val="auto"/>
              </w:rPr>
            </w:pPr>
          </w:p>
        </w:tc>
        <w:tc>
          <w:tcPr>
            <w:tcW w:w="3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00" w:type="dxa"/>
            <w:vAlign w:val="bottom"/>
            <w:tcBorders>
              <w:bottom w:val="single" w:sz="8" w:color="F3F6F7"/>
              <w:right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320" w:type="dxa"/>
            <w:vAlign w:val="bottom"/>
            <w:tcBorders>
              <w:bottom w:val="single" w:sz="8" w:color="F3F6F7"/>
            </w:tcBorders>
            <w:shd w:val="clear" w:color="auto" w:fill="F3F6F7"/>
          </w:tcPr>
          <w:p>
            <w:pPr>
              <w:spacing w:after="0"/>
              <w:rPr>
                <w:sz w:val="17"/>
                <w:szCs w:val="17"/>
                <w:color w:val="auto"/>
              </w:rPr>
            </w:pPr>
          </w:p>
        </w:tc>
        <w:tc>
          <w:tcPr>
            <w:tcW w:w="700" w:type="dxa"/>
            <w:vAlign w:val="bottom"/>
            <w:tcBorders>
              <w:bottom w:val="single" w:sz="8" w:color="F3F6F7"/>
            </w:tcBorders>
            <w:shd w:val="clear" w:color="auto" w:fill="F3F6F7"/>
          </w:tcPr>
          <w:p>
            <w:pPr>
              <w:jc w:val="right"/>
              <w:ind w:right="41"/>
              <w:spacing w:after="0" w:line="200"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80"/>
        </w:trPr>
        <w:tc>
          <w:tcPr>
            <w:tcW w:w="120" w:type="dxa"/>
            <w:vAlign w:val="bottom"/>
            <w:shd w:val="clear" w:color="auto" w:fill="F3F6F7"/>
          </w:tcPr>
          <w:p>
            <w:pPr>
              <w:spacing w:after="0"/>
              <w:rPr>
                <w:sz w:val="24"/>
                <w:szCs w:val="24"/>
                <w:color w:val="auto"/>
              </w:rPr>
            </w:pPr>
          </w:p>
        </w:tc>
        <w:tc>
          <w:tcPr>
            <w:tcW w:w="1560" w:type="dxa"/>
            <w:vAlign w:val="bottom"/>
            <w:tcBorders>
              <w:right w:val="single" w:sz="8" w:color="F3F6F7"/>
            </w:tcBorders>
            <w:gridSpan w:val="5"/>
            <w:shd w:val="clear" w:color="auto" w:fill="F3F6F7"/>
          </w:tcPr>
          <w:p>
            <w:pPr>
              <w:spacing w:after="0"/>
              <w:rPr>
                <w:sz w:val="20"/>
                <w:szCs w:val="20"/>
                <w:color w:val="auto"/>
              </w:rPr>
            </w:pPr>
            <w:r>
              <w:rPr>
                <w:rFonts w:ascii="Arial" w:cs="Arial" w:eastAsia="Arial" w:hAnsi="Arial"/>
                <w:sz w:val="13"/>
                <w:szCs w:val="13"/>
                <w:color w:val="0000EE"/>
              </w:rPr>
              <w:t>Management Ownership</w:t>
            </w:r>
          </w:p>
        </w:tc>
        <w:tc>
          <w:tcPr>
            <w:tcW w:w="2540" w:type="dxa"/>
            <w:vAlign w:val="bottom"/>
            <w:gridSpan w:val="11"/>
            <w:shd w:val="clear" w:color="auto" w:fill="F3F6F7"/>
          </w:tcPr>
          <w:p>
            <w:pPr>
              <w:spacing w:after="0"/>
              <w:rPr>
                <w:sz w:val="24"/>
                <w:szCs w:val="24"/>
                <w:color w:val="auto"/>
              </w:rPr>
            </w:pPr>
          </w:p>
        </w:tc>
        <w:tc>
          <w:tcPr>
            <w:tcW w:w="40" w:type="dxa"/>
            <w:vAlign w:val="bottom"/>
            <w:shd w:val="clear" w:color="auto" w:fill="F3F6F7"/>
          </w:tcPr>
          <w:p>
            <w:pPr>
              <w:spacing w:after="0"/>
              <w:rPr>
                <w:sz w:val="24"/>
                <w:szCs w:val="24"/>
                <w:color w:val="auto"/>
              </w:rPr>
            </w:pPr>
          </w:p>
        </w:tc>
        <w:tc>
          <w:tcPr>
            <w:tcW w:w="2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42</w:t>
            </w:r>
          </w:p>
        </w:tc>
        <w:tc>
          <w:tcPr>
            <w:tcW w:w="380" w:type="dxa"/>
            <w:vAlign w:val="bottom"/>
            <w:shd w:val="clear" w:color="auto" w:fill="F3F6F7"/>
          </w:tcPr>
          <w:p>
            <w:pPr>
              <w:spacing w:after="0"/>
              <w:rPr>
                <w:sz w:val="24"/>
                <w:szCs w:val="24"/>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Delinquent Section 16(a) Reports</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0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40" w:type="dxa"/>
            <w:vAlign w:val="bottom"/>
            <w:shd w:val="clear" w:color="auto" w:fill="F3F6F7"/>
          </w:tcPr>
          <w:p>
            <w:pPr>
              <w:spacing w:after="0" w:line="20" w:lineRule="exact"/>
              <w:rPr>
                <w:sz w:val="1"/>
                <w:szCs w:val="1"/>
                <w:color w:val="auto"/>
              </w:rPr>
            </w:pPr>
          </w:p>
        </w:tc>
        <w:tc>
          <w:tcPr>
            <w:tcW w:w="2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38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F3F6F7"/>
          </w:tcPr>
          <w:p>
            <w:pPr>
              <w:spacing w:after="0" w:line="20" w:lineRule="exact"/>
              <w:rPr>
                <w:sz w:val="1"/>
                <w:szCs w:val="1"/>
                <w:color w:val="auto"/>
              </w:rPr>
            </w:pPr>
          </w:p>
        </w:tc>
        <w:tc>
          <w:tcPr>
            <w:tcW w:w="3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0" w:type="dxa"/>
            <w:vAlign w:val="bottom"/>
            <w:tcBorders>
              <w:right w:val="single" w:sz="8" w:color="F3F6F7"/>
            </w:tcBorders>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320" w:type="dxa"/>
            <w:vAlign w:val="bottom"/>
            <w:shd w:val="clear" w:color="auto" w:fill="F3F6F7"/>
          </w:tcPr>
          <w:p>
            <w:pPr>
              <w:spacing w:after="0" w:line="20" w:lineRule="exact"/>
              <w:rPr>
                <w:sz w:val="1"/>
                <w:szCs w:val="1"/>
                <w:color w:val="auto"/>
              </w:rPr>
            </w:pPr>
          </w:p>
        </w:tc>
        <w:tc>
          <w:tcPr>
            <w:tcW w:w="70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4100" w:type="dxa"/>
            <w:vAlign w:val="bottom"/>
            <w:gridSpan w:val="16"/>
            <w:shd w:val="clear" w:color="auto" w:fill="F3F6F7"/>
          </w:tcPr>
          <w:p>
            <w:pPr>
              <w:spacing w:after="0"/>
              <w:rPr>
                <w:sz w:val="20"/>
                <w:szCs w:val="20"/>
                <w:color w:val="auto"/>
              </w:rPr>
            </w:pPr>
            <w:r>
              <w:rPr>
                <w:rFonts w:ascii="Arial" w:cs="Arial" w:eastAsia="Arial" w:hAnsi="Arial"/>
                <w:sz w:val="13"/>
                <w:szCs w:val="13"/>
                <w:color w:val="0000EE"/>
              </w:rPr>
              <w:t>Other Security Ownership</w:t>
            </w:r>
          </w:p>
        </w:tc>
        <w:tc>
          <w:tcPr>
            <w:tcW w:w="40" w:type="dxa"/>
            <w:vAlign w:val="bottom"/>
            <w:shd w:val="clear" w:color="auto" w:fill="F3F6F7"/>
          </w:tcPr>
          <w:p>
            <w:pPr>
              <w:spacing w:after="0"/>
              <w:rPr>
                <w:sz w:val="23"/>
                <w:szCs w:val="23"/>
                <w:color w:val="auto"/>
              </w:rPr>
            </w:pPr>
          </w:p>
        </w:tc>
        <w:tc>
          <w:tcPr>
            <w:tcW w:w="20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43</w:t>
            </w:r>
          </w:p>
        </w:tc>
        <w:tc>
          <w:tcPr>
            <w:tcW w:w="380" w:type="dxa"/>
            <w:vAlign w:val="bottom"/>
            <w:shd w:val="clear" w:color="auto" w:fill="F3F6F7"/>
          </w:tcPr>
          <w:p>
            <w:pPr>
              <w:spacing w:after="0"/>
              <w:rPr>
                <w:sz w:val="23"/>
                <w:szCs w:val="23"/>
                <w:color w:val="auto"/>
              </w:rPr>
            </w:pPr>
          </w:p>
        </w:tc>
        <w:tc>
          <w:tcPr>
            <w:tcW w:w="3920" w:type="dxa"/>
            <w:vAlign w:val="bottom"/>
            <w:gridSpan w:val="13"/>
            <w:shd w:val="clear" w:color="auto" w:fill="F3F6F7"/>
          </w:tcPr>
          <w:p>
            <w:pPr>
              <w:spacing w:after="0"/>
              <w:rPr>
                <w:sz w:val="20"/>
                <w:szCs w:val="20"/>
                <w:color w:val="auto"/>
              </w:rPr>
            </w:pPr>
            <w:r>
              <w:rPr>
                <w:rFonts w:ascii="Arial" w:cs="Arial" w:eastAsia="Arial" w:hAnsi="Arial"/>
                <w:sz w:val="13"/>
                <w:szCs w:val="13"/>
                <w:color w:val="0000EE"/>
              </w:rPr>
              <w:t>Compensation Committee Interlocks and Insider Participation</w:t>
            </w:r>
          </w:p>
        </w:tc>
        <w:tc>
          <w:tcPr>
            <w:tcW w:w="700" w:type="dxa"/>
            <w:vAlign w:val="bottom"/>
            <w:shd w:val="clear" w:color="auto" w:fill="F3F6F7"/>
          </w:tcPr>
          <w:p>
            <w:pPr>
              <w:jc w:val="right"/>
              <w:ind w:right="41"/>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20" w:type="dxa"/>
            <w:vAlign w:val="bottom"/>
            <w:tcBorders>
              <w:top w:val="single" w:sz="8" w:color="0000EE"/>
            </w:tcBorders>
            <w:shd w:val="clear" w:color="auto" w:fill="F3F6F7"/>
          </w:tcPr>
          <w:p>
            <w:pPr>
              <w:spacing w:after="0"/>
              <w:rPr>
                <w:sz w:val="9"/>
                <w:szCs w:val="9"/>
                <w:color w:val="auto"/>
              </w:rPr>
            </w:pPr>
          </w:p>
        </w:tc>
        <w:tc>
          <w:tcPr>
            <w:tcW w:w="2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right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0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tcBorders>
            <w:shd w:val="clear" w:color="auto" w:fill="F3F6F7"/>
          </w:tcPr>
          <w:p>
            <w:pPr>
              <w:spacing w:after="0"/>
              <w:rPr>
                <w:sz w:val="9"/>
                <w:szCs w:val="9"/>
                <w:color w:val="auto"/>
              </w:rPr>
            </w:pPr>
          </w:p>
        </w:tc>
        <w:tc>
          <w:tcPr>
            <w:tcW w:w="300" w:type="dxa"/>
            <w:vAlign w:val="bottom"/>
            <w:tcBorders>
              <w:top w:val="single" w:sz="8" w:color="F3F6F7"/>
            </w:tcBorders>
            <w:shd w:val="clear" w:color="auto" w:fill="F3F6F7"/>
          </w:tcPr>
          <w:p>
            <w:pPr>
              <w:spacing w:after="0"/>
              <w:rPr>
                <w:sz w:val="9"/>
                <w:szCs w:val="9"/>
                <w:color w:val="auto"/>
              </w:rPr>
            </w:pPr>
          </w:p>
        </w:tc>
        <w:tc>
          <w:tcPr>
            <w:tcW w:w="40" w:type="dxa"/>
            <w:vAlign w:val="bottom"/>
            <w:tcBorders>
              <w:top w:val="single" w:sz="8" w:color="F3F6F7"/>
            </w:tcBorders>
            <w:shd w:val="clear" w:color="auto" w:fill="F3F6F7"/>
          </w:tcPr>
          <w:p>
            <w:pPr>
              <w:spacing w:after="0"/>
              <w:rPr>
                <w:sz w:val="9"/>
                <w:szCs w:val="9"/>
                <w:color w:val="auto"/>
              </w:rPr>
            </w:pPr>
          </w:p>
        </w:tc>
        <w:tc>
          <w:tcPr>
            <w:tcW w:w="2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380" w:type="dxa"/>
            <w:vAlign w:val="bottom"/>
            <w:tcBorders>
              <w:top w:val="single" w:sz="8" w:color="F3F6F7"/>
            </w:tcBorders>
            <w:shd w:val="clear" w:color="auto" w:fill="F3F6F7"/>
          </w:tcPr>
          <w:p>
            <w:pPr>
              <w:spacing w:after="0"/>
              <w:rPr>
                <w:sz w:val="9"/>
                <w:szCs w:val="9"/>
                <w:color w:val="auto"/>
              </w:rPr>
            </w:pPr>
          </w:p>
        </w:tc>
        <w:tc>
          <w:tcPr>
            <w:tcW w:w="38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tcBorders>
            <w:shd w:val="clear" w:color="auto" w:fill="F3F6F7"/>
          </w:tcPr>
          <w:p>
            <w:pPr>
              <w:spacing w:after="0"/>
              <w:rPr>
                <w:sz w:val="9"/>
                <w:szCs w:val="9"/>
                <w:color w:val="auto"/>
              </w:rPr>
            </w:pPr>
          </w:p>
        </w:tc>
        <w:tc>
          <w:tcPr>
            <w:tcW w:w="420" w:type="dxa"/>
            <w:vAlign w:val="bottom"/>
            <w:tcBorders>
              <w:top w:val="single" w:sz="8" w:color="0000EE"/>
            </w:tcBorders>
            <w:shd w:val="clear" w:color="auto" w:fill="F3F6F7"/>
          </w:tcPr>
          <w:p>
            <w:pPr>
              <w:spacing w:after="0"/>
              <w:rPr>
                <w:sz w:val="9"/>
                <w:szCs w:val="9"/>
                <w:color w:val="auto"/>
              </w:rPr>
            </w:pPr>
          </w:p>
        </w:tc>
        <w:tc>
          <w:tcPr>
            <w:tcW w:w="160" w:type="dxa"/>
            <w:vAlign w:val="bottom"/>
            <w:tcBorders>
              <w:top w:val="single" w:sz="8" w:color="0000EE"/>
            </w:tcBorders>
            <w:shd w:val="clear" w:color="auto" w:fill="F3F6F7"/>
          </w:tcPr>
          <w:p>
            <w:pPr>
              <w:spacing w:after="0"/>
              <w:rPr>
                <w:sz w:val="9"/>
                <w:szCs w:val="9"/>
                <w:color w:val="auto"/>
              </w:rPr>
            </w:pPr>
          </w:p>
        </w:tc>
        <w:tc>
          <w:tcPr>
            <w:tcW w:w="2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800" w:type="dxa"/>
            <w:vAlign w:val="bottom"/>
            <w:tcBorders>
              <w:top w:val="single" w:sz="8" w:color="0000EE"/>
            </w:tcBorders>
            <w:shd w:val="clear" w:color="auto" w:fill="F3F6F7"/>
          </w:tcPr>
          <w:p>
            <w:pPr>
              <w:spacing w:after="0"/>
              <w:rPr>
                <w:sz w:val="9"/>
                <w:szCs w:val="9"/>
                <w:color w:val="auto"/>
              </w:rPr>
            </w:pPr>
          </w:p>
        </w:tc>
        <w:tc>
          <w:tcPr>
            <w:tcW w:w="30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0000EE"/>
            </w:tcBorders>
            <w:shd w:val="clear" w:color="auto" w:fill="F3F6F7"/>
          </w:tcPr>
          <w:p>
            <w:pPr>
              <w:spacing w:after="0"/>
              <w:rPr>
                <w:sz w:val="9"/>
                <w:szCs w:val="9"/>
                <w:color w:val="auto"/>
              </w:rPr>
            </w:pPr>
          </w:p>
        </w:tc>
        <w:tc>
          <w:tcPr>
            <w:tcW w:w="200" w:type="dxa"/>
            <w:vAlign w:val="bottom"/>
            <w:tcBorders>
              <w:top w:val="single" w:sz="8" w:color="0000EE"/>
              <w:right w:val="single" w:sz="8" w:color="F3F6F7"/>
            </w:tcBorders>
            <w:shd w:val="clear" w:color="auto" w:fill="F3F6F7"/>
          </w:tcPr>
          <w:p>
            <w:pPr>
              <w:spacing w:after="0"/>
              <w:rPr>
                <w:sz w:val="9"/>
                <w:szCs w:val="9"/>
                <w:color w:val="auto"/>
              </w:rPr>
            </w:pPr>
          </w:p>
        </w:tc>
        <w:tc>
          <w:tcPr>
            <w:tcW w:w="80" w:type="dxa"/>
            <w:vAlign w:val="bottom"/>
            <w:tcBorders>
              <w:top w:val="single" w:sz="8" w:color="0000EE"/>
            </w:tcBorders>
            <w:shd w:val="clear" w:color="auto" w:fill="F3F6F7"/>
          </w:tcPr>
          <w:p>
            <w:pPr>
              <w:spacing w:after="0"/>
              <w:rPr>
                <w:sz w:val="9"/>
                <w:szCs w:val="9"/>
                <w:color w:val="auto"/>
              </w:rPr>
            </w:pPr>
          </w:p>
        </w:tc>
        <w:tc>
          <w:tcPr>
            <w:tcW w:w="320" w:type="dxa"/>
            <w:vAlign w:val="bottom"/>
            <w:tcBorders>
              <w:top w:val="single" w:sz="8" w:color="F3F6F7"/>
            </w:tcBorders>
            <w:shd w:val="clear" w:color="auto" w:fill="F3F6F7"/>
          </w:tcPr>
          <w:p>
            <w:pPr>
              <w:spacing w:after="0"/>
              <w:rPr>
                <w:sz w:val="9"/>
                <w:szCs w:val="9"/>
                <w:color w:val="auto"/>
              </w:rPr>
            </w:pPr>
          </w:p>
        </w:tc>
        <w:tc>
          <w:tcPr>
            <w:tcW w:w="70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4420" w:type="dxa"/>
            <w:vAlign w:val="bottom"/>
            <w:gridSpan w:val="19"/>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INFORMATION FOR OUR 2026 ANNUAL MEETING</w:t>
            </w:r>
          </w:p>
        </w:tc>
        <w:tc>
          <w:tcPr>
            <w:tcW w:w="380" w:type="dxa"/>
            <w:vAlign w:val="bottom"/>
            <w:shd w:val="clear" w:color="auto" w:fill="F3F6F7"/>
          </w:tcPr>
          <w:p>
            <w:pPr>
              <w:spacing w:after="0"/>
              <w:rPr>
                <w:sz w:val="21"/>
                <w:szCs w:val="21"/>
                <w:color w:val="auto"/>
              </w:rPr>
            </w:pPr>
          </w:p>
        </w:tc>
        <w:tc>
          <w:tcPr>
            <w:tcW w:w="380" w:type="dxa"/>
            <w:vAlign w:val="bottom"/>
            <w:shd w:val="clear" w:color="auto" w:fill="F3F6F7"/>
          </w:tcPr>
          <w:p>
            <w:pPr>
              <w:spacing w:after="0"/>
              <w:rPr>
                <w:sz w:val="21"/>
                <w:szCs w:val="21"/>
                <w:color w:val="auto"/>
              </w:rPr>
            </w:pPr>
          </w:p>
        </w:tc>
        <w:tc>
          <w:tcPr>
            <w:tcW w:w="660" w:type="dxa"/>
            <w:vAlign w:val="bottom"/>
            <w:shd w:val="clear" w:color="auto" w:fill="F3F6F7"/>
          </w:tcPr>
          <w:p>
            <w:pPr>
              <w:spacing w:after="0"/>
              <w:rPr>
                <w:sz w:val="21"/>
                <w:szCs w:val="21"/>
                <w:color w:val="auto"/>
              </w:rPr>
            </w:pPr>
          </w:p>
        </w:tc>
        <w:tc>
          <w:tcPr>
            <w:tcW w:w="220" w:type="dxa"/>
            <w:vAlign w:val="bottom"/>
            <w:shd w:val="clear" w:color="auto" w:fill="F3F6F7"/>
          </w:tcPr>
          <w:p>
            <w:pPr>
              <w:spacing w:after="0"/>
              <w:rPr>
                <w:sz w:val="21"/>
                <w:szCs w:val="21"/>
                <w:color w:val="auto"/>
              </w:rPr>
            </w:pPr>
          </w:p>
        </w:tc>
        <w:tc>
          <w:tcPr>
            <w:tcW w:w="420" w:type="dxa"/>
            <w:vAlign w:val="bottom"/>
            <w:shd w:val="clear" w:color="auto" w:fill="F3F6F7"/>
          </w:tcPr>
          <w:p>
            <w:pPr>
              <w:spacing w:after="0"/>
              <w:rPr>
                <w:sz w:val="21"/>
                <w:szCs w:val="21"/>
                <w:color w:val="auto"/>
              </w:rPr>
            </w:pPr>
          </w:p>
        </w:tc>
        <w:tc>
          <w:tcPr>
            <w:tcW w:w="16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260" w:type="dxa"/>
            <w:vAlign w:val="bottom"/>
            <w:shd w:val="clear" w:color="auto" w:fill="F3F6F7"/>
          </w:tcPr>
          <w:p>
            <w:pPr>
              <w:spacing w:after="0"/>
              <w:rPr>
                <w:sz w:val="21"/>
                <w:szCs w:val="21"/>
                <w:color w:val="auto"/>
              </w:rPr>
            </w:pPr>
          </w:p>
        </w:tc>
        <w:tc>
          <w:tcPr>
            <w:tcW w:w="800" w:type="dxa"/>
            <w:vAlign w:val="bottom"/>
            <w:shd w:val="clear" w:color="auto" w:fill="F3F6F7"/>
          </w:tcPr>
          <w:p>
            <w:pPr>
              <w:spacing w:after="0"/>
              <w:rPr>
                <w:sz w:val="21"/>
                <w:szCs w:val="21"/>
                <w:color w:val="auto"/>
              </w:rPr>
            </w:pPr>
          </w:p>
        </w:tc>
        <w:tc>
          <w:tcPr>
            <w:tcW w:w="30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200" w:type="dxa"/>
            <w:vAlign w:val="bottom"/>
            <w:tcBorders>
              <w:right w:val="single" w:sz="8" w:color="F3F6F7"/>
            </w:tcBorders>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320" w:type="dxa"/>
            <w:vAlign w:val="bottom"/>
            <w:shd w:val="clear" w:color="auto" w:fill="F3F6F7"/>
          </w:tcPr>
          <w:p>
            <w:pPr>
              <w:spacing w:after="0"/>
              <w:rPr>
                <w:sz w:val="21"/>
                <w:szCs w:val="21"/>
                <w:color w:val="auto"/>
              </w:rPr>
            </w:pPr>
          </w:p>
        </w:tc>
        <w:tc>
          <w:tcPr>
            <w:tcW w:w="700" w:type="dxa"/>
            <w:vAlign w:val="bottom"/>
            <w:shd w:val="clear" w:color="auto" w:fill="F3F6F7"/>
          </w:tcPr>
          <w:p>
            <w:pPr>
              <w:jc w:val="right"/>
              <w:ind w:right="41"/>
              <w:spacing w:after="0" w:line="200" w:lineRule="exact"/>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40" w:type="dxa"/>
            <w:vAlign w:val="bottom"/>
            <w:tcBorders>
              <w:top w:val="single" w:sz="8" w:color="F3F6F7"/>
            </w:tcBorders>
            <w:gridSpan w:val="3"/>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42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260" w:type="dxa"/>
            <w:vAlign w:val="bottom"/>
            <w:tcBorders>
              <w:top w:val="single" w:sz="8" w:color="F3F6F7"/>
            </w:tcBorders>
          </w:tcPr>
          <w:p>
            <w:pPr>
              <w:spacing w:after="0"/>
              <w:rPr>
                <w:sz w:val="11"/>
                <w:szCs w:val="11"/>
                <w:color w:val="auto"/>
              </w:rPr>
            </w:pPr>
          </w:p>
        </w:tc>
        <w:tc>
          <w:tcPr>
            <w:tcW w:w="8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20" w:type="dxa"/>
            <w:vAlign w:val="bottom"/>
            <w:tcBorders>
              <w:top w:val="single" w:sz="8" w:color="F3F6F7"/>
            </w:tcBorders>
          </w:tcPr>
          <w:p>
            <w:pPr>
              <w:spacing w:after="0"/>
              <w:rPr>
                <w:sz w:val="11"/>
                <w:szCs w:val="11"/>
                <w:color w:val="auto"/>
              </w:rPr>
            </w:pPr>
          </w:p>
        </w:tc>
        <w:tc>
          <w:tcPr>
            <w:tcW w:w="70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9100" w:type="dxa"/>
            <w:vAlign w:val="bottom"/>
            <w:gridSpan w:val="34"/>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QUESTIONS AND ANSWERS ABOUT OUR 2025 ANNUAL MEETING</w:t>
            </w:r>
          </w:p>
        </w:tc>
        <w:tc>
          <w:tcPr>
            <w:tcW w:w="700" w:type="dxa"/>
            <w:vAlign w:val="bottom"/>
            <w:shd w:val="clear" w:color="auto" w:fill="F3F6F7"/>
          </w:tcPr>
          <w:p>
            <w:pPr>
              <w:jc w:val="right"/>
              <w:ind w:right="41"/>
              <w:spacing w:after="0" w:line="200"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42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260" w:type="dxa"/>
            <w:vAlign w:val="bottom"/>
            <w:tcBorders>
              <w:top w:val="single" w:sz="8" w:color="F3F6F7"/>
            </w:tcBorders>
          </w:tcPr>
          <w:p>
            <w:pPr>
              <w:spacing w:after="0"/>
              <w:rPr>
                <w:sz w:val="11"/>
                <w:szCs w:val="11"/>
                <w:color w:val="auto"/>
              </w:rPr>
            </w:pPr>
          </w:p>
        </w:tc>
        <w:tc>
          <w:tcPr>
            <w:tcW w:w="800" w:type="dxa"/>
            <w:vAlign w:val="bottom"/>
            <w:tcBorders>
              <w:top w:val="single" w:sz="8" w:color="F3F6F7"/>
            </w:tcBorders>
          </w:tcPr>
          <w:p>
            <w:pPr>
              <w:spacing w:after="0"/>
              <w:rPr>
                <w:sz w:val="11"/>
                <w:szCs w:val="11"/>
                <w:color w:val="auto"/>
              </w:rPr>
            </w:pPr>
          </w:p>
        </w:tc>
        <w:tc>
          <w:tcPr>
            <w:tcW w:w="3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320" w:type="dxa"/>
            <w:vAlign w:val="bottom"/>
            <w:tcBorders>
              <w:top w:val="single" w:sz="8" w:color="F3F6F7"/>
            </w:tcBorders>
          </w:tcPr>
          <w:p>
            <w:pPr>
              <w:spacing w:after="0"/>
              <w:rPr>
                <w:sz w:val="11"/>
                <w:szCs w:val="11"/>
                <w:color w:val="auto"/>
              </w:rPr>
            </w:pPr>
          </w:p>
        </w:tc>
        <w:tc>
          <w:tcPr>
            <w:tcW w:w="70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940" w:type="dxa"/>
            <w:vAlign w:val="bottom"/>
            <w:tcBorders>
              <w:bottom w:val="single" w:sz="8" w:color="0000EE"/>
            </w:tcBorders>
            <w:gridSpan w:val="2"/>
            <w:shd w:val="clear" w:color="auto" w:fill="F3F6F7"/>
          </w:tcPr>
          <w:p>
            <w:pPr>
              <w:spacing w:after="0" w:line="200" w:lineRule="exact"/>
              <w:rPr>
                <w:sz w:val="20"/>
                <w:szCs w:val="20"/>
                <w:color w:val="auto"/>
              </w:rPr>
            </w:pPr>
            <w:r>
              <w:rPr>
                <w:rFonts w:ascii="Arial" w:cs="Arial" w:eastAsia="Arial" w:hAnsi="Arial"/>
                <w:sz w:val="18"/>
                <w:szCs w:val="18"/>
                <w:b w:val="1"/>
                <w:bCs w:val="1"/>
                <w:color w:val="0000EE"/>
                <w:w w:val="99"/>
              </w:rPr>
              <w:t>APPENDIX</w:t>
            </w:r>
          </w:p>
        </w:tc>
        <w:tc>
          <w:tcPr>
            <w:tcW w:w="3160" w:type="dxa"/>
            <w:vAlign w:val="bottom"/>
            <w:tcBorders>
              <w:bottom w:val="single" w:sz="8" w:color="F3F6F7"/>
            </w:tcBorders>
            <w:gridSpan w:val="14"/>
            <w:shd w:val="clear" w:color="auto" w:fill="F3F6F7"/>
          </w:tcPr>
          <w:p>
            <w:pPr>
              <w:spacing w:after="0"/>
              <w:rPr>
                <w:sz w:val="17"/>
                <w:szCs w:val="17"/>
                <w:color w:val="auto"/>
              </w:rPr>
            </w:pPr>
          </w:p>
        </w:tc>
        <w:tc>
          <w:tcPr>
            <w:tcW w:w="40" w:type="dxa"/>
            <w:vAlign w:val="bottom"/>
            <w:tcBorders>
              <w:bottom w:val="single" w:sz="8" w:color="F3F6F7"/>
            </w:tcBorders>
            <w:shd w:val="clear" w:color="auto" w:fill="F3F6F7"/>
          </w:tcPr>
          <w:p>
            <w:pPr>
              <w:spacing w:after="0"/>
              <w:rPr>
                <w:sz w:val="17"/>
                <w:szCs w:val="17"/>
                <w:color w:val="auto"/>
              </w:rPr>
            </w:pPr>
          </w:p>
        </w:tc>
        <w:tc>
          <w:tcPr>
            <w:tcW w:w="2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380" w:type="dxa"/>
            <w:vAlign w:val="bottom"/>
            <w:tcBorders>
              <w:bottom w:val="single" w:sz="8" w:color="F3F6F7"/>
            </w:tcBorders>
            <w:shd w:val="clear" w:color="auto" w:fill="F3F6F7"/>
          </w:tcPr>
          <w:p>
            <w:pPr>
              <w:spacing w:after="0"/>
              <w:rPr>
                <w:sz w:val="17"/>
                <w:szCs w:val="17"/>
                <w:color w:val="auto"/>
              </w:rPr>
            </w:pPr>
          </w:p>
        </w:tc>
        <w:tc>
          <w:tcPr>
            <w:tcW w:w="38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42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260" w:type="dxa"/>
            <w:vAlign w:val="bottom"/>
            <w:tcBorders>
              <w:bottom w:val="single" w:sz="8" w:color="F3F6F7"/>
            </w:tcBorders>
            <w:shd w:val="clear" w:color="auto" w:fill="F3F6F7"/>
          </w:tcPr>
          <w:p>
            <w:pPr>
              <w:spacing w:after="0"/>
              <w:rPr>
                <w:sz w:val="17"/>
                <w:szCs w:val="17"/>
                <w:color w:val="auto"/>
              </w:rPr>
            </w:pPr>
          </w:p>
        </w:tc>
        <w:tc>
          <w:tcPr>
            <w:tcW w:w="800" w:type="dxa"/>
            <w:vAlign w:val="bottom"/>
            <w:tcBorders>
              <w:bottom w:val="single" w:sz="8" w:color="F3F6F7"/>
            </w:tcBorders>
            <w:shd w:val="clear" w:color="auto" w:fill="F3F6F7"/>
          </w:tcPr>
          <w:p>
            <w:pPr>
              <w:spacing w:after="0"/>
              <w:rPr>
                <w:sz w:val="17"/>
                <w:szCs w:val="17"/>
                <w:color w:val="auto"/>
              </w:rPr>
            </w:pPr>
          </w:p>
        </w:tc>
        <w:tc>
          <w:tcPr>
            <w:tcW w:w="3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00" w:type="dxa"/>
            <w:vAlign w:val="bottom"/>
            <w:tcBorders>
              <w:bottom w:val="single" w:sz="8" w:color="F3F6F7"/>
              <w:right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320" w:type="dxa"/>
            <w:vAlign w:val="bottom"/>
            <w:tcBorders>
              <w:bottom w:val="single" w:sz="8" w:color="F3F6F7"/>
            </w:tcBorders>
            <w:shd w:val="clear" w:color="auto" w:fill="F3F6F7"/>
          </w:tcPr>
          <w:p>
            <w:pPr>
              <w:spacing w:after="0"/>
              <w:rPr>
                <w:sz w:val="17"/>
                <w:szCs w:val="17"/>
                <w:color w:val="auto"/>
              </w:rPr>
            </w:pPr>
          </w:p>
        </w:tc>
        <w:tc>
          <w:tcPr>
            <w:tcW w:w="700" w:type="dxa"/>
            <w:vAlign w:val="bottom"/>
            <w:tcBorders>
              <w:bottom w:val="single" w:sz="8" w:color="F3F6F7"/>
            </w:tcBorders>
            <w:shd w:val="clear" w:color="auto" w:fill="F3F6F7"/>
          </w:tcPr>
          <w:p>
            <w:pPr>
              <w:jc w:val="right"/>
              <w:ind w:right="41"/>
              <w:spacing w:after="0" w:line="200" w:lineRule="exact"/>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r>
        <w:trPr>
          <w:trHeight w:val="280"/>
        </w:trPr>
        <w:tc>
          <w:tcPr>
            <w:tcW w:w="120" w:type="dxa"/>
            <w:vAlign w:val="bottom"/>
            <w:tcBorders>
              <w:bottom w:val="single" w:sz="8" w:color="F3F6F7"/>
            </w:tcBorders>
            <w:shd w:val="clear" w:color="auto" w:fill="F3F6F7"/>
          </w:tcPr>
          <w:p>
            <w:pPr>
              <w:spacing w:after="0"/>
              <w:rPr>
                <w:sz w:val="24"/>
                <w:szCs w:val="24"/>
                <w:color w:val="auto"/>
              </w:rPr>
            </w:pPr>
          </w:p>
        </w:tc>
        <w:tc>
          <w:tcPr>
            <w:tcW w:w="3800" w:type="dxa"/>
            <w:vAlign w:val="bottom"/>
            <w:tcBorders>
              <w:bottom w:val="single" w:sz="8" w:color="0000EE"/>
            </w:tcBorders>
            <w:gridSpan w:val="15"/>
            <w:shd w:val="clear" w:color="auto" w:fill="F3F6F7"/>
          </w:tcPr>
          <w:p>
            <w:pPr>
              <w:spacing w:after="0"/>
              <w:rPr>
                <w:sz w:val="20"/>
                <w:szCs w:val="20"/>
                <w:color w:val="auto"/>
              </w:rPr>
            </w:pPr>
            <w:r>
              <w:rPr>
                <w:rFonts w:ascii="Arial" w:cs="Arial" w:eastAsia="Arial" w:hAnsi="Arial"/>
                <w:sz w:val="13"/>
                <w:szCs w:val="13"/>
                <w:color w:val="0000EE"/>
              </w:rPr>
              <w:t>Supplementary Reconciliation of Non-GAAP Financial Measures</w:t>
            </w:r>
          </w:p>
        </w:tc>
        <w:tc>
          <w:tcPr>
            <w:tcW w:w="300" w:type="dxa"/>
            <w:vAlign w:val="bottom"/>
            <w:tcBorders>
              <w:bottom w:val="single" w:sz="8" w:color="F3F6F7"/>
            </w:tcBorders>
            <w:shd w:val="clear" w:color="auto" w:fill="F3F6F7"/>
          </w:tcPr>
          <w:p>
            <w:pPr>
              <w:spacing w:after="0"/>
              <w:rPr>
                <w:sz w:val="24"/>
                <w:szCs w:val="24"/>
                <w:color w:val="auto"/>
              </w:rPr>
            </w:pPr>
          </w:p>
        </w:tc>
        <w:tc>
          <w:tcPr>
            <w:tcW w:w="40" w:type="dxa"/>
            <w:vAlign w:val="bottom"/>
            <w:tcBorders>
              <w:bottom w:val="single" w:sz="8" w:color="F3F6F7"/>
            </w:tcBorders>
            <w:shd w:val="clear" w:color="auto" w:fill="F3F6F7"/>
          </w:tcPr>
          <w:p>
            <w:pPr>
              <w:spacing w:after="0"/>
              <w:rPr>
                <w:sz w:val="24"/>
                <w:szCs w:val="24"/>
                <w:color w:val="auto"/>
              </w:rPr>
            </w:pPr>
          </w:p>
        </w:tc>
        <w:tc>
          <w:tcPr>
            <w:tcW w:w="20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38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A-1</w:t>
            </w:r>
          </w:p>
        </w:tc>
        <w:tc>
          <w:tcPr>
            <w:tcW w:w="38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220" w:type="dxa"/>
            <w:vAlign w:val="bottom"/>
            <w:tcBorders>
              <w:bottom w:val="single" w:sz="8" w:color="F3F6F7"/>
            </w:tcBorders>
            <w:shd w:val="clear" w:color="auto" w:fill="F3F6F7"/>
          </w:tcPr>
          <w:p>
            <w:pPr>
              <w:spacing w:after="0"/>
              <w:rPr>
                <w:sz w:val="24"/>
                <w:szCs w:val="24"/>
                <w:color w:val="auto"/>
              </w:rPr>
            </w:pPr>
          </w:p>
        </w:tc>
        <w:tc>
          <w:tcPr>
            <w:tcW w:w="420" w:type="dxa"/>
            <w:vAlign w:val="bottom"/>
            <w:tcBorders>
              <w:bottom w:val="single" w:sz="8" w:color="F3F6F7"/>
            </w:tcBorders>
            <w:shd w:val="clear" w:color="auto" w:fill="F3F6F7"/>
          </w:tcPr>
          <w:p>
            <w:pPr>
              <w:spacing w:after="0"/>
              <w:rPr>
                <w:sz w:val="24"/>
                <w:szCs w:val="24"/>
                <w:color w:val="auto"/>
              </w:rPr>
            </w:pPr>
          </w:p>
        </w:tc>
        <w:tc>
          <w:tcPr>
            <w:tcW w:w="16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260" w:type="dxa"/>
            <w:vAlign w:val="bottom"/>
            <w:tcBorders>
              <w:bottom w:val="single" w:sz="8" w:color="F3F6F7"/>
            </w:tcBorders>
            <w:shd w:val="clear" w:color="auto" w:fill="F3F6F7"/>
          </w:tcPr>
          <w:p>
            <w:pPr>
              <w:spacing w:after="0"/>
              <w:rPr>
                <w:sz w:val="24"/>
                <w:szCs w:val="24"/>
                <w:color w:val="auto"/>
              </w:rPr>
            </w:pPr>
          </w:p>
        </w:tc>
        <w:tc>
          <w:tcPr>
            <w:tcW w:w="800" w:type="dxa"/>
            <w:vAlign w:val="bottom"/>
            <w:tcBorders>
              <w:bottom w:val="single" w:sz="8" w:color="F3F6F7"/>
            </w:tcBorders>
            <w:shd w:val="clear" w:color="auto" w:fill="F3F6F7"/>
          </w:tcPr>
          <w:p>
            <w:pPr>
              <w:spacing w:after="0"/>
              <w:rPr>
                <w:sz w:val="24"/>
                <w:szCs w:val="24"/>
                <w:color w:val="auto"/>
              </w:rPr>
            </w:pPr>
          </w:p>
        </w:tc>
        <w:tc>
          <w:tcPr>
            <w:tcW w:w="30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200" w:type="dxa"/>
            <w:vAlign w:val="bottom"/>
            <w:tcBorders>
              <w:bottom w:val="single" w:sz="8" w:color="F3F6F7"/>
              <w:right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320" w:type="dxa"/>
            <w:vAlign w:val="bottom"/>
            <w:tcBorders>
              <w:bottom w:val="single" w:sz="8" w:color="F3F6F7"/>
            </w:tcBorders>
            <w:shd w:val="clear" w:color="auto" w:fill="F3F6F7"/>
          </w:tcPr>
          <w:p>
            <w:pPr>
              <w:spacing w:after="0"/>
              <w:rPr>
                <w:sz w:val="24"/>
                <w:szCs w:val="24"/>
                <w:color w:val="auto"/>
              </w:rPr>
            </w:pPr>
          </w:p>
        </w:tc>
        <w:tc>
          <w:tcPr>
            <w:tcW w:w="700" w:type="dxa"/>
            <w:vAlign w:val="bottom"/>
            <w:tcBorders>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20" w:type="dxa"/>
            <w:vAlign w:val="bottom"/>
            <w:shd w:val="clear" w:color="auto" w:fill="F3F6F7"/>
          </w:tcPr>
          <w:p>
            <w:pPr>
              <w:spacing w:after="0"/>
              <w:rPr>
                <w:sz w:val="24"/>
                <w:szCs w:val="24"/>
                <w:color w:val="auto"/>
              </w:rPr>
            </w:pPr>
          </w:p>
        </w:tc>
        <w:tc>
          <w:tcPr>
            <w:tcW w:w="4100" w:type="dxa"/>
            <w:vAlign w:val="bottom"/>
            <w:gridSpan w:val="16"/>
            <w:shd w:val="clear" w:color="auto" w:fill="F3F6F7"/>
          </w:tcPr>
          <w:p>
            <w:pPr>
              <w:spacing w:after="0"/>
              <w:rPr>
                <w:sz w:val="20"/>
                <w:szCs w:val="20"/>
                <w:color w:val="auto"/>
              </w:rPr>
            </w:pPr>
            <w:r>
              <w:rPr>
                <w:rFonts w:ascii="Arial" w:cs="Arial" w:eastAsia="Arial" w:hAnsi="Arial"/>
                <w:sz w:val="13"/>
                <w:szCs w:val="13"/>
                <w:color w:val="0000EE"/>
              </w:rPr>
              <w:t>RTSR Peer Group Entities</w:t>
            </w:r>
          </w:p>
        </w:tc>
        <w:tc>
          <w:tcPr>
            <w:tcW w:w="40" w:type="dxa"/>
            <w:vAlign w:val="bottom"/>
            <w:shd w:val="clear" w:color="auto" w:fill="F3F6F7"/>
          </w:tcPr>
          <w:p>
            <w:pPr>
              <w:spacing w:after="0"/>
              <w:rPr>
                <w:sz w:val="24"/>
                <w:szCs w:val="24"/>
                <w:color w:val="auto"/>
              </w:rPr>
            </w:pPr>
          </w:p>
        </w:tc>
        <w:tc>
          <w:tcPr>
            <w:tcW w:w="2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38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A-2</w:t>
            </w:r>
          </w:p>
        </w:tc>
        <w:tc>
          <w:tcPr>
            <w:tcW w:w="380" w:type="dxa"/>
            <w:vAlign w:val="bottom"/>
            <w:shd w:val="clear" w:color="auto" w:fill="F3F6F7"/>
          </w:tcPr>
          <w:p>
            <w:pPr>
              <w:spacing w:after="0"/>
              <w:rPr>
                <w:sz w:val="24"/>
                <w:szCs w:val="24"/>
                <w:color w:val="auto"/>
              </w:rPr>
            </w:pPr>
          </w:p>
        </w:tc>
        <w:tc>
          <w:tcPr>
            <w:tcW w:w="660" w:type="dxa"/>
            <w:vAlign w:val="bottom"/>
            <w:shd w:val="clear" w:color="auto" w:fill="F3F6F7"/>
          </w:tcPr>
          <w:p>
            <w:pPr>
              <w:spacing w:after="0"/>
              <w:rPr>
                <w:sz w:val="24"/>
                <w:szCs w:val="24"/>
                <w:color w:val="auto"/>
              </w:rPr>
            </w:pPr>
          </w:p>
        </w:tc>
        <w:tc>
          <w:tcPr>
            <w:tcW w:w="220" w:type="dxa"/>
            <w:vAlign w:val="bottom"/>
            <w:shd w:val="clear" w:color="auto" w:fill="F3F6F7"/>
          </w:tcPr>
          <w:p>
            <w:pPr>
              <w:spacing w:after="0"/>
              <w:rPr>
                <w:sz w:val="24"/>
                <w:szCs w:val="24"/>
                <w:color w:val="auto"/>
              </w:rPr>
            </w:pPr>
          </w:p>
        </w:tc>
        <w:tc>
          <w:tcPr>
            <w:tcW w:w="420" w:type="dxa"/>
            <w:vAlign w:val="bottom"/>
            <w:shd w:val="clear" w:color="auto" w:fill="F3F6F7"/>
          </w:tcPr>
          <w:p>
            <w:pPr>
              <w:spacing w:after="0"/>
              <w:rPr>
                <w:sz w:val="24"/>
                <w:szCs w:val="24"/>
                <w:color w:val="auto"/>
              </w:rPr>
            </w:pPr>
          </w:p>
        </w:tc>
        <w:tc>
          <w:tcPr>
            <w:tcW w:w="16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260" w:type="dxa"/>
            <w:vAlign w:val="bottom"/>
            <w:shd w:val="clear" w:color="auto" w:fill="F3F6F7"/>
          </w:tcPr>
          <w:p>
            <w:pPr>
              <w:spacing w:after="0"/>
              <w:rPr>
                <w:sz w:val="24"/>
                <w:szCs w:val="24"/>
                <w:color w:val="auto"/>
              </w:rPr>
            </w:pPr>
          </w:p>
        </w:tc>
        <w:tc>
          <w:tcPr>
            <w:tcW w:w="800" w:type="dxa"/>
            <w:vAlign w:val="bottom"/>
            <w:shd w:val="clear" w:color="auto" w:fill="F3F6F7"/>
          </w:tcPr>
          <w:p>
            <w:pPr>
              <w:spacing w:after="0"/>
              <w:rPr>
                <w:sz w:val="24"/>
                <w:szCs w:val="24"/>
                <w:color w:val="auto"/>
              </w:rPr>
            </w:pPr>
          </w:p>
        </w:tc>
        <w:tc>
          <w:tcPr>
            <w:tcW w:w="3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200" w:type="dxa"/>
            <w:vAlign w:val="bottom"/>
            <w:tcBorders>
              <w:right w:val="single" w:sz="8" w:color="F3F6F7"/>
            </w:tcBorders>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320" w:type="dxa"/>
            <w:vAlign w:val="bottom"/>
            <w:shd w:val="clear" w:color="auto" w:fill="F3F6F7"/>
          </w:tcPr>
          <w:p>
            <w:pPr>
              <w:spacing w:after="0"/>
              <w:rPr>
                <w:sz w:val="24"/>
                <w:szCs w:val="24"/>
                <w:color w:val="auto"/>
              </w:rPr>
            </w:pPr>
          </w:p>
        </w:tc>
        <w:tc>
          <w:tcPr>
            <w:tcW w:w="700" w:type="dxa"/>
            <w:vAlign w:val="bottom"/>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20" w:type="dxa"/>
            <w:vAlign w:val="bottom"/>
            <w:tcBorders>
              <w:top w:val="single" w:sz="8" w:color="F3F6F7"/>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6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108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200" w:type="dxa"/>
            <w:vAlign w:val="bottom"/>
            <w:tcBorders>
              <w:top w:val="single" w:sz="8" w:color="F3F6F7"/>
              <w:bottom w:val="single" w:sz="8" w:color="auto"/>
            </w:tcBorders>
          </w:tcPr>
          <w:p>
            <w:pPr>
              <w:spacing w:after="0"/>
              <w:rPr>
                <w:sz w:val="24"/>
                <w:szCs w:val="24"/>
                <w:color w:val="auto"/>
              </w:rPr>
            </w:pPr>
          </w:p>
        </w:tc>
        <w:tc>
          <w:tcPr>
            <w:tcW w:w="300" w:type="dxa"/>
            <w:vAlign w:val="bottom"/>
            <w:tcBorders>
              <w:top w:val="single" w:sz="8" w:color="F3F6F7"/>
              <w:bottom w:val="single" w:sz="8" w:color="auto"/>
            </w:tcBorders>
          </w:tcPr>
          <w:p>
            <w:pPr>
              <w:spacing w:after="0"/>
              <w:rPr>
                <w:sz w:val="24"/>
                <w:szCs w:val="24"/>
                <w:color w:val="auto"/>
              </w:rPr>
            </w:pPr>
          </w:p>
        </w:tc>
        <w:tc>
          <w:tcPr>
            <w:tcW w:w="40" w:type="dxa"/>
            <w:vAlign w:val="bottom"/>
            <w:tcBorders>
              <w:top w:val="single" w:sz="8" w:color="F3F6F7"/>
              <w:bottom w:val="single" w:sz="8" w:color="auto"/>
            </w:tcBorders>
          </w:tcPr>
          <w:p>
            <w:pPr>
              <w:spacing w:after="0"/>
              <w:rPr>
                <w:sz w:val="24"/>
                <w:szCs w:val="24"/>
                <w:color w:val="auto"/>
              </w:rPr>
            </w:pPr>
          </w:p>
        </w:tc>
        <w:tc>
          <w:tcPr>
            <w:tcW w:w="2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380" w:type="dxa"/>
            <w:vAlign w:val="bottom"/>
            <w:tcBorders>
              <w:top w:val="single" w:sz="8" w:color="F3F6F7"/>
              <w:bottom w:val="single" w:sz="8" w:color="auto"/>
            </w:tcBorders>
          </w:tcPr>
          <w:p>
            <w:pPr>
              <w:spacing w:after="0"/>
              <w:rPr>
                <w:sz w:val="24"/>
                <w:szCs w:val="24"/>
                <w:color w:val="auto"/>
              </w:rPr>
            </w:pPr>
          </w:p>
        </w:tc>
        <w:tc>
          <w:tcPr>
            <w:tcW w:w="380" w:type="dxa"/>
            <w:vAlign w:val="bottom"/>
            <w:tcBorders>
              <w:top w:val="single" w:sz="8" w:color="F3F6F7"/>
              <w:bottom w:val="single" w:sz="8" w:color="auto"/>
            </w:tcBorders>
          </w:tcPr>
          <w:p>
            <w:pPr>
              <w:spacing w:after="0"/>
              <w:rPr>
                <w:sz w:val="24"/>
                <w:szCs w:val="24"/>
                <w:color w:val="auto"/>
              </w:rPr>
            </w:pPr>
          </w:p>
        </w:tc>
        <w:tc>
          <w:tcPr>
            <w:tcW w:w="660" w:type="dxa"/>
            <w:vAlign w:val="bottom"/>
            <w:tcBorders>
              <w:top w:val="single" w:sz="8" w:color="F3F6F7"/>
              <w:bottom w:val="single" w:sz="8" w:color="auto"/>
            </w:tcBorders>
          </w:tcPr>
          <w:p>
            <w:pPr>
              <w:spacing w:after="0"/>
              <w:rPr>
                <w:sz w:val="24"/>
                <w:szCs w:val="24"/>
                <w:color w:val="auto"/>
              </w:rPr>
            </w:pPr>
          </w:p>
        </w:tc>
        <w:tc>
          <w:tcPr>
            <w:tcW w:w="220" w:type="dxa"/>
            <w:vAlign w:val="bottom"/>
            <w:tcBorders>
              <w:top w:val="single" w:sz="8" w:color="F3F6F7"/>
              <w:bottom w:val="single" w:sz="8" w:color="auto"/>
            </w:tcBorders>
          </w:tcPr>
          <w:p>
            <w:pPr>
              <w:spacing w:after="0"/>
              <w:rPr>
                <w:sz w:val="24"/>
                <w:szCs w:val="24"/>
                <w:color w:val="auto"/>
              </w:rPr>
            </w:pPr>
          </w:p>
        </w:tc>
        <w:tc>
          <w:tcPr>
            <w:tcW w:w="420" w:type="dxa"/>
            <w:vAlign w:val="bottom"/>
            <w:tcBorders>
              <w:top w:val="single" w:sz="8" w:color="F3F6F7"/>
              <w:bottom w:val="single" w:sz="8" w:color="auto"/>
            </w:tcBorders>
          </w:tcPr>
          <w:p>
            <w:pPr>
              <w:spacing w:after="0"/>
              <w:rPr>
                <w:sz w:val="24"/>
                <w:szCs w:val="24"/>
                <w:color w:val="auto"/>
              </w:rPr>
            </w:pPr>
          </w:p>
        </w:tc>
        <w:tc>
          <w:tcPr>
            <w:tcW w:w="160" w:type="dxa"/>
            <w:vAlign w:val="bottom"/>
            <w:tcBorders>
              <w:top w:val="single" w:sz="8" w:color="F3F6F7"/>
              <w:bottom w:val="single" w:sz="8" w:color="auto"/>
            </w:tcBorders>
          </w:tcPr>
          <w:p>
            <w:pPr>
              <w:spacing w:after="0"/>
              <w:rPr>
                <w:sz w:val="24"/>
                <w:szCs w:val="24"/>
                <w:color w:val="auto"/>
              </w:rPr>
            </w:pPr>
          </w:p>
        </w:tc>
        <w:tc>
          <w:tcPr>
            <w:tcW w:w="240" w:type="dxa"/>
            <w:vAlign w:val="bottom"/>
            <w:tcBorders>
              <w:top w:val="single" w:sz="8" w:color="F3F6F7"/>
              <w:bottom w:val="single" w:sz="8" w:color="auto"/>
            </w:tcBorders>
          </w:tcPr>
          <w:p>
            <w:pPr>
              <w:spacing w:after="0"/>
              <w:rPr>
                <w:sz w:val="24"/>
                <w:szCs w:val="24"/>
                <w:color w:val="auto"/>
              </w:rPr>
            </w:pPr>
          </w:p>
        </w:tc>
        <w:tc>
          <w:tcPr>
            <w:tcW w:w="260" w:type="dxa"/>
            <w:vAlign w:val="bottom"/>
            <w:tcBorders>
              <w:top w:val="single" w:sz="8" w:color="F3F6F7"/>
              <w:bottom w:val="single" w:sz="8" w:color="auto"/>
            </w:tcBorders>
          </w:tcPr>
          <w:p>
            <w:pPr>
              <w:spacing w:after="0"/>
              <w:rPr>
                <w:sz w:val="24"/>
                <w:szCs w:val="24"/>
                <w:color w:val="auto"/>
              </w:rPr>
            </w:pPr>
          </w:p>
        </w:tc>
        <w:tc>
          <w:tcPr>
            <w:tcW w:w="800" w:type="dxa"/>
            <w:vAlign w:val="bottom"/>
            <w:tcBorders>
              <w:top w:val="single" w:sz="8" w:color="F3F6F7"/>
              <w:bottom w:val="single" w:sz="8" w:color="auto"/>
            </w:tcBorders>
          </w:tcPr>
          <w:p>
            <w:pPr>
              <w:spacing w:after="0"/>
              <w:rPr>
                <w:sz w:val="24"/>
                <w:szCs w:val="24"/>
                <w:color w:val="auto"/>
              </w:rPr>
            </w:pPr>
          </w:p>
        </w:tc>
        <w:tc>
          <w:tcPr>
            <w:tcW w:w="3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2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320" w:type="dxa"/>
            <w:vAlign w:val="bottom"/>
            <w:tcBorders>
              <w:top w:val="single" w:sz="8" w:color="F3F6F7"/>
              <w:bottom w:val="single" w:sz="8" w:color="auto"/>
            </w:tcBorders>
          </w:tcPr>
          <w:p>
            <w:pPr>
              <w:spacing w:after="0"/>
              <w:rPr>
                <w:sz w:val="24"/>
                <w:szCs w:val="24"/>
                <w:color w:val="auto"/>
              </w:rPr>
            </w:pPr>
          </w:p>
        </w:tc>
        <w:tc>
          <w:tcPr>
            <w:tcW w:w="700" w:type="dxa"/>
            <w:vAlign w:val="bottom"/>
            <w:tcBorders>
              <w:top w:val="single" w:sz="8" w:color="F3F6F7"/>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85"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3C578C"/>
        </w:rPr>
        <w:t>INFORMATION ABOUT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Attendance and Participation</w:t>
      </w:r>
    </w:p>
    <w:p>
      <w:pPr>
        <w:spacing w:after="0" w:line="9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Our Annual Meeting will be conducted on the internet via webcast only. Stockholders attending the Annual Meeting will be afforded the same rights and opportunities to attend and participate as they would at an in-person meeting, and will be able to submit questions during the Annual Meeting by visiting </w:t>
      </w:r>
      <w:r>
        <w:rPr>
          <w:rFonts w:ascii="Arial" w:cs="Arial" w:eastAsia="Arial" w:hAnsi="Arial"/>
          <w:sz w:val="17"/>
          <w:szCs w:val="17"/>
          <w:i w:val="1"/>
          <w:iCs w:val="1"/>
          <w:u w:val="single" w:color="auto"/>
          <w:color w:val="auto"/>
        </w:rPr>
        <w:t>www.virtualshareholdermeeting.com/CECO2025</w:t>
      </w:r>
      <w:r>
        <w:rPr>
          <w:rFonts w:ascii="Arial" w:cs="Arial" w:eastAsia="Arial" w:hAnsi="Arial"/>
          <w:sz w:val="17"/>
          <w:szCs w:val="17"/>
          <w:i w:val="1"/>
          <w:iCs w:val="1"/>
          <w:color w:val="auto"/>
        </w:rPr>
        <w:t>.</w:t>
      </w:r>
      <w:r>
        <w:rPr>
          <w:rFonts w:ascii="Arial" w:cs="Arial" w:eastAsia="Arial" w:hAnsi="Arial"/>
          <w:sz w:val="17"/>
          <w:szCs w:val="17"/>
          <w:color w:val="auto"/>
        </w:rPr>
        <w:t xml:space="preserve"> Stockholders who would like to attend and participate in the Annual Meeting will need the 16-digit control number included on their proxy card or voting instruction form. The Annual Meeting will begin promptly at 8:00 a.m. Central Time. We encourage you to access the Annual Meeting prior to the start time. Online access will begin at 7:45 a.m. Central Time.</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Annual Meeting. Attendees should allow plenty of time to log in and ensure that they can hear streaming audio prior to the start of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Questions and Information Accessibility</w:t>
      </w:r>
    </w:p>
    <w:p>
      <w:pPr>
        <w:spacing w:after="0" w:line="90"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 xml:space="preserve">Stockholders may submit questions during the Annual Meeting. If you wish to submit a question, you may do so by logging into the virtual meeting platform at </w:t>
      </w:r>
      <w:r>
        <w:rPr>
          <w:rFonts w:ascii="Arial" w:cs="Arial" w:eastAsia="Arial" w:hAnsi="Arial"/>
          <w:sz w:val="17"/>
          <w:szCs w:val="17"/>
          <w:i w:val="1"/>
          <w:iCs w:val="1"/>
          <w:u w:val="single" w:color="auto"/>
          <w:color w:val="auto"/>
        </w:rPr>
        <w:t>www.virtualshareholdermeeting.com/CECO2025</w:t>
      </w:r>
      <w:r>
        <w:rPr>
          <w:rFonts w:ascii="Arial" w:cs="Arial" w:eastAsia="Arial" w:hAnsi="Arial"/>
          <w:sz w:val="17"/>
          <w:szCs w:val="17"/>
          <w:i w:val="1"/>
          <w:iCs w:val="1"/>
          <w:color w:val="auto"/>
        </w:rPr>
        <w:t>,</w:t>
      </w:r>
      <w:r>
        <w:rPr>
          <w:rFonts w:ascii="Arial" w:cs="Arial" w:eastAsia="Arial" w:hAnsi="Arial"/>
          <w:sz w:val="17"/>
          <w:szCs w:val="17"/>
          <w:color w:val="auto"/>
        </w:rPr>
        <w:t xml:space="preserve"> typing your question into the “Ask a Question” field, and clicking “Submit.”</w:t>
      </w:r>
    </w:p>
    <w:p>
      <w:pPr>
        <w:spacing w:after="0" w:line="66"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Questions pertinent to the Annual Meeting will be answered during the Annual Meeting, subject to time constraints. Any such questions that cannot be answered during the Annual Meeting due to time constraints will be posted and answered on our Investor Relations website, https://investor.cecoenviro.com/, as soon as practicable after the Annual Meeting.</w:t>
      </w:r>
    </w:p>
    <w:p>
      <w:pPr>
        <w:spacing w:after="0" w:line="66"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 xml:space="preserve">Additional information regarding the ability of stockholders to ask questions during the Annual Meeting, related rules of conduct and other materials for the Annual Meeting, will be available at </w:t>
      </w:r>
      <w:r>
        <w:rPr>
          <w:rFonts w:ascii="Arial" w:cs="Arial" w:eastAsia="Arial" w:hAnsi="Arial"/>
          <w:sz w:val="17"/>
          <w:szCs w:val="17"/>
          <w:i w:val="1"/>
          <w:iCs w:val="1"/>
          <w:u w:val="single" w:color="auto"/>
          <w:color w:val="auto"/>
        </w:rPr>
        <w:t>www.virtualshareholdermeeting.com/CECO2025</w:t>
      </w:r>
      <w:r>
        <w:rPr>
          <w:rFonts w:ascii="Arial" w:cs="Arial" w:eastAsia="Arial" w:hAnsi="Arial"/>
          <w:sz w:val="17"/>
          <w:szCs w:val="17"/>
          <w:i w:val="1"/>
          <w:iCs w:val="1"/>
          <w:color w:val="auto"/>
        </w:rPr>
        <w:t>.</w:t>
      </w:r>
      <w:r>
        <w:rPr>
          <w:rFonts w:ascii="Arial" w:cs="Arial" w:eastAsia="Arial" w:hAnsi="Arial"/>
          <w:sz w:val="17"/>
          <w:szCs w:val="17"/>
          <w:color w:val="auto"/>
        </w:rPr>
        <w:t xml:space="preserve"> Stockholders may view the list for such purposes 10 days prior to the meeting by contacting Investor.Relations@OneCECO.com.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Technical Difficulties</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 xml:space="preserve">Information regarding matters addressing technical and logistical issues, including technical support during the Annual Meeting, will be available at </w:t>
      </w:r>
      <w:r>
        <w:rPr>
          <w:rFonts w:ascii="Arial" w:cs="Arial" w:eastAsia="Arial" w:hAnsi="Arial"/>
          <w:sz w:val="17"/>
          <w:szCs w:val="17"/>
          <w:i w:val="1"/>
          <w:iCs w:val="1"/>
          <w:u w:val="single" w:color="auto"/>
          <w:color w:val="auto"/>
        </w:rPr>
        <w:t>www.virtualshareholdermeeting.com/CECO2025</w:t>
      </w:r>
      <w:r>
        <w:rPr>
          <w:rFonts w:ascii="Arial" w:cs="Arial" w:eastAsia="Arial" w:hAnsi="Arial"/>
          <w:sz w:val="17"/>
          <w:szCs w:val="17"/>
          <w:color w:val="auto"/>
        </w:rPr>
        <w:t xml:space="preserve"> starting at 7:45 a.m. Central Time on May 20, 2025, through the conclusion of the Annual Meeting.</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7"/>
          <w:szCs w:val="17"/>
          <w:b w:val="1"/>
          <w:bCs w:val="1"/>
          <w:color w:val="auto"/>
        </w:rPr>
        <w:t>We will provide a copy of our proxy materials for the Annual Meeting to any stockholder without charge upon written request addressed to CECO Environmental Corp., to the attention of the Corporate Secretary, 5080 Spectrum Drive, Suite 800E, Addison, Texas 75001 or by phone at (214) 357-6181. Any stockholder may also receive a copy of our Annual Report on Form 10-K for the year ended December 31, 2024, as filed with the SEC, without exhibits, upon written request to the address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620395</wp:posOffset>
            </wp:positionV>
            <wp:extent cx="483870" cy="222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00" w:type="dxa"/>
            <w:vAlign w:val="bottom"/>
          </w:tcPr>
          <w:p>
            <w:pPr>
              <w:ind w:left="7900"/>
              <w:spacing w:after="0"/>
              <w:rPr>
                <w:sz w:val="20"/>
                <w:szCs w:val="20"/>
                <w:color w:val="auto"/>
              </w:rPr>
            </w:pPr>
            <w:r>
              <w:rPr>
                <w:rFonts w:ascii="Arial" w:cs="Arial" w:eastAsia="Arial" w:hAnsi="Arial"/>
                <w:sz w:val="17"/>
                <w:szCs w:val="17"/>
                <w:color w:val="7F7F7F"/>
              </w:rPr>
              <w:t>2025 Proxy Statement</w:t>
            </w:r>
          </w:p>
        </w:tc>
        <w:tc>
          <w:tcPr>
            <w:tcW w:w="220" w:type="dxa"/>
            <w:vAlign w:val="bottom"/>
          </w:tcPr>
          <w:p>
            <w:pPr>
              <w:jc w:val="right"/>
              <w:spacing w:after="0"/>
              <w:rPr>
                <w:sz w:val="20"/>
                <w:szCs w:val="20"/>
                <w:color w:val="auto"/>
              </w:rPr>
            </w:pPr>
            <w:r>
              <w:rPr>
                <w:rFonts w:ascii="Arial" w:cs="Arial" w:eastAsia="Arial" w:hAnsi="Arial"/>
                <w:sz w:val="17"/>
                <w:szCs w:val="17"/>
                <w:color w:val="7F7F7F"/>
              </w:rPr>
              <w:t>1</w:t>
            </w:r>
          </w:p>
        </w:tc>
      </w:tr>
      <w:tr>
        <w:trPr>
          <w:trHeight w:val="603"/>
        </w:trPr>
        <w:tc>
          <w:tcPr>
            <w:tcW w:w="9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01105" cy="1824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1105" cy="182499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1</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3"/>
          <w:szCs w:val="33"/>
          <w:color w:val="3C578C"/>
        </w:rPr>
        <w:t>ELECTION OF DIRECTORS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1B657"/>
        </w:rPr>
        <w:t>Directors and Nominees</w:t>
      </w:r>
    </w:p>
    <w:p>
      <w:pPr>
        <w:spacing w:after="0" w:line="9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Board of Directors (“Board”) currently consists of eight directors, each serving a one-year term. Upon the recommendation of the Nominations and Governance Committee of the Board, our Board has proposed the re-election of each of the existing directors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 The following table lists all of the 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b w:val="1"/>
          <w:bCs w:val="1"/>
          <w:color w:val="3C578C"/>
        </w:rPr>
        <w:t xml:space="preserve">The Board recommends a vote </w:t>
      </w:r>
      <w:r>
        <w:rPr>
          <w:rFonts w:ascii="Arial" w:cs="Arial" w:eastAsia="Arial" w:hAnsi="Arial"/>
          <w:sz w:val="19"/>
          <w:szCs w:val="19"/>
          <w:b w:val="1"/>
          <w:bCs w:val="1"/>
          <w:color w:val="A1B657"/>
        </w:rPr>
        <w:t>FOR</w:t>
      </w:r>
      <w:r>
        <w:rPr>
          <w:rFonts w:ascii="Arial" w:cs="Arial" w:eastAsia="Arial" w:hAnsi="Arial"/>
          <w:sz w:val="19"/>
          <w:szCs w:val="19"/>
          <w:b w:val="1"/>
          <w:bCs w:val="1"/>
          <w:color w:val="3C578C"/>
        </w:rPr>
        <w:t xml:space="preserve"> each nominee for Director.</w:t>
      </w:r>
    </w:p>
    <w:p>
      <w:pPr>
        <w:spacing w:after="0" w:line="937" w:lineRule="exact"/>
        <w:rPr>
          <w:sz w:val="20"/>
          <w:szCs w:val="20"/>
          <w:color w:val="auto"/>
        </w:rPr>
      </w:pPr>
    </w:p>
    <w:p>
      <w:pPr>
        <w:sectPr>
          <w:pgSz w:w="11900" w:h="16838" w:orient="portrait"/>
          <w:cols w:equalWidth="0" w:num="2">
            <w:col w:w="7140" w:space="460"/>
            <w:col w:w="2320"/>
          </w:cols>
          <w:pgMar w:left="980" w:top="485" w:right="999" w:bottom="144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Nominations &amp;</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 xml:space="preserve">Name </w:t>
            </w:r>
            <w:r>
              <w:rPr>
                <w:rFonts w:ascii="Arial" w:cs="Arial" w:eastAsia="Arial" w:hAnsi="Arial"/>
                <w:sz w:val="19"/>
                <w:szCs w:val="19"/>
                <w:b w:val="1"/>
                <w:bCs w:val="1"/>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Director</w:t>
            </w:r>
          </w:p>
        </w:tc>
        <w:tc>
          <w:tcPr>
            <w:tcW w:w="1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Audit</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Governance</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600" w:type="dxa"/>
            <w:vAlign w:val="bottom"/>
            <w:tcBorders>
              <w:bottom w:val="single" w:sz="8" w:color="D0CECE"/>
            </w:tcBorders>
            <w:vMerge w:val="continue"/>
          </w:tcPr>
          <w:p>
            <w:pPr>
              <w:spacing w:after="0"/>
              <w:rPr>
                <w:sz w:val="20"/>
                <w:szCs w:val="20"/>
                <w:color w:val="auto"/>
              </w:rPr>
            </w:pP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w w:val="97"/>
              </w:rPr>
              <w:t>Since</w:t>
            </w: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Independent</w:t>
            </w:r>
          </w:p>
        </w:tc>
        <w:tc>
          <w:tcPr>
            <w:tcW w:w="124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0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M&amp;A Committee</w:t>
            </w:r>
          </w:p>
        </w:tc>
        <w:tc>
          <w:tcPr>
            <w:tcW w:w="0" w:type="dxa"/>
            <w:vAlign w:val="bottom"/>
          </w:tcPr>
          <w:p>
            <w:pPr>
              <w:spacing w:after="0"/>
              <w:rPr>
                <w:sz w:val="1"/>
                <w:szCs w:val="1"/>
                <w:color w:val="auto"/>
              </w:rPr>
            </w:pPr>
          </w:p>
        </w:tc>
      </w:tr>
      <w:tr>
        <w:trPr>
          <w:trHeight w:val="210"/>
        </w:trPr>
        <w:tc>
          <w:tcPr>
            <w:tcW w:w="2600" w:type="dxa"/>
            <w:vAlign w:val="bottom"/>
            <w:tcBorders>
              <w:right w:val="single" w:sz="8" w:color="D0CECE"/>
            </w:tcBorders>
          </w:tcPr>
          <w:p>
            <w:pPr>
              <w:ind w:left="60"/>
              <w:spacing w:after="0"/>
              <w:rPr>
                <w:sz w:val="20"/>
                <w:szCs w:val="20"/>
                <w:color w:val="auto"/>
              </w:rPr>
            </w:pPr>
            <w:r>
              <w:rPr>
                <w:rFonts w:ascii="Arial" w:cs="Arial" w:eastAsia="Arial" w:hAnsi="Arial"/>
                <w:sz w:val="13"/>
                <w:szCs w:val="13"/>
                <w:b w:val="1"/>
                <w:bCs w:val="1"/>
                <w:color w:val="3C578C"/>
              </w:rPr>
              <w:t>Jason DeZwirek</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1994</w:t>
            </w:r>
          </w:p>
        </w:tc>
        <w:tc>
          <w:tcPr>
            <w:tcW w:w="1220" w:type="dxa"/>
            <w:vAlign w:val="bottom"/>
            <w:tcBorders>
              <w:right w:val="single" w:sz="8" w:color="D0CECE"/>
            </w:tcBorders>
            <w:vMerge w:val="restart"/>
          </w:tcPr>
          <w:p>
            <w:pPr>
              <w:jc w:val="center"/>
              <w:spacing w:after="0" w:line="271" w:lineRule="exact"/>
              <w:rPr>
                <w:sz w:val="20"/>
                <w:szCs w:val="20"/>
                <w:color w:val="auto"/>
              </w:rPr>
            </w:pPr>
            <w:r>
              <w:rPr>
                <w:rFonts w:ascii="MS PGothic" w:cs="MS PGothic" w:eastAsia="MS PGothic" w:hAnsi="MS PGothic"/>
                <w:sz w:val="27"/>
                <w:szCs w:val="27"/>
                <w:color w:val="3C578C"/>
                <w:w w:val="88"/>
              </w:rPr>
              <w:t>✓</w:t>
            </w:r>
          </w:p>
        </w:tc>
        <w:tc>
          <w:tcPr>
            <w:tcW w:w="124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vMerge w:val="restart"/>
          </w:tcPr>
          <w:p>
            <w:pPr>
              <w:jc w:val="center"/>
              <w:spacing w:after="0" w:line="271" w:lineRule="exact"/>
              <w:rPr>
                <w:sz w:val="20"/>
                <w:szCs w:val="20"/>
                <w:color w:val="auto"/>
              </w:rPr>
            </w:pPr>
            <w:r>
              <w:rPr>
                <w:rFonts w:ascii="MS PGothic" w:cs="MS PGothic" w:eastAsia="MS PGothic" w:hAnsi="MS PGothic"/>
                <w:sz w:val="27"/>
                <w:szCs w:val="27"/>
                <w:color w:val="3C578C"/>
                <w:w w:val="88"/>
              </w:rPr>
              <w:t>✓</w:t>
            </w:r>
          </w:p>
        </w:tc>
        <w:tc>
          <w:tcPr>
            <w:tcW w:w="12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3C578C"/>
                <w:w w:val="88"/>
              </w:rPr>
              <w:t>✓</w:t>
            </w:r>
          </w:p>
        </w:tc>
        <w:tc>
          <w:tcPr>
            <w:tcW w:w="0" w:type="dxa"/>
            <w:vAlign w:val="bottom"/>
          </w:tcPr>
          <w:p>
            <w:pPr>
              <w:spacing w:after="0"/>
              <w:rPr>
                <w:sz w:val="1"/>
                <w:szCs w:val="1"/>
                <w:color w:val="auto"/>
              </w:rPr>
            </w:pPr>
          </w:p>
        </w:tc>
      </w:tr>
      <w:tr>
        <w:trPr>
          <w:trHeight w:val="100"/>
        </w:trPr>
        <w:tc>
          <w:tcPr>
            <w:tcW w:w="2600" w:type="dxa"/>
            <w:vAlign w:val="bottom"/>
            <w:tcBorders>
              <w:right w:val="single" w:sz="8" w:color="D0CECE"/>
            </w:tcBorders>
            <w:vMerge w:val="restart"/>
          </w:tcPr>
          <w:p>
            <w:pPr>
              <w:ind w:left="60"/>
              <w:spacing w:after="0"/>
              <w:rPr>
                <w:sz w:val="20"/>
                <w:szCs w:val="20"/>
                <w:color w:val="auto"/>
              </w:rPr>
            </w:pPr>
            <w:r>
              <w:rPr>
                <w:rFonts w:ascii="Arial" w:cs="Arial" w:eastAsia="Arial" w:hAnsi="Arial"/>
                <w:sz w:val="13"/>
                <w:szCs w:val="13"/>
                <w:color w:val="auto"/>
              </w:rPr>
              <w:t>Chairman of the Board</w:t>
            </w:r>
          </w:p>
        </w:tc>
        <w:tc>
          <w:tcPr>
            <w:tcW w:w="1220" w:type="dxa"/>
            <w:vAlign w:val="bottom"/>
            <w:tcBorders>
              <w:right w:val="single" w:sz="8" w:color="D0CECE"/>
            </w:tcBorders>
            <w:vMerge w:val="continue"/>
          </w:tcPr>
          <w:p>
            <w:pPr>
              <w:spacing w:after="0"/>
              <w:rPr>
                <w:sz w:val="8"/>
                <w:szCs w:val="8"/>
                <w:color w:val="auto"/>
              </w:rPr>
            </w:pPr>
          </w:p>
        </w:tc>
        <w:tc>
          <w:tcPr>
            <w:tcW w:w="1220" w:type="dxa"/>
            <w:vAlign w:val="bottom"/>
            <w:tcBorders>
              <w:right w:val="single" w:sz="8" w:color="D0CECE"/>
            </w:tcBorders>
            <w:vMerge w:val="continue"/>
          </w:tcPr>
          <w:p>
            <w:pPr>
              <w:spacing w:after="0"/>
              <w:rPr>
                <w:sz w:val="8"/>
                <w:szCs w:val="8"/>
                <w:color w:val="auto"/>
              </w:rPr>
            </w:pPr>
          </w:p>
        </w:tc>
        <w:tc>
          <w:tcPr>
            <w:tcW w:w="124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vMerge w:val="continue"/>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vMerge w:val="continue"/>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vMerge w:val="continue"/>
          </w:tcPr>
          <w:p>
            <w:pPr>
              <w:spacing w:after="0"/>
              <w:rPr>
                <w:sz w:val="12"/>
                <w:szCs w:val="12"/>
                <w:color w:val="auto"/>
              </w:rPr>
            </w:pPr>
          </w:p>
        </w:tc>
        <w:tc>
          <w:tcPr>
            <w:tcW w:w="1200" w:type="dxa"/>
            <w:vAlign w:val="bottom"/>
            <w:tcBorders>
              <w:bottom w:val="single" w:sz="8" w:color="D0CEC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D0CECE"/>
            </w:tcBorders>
          </w:tcPr>
          <w:p>
            <w:pPr>
              <w:ind w:left="60"/>
              <w:spacing w:after="0"/>
              <w:rPr>
                <w:sz w:val="20"/>
                <w:szCs w:val="20"/>
                <w:color w:val="auto"/>
              </w:rPr>
            </w:pPr>
            <w:r>
              <w:rPr>
                <w:rFonts w:ascii="Arial" w:cs="Arial" w:eastAsia="Arial" w:hAnsi="Arial"/>
                <w:sz w:val="13"/>
                <w:szCs w:val="13"/>
                <w:b w:val="1"/>
                <w:bCs w:val="1"/>
                <w:color w:val="3C578C"/>
              </w:rPr>
              <w:t>Todd Gleason</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2020</w:t>
            </w:r>
          </w:p>
        </w:tc>
        <w:tc>
          <w:tcPr>
            <w:tcW w:w="1220" w:type="dxa"/>
            <w:vAlign w:val="bottom"/>
            <w:tcBorders>
              <w:right w:val="single" w:sz="8" w:color="D0CECE"/>
            </w:tcBorders>
          </w:tcPr>
          <w:p>
            <w:pPr>
              <w:spacing w:after="0"/>
              <w:rPr>
                <w:sz w:val="18"/>
                <w:szCs w:val="18"/>
                <w:color w:val="auto"/>
              </w:rPr>
            </w:pPr>
          </w:p>
        </w:tc>
        <w:tc>
          <w:tcPr>
            <w:tcW w:w="124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tcPr>
          <w:p>
            <w:pPr>
              <w:spacing w:after="0"/>
              <w:rPr>
                <w:sz w:val="18"/>
                <w:szCs w:val="18"/>
                <w:color w:val="auto"/>
              </w:rPr>
            </w:pPr>
          </w:p>
        </w:tc>
        <w:tc>
          <w:tcPr>
            <w:tcW w:w="12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3C578C"/>
                <w:w w:val="88"/>
              </w:rPr>
              <w:t>✓</w:t>
            </w:r>
          </w:p>
        </w:tc>
        <w:tc>
          <w:tcPr>
            <w:tcW w:w="0" w:type="dxa"/>
            <w:vAlign w:val="bottom"/>
          </w:tcPr>
          <w:p>
            <w:pPr>
              <w:spacing w:after="0"/>
              <w:rPr>
                <w:sz w:val="1"/>
                <w:szCs w:val="1"/>
                <w:color w:val="auto"/>
              </w:rPr>
            </w:pPr>
          </w:p>
        </w:tc>
      </w:tr>
      <w:tr>
        <w:trPr>
          <w:trHeight w:val="100"/>
        </w:trPr>
        <w:tc>
          <w:tcPr>
            <w:tcW w:w="2600" w:type="dxa"/>
            <w:vAlign w:val="bottom"/>
            <w:tcBorders>
              <w:right w:val="single" w:sz="8" w:color="D0CECE"/>
            </w:tcBorders>
            <w:vMerge w:val="restart"/>
          </w:tcPr>
          <w:p>
            <w:pPr>
              <w:ind w:left="60"/>
              <w:spacing w:after="0"/>
              <w:rPr>
                <w:sz w:val="20"/>
                <w:szCs w:val="20"/>
                <w:color w:val="auto"/>
              </w:rPr>
            </w:pPr>
            <w:r>
              <w:rPr>
                <w:rFonts w:ascii="Arial" w:cs="Arial" w:eastAsia="Arial" w:hAnsi="Arial"/>
                <w:sz w:val="13"/>
                <w:szCs w:val="13"/>
                <w:color w:val="auto"/>
              </w:rPr>
              <w:t>Chief Executive Officer</w:t>
            </w:r>
          </w:p>
        </w:tc>
        <w:tc>
          <w:tcPr>
            <w:tcW w:w="1220" w:type="dxa"/>
            <w:vAlign w:val="bottom"/>
            <w:tcBorders>
              <w:right w:val="single" w:sz="8" w:color="D0CECE"/>
            </w:tcBorders>
            <w:vMerge w:val="continue"/>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4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vMerge w:val="continue"/>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3C578C"/>
              </w:rPr>
              <w:t>Robert E. Knowling, Jr.</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2022</w:t>
            </w:r>
          </w:p>
        </w:tc>
        <w:tc>
          <w:tcPr>
            <w:tcW w:w="1220" w:type="dxa"/>
            <w:vAlign w:val="bottom"/>
            <w:tcBorders>
              <w:right w:val="single" w:sz="8" w:color="D0CECE"/>
            </w:tcBorders>
          </w:tcPr>
          <w:p>
            <w:pPr>
              <w:jc w:val="center"/>
              <w:spacing w:after="0" w:line="271" w:lineRule="exact"/>
              <w:rPr>
                <w:sz w:val="20"/>
                <w:szCs w:val="20"/>
                <w:color w:val="auto"/>
              </w:rPr>
            </w:pPr>
            <w:r>
              <w:rPr>
                <w:rFonts w:ascii="MS PGothic" w:cs="MS PGothic" w:eastAsia="MS PGothic" w:hAnsi="MS PGothic"/>
                <w:sz w:val="27"/>
                <w:szCs w:val="27"/>
                <w:color w:val="3C578C"/>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jc w:val="center"/>
              <w:spacing w:after="0" w:line="271" w:lineRule="exact"/>
              <w:rPr>
                <w:sz w:val="20"/>
                <w:szCs w:val="20"/>
                <w:color w:val="auto"/>
              </w:rPr>
            </w:pPr>
            <w:r>
              <w:rPr>
                <w:rFonts w:ascii="MS PGothic" w:cs="MS PGothic" w:eastAsia="MS PGothic" w:hAnsi="MS PGothic"/>
                <w:sz w:val="27"/>
                <w:szCs w:val="27"/>
                <w:color w:val="3C578C"/>
                <w:w w:val="81"/>
              </w:rPr>
              <w:t>✓</w:t>
            </w: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3C578C"/>
              </w:rPr>
              <w:t>Claudio A. Mannarino</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2015</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8"/>
              </w:rPr>
              <w:t>✓</w:t>
            </w:r>
          </w:p>
        </w:tc>
        <w:tc>
          <w:tcPr>
            <w:tcW w:w="124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1"/>
              </w:rPr>
              <w:t>✓</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1"/>
              </w:rPr>
              <w:t>✓</w:t>
            </w: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3C578C"/>
              </w:rPr>
              <w:t>Munish Nanda</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2018</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8"/>
              </w:rPr>
              <w:t>✓</w:t>
            </w:r>
          </w:p>
        </w:tc>
        <w:tc>
          <w:tcPr>
            <w:tcW w:w="124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1"/>
              </w:rPr>
              <w:t>✓</w:t>
            </w:r>
          </w:p>
        </w:tc>
        <w:tc>
          <w:tcPr>
            <w:tcW w:w="122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8"/>
              </w:rPr>
              <w:t>✓</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3C578C"/>
              </w:rPr>
              <w:t>Valerie Gentile Sachs</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2016</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1"/>
              </w:rPr>
              <w:t>✓</w:t>
            </w: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3C578C"/>
              </w:rPr>
              <w:t>Laurie Siegel</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2023</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3C578C"/>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3C578C"/>
              </w:rPr>
              <w:t>Richard F. Wallman</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2021</w:t>
            </w:r>
          </w:p>
        </w:tc>
        <w:tc>
          <w:tcPr>
            <w:tcW w:w="1220" w:type="dxa"/>
            <w:vAlign w:val="bottom"/>
            <w:tcBorders>
              <w:right w:val="single" w:sz="8" w:color="D0CECE"/>
            </w:tcBorders>
          </w:tcPr>
          <w:p>
            <w:pPr>
              <w:jc w:val="center"/>
              <w:spacing w:after="0" w:line="271" w:lineRule="exact"/>
              <w:rPr>
                <w:sz w:val="20"/>
                <w:szCs w:val="20"/>
                <w:color w:val="auto"/>
              </w:rPr>
            </w:pPr>
            <w:r>
              <w:rPr>
                <w:rFonts w:ascii="MS PGothic" w:cs="MS PGothic" w:eastAsia="MS PGothic" w:hAnsi="MS PGothic"/>
                <w:sz w:val="27"/>
                <w:szCs w:val="27"/>
                <w:color w:val="3C578C"/>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00" w:type="dxa"/>
            <w:vAlign w:val="bottom"/>
          </w:tcPr>
          <w:p>
            <w:pPr>
              <w:jc w:val="center"/>
              <w:spacing w:after="0" w:line="271" w:lineRule="exact"/>
              <w:rPr>
                <w:sz w:val="20"/>
                <w:szCs w:val="20"/>
                <w:color w:val="auto"/>
              </w:rPr>
            </w:pPr>
            <w:r>
              <w:rPr>
                <w:rFonts w:ascii="MS PGothic" w:cs="MS PGothic" w:eastAsia="MS PGothic" w:hAnsi="MS PGothic"/>
                <w:sz w:val="27"/>
                <w:szCs w:val="27"/>
                <w:color w:val="3C578C"/>
                <w:w w:val="88"/>
              </w:rPr>
              <w:t>✓</w:t>
            </w: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-1777365</wp:posOffset>
            </wp:positionV>
            <wp:extent cx="150495" cy="150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-848360</wp:posOffset>
            </wp:positionV>
            <wp:extent cx="142875" cy="150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875" cy="15049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-546735</wp:posOffset>
            </wp:positionV>
            <wp:extent cx="142875" cy="150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875" cy="15049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-236220</wp:posOffset>
            </wp:positionV>
            <wp:extent cx="150495" cy="150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111125</wp:posOffset>
            </wp:positionV>
            <wp:extent cx="111125" cy="118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18745"/>
                    </a:xfrm>
                    <a:prstGeom prst="rect">
                      <a:avLst/>
                    </a:prstGeom>
                    <a:noFill/>
                  </pic:spPr>
                </pic:pic>
              </a:graphicData>
            </a:graphic>
          </wp:anchor>
        </w:drawing>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Chair</w:t>
      </w:r>
    </w:p>
    <w:p>
      <w:pPr>
        <w:spacing w:after="0" w:line="107" w:lineRule="exact"/>
        <w:rPr>
          <w:sz w:val="20"/>
          <w:szCs w:val="20"/>
          <w:color w:val="auto"/>
        </w:rPr>
      </w:pPr>
    </w:p>
    <w:p>
      <w:pPr>
        <w:ind w:left="300" w:hanging="299"/>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are the committee assignments as of the date of this Proxy Statement.</w:t>
      </w:r>
    </w:p>
    <w:p>
      <w:pPr>
        <w:spacing w:after="0" w:line="16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w:t>
      </w:r>
      <w:r>
        <w:rPr>
          <w:sz w:val="20"/>
          <w:szCs w:val="20"/>
          <w:color w:val="auto"/>
        </w:rPr>
        <w:tab/>
      </w:r>
      <w:r>
        <w:rPr>
          <w:sz w:val="1"/>
          <w:szCs w:val="1"/>
          <w:color w:val="auto"/>
        </w:rPr>
        <w:drawing>
          <wp:inline distT="0" distB="0" distL="0" distR="0">
            <wp:extent cx="476250" cy="2222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ATTRIBUTES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132715</wp:posOffset>
            </wp:positionV>
            <wp:extent cx="356870" cy="301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870" cy="30162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132715</wp:posOffset>
            </wp:positionV>
            <wp:extent cx="381000" cy="388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1000" cy="38862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132715</wp:posOffset>
            </wp:positionV>
            <wp:extent cx="325120" cy="301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120" cy="30162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132715</wp:posOffset>
            </wp:positionV>
            <wp:extent cx="317500" cy="301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0"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EXECUTIVE</w:t>
            </w:r>
          </w:p>
        </w:tc>
        <w:tc>
          <w:tcPr>
            <w:tcW w:w="240" w:type="dxa"/>
            <w:vAlign w:val="bottom"/>
          </w:tcPr>
          <w:p>
            <w:pPr>
              <w:spacing w:after="0"/>
              <w:rPr>
                <w:sz w:val="20"/>
                <w:szCs w:val="20"/>
                <w:color w:val="auto"/>
              </w:rPr>
            </w:pPr>
          </w:p>
        </w:tc>
        <w:tc>
          <w:tcPr>
            <w:tcW w:w="22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RISK MANAGEMENT</w:t>
            </w:r>
          </w:p>
        </w:tc>
        <w:tc>
          <w:tcPr>
            <w:tcW w:w="240" w:type="dxa"/>
            <w:vAlign w:val="bottom"/>
          </w:tcPr>
          <w:p>
            <w:pPr>
              <w:spacing w:after="0"/>
              <w:rPr>
                <w:sz w:val="20"/>
                <w:szCs w:val="20"/>
                <w:color w:val="auto"/>
              </w:rPr>
            </w:pPr>
          </w:p>
        </w:tc>
        <w:tc>
          <w:tcPr>
            <w:tcW w:w="24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CORPORATE GOVERNANCE</w:t>
            </w:r>
          </w:p>
        </w:tc>
        <w:tc>
          <w:tcPr>
            <w:tcW w:w="240" w:type="dxa"/>
            <w:vAlign w:val="bottom"/>
          </w:tcPr>
          <w:p>
            <w:pPr>
              <w:spacing w:after="0"/>
              <w:rPr>
                <w:sz w:val="20"/>
                <w:szCs w:val="20"/>
                <w:color w:val="auto"/>
              </w:rPr>
            </w:pPr>
          </w:p>
        </w:tc>
        <w:tc>
          <w:tcPr>
            <w:tcW w:w="224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FINANCE</w:t>
            </w:r>
          </w:p>
        </w:tc>
      </w:tr>
      <w:tr>
        <w:trPr>
          <w:trHeight w:val="326"/>
        </w:trPr>
        <w:tc>
          <w:tcPr>
            <w:tcW w:w="232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100%</w:t>
            </w:r>
          </w:p>
        </w:tc>
        <w:tc>
          <w:tcPr>
            <w:tcW w:w="240" w:type="dxa"/>
            <w:vAlign w:val="bottom"/>
          </w:tcPr>
          <w:p>
            <w:pPr>
              <w:spacing w:after="0"/>
              <w:rPr>
                <w:sz w:val="24"/>
                <w:szCs w:val="24"/>
                <w:color w:val="auto"/>
              </w:rPr>
            </w:pPr>
          </w:p>
        </w:tc>
        <w:tc>
          <w:tcPr>
            <w:tcW w:w="222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57%</w:t>
            </w:r>
          </w:p>
        </w:tc>
        <w:tc>
          <w:tcPr>
            <w:tcW w:w="240" w:type="dxa"/>
            <w:vAlign w:val="bottom"/>
          </w:tcPr>
          <w:p>
            <w:pPr>
              <w:spacing w:after="0"/>
              <w:rPr>
                <w:sz w:val="24"/>
                <w:szCs w:val="24"/>
                <w:color w:val="auto"/>
              </w:rPr>
            </w:pPr>
          </w:p>
        </w:tc>
        <w:tc>
          <w:tcPr>
            <w:tcW w:w="2420" w:type="dxa"/>
            <w:vAlign w:val="bottom"/>
            <w:shd w:val="clear" w:color="auto" w:fill="EDEEE9"/>
          </w:tcPr>
          <w:p>
            <w:pPr>
              <w:jc w:val="right"/>
              <w:ind w:right="965"/>
              <w:spacing w:after="0"/>
              <w:rPr>
                <w:sz w:val="20"/>
                <w:szCs w:val="20"/>
                <w:color w:val="auto"/>
              </w:rPr>
            </w:pPr>
            <w:r>
              <w:rPr>
                <w:rFonts w:ascii="Arial" w:cs="Arial" w:eastAsia="Arial" w:hAnsi="Arial"/>
                <w:sz w:val="17"/>
                <w:szCs w:val="17"/>
                <w:b w:val="1"/>
                <w:bCs w:val="1"/>
                <w:color w:val="3C578C"/>
              </w:rPr>
              <w:t>57%</w:t>
            </w:r>
          </w:p>
        </w:tc>
        <w:tc>
          <w:tcPr>
            <w:tcW w:w="240" w:type="dxa"/>
            <w:vAlign w:val="bottom"/>
          </w:tcPr>
          <w:p>
            <w:pPr>
              <w:spacing w:after="0"/>
              <w:rPr>
                <w:sz w:val="24"/>
                <w:szCs w:val="24"/>
                <w:color w:val="auto"/>
              </w:rPr>
            </w:pPr>
          </w:p>
        </w:tc>
        <w:tc>
          <w:tcPr>
            <w:tcW w:w="2240" w:type="dxa"/>
            <w:vAlign w:val="bottom"/>
            <w:shd w:val="clear" w:color="auto" w:fill="EDEEE9"/>
          </w:tcPr>
          <w:p>
            <w:pPr>
              <w:jc w:val="right"/>
              <w:ind w:right="885"/>
              <w:spacing w:after="0"/>
              <w:rPr>
                <w:sz w:val="20"/>
                <w:szCs w:val="20"/>
                <w:color w:val="auto"/>
              </w:rPr>
            </w:pPr>
            <w:r>
              <w:rPr>
                <w:rFonts w:ascii="Arial" w:cs="Arial" w:eastAsia="Arial" w:hAnsi="Arial"/>
                <w:sz w:val="17"/>
                <w:szCs w:val="17"/>
                <w:b w:val="1"/>
                <w:bCs w:val="1"/>
                <w:color w:val="3C578C"/>
              </w:rPr>
              <w:t>43%</w:t>
            </w:r>
          </w:p>
        </w:tc>
      </w:tr>
      <w:tr>
        <w:trPr>
          <w:trHeight w:val="50"/>
        </w:trPr>
        <w:tc>
          <w:tcPr>
            <w:tcW w:w="2320" w:type="dxa"/>
            <w:vAlign w:val="bottom"/>
            <w:shd w:val="clear" w:color="auto" w:fill="EDEEE9"/>
          </w:tcPr>
          <w:p>
            <w:pPr>
              <w:spacing w:after="0"/>
              <w:rPr>
                <w:sz w:val="4"/>
                <w:szCs w:val="4"/>
                <w:color w:val="auto"/>
              </w:rPr>
            </w:pPr>
          </w:p>
        </w:tc>
        <w:tc>
          <w:tcPr>
            <w:tcW w:w="240" w:type="dxa"/>
            <w:vAlign w:val="bottom"/>
          </w:tcPr>
          <w:p>
            <w:pPr>
              <w:spacing w:after="0"/>
              <w:rPr>
                <w:sz w:val="4"/>
                <w:szCs w:val="4"/>
                <w:color w:val="auto"/>
              </w:rPr>
            </w:pPr>
          </w:p>
        </w:tc>
        <w:tc>
          <w:tcPr>
            <w:tcW w:w="2220" w:type="dxa"/>
            <w:vAlign w:val="bottom"/>
            <w:shd w:val="clear" w:color="auto" w:fill="EDEEE9"/>
          </w:tcPr>
          <w:p>
            <w:pPr>
              <w:spacing w:after="0"/>
              <w:rPr>
                <w:sz w:val="4"/>
                <w:szCs w:val="4"/>
                <w:color w:val="auto"/>
              </w:rPr>
            </w:pPr>
          </w:p>
        </w:tc>
        <w:tc>
          <w:tcPr>
            <w:tcW w:w="240" w:type="dxa"/>
            <w:vAlign w:val="bottom"/>
          </w:tcPr>
          <w:p>
            <w:pPr>
              <w:spacing w:after="0"/>
              <w:rPr>
                <w:sz w:val="4"/>
                <w:szCs w:val="4"/>
                <w:color w:val="auto"/>
              </w:rPr>
            </w:pPr>
          </w:p>
        </w:tc>
        <w:tc>
          <w:tcPr>
            <w:tcW w:w="2420" w:type="dxa"/>
            <w:vAlign w:val="bottom"/>
            <w:shd w:val="clear" w:color="auto" w:fill="EDEEE9"/>
          </w:tcPr>
          <w:p>
            <w:pPr>
              <w:spacing w:after="0"/>
              <w:rPr>
                <w:sz w:val="4"/>
                <w:szCs w:val="4"/>
                <w:color w:val="auto"/>
              </w:rPr>
            </w:pPr>
          </w:p>
        </w:tc>
        <w:tc>
          <w:tcPr>
            <w:tcW w:w="240" w:type="dxa"/>
            <w:vAlign w:val="bottom"/>
          </w:tcPr>
          <w:p>
            <w:pPr>
              <w:spacing w:after="0"/>
              <w:rPr>
                <w:sz w:val="4"/>
                <w:szCs w:val="4"/>
                <w:color w:val="auto"/>
              </w:rPr>
            </w:pPr>
          </w:p>
        </w:tc>
        <w:tc>
          <w:tcPr>
            <w:tcW w:w="2240" w:type="dxa"/>
            <w:vAlign w:val="bottom"/>
            <w:shd w:val="clear" w:color="auto" w:fill="EDEEE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190500</wp:posOffset>
            </wp:positionV>
            <wp:extent cx="340995" cy="309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995" cy="309245"/>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190500</wp:posOffset>
            </wp:positionV>
            <wp:extent cx="309245" cy="301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9245" cy="30162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190500</wp:posOffset>
            </wp:positionV>
            <wp:extent cx="293370" cy="301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3370" cy="30162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190500</wp:posOffset>
            </wp:positionV>
            <wp:extent cx="285750" cy="301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750"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TECHNOLOGY &amp;</w:t>
            </w:r>
          </w:p>
        </w:tc>
        <w:tc>
          <w:tcPr>
            <w:tcW w:w="240" w:type="dxa"/>
            <w:vAlign w:val="bottom"/>
          </w:tcPr>
          <w:p>
            <w:pPr>
              <w:spacing w:after="0"/>
              <w:rPr>
                <w:sz w:val="17"/>
                <w:szCs w:val="17"/>
                <w:color w:val="auto"/>
              </w:rPr>
            </w:pPr>
          </w:p>
        </w:tc>
        <w:tc>
          <w:tcPr>
            <w:tcW w:w="22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w w:val="99"/>
              </w:rPr>
              <w:t>INTERNATIONAL</w:t>
            </w:r>
          </w:p>
        </w:tc>
        <w:tc>
          <w:tcPr>
            <w:tcW w:w="240" w:type="dxa"/>
            <w:vAlign w:val="bottom"/>
          </w:tcPr>
          <w:p>
            <w:pPr>
              <w:spacing w:after="0"/>
              <w:rPr>
                <w:sz w:val="17"/>
                <w:szCs w:val="17"/>
                <w:color w:val="auto"/>
              </w:rPr>
            </w:pPr>
          </w:p>
        </w:tc>
        <w:tc>
          <w:tcPr>
            <w:tcW w:w="24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CYBERSECURITY</w:t>
            </w:r>
          </w:p>
        </w:tc>
        <w:tc>
          <w:tcPr>
            <w:tcW w:w="240" w:type="dxa"/>
            <w:vAlign w:val="bottom"/>
          </w:tcPr>
          <w:p>
            <w:pPr>
              <w:spacing w:after="0"/>
              <w:rPr>
                <w:sz w:val="17"/>
                <w:szCs w:val="17"/>
                <w:color w:val="auto"/>
              </w:rPr>
            </w:pPr>
          </w:p>
        </w:tc>
        <w:tc>
          <w:tcPr>
            <w:tcW w:w="224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MERGERS &amp;</w:t>
            </w:r>
          </w:p>
        </w:tc>
      </w:tr>
      <w:tr>
        <w:trPr>
          <w:trHeight w:val="181"/>
        </w:trPr>
        <w:tc>
          <w:tcPr>
            <w:tcW w:w="23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w w:val="97"/>
              </w:rPr>
              <w:t>INNOVATION</w:t>
            </w:r>
          </w:p>
        </w:tc>
        <w:tc>
          <w:tcPr>
            <w:tcW w:w="240" w:type="dxa"/>
            <w:vAlign w:val="bottom"/>
          </w:tcPr>
          <w:p>
            <w:pPr>
              <w:spacing w:after="0"/>
              <w:rPr>
                <w:sz w:val="15"/>
                <w:szCs w:val="15"/>
                <w:color w:val="auto"/>
              </w:rPr>
            </w:pPr>
          </w:p>
        </w:tc>
        <w:tc>
          <w:tcPr>
            <w:tcW w:w="2220" w:type="dxa"/>
            <w:vAlign w:val="bottom"/>
            <w:shd w:val="clear" w:color="auto" w:fill="EDEEE9"/>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shd w:val="clear" w:color="auto" w:fill="EDEEE9"/>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ACQUISITIONS</w:t>
            </w:r>
          </w:p>
        </w:tc>
      </w:tr>
      <w:tr>
        <w:trPr>
          <w:trHeight w:val="326"/>
        </w:trPr>
        <w:tc>
          <w:tcPr>
            <w:tcW w:w="2320" w:type="dxa"/>
            <w:vAlign w:val="bottom"/>
            <w:shd w:val="clear" w:color="auto" w:fill="EDEEE9"/>
          </w:tcPr>
          <w:p>
            <w:pPr>
              <w:jc w:val="center"/>
              <w:spacing w:after="0"/>
              <w:rPr>
                <w:sz w:val="20"/>
                <w:szCs w:val="20"/>
                <w:color w:val="auto"/>
              </w:rPr>
            </w:pPr>
            <w:r>
              <w:rPr>
                <w:rFonts w:ascii="Arial" w:cs="Arial" w:eastAsia="Arial" w:hAnsi="Arial"/>
                <w:sz w:val="17"/>
                <w:szCs w:val="17"/>
                <w:b w:val="1"/>
                <w:bCs w:val="1"/>
                <w:color w:val="3C578C"/>
                <w:w w:val="93"/>
              </w:rPr>
              <w:t>57%</w:t>
            </w:r>
          </w:p>
        </w:tc>
        <w:tc>
          <w:tcPr>
            <w:tcW w:w="240" w:type="dxa"/>
            <w:vAlign w:val="bottom"/>
          </w:tcPr>
          <w:p>
            <w:pPr>
              <w:spacing w:after="0"/>
              <w:rPr>
                <w:sz w:val="24"/>
                <w:szCs w:val="24"/>
                <w:color w:val="auto"/>
              </w:rPr>
            </w:pPr>
          </w:p>
        </w:tc>
        <w:tc>
          <w:tcPr>
            <w:tcW w:w="2220" w:type="dxa"/>
            <w:vAlign w:val="bottom"/>
            <w:shd w:val="clear" w:color="auto" w:fill="EDEEE9"/>
          </w:tcPr>
          <w:p>
            <w:pPr>
              <w:jc w:val="right"/>
              <w:ind w:right="825"/>
              <w:spacing w:after="0"/>
              <w:rPr>
                <w:sz w:val="20"/>
                <w:szCs w:val="20"/>
                <w:color w:val="auto"/>
              </w:rPr>
            </w:pPr>
            <w:r>
              <w:rPr>
                <w:rFonts w:ascii="Arial" w:cs="Arial" w:eastAsia="Arial" w:hAnsi="Arial"/>
                <w:sz w:val="17"/>
                <w:szCs w:val="17"/>
                <w:b w:val="1"/>
                <w:bCs w:val="1"/>
                <w:color w:val="3C578C"/>
              </w:rPr>
              <w:t>100%</w:t>
            </w:r>
          </w:p>
        </w:tc>
        <w:tc>
          <w:tcPr>
            <w:tcW w:w="240" w:type="dxa"/>
            <w:vAlign w:val="bottom"/>
          </w:tcPr>
          <w:p>
            <w:pPr>
              <w:spacing w:after="0"/>
              <w:rPr>
                <w:sz w:val="24"/>
                <w:szCs w:val="24"/>
                <w:color w:val="auto"/>
              </w:rPr>
            </w:pPr>
          </w:p>
        </w:tc>
        <w:tc>
          <w:tcPr>
            <w:tcW w:w="2420" w:type="dxa"/>
            <w:vAlign w:val="bottom"/>
            <w:shd w:val="clear" w:color="auto" w:fill="EDEEE9"/>
          </w:tcPr>
          <w:p>
            <w:pPr>
              <w:jc w:val="right"/>
              <w:ind w:right="965"/>
              <w:spacing w:after="0"/>
              <w:rPr>
                <w:sz w:val="20"/>
                <w:szCs w:val="20"/>
                <w:color w:val="auto"/>
              </w:rPr>
            </w:pPr>
            <w:r>
              <w:rPr>
                <w:rFonts w:ascii="Arial" w:cs="Arial" w:eastAsia="Arial" w:hAnsi="Arial"/>
                <w:sz w:val="17"/>
                <w:szCs w:val="17"/>
                <w:b w:val="1"/>
                <w:bCs w:val="1"/>
                <w:color w:val="3C578C"/>
              </w:rPr>
              <w:t>38%</w:t>
            </w:r>
          </w:p>
        </w:tc>
        <w:tc>
          <w:tcPr>
            <w:tcW w:w="240" w:type="dxa"/>
            <w:vAlign w:val="bottom"/>
          </w:tcPr>
          <w:p>
            <w:pPr>
              <w:spacing w:after="0"/>
              <w:rPr>
                <w:sz w:val="24"/>
                <w:szCs w:val="24"/>
                <w:color w:val="auto"/>
              </w:rPr>
            </w:pPr>
          </w:p>
        </w:tc>
        <w:tc>
          <w:tcPr>
            <w:tcW w:w="2240" w:type="dxa"/>
            <w:vAlign w:val="bottom"/>
            <w:shd w:val="clear" w:color="auto" w:fill="EDEEE9"/>
          </w:tcPr>
          <w:p>
            <w:pPr>
              <w:jc w:val="center"/>
              <w:spacing w:after="0"/>
              <w:rPr>
                <w:sz w:val="20"/>
                <w:szCs w:val="20"/>
                <w:color w:val="auto"/>
              </w:rPr>
            </w:pPr>
            <w:r>
              <w:rPr>
                <w:rFonts w:ascii="Arial" w:cs="Arial" w:eastAsia="Arial" w:hAnsi="Arial"/>
                <w:sz w:val="17"/>
                <w:szCs w:val="17"/>
                <w:b w:val="1"/>
                <w:bCs w:val="1"/>
                <w:color w:val="3C578C"/>
              </w:rPr>
              <w:t>100%</w:t>
            </w:r>
          </w:p>
        </w:tc>
      </w:tr>
      <w:tr>
        <w:trPr>
          <w:trHeight w:val="50"/>
        </w:trPr>
        <w:tc>
          <w:tcPr>
            <w:tcW w:w="2320" w:type="dxa"/>
            <w:vAlign w:val="bottom"/>
            <w:shd w:val="clear" w:color="auto" w:fill="EDEEE9"/>
          </w:tcPr>
          <w:p>
            <w:pPr>
              <w:spacing w:after="0"/>
              <w:rPr>
                <w:sz w:val="4"/>
                <w:szCs w:val="4"/>
                <w:color w:val="auto"/>
              </w:rPr>
            </w:pPr>
          </w:p>
        </w:tc>
        <w:tc>
          <w:tcPr>
            <w:tcW w:w="240" w:type="dxa"/>
            <w:vAlign w:val="bottom"/>
          </w:tcPr>
          <w:p>
            <w:pPr>
              <w:spacing w:after="0"/>
              <w:rPr>
                <w:sz w:val="4"/>
                <w:szCs w:val="4"/>
                <w:color w:val="auto"/>
              </w:rPr>
            </w:pPr>
          </w:p>
        </w:tc>
        <w:tc>
          <w:tcPr>
            <w:tcW w:w="2220" w:type="dxa"/>
            <w:vAlign w:val="bottom"/>
            <w:shd w:val="clear" w:color="auto" w:fill="EDEEE9"/>
          </w:tcPr>
          <w:p>
            <w:pPr>
              <w:spacing w:after="0"/>
              <w:rPr>
                <w:sz w:val="4"/>
                <w:szCs w:val="4"/>
                <w:color w:val="auto"/>
              </w:rPr>
            </w:pPr>
          </w:p>
        </w:tc>
        <w:tc>
          <w:tcPr>
            <w:tcW w:w="240" w:type="dxa"/>
            <w:vAlign w:val="bottom"/>
          </w:tcPr>
          <w:p>
            <w:pPr>
              <w:spacing w:after="0"/>
              <w:rPr>
                <w:sz w:val="4"/>
                <w:szCs w:val="4"/>
                <w:color w:val="auto"/>
              </w:rPr>
            </w:pPr>
          </w:p>
        </w:tc>
        <w:tc>
          <w:tcPr>
            <w:tcW w:w="2420" w:type="dxa"/>
            <w:vAlign w:val="bottom"/>
            <w:shd w:val="clear" w:color="auto" w:fill="EDEEE9"/>
          </w:tcPr>
          <w:p>
            <w:pPr>
              <w:spacing w:after="0"/>
              <w:rPr>
                <w:sz w:val="4"/>
                <w:szCs w:val="4"/>
                <w:color w:val="auto"/>
              </w:rPr>
            </w:pPr>
          </w:p>
        </w:tc>
        <w:tc>
          <w:tcPr>
            <w:tcW w:w="240" w:type="dxa"/>
            <w:vAlign w:val="bottom"/>
          </w:tcPr>
          <w:p>
            <w:pPr>
              <w:spacing w:after="0"/>
              <w:rPr>
                <w:sz w:val="4"/>
                <w:szCs w:val="4"/>
                <w:color w:val="auto"/>
              </w:rPr>
            </w:pPr>
          </w:p>
        </w:tc>
        <w:tc>
          <w:tcPr>
            <w:tcW w:w="2240" w:type="dxa"/>
            <w:vAlign w:val="bottom"/>
            <w:shd w:val="clear" w:color="auto" w:fill="EDEEE9"/>
          </w:tcPr>
          <w:p>
            <w:pPr>
              <w:spacing w:after="0"/>
              <w:rPr>
                <w:sz w:val="4"/>
                <w:szCs w:val="4"/>
                <w:color w:val="auto"/>
              </w:rPr>
            </w:pPr>
          </w:p>
        </w:tc>
      </w:tr>
    </w:tbl>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 nominee’s background, professional experience,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476250</wp:posOffset>
            </wp:positionV>
            <wp:extent cx="483870" cy="222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00" w:type="dxa"/>
            <w:vAlign w:val="bottom"/>
          </w:tcPr>
          <w:p>
            <w:pPr>
              <w:ind w:left="7900"/>
              <w:spacing w:after="0"/>
              <w:rPr>
                <w:sz w:val="20"/>
                <w:szCs w:val="20"/>
                <w:color w:val="auto"/>
              </w:rPr>
            </w:pPr>
            <w:r>
              <w:rPr>
                <w:rFonts w:ascii="Arial" w:cs="Arial" w:eastAsia="Arial" w:hAnsi="Arial"/>
                <w:sz w:val="17"/>
                <w:szCs w:val="17"/>
                <w:color w:val="7F7F7F"/>
              </w:rPr>
              <w:t>2025 Proxy Statement</w:t>
            </w:r>
          </w:p>
        </w:tc>
        <w:tc>
          <w:tcPr>
            <w:tcW w:w="220" w:type="dxa"/>
            <w:vAlign w:val="bottom"/>
          </w:tcPr>
          <w:p>
            <w:pPr>
              <w:jc w:val="right"/>
              <w:spacing w:after="0"/>
              <w:rPr>
                <w:sz w:val="20"/>
                <w:szCs w:val="20"/>
                <w:color w:val="auto"/>
              </w:rPr>
            </w:pPr>
            <w:r>
              <w:rPr>
                <w:rFonts w:ascii="Arial" w:cs="Arial" w:eastAsia="Arial" w:hAnsi="Arial"/>
                <w:sz w:val="17"/>
                <w:szCs w:val="17"/>
                <w:color w:val="7F7F7F"/>
              </w:rPr>
              <w:t>3</w:t>
            </w:r>
          </w:p>
        </w:tc>
      </w:tr>
      <w:tr>
        <w:trPr>
          <w:trHeight w:val="590"/>
        </w:trPr>
        <w:tc>
          <w:tcPr>
            <w:tcW w:w="9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960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Jason DeZwirek</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Chairman of the Board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CECO Environmental Corp.</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54</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Nominations and Governance and Mergers &amp; Acquisitions</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Director Since:</w:t>
            </w:r>
            <w:r>
              <w:rPr>
                <w:rFonts w:ascii="Arial" w:cs="Arial" w:eastAsia="Arial" w:hAnsi="Arial"/>
                <w:sz w:val="15"/>
                <w:szCs w:val="15"/>
                <w:color w:val="000000"/>
              </w:rPr>
              <w:t>1994</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CECO Environmental Corp</w:t>
      </w:r>
    </w:p>
    <w:p>
      <w:pPr>
        <w:spacing w:after="0" w:line="115" w:lineRule="exact"/>
        <w:rPr>
          <w:sz w:val="20"/>
          <w:szCs w:val="20"/>
          <w:color w:val="auto"/>
        </w:rPr>
      </w:pPr>
    </w:p>
    <w:p>
      <w:pPr>
        <w:ind w:left="2520" w:hanging="116"/>
        <w:spacing w:after="0"/>
        <w:tabs>
          <w:tab w:leader="none" w:pos="2520" w:val="left"/>
        </w:tabs>
        <w:numPr>
          <w:ilvl w:val="0"/>
          <w:numId w:val="16"/>
        </w:numPr>
        <w:rPr>
          <w:rFonts w:ascii="Times New Roman" w:cs="Times New Roman" w:eastAsia="Times New Roman" w:hAnsi="Times New Roman"/>
          <w:sz w:val="17"/>
          <w:szCs w:val="17"/>
          <w:color w:val="3C578C"/>
        </w:rPr>
      </w:pPr>
      <w:r>
        <w:rPr>
          <w:rFonts w:ascii="Arial" w:cs="Arial" w:eastAsia="Arial" w:hAnsi="Arial"/>
          <w:sz w:val="15"/>
          <w:szCs w:val="15"/>
          <w:color w:val="auto"/>
        </w:rPr>
        <w:t>Chairman of the Board since May 2013</w:t>
      </w:r>
    </w:p>
    <w:p>
      <w:pPr>
        <w:spacing w:after="0" w:line="62" w:lineRule="exact"/>
        <w:rPr>
          <w:rFonts w:ascii="Times New Roman" w:cs="Times New Roman" w:eastAsia="Times New Roman" w:hAnsi="Times New Roman"/>
          <w:sz w:val="17"/>
          <w:szCs w:val="17"/>
          <w:color w:val="3C578C"/>
        </w:rPr>
      </w:pPr>
    </w:p>
    <w:p>
      <w:pPr>
        <w:ind w:left="252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Secretary of our Company from February 1998</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until September 2013</w:t>
      </w:r>
    </w:p>
    <w:p>
      <w:pPr>
        <w:spacing w:after="0" w:line="40"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API Technologies Corp.</w:t>
      </w:r>
    </w:p>
    <w:p>
      <w:pPr>
        <w:spacing w:after="0" w:line="77" w:lineRule="exact"/>
        <w:rPr>
          <w:sz w:val="20"/>
          <w:szCs w:val="20"/>
          <w:color w:val="auto"/>
        </w:rPr>
      </w:pPr>
    </w:p>
    <w:p>
      <w:pPr>
        <w:ind w:left="2520" w:hanging="116"/>
        <w:spacing w:after="0"/>
        <w:tabs>
          <w:tab w:leader="none" w:pos="2520" w:val="left"/>
        </w:tabs>
        <w:numPr>
          <w:ilvl w:val="0"/>
          <w:numId w:val="17"/>
        </w:numPr>
        <w:rPr>
          <w:rFonts w:ascii="Times New Roman" w:cs="Times New Roman" w:eastAsia="Times New Roman" w:hAnsi="Times New Roman"/>
          <w:sz w:val="17"/>
          <w:szCs w:val="17"/>
          <w:color w:val="3C578C"/>
        </w:rPr>
      </w:pPr>
      <w:r>
        <w:rPr>
          <w:rFonts w:ascii="Arial" w:cs="Arial" w:eastAsia="Arial" w:hAnsi="Arial"/>
          <w:sz w:val="15"/>
          <w:szCs w:val="15"/>
          <w:color w:val="auto"/>
        </w:rPr>
        <w:t>Served as a director and corporate secretary</w:t>
      </w:r>
    </w:p>
    <w:p>
      <w:pPr>
        <w:spacing w:after="0" w:line="62" w:lineRule="exact"/>
        <w:rPr>
          <w:rFonts w:ascii="Times New Roman" w:cs="Times New Roman" w:eastAsia="Times New Roman" w:hAnsi="Times New Roman"/>
          <w:sz w:val="17"/>
          <w:szCs w:val="17"/>
          <w:color w:val="3C578C"/>
        </w:rPr>
      </w:pPr>
    </w:p>
    <w:p>
      <w:pPr>
        <w:ind w:left="2520" w:right="180" w:hanging="113"/>
        <w:spacing w:after="0" w:line="254"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a prime contractor in electronics,</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highly engineered systems, secure communications and electronic components and sub-systems for the defense and aerospace industries, from November 2006 through January 2011</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Kaboose Inc.</w:t>
      </w:r>
    </w:p>
    <w:p>
      <w:pPr>
        <w:spacing w:after="0" w:line="115" w:lineRule="exact"/>
        <w:rPr>
          <w:sz w:val="20"/>
          <w:szCs w:val="20"/>
          <w:color w:val="auto"/>
        </w:rPr>
      </w:pPr>
    </w:p>
    <w:p>
      <w:pPr>
        <w:ind w:left="120" w:hanging="116"/>
        <w:spacing w:after="0"/>
        <w:tabs>
          <w:tab w:leader="none" w:pos="120" w:val="left"/>
        </w:tabs>
        <w:numPr>
          <w:ilvl w:val="0"/>
          <w:numId w:val="18"/>
        </w:numPr>
        <w:rPr>
          <w:rFonts w:ascii="Times New Roman" w:cs="Times New Roman" w:eastAsia="Times New Roman" w:hAnsi="Times New Roman"/>
          <w:sz w:val="17"/>
          <w:szCs w:val="17"/>
          <w:color w:val="3C578C"/>
        </w:rPr>
      </w:pPr>
      <w:r>
        <w:rPr>
          <w:rFonts w:ascii="Arial" w:cs="Arial" w:eastAsia="Arial" w:hAnsi="Arial"/>
          <w:sz w:val="15"/>
          <w:szCs w:val="15"/>
          <w:color w:val="auto"/>
        </w:rPr>
        <w:t>Founder</w:t>
      </w:r>
    </w:p>
    <w:p>
      <w:pPr>
        <w:spacing w:after="0" w:line="50" w:lineRule="exact"/>
        <w:rPr>
          <w:rFonts w:ascii="Times New Roman" w:cs="Times New Roman" w:eastAsia="Times New Roman" w:hAnsi="Times New Roman"/>
          <w:sz w:val="17"/>
          <w:szCs w:val="17"/>
          <w:color w:val="3C578C"/>
        </w:rPr>
      </w:pPr>
    </w:p>
    <w:p>
      <w:pPr>
        <w:ind w:left="120" w:right="100" w:hanging="113"/>
        <w:spacing w:after="0" w:line="264"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Chairman and CEO of Kaboose Inc. until</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its sale to Disney Online (a subsidiary of The Walt Disney Company) and Barclays Private Equity Limited in June 2009</w:t>
      </w:r>
    </w:p>
    <w:p>
      <w:pPr>
        <w:spacing w:after="0" w:line="243" w:lineRule="exact"/>
        <w:rPr>
          <w:rFonts w:ascii="Times New Roman" w:cs="Times New Roman" w:eastAsia="Times New Roman" w:hAnsi="Times New Roman"/>
          <w:sz w:val="17"/>
          <w:szCs w:val="17"/>
          <w:color w:val="3C578C"/>
        </w:rPr>
      </w:pPr>
    </w:p>
    <w:p>
      <w:pPr>
        <w:ind w:left="120" w:right="36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Mr. DeZwirek also is and has been involved in private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investment activities</w:t>
      </w:r>
    </w:p>
    <w:p>
      <w:pPr>
        <w:spacing w:after="0" w:line="914" w:lineRule="exact"/>
        <w:rPr>
          <w:sz w:val="20"/>
          <w:szCs w:val="20"/>
          <w:color w:val="auto"/>
        </w:rPr>
      </w:pPr>
    </w:p>
    <w:p>
      <w:pPr>
        <w:sectPr>
          <w:pgSz w:w="11900" w:h="16838" w:orient="portrait"/>
          <w:cols w:equalWidth="0" w:num="2">
            <w:col w:w="5620" w:space="280"/>
            <w:col w:w="4020"/>
          </w:cols>
          <w:pgMar w:left="980" w:top="485" w:right="999" w:bottom="1440" w:gutter="0" w:footer="0" w:header="0"/>
          <w:type w:val="continuous"/>
        </w:sectPr>
      </w:pPr>
    </w:p>
    <w:p>
      <w:pPr>
        <w:ind w:left="2400" w:right="320"/>
        <w:spacing w:after="0" w:line="261" w:lineRule="auto"/>
        <w:rPr>
          <w:sz w:val="20"/>
          <w:szCs w:val="20"/>
          <w:color w:val="auto"/>
        </w:rPr>
      </w:pPr>
      <w:r>
        <w:rPr>
          <w:rFonts w:ascii="Arial" w:cs="Arial" w:eastAsia="Arial" w:hAnsi="Arial"/>
          <w:sz w:val="15"/>
          <w:szCs w:val="15"/>
          <w:color w:val="auto"/>
        </w:rPr>
        <w:t>Mr. DeZwirek brings broad executive expertise, including operations, technology, management, and strategy. Having served as a director of our Company for over 25 years, he also has a breadth of knowledge of the overall issues our Company 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6301105" cy="960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16"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Todd Gleason</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Chief Executive Officer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CECO Environmental Corp.</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54</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Mergers &amp; Acquisitions</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Director Since:</w:t>
            </w:r>
            <w:r>
              <w:rPr>
                <w:rFonts w:ascii="Arial" w:cs="Arial" w:eastAsia="Arial" w:hAnsi="Arial"/>
                <w:sz w:val="15"/>
                <w:szCs w:val="15"/>
                <w:color w:val="000000"/>
              </w:rPr>
              <w:t>2020</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NSF</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CECO Environmental Corp</w:t>
      </w:r>
    </w:p>
    <w:p>
      <w:pPr>
        <w:spacing w:after="0" w:line="102" w:lineRule="exact"/>
        <w:rPr>
          <w:sz w:val="20"/>
          <w:szCs w:val="20"/>
          <w:color w:val="auto"/>
        </w:rPr>
      </w:pPr>
    </w:p>
    <w:p>
      <w:pPr>
        <w:ind w:left="2520" w:hanging="116"/>
        <w:spacing w:after="0"/>
        <w:tabs>
          <w:tab w:leader="none" w:pos="2520" w:val="left"/>
        </w:tabs>
        <w:numPr>
          <w:ilvl w:val="0"/>
          <w:numId w:val="19"/>
        </w:numPr>
        <w:rPr>
          <w:rFonts w:ascii="Times New Roman" w:cs="Times New Roman" w:eastAsia="Times New Roman" w:hAnsi="Times New Roman"/>
          <w:sz w:val="17"/>
          <w:szCs w:val="17"/>
          <w:color w:val="3C578C"/>
        </w:rPr>
      </w:pPr>
      <w:r>
        <w:rPr>
          <w:rFonts w:ascii="Arial" w:cs="Arial" w:eastAsia="Arial" w:hAnsi="Arial"/>
          <w:sz w:val="15"/>
          <w:szCs w:val="15"/>
          <w:color w:val="auto"/>
        </w:rPr>
        <w:t>Chief Executive Officer since July 2020</w:t>
      </w:r>
    </w:p>
    <w:p>
      <w:pPr>
        <w:spacing w:after="0" w:line="79"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Scientific Analytics Inc.</w:t>
      </w:r>
    </w:p>
    <w:p>
      <w:pPr>
        <w:spacing w:after="0" w:line="61" w:lineRule="exact"/>
        <w:rPr>
          <w:sz w:val="20"/>
          <w:szCs w:val="20"/>
          <w:color w:val="auto"/>
        </w:rPr>
      </w:pPr>
    </w:p>
    <w:p>
      <w:pPr>
        <w:ind w:left="2520" w:right="16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and Chief Executive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Officer of Scientific Analytics, a predictive analytic technologies and services company, from April 2015 to July 2020</w:t>
      </w:r>
    </w:p>
    <w:p>
      <w:pPr>
        <w:spacing w:after="0" w:line="33"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Pentair plc.</w:t>
      </w:r>
    </w:p>
    <w:p>
      <w:pPr>
        <w:spacing w:after="0" w:line="73" w:lineRule="exact"/>
        <w:rPr>
          <w:sz w:val="20"/>
          <w:szCs w:val="20"/>
          <w:color w:val="auto"/>
        </w:rPr>
      </w:pPr>
    </w:p>
    <w:p>
      <w:pPr>
        <w:ind w:left="2520" w:right="2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Senior Vice President and Corporate Officer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from January 2013 to March 2015</w:t>
      </w:r>
    </w:p>
    <w:p>
      <w:pPr>
        <w:spacing w:after="0" w:line="35"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President, Integration and Standardization from</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January 2010 to January 2013</w:t>
      </w:r>
    </w:p>
    <w:p>
      <w:pPr>
        <w:spacing w:after="0" w:line="35" w:lineRule="exact"/>
        <w:rPr>
          <w:sz w:val="20"/>
          <w:szCs w:val="20"/>
          <w:color w:val="auto"/>
        </w:rPr>
      </w:pPr>
    </w:p>
    <w:p>
      <w:pPr>
        <w:jc w:val="right"/>
        <w:ind w:left="2520" w:right="260" w:hanging="113"/>
        <w:spacing w:after="0" w:line="239" w:lineRule="auto"/>
        <w:rPr>
          <w:sz w:val="20"/>
          <w:szCs w:val="20"/>
          <w:color w:val="auto"/>
        </w:rPr>
      </w:pPr>
      <w:r>
        <w:rPr>
          <w:rFonts w:ascii="Times New Roman" w:cs="Times New Roman" w:eastAsia="Times New Roman" w:hAnsi="Times New Roman"/>
          <w:sz w:val="17"/>
          <w:szCs w:val="17"/>
          <w:color w:val="405788"/>
        </w:rPr>
        <w:t>●</w:t>
      </w:r>
      <w:r>
        <w:rPr>
          <w:rFonts w:ascii="Arial" w:cs="Arial" w:eastAsia="Arial" w:hAnsi="Arial"/>
          <w:sz w:val="14"/>
          <w:szCs w:val="14"/>
          <w:color w:val="000000"/>
        </w:rPr>
        <w:t>Vice President, Global Growth and Investor</w:t>
      </w:r>
      <w:r>
        <w:rPr>
          <w:rFonts w:ascii="Times New Roman" w:cs="Times New Roman" w:eastAsia="Times New Roman" w:hAnsi="Times New Roman"/>
          <w:sz w:val="17"/>
          <w:szCs w:val="17"/>
          <w:color w:val="405788"/>
        </w:rPr>
        <w:t xml:space="preserve"> </w:t>
      </w:r>
      <w:r>
        <w:rPr>
          <w:rFonts w:ascii="Arial" w:cs="Arial" w:eastAsia="Arial" w:hAnsi="Arial"/>
          <w:sz w:val="14"/>
          <w:szCs w:val="14"/>
          <w:color w:val="000000"/>
        </w:rPr>
        <w:t>Relations from June 2007 to January 2010</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American Standard Companies Inc.</w:t>
      </w:r>
    </w:p>
    <w:p>
      <w:pPr>
        <w:spacing w:after="0" w:line="73" w:lineRule="exact"/>
        <w:rPr>
          <w:sz w:val="20"/>
          <w:szCs w:val="20"/>
          <w:color w:val="auto"/>
        </w:rPr>
      </w:pPr>
    </w:p>
    <w:p>
      <w:pPr>
        <w:ind w:left="120" w:right="7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Vice President, Strategy and Investor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Relations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Honeywell International Inc</w:t>
      </w:r>
    </w:p>
    <w:p>
      <w:pPr>
        <w:spacing w:after="0" w:line="90" w:lineRule="exact"/>
        <w:rPr>
          <w:sz w:val="20"/>
          <w:szCs w:val="20"/>
          <w:color w:val="auto"/>
        </w:rPr>
      </w:pPr>
    </w:p>
    <w:p>
      <w:pPr>
        <w:ind w:left="120" w:right="360" w:hanging="116"/>
        <w:spacing w:after="0" w:line="277" w:lineRule="auto"/>
        <w:tabs>
          <w:tab w:leader="none" w:pos="120" w:val="left"/>
        </w:tabs>
        <w:numPr>
          <w:ilvl w:val="0"/>
          <w:numId w:val="23"/>
        </w:numPr>
        <w:rPr>
          <w:rFonts w:ascii="Times New Roman" w:cs="Times New Roman" w:eastAsia="Times New Roman" w:hAnsi="Times New Roman"/>
          <w:sz w:val="15"/>
          <w:szCs w:val="15"/>
          <w:color w:val="3C578C"/>
        </w:rPr>
      </w:pPr>
      <w:r>
        <w:rPr>
          <w:rFonts w:ascii="Arial" w:cs="Arial" w:eastAsia="Arial" w:hAnsi="Arial"/>
          <w:sz w:val="15"/>
          <w:szCs w:val="15"/>
          <w:color w:val="auto"/>
        </w:rPr>
        <w:t>Served as Chief Financial Officer, Honeywell Process Solutions</w:t>
      </w:r>
    </w:p>
    <w:p>
      <w:pPr>
        <w:spacing w:after="0" w:line="1775" w:lineRule="exact"/>
        <w:rPr>
          <w:sz w:val="20"/>
          <w:szCs w:val="20"/>
          <w:color w:val="auto"/>
        </w:rPr>
      </w:pPr>
    </w:p>
    <w:p>
      <w:pPr>
        <w:sectPr>
          <w:pgSz w:w="11900" w:h="16838" w:orient="portrait"/>
          <w:cols w:equalWidth="0" w:num="2">
            <w:col w:w="5640" w:space="260"/>
            <w:col w:w="4020"/>
          </w:cols>
          <w:pgMar w:left="980" w:top="485" w:right="999" w:bottom="1440" w:gutter="0" w:footer="0" w:header="0"/>
          <w:type w:val="continuous"/>
        </w:sectPr>
      </w:pPr>
    </w:p>
    <w:p>
      <w:pPr>
        <w:ind w:left="2400" w:right="360"/>
        <w:spacing w:after="0" w:line="278" w:lineRule="auto"/>
        <w:rPr>
          <w:sz w:val="20"/>
          <w:szCs w:val="20"/>
          <w:color w:val="auto"/>
        </w:rPr>
      </w:pPr>
      <w:r>
        <w:rPr>
          <w:rFonts w:ascii="Arial" w:cs="Arial" w:eastAsia="Arial" w:hAnsi="Arial"/>
          <w:sz w:val="15"/>
          <w:szCs w:val="15"/>
          <w:color w:val="auto"/>
        </w:rPr>
        <w:t>Mr. Gleason’s qualifications to sit on the Board include his financial and business background, as well as his extensive executive and leadership experience.</w:t>
      </w:r>
    </w:p>
    <w:p>
      <w:pPr>
        <w:spacing w:after="0" w:line="31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w:t>
      </w:r>
      <w:r>
        <w:rPr>
          <w:sz w:val="20"/>
          <w:szCs w:val="20"/>
          <w:color w:val="auto"/>
        </w:rPr>
        <w:tab/>
      </w:r>
      <w:r>
        <w:rPr>
          <w:sz w:val="1"/>
          <w:szCs w:val="1"/>
          <w:color w:val="auto"/>
        </w:rPr>
        <w:drawing>
          <wp:inline distT="0" distB="0" distL="0" distR="0">
            <wp:extent cx="476250" cy="2222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960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Robert E. Knowling, Jr.</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Chairman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Eagles Landing Partners</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69</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Compensation and Mergers &amp; Acquisitions (Chair)</w:t>
            </w:r>
          </w:p>
        </w:tc>
      </w:tr>
      <w:tr>
        <w:trPr>
          <w:trHeight w:val="175"/>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 xml:space="preserve">Director Since: </w:t>
            </w:r>
            <w:r>
              <w:rPr>
                <w:rFonts w:ascii="Arial" w:cs="Arial" w:eastAsia="Arial" w:hAnsi="Arial"/>
                <w:sz w:val="15"/>
                <w:szCs w:val="15"/>
                <w:color w:val="000000"/>
              </w:rPr>
              <w:t>2022</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Rite Aid Corporation, Stride, Inc., Rocket Software and Stream</w:t>
            </w:r>
          </w:p>
        </w:tc>
      </w:tr>
      <w:tr>
        <w:trPr>
          <w:trHeight w:val="198"/>
        </w:trPr>
        <w:tc>
          <w:tcPr>
            <w:tcW w:w="1900" w:type="dxa"/>
            <w:vAlign w:val="bottom"/>
            <w:tcBorders>
              <w:right w:val="single" w:sz="8" w:color="CDCECD"/>
            </w:tcBorders>
          </w:tcPr>
          <w:p>
            <w:pPr>
              <w:spacing w:after="0"/>
              <w:rPr>
                <w:sz w:val="17"/>
                <w:szCs w:val="17"/>
                <w:color w:val="auto"/>
              </w:rPr>
            </w:pPr>
          </w:p>
        </w:tc>
        <w:tc>
          <w:tcPr>
            <w:tcW w:w="5700" w:type="dxa"/>
            <w:vAlign w:val="bottom"/>
          </w:tcPr>
          <w:p>
            <w:pPr>
              <w:ind w:left="80"/>
              <w:spacing w:after="0"/>
              <w:rPr>
                <w:sz w:val="20"/>
                <w:szCs w:val="20"/>
                <w:color w:val="auto"/>
              </w:rPr>
            </w:pPr>
            <w:r>
              <w:rPr>
                <w:rFonts w:ascii="Arial" w:cs="Arial" w:eastAsia="Arial" w:hAnsi="Arial"/>
                <w:sz w:val="15"/>
                <w:szCs w:val="15"/>
                <w:color w:val="auto"/>
              </w:rPr>
              <w:t>Companies</w:t>
            </w:r>
          </w:p>
        </w:tc>
      </w:tr>
      <w:tr>
        <w:trPr>
          <w:trHeight w:val="77"/>
        </w:trPr>
        <w:tc>
          <w:tcPr>
            <w:tcW w:w="1900" w:type="dxa"/>
            <w:vAlign w:val="bottom"/>
            <w:tcBorders>
              <w:bottom w:val="single" w:sz="8" w:color="CDCECD"/>
              <w:right w:val="single" w:sz="8" w:color="CDCECD"/>
            </w:tcBorders>
          </w:tcPr>
          <w:p>
            <w:pPr>
              <w:spacing w:after="0"/>
              <w:rPr>
                <w:sz w:val="6"/>
                <w:szCs w:val="6"/>
                <w:color w:val="auto"/>
              </w:rPr>
            </w:pPr>
          </w:p>
        </w:tc>
        <w:tc>
          <w:tcPr>
            <w:tcW w:w="5700" w:type="dxa"/>
            <w:vAlign w:val="bottom"/>
            <w:tcBorders>
              <w:bottom w:val="single" w:sz="8" w:color="CDCECD"/>
            </w:tcBorders>
          </w:tcPr>
          <w:p>
            <w:pPr>
              <w:spacing w:after="0"/>
              <w:rPr>
                <w:sz w:val="6"/>
                <w:szCs w:val="6"/>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Eagles Landing Partners</w:t>
      </w:r>
    </w:p>
    <w:p>
      <w:pPr>
        <w:spacing w:after="0" w:line="86" w:lineRule="exact"/>
        <w:rPr>
          <w:sz w:val="20"/>
          <w:szCs w:val="20"/>
          <w:color w:val="auto"/>
        </w:rPr>
      </w:pPr>
    </w:p>
    <w:p>
      <w:pPr>
        <w:ind w:left="2520" w:right="12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Chairman of Eagles Landing Partners, which</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specializes in helping senior management formulate strategy, lead organizational transformations, and re-engineer businesses, since 2009</w:t>
      </w:r>
    </w:p>
    <w:p>
      <w:pPr>
        <w:spacing w:after="0" w:line="58"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Telwares</w:t>
      </w:r>
    </w:p>
    <w:p>
      <w:pPr>
        <w:spacing w:after="0" w:line="73"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Chief Executive Officer from 2005 to</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2009</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26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Chief Executive Officer of the New York City</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Leadership Academy, an independent nonprofit corporation that is chartered with developing the next generation of principals in the New York City public school system, from 2002 to 2005</w:t>
      </w:r>
    </w:p>
    <w:p>
      <w:pPr>
        <w:spacing w:after="0" w:line="41" w:lineRule="exact"/>
        <w:rPr>
          <w:sz w:val="20"/>
          <w:szCs w:val="20"/>
          <w:color w:val="auto"/>
        </w:rPr>
      </w:pPr>
    </w:p>
    <w:p>
      <w:pPr>
        <w:ind w:right="26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Chairman and Chief Executive Officer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SimDesk Technologies, a computer software company, from 2001 to 2003</w:t>
      </w:r>
    </w:p>
    <w:p>
      <w:pPr>
        <w:spacing w:after="0" w:line="54" w:lineRule="exact"/>
        <w:rPr>
          <w:sz w:val="20"/>
          <w:szCs w:val="20"/>
          <w:color w:val="auto"/>
        </w:rPr>
      </w:pPr>
    </w:p>
    <w:p>
      <w:pPr>
        <w:ind w:right="40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Chairman, President and Chief Executive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Officer of Covad Communications, a Warburg Pincus private equity-backed start-up company</w:t>
      </w:r>
    </w:p>
    <w:p>
      <w:pPr>
        <w:spacing w:after="0" w:line="54" w:lineRule="exact"/>
        <w:rPr>
          <w:sz w:val="20"/>
          <w:szCs w:val="20"/>
          <w:color w:val="auto"/>
        </w:rPr>
      </w:pPr>
    </w:p>
    <w:p>
      <w:pPr>
        <w:ind w:right="5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 Citrix</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Systems Inc., Roper Technologies Inc. and HP</w:t>
      </w:r>
    </w:p>
    <w:p>
      <w:pPr>
        <w:spacing w:after="0" w:line="65" w:lineRule="exact"/>
        <w:rPr>
          <w:sz w:val="20"/>
          <w:szCs w:val="20"/>
          <w:color w:val="auto"/>
        </w:rPr>
      </w:pPr>
    </w:p>
    <w:p>
      <w:pPr>
        <w:sectPr>
          <w:pgSz w:w="11900" w:h="16838" w:orient="portrait"/>
          <w:cols w:equalWidth="0" w:num="2">
            <w:col w:w="5640" w:space="380"/>
            <w:col w:w="3900"/>
          </w:cols>
          <w:pgMar w:left="980" w:top="485" w:right="999" w:bottom="1440" w:gutter="0" w:footer="0" w:header="0"/>
          <w:type w:val="continuous"/>
        </w:sectPr>
      </w:pPr>
    </w:p>
    <w:p>
      <w:pPr>
        <w:ind w:left="2400" w:right="340"/>
        <w:spacing w:after="0" w:line="255" w:lineRule="auto"/>
        <w:rPr>
          <w:sz w:val="20"/>
          <w:szCs w:val="20"/>
          <w:color w:val="auto"/>
        </w:rPr>
      </w:pPr>
      <w:r>
        <w:rPr>
          <w:rFonts w:ascii="Arial" w:cs="Arial" w:eastAsia="Arial" w:hAnsi="Arial"/>
          <w:sz w:val="15"/>
          <w:szCs w:val="15"/>
          <w:color w:val="auto"/>
        </w:rPr>
        <w:t>Mr. Knowling brings to the Board extensive experience in executive management and leadership roles, including experience leading companies through periods of high growth and organizational turnaround. In addition, his service on a number of other public company boards of directors enables Mr. Knowling to share insights with the Board regarding 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6301105" cy="960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8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Claudio A. Mannarino</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President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Sette CS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54</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Audit and Compensation</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 xml:space="preserve">Director Since: </w:t>
            </w:r>
            <w:r>
              <w:rPr>
                <w:rFonts w:ascii="Arial" w:cs="Arial" w:eastAsia="Arial" w:hAnsi="Arial"/>
                <w:sz w:val="15"/>
                <w:szCs w:val="15"/>
                <w:color w:val="000000"/>
              </w:rPr>
              <w:t>2015</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78C"/>
        </w:rPr>
        <w:t>Sette CS Inc</w:t>
      </w:r>
    </w:p>
    <w:p>
      <w:pPr>
        <w:spacing w:after="0" w:line="86" w:lineRule="exact"/>
        <w:rPr>
          <w:sz w:val="20"/>
          <w:szCs w:val="20"/>
          <w:color w:val="auto"/>
        </w:rPr>
      </w:pPr>
    </w:p>
    <w:p>
      <w:pPr>
        <w:ind w:left="2520" w:right="64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President of Sette CS, a management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consulting firm, since 2016</w:t>
      </w:r>
    </w:p>
    <w:p>
      <w:pPr>
        <w:spacing w:after="0" w:line="65"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API Technologies Corp</w:t>
      </w:r>
    </w:p>
    <w:p>
      <w:pPr>
        <w:spacing w:after="0" w:line="73" w:lineRule="exact"/>
        <w:rPr>
          <w:sz w:val="20"/>
          <w:szCs w:val="20"/>
          <w:color w:val="auto"/>
        </w:rPr>
      </w:pPr>
    </w:p>
    <w:p>
      <w:pPr>
        <w:ind w:left="2520" w:right="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Senior Vice President and Chief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Financial Officer from June 2014 to November 2015</w:t>
      </w:r>
    </w:p>
    <w:p>
      <w:pPr>
        <w:spacing w:after="0" w:line="54" w:lineRule="exact"/>
        <w:rPr>
          <w:sz w:val="20"/>
          <w:szCs w:val="20"/>
          <w:color w:val="auto"/>
        </w:rPr>
      </w:pPr>
    </w:p>
    <w:p>
      <w:pPr>
        <w:ind w:left="252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He also served as API’s Senior Vice President,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Finance from January 2010 to June 2014 and as its Chief Financial Officer and Vice President of Finance from November 2006 to January 2010</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20" w:right="4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He served in various, senior-level management roles</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throughout API’s finance organization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Transcontinental, Inc</w:t>
      </w:r>
    </w:p>
    <w:p>
      <w:pPr>
        <w:spacing w:after="0" w:line="102" w:lineRule="exact"/>
        <w:rPr>
          <w:sz w:val="20"/>
          <w:szCs w:val="20"/>
          <w:color w:val="auto"/>
        </w:rPr>
      </w:pPr>
    </w:p>
    <w:p>
      <w:pPr>
        <w:ind w:left="120" w:hanging="116"/>
        <w:spacing w:after="0"/>
        <w:tabs>
          <w:tab w:leader="none" w:pos="120" w:val="left"/>
        </w:tabs>
        <w:numPr>
          <w:ilvl w:val="0"/>
          <w:numId w:val="30"/>
        </w:numPr>
        <w:rPr>
          <w:rFonts w:ascii="Times New Roman" w:cs="Times New Roman" w:eastAsia="Times New Roman" w:hAnsi="Times New Roman"/>
          <w:sz w:val="17"/>
          <w:szCs w:val="17"/>
          <w:color w:val="3C578C"/>
        </w:rPr>
      </w:pPr>
      <w:r>
        <w:rPr>
          <w:rFonts w:ascii="Arial" w:cs="Arial" w:eastAsia="Arial" w:hAnsi="Arial"/>
          <w:sz w:val="15"/>
          <w:szCs w:val="15"/>
          <w:color w:val="auto"/>
        </w:rPr>
        <w:t>Served as Controller for two divisions</w:t>
      </w:r>
    </w:p>
    <w:p>
      <w:pPr>
        <w:spacing w:after="0" w:line="75" w:lineRule="exact"/>
        <w:rPr>
          <w:rFonts w:ascii="Times New Roman" w:cs="Times New Roman" w:eastAsia="Times New Roman" w:hAnsi="Times New Roman"/>
          <w:sz w:val="17"/>
          <w:szCs w:val="17"/>
          <w:color w:val="3C578C"/>
        </w:rPr>
      </w:pPr>
    </w:p>
    <w:p>
      <w:pPr>
        <w:ind w:left="120" w:right="46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A Canadian publicly traded company on the Toronto</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Stock Exchange</w:t>
      </w:r>
    </w:p>
    <w:p>
      <w:pPr>
        <w:spacing w:after="0" w:line="1147" w:lineRule="exact"/>
        <w:rPr>
          <w:sz w:val="20"/>
          <w:szCs w:val="20"/>
          <w:color w:val="auto"/>
        </w:rPr>
      </w:pPr>
    </w:p>
    <w:p>
      <w:pPr>
        <w:sectPr>
          <w:pgSz w:w="11900" w:h="16838" w:orient="portrait"/>
          <w:cols w:equalWidth="0" w:num="2">
            <w:col w:w="5680" w:space="220"/>
            <w:col w:w="4020"/>
          </w:cols>
          <w:pgMar w:left="980" w:top="485" w:right="999" w:bottom="1440" w:gutter="0" w:footer="0" w:header="0"/>
          <w:type w:val="continuous"/>
        </w:sectPr>
      </w:pPr>
    </w:p>
    <w:p>
      <w:pPr>
        <w:spacing w:after="0" w:line="55" w:lineRule="exact"/>
        <w:rPr>
          <w:sz w:val="20"/>
          <w:szCs w:val="20"/>
          <w:color w:val="auto"/>
        </w:rPr>
      </w:pPr>
    </w:p>
    <w:p>
      <w:pPr>
        <w:ind w:left="2400" w:right="340"/>
        <w:spacing w:after="0" w:line="278" w:lineRule="auto"/>
        <w:rPr>
          <w:sz w:val="20"/>
          <w:szCs w:val="20"/>
          <w:color w:val="auto"/>
        </w:rPr>
      </w:pPr>
      <w:r>
        <w:rPr>
          <w:rFonts w:ascii="Arial" w:cs="Arial" w:eastAsia="Arial" w:hAnsi="Arial"/>
          <w:sz w:val="15"/>
          <w:szCs w:val="15"/>
          <w:color w:val="auto"/>
        </w:rPr>
        <w:t>Mr. Mannarino brings over 25 years of financial, strategic and merger and acquisition expertise to our Board, which assists us as we expand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333375</wp:posOffset>
            </wp:positionV>
            <wp:extent cx="483870" cy="222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00" w:type="dxa"/>
            <w:vAlign w:val="bottom"/>
          </w:tcPr>
          <w:p>
            <w:pPr>
              <w:ind w:left="7900"/>
              <w:spacing w:after="0"/>
              <w:rPr>
                <w:sz w:val="20"/>
                <w:szCs w:val="20"/>
                <w:color w:val="auto"/>
              </w:rPr>
            </w:pPr>
            <w:r>
              <w:rPr>
                <w:rFonts w:ascii="Arial" w:cs="Arial" w:eastAsia="Arial" w:hAnsi="Arial"/>
                <w:sz w:val="17"/>
                <w:szCs w:val="17"/>
                <w:color w:val="7F7F7F"/>
              </w:rPr>
              <w:t>2025 Proxy Statement</w:t>
            </w:r>
          </w:p>
        </w:tc>
        <w:tc>
          <w:tcPr>
            <w:tcW w:w="220" w:type="dxa"/>
            <w:vAlign w:val="bottom"/>
          </w:tcPr>
          <w:p>
            <w:pPr>
              <w:jc w:val="right"/>
              <w:spacing w:after="0"/>
              <w:rPr>
                <w:sz w:val="20"/>
                <w:szCs w:val="20"/>
                <w:color w:val="auto"/>
              </w:rPr>
            </w:pPr>
            <w:r>
              <w:rPr>
                <w:rFonts w:ascii="Arial" w:cs="Arial" w:eastAsia="Arial" w:hAnsi="Arial"/>
                <w:sz w:val="17"/>
                <w:szCs w:val="17"/>
                <w:color w:val="7F7F7F"/>
              </w:rPr>
              <w:t>5</w:t>
            </w:r>
          </w:p>
        </w:tc>
      </w:tr>
      <w:tr>
        <w:trPr>
          <w:trHeight w:val="590"/>
        </w:trPr>
        <w:tc>
          <w:tcPr>
            <w:tcW w:w="9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960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Munish Nanda</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Former President, Americas &amp; Europe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Watts Water Technologies,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60</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Audit and Nominations and Governance</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 xml:space="preserve">Director Since: </w:t>
            </w:r>
            <w:r>
              <w:rPr>
                <w:rFonts w:ascii="Arial" w:cs="Arial" w:eastAsia="Arial" w:hAnsi="Arial"/>
                <w:sz w:val="15"/>
                <w:szCs w:val="15"/>
                <w:color w:val="000000"/>
              </w:rPr>
              <w:t>2018</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Americas &amp; Europe of Watts Water</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Technologies, Inc</w:t>
      </w:r>
    </w:p>
    <w:p>
      <w:pPr>
        <w:spacing w:after="0" w:line="84" w:lineRule="exact"/>
        <w:rPr>
          <w:sz w:val="20"/>
          <w:szCs w:val="20"/>
          <w:color w:val="auto"/>
        </w:rPr>
      </w:pPr>
    </w:p>
    <w:p>
      <w:pPr>
        <w:ind w:left="252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of Americas &amp; Europe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Watts Water, a global manufacturer of plumbing, heating, and water quality products, from 2015 to 2023</w:t>
      </w:r>
    </w:p>
    <w:p>
      <w:pPr>
        <w:spacing w:after="0" w:line="71"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3C578C"/>
        </w:rPr>
        <w:t>ITT Corporation</w:t>
      </w:r>
    </w:p>
    <w:p>
      <w:pPr>
        <w:spacing w:after="0" w:line="97" w:lineRule="exact"/>
        <w:rPr>
          <w:sz w:val="20"/>
          <w:szCs w:val="20"/>
          <w:color w:val="auto"/>
        </w:rPr>
      </w:pPr>
    </w:p>
    <w:p>
      <w:pPr>
        <w:ind w:left="2520" w:right="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of Control Technologies for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ITT Corporation from April 2011 to March 2015</w:t>
      </w:r>
    </w:p>
    <w:p>
      <w:pPr>
        <w:spacing w:after="0" w:line="73" w:lineRule="exact"/>
        <w:rPr>
          <w:sz w:val="20"/>
          <w:szCs w:val="20"/>
          <w:color w:val="auto"/>
        </w:rPr>
      </w:pPr>
    </w:p>
    <w:p>
      <w:pPr>
        <w:ind w:left="2520" w:right="1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Group Vice President of ITT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Corporation’s Fluid and Motion Control Group from April 2008 to April 2011</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b w:val="1"/>
          <w:bCs w:val="1"/>
          <w:color w:val="3C578C"/>
        </w:rPr>
        <w:t>Thermo Fisher Scientific Corporation and Honeywell International Inc</w:t>
      </w:r>
    </w:p>
    <w:p>
      <w:pPr>
        <w:spacing w:after="0" w:line="30" w:lineRule="exact"/>
        <w:rPr>
          <w:sz w:val="20"/>
          <w:szCs w:val="20"/>
          <w:color w:val="auto"/>
        </w:rPr>
      </w:pPr>
    </w:p>
    <w:p>
      <w:pPr>
        <w:ind w:left="120" w:right="32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Earlier in his career, Mr. Nanda held several operating</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leadership and general management positions with Thermo Fisher Scientific Corporation, Honeywell International Inc. and W.L. Gore &amp; Associates.</w:t>
      </w:r>
    </w:p>
    <w:p>
      <w:pPr>
        <w:spacing w:after="0" w:line="1432" w:lineRule="exact"/>
        <w:rPr>
          <w:sz w:val="20"/>
          <w:szCs w:val="20"/>
          <w:color w:val="auto"/>
        </w:rPr>
      </w:pPr>
    </w:p>
    <w:p>
      <w:pPr>
        <w:sectPr>
          <w:pgSz w:w="11900" w:h="16838" w:orient="portrait"/>
          <w:cols w:equalWidth="0" w:num="2">
            <w:col w:w="5720" w:space="180"/>
            <w:col w:w="4020"/>
          </w:cols>
          <w:pgMar w:left="980" w:top="485" w:right="999" w:bottom="1440" w:gutter="0" w:footer="0" w:header="0"/>
          <w:type w:val="continuous"/>
        </w:sectPr>
      </w:pPr>
    </w:p>
    <w:p>
      <w:pPr>
        <w:ind w:left="2400" w:right="120"/>
        <w:spacing w:after="0" w:line="255" w:lineRule="auto"/>
        <w:rPr>
          <w:sz w:val="20"/>
          <w:szCs w:val="20"/>
          <w:color w:val="auto"/>
        </w:rPr>
      </w:pPr>
      <w:r>
        <w:rPr>
          <w:rFonts w:ascii="Arial" w:cs="Arial" w:eastAsia="Arial" w:hAnsi="Arial"/>
          <w:sz w:val="15"/>
          <w:szCs w:val="15"/>
          <w:color w:val="auto"/>
        </w:rPr>
        <w:t>Mr. Nanda brings over 25 years of experience working in senior operational management roles for global industrial manufacturers, which assists us as we continue to grow and streamline our business. Mr. Nanda also brings extensive experience in the fluid handling, energy, and other niche manufacturing industries including medical electronics, defense and 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6301105" cy="960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21"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Valerie Gentile Sachs</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Former Vice President, General Counsel and Corporate Secretary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OM Group,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69</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Compensation and Nominations and Governance (Chair)</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 xml:space="preserve">Director Since: </w:t>
            </w:r>
            <w:r>
              <w:rPr>
                <w:rFonts w:ascii="Arial" w:cs="Arial" w:eastAsia="Arial" w:hAnsi="Arial"/>
                <w:sz w:val="15"/>
                <w:szCs w:val="15"/>
                <w:color w:val="000000"/>
              </w:rPr>
              <w:t>2016</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NACCO Industries, Inc.</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tabs>
          <w:tab w:leader="none" w:pos="5880" w:val="left"/>
        </w:tabs>
        <w:rPr>
          <w:sz w:val="20"/>
          <w:szCs w:val="20"/>
          <w:color w:val="auto"/>
        </w:rPr>
      </w:pPr>
      <w:r>
        <w:rPr>
          <w:rFonts w:ascii="Arial" w:cs="Arial" w:eastAsia="Arial" w:hAnsi="Arial"/>
          <w:sz w:val="15"/>
          <w:szCs w:val="15"/>
          <w:b w:val="1"/>
          <w:bCs w:val="1"/>
          <w:color w:val="3C578C"/>
        </w:rPr>
        <w:t>OM Group, Inc</w:t>
      </w:r>
      <w:r>
        <w:rPr>
          <w:sz w:val="20"/>
          <w:szCs w:val="20"/>
          <w:color w:val="auto"/>
        </w:rPr>
        <w:tab/>
      </w:r>
      <w:r>
        <w:rPr>
          <w:rFonts w:ascii="Arial" w:cs="Arial" w:eastAsia="Arial" w:hAnsi="Arial"/>
          <w:sz w:val="15"/>
          <w:szCs w:val="15"/>
          <w:b w:val="1"/>
          <w:bCs w:val="1"/>
          <w:color w:val="3C578C"/>
        </w:rPr>
        <w:t>Marconi plc</w:t>
      </w:r>
    </w:p>
    <w:p>
      <w:pPr>
        <w:spacing w:after="0" w:line="98" w:lineRule="exact"/>
        <w:rPr>
          <w:sz w:val="20"/>
          <w:szCs w:val="20"/>
          <w:color w:val="auto"/>
        </w:rPr>
      </w:pPr>
    </w:p>
    <w:p>
      <w:pPr>
        <w:ind w:left="2400"/>
        <w:spacing w:after="0"/>
        <w:tabs>
          <w:tab w:leader="none" w:pos="5880" w:val="left"/>
        </w:tabs>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Vice President, General Counsel</w:t>
      </w:r>
      <w:r>
        <w:rPr>
          <w:rFonts w:ascii="Times New Roman" w:cs="Times New Roman" w:eastAsia="Times New Roman" w:hAnsi="Times New Roman"/>
          <w:sz w:val="17"/>
          <w:szCs w:val="17"/>
          <w:color w:val="3C578C"/>
        </w:rPr>
        <w:tab/>
        <w:t>●</w:t>
      </w:r>
      <w:r>
        <w:rPr>
          <w:rFonts w:ascii="Arial" w:cs="Arial" w:eastAsia="Arial" w:hAnsi="Arial"/>
          <w:sz w:val="14"/>
          <w:szCs w:val="14"/>
          <w:color w:val="000000"/>
        </w:rPr>
        <w:t>Served as General Counsel</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and Corporate Secretary</w:t>
      </w:r>
    </w:p>
    <w:p>
      <w:pPr>
        <w:spacing w:after="0" w:line="8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She also served on the boards of directors and</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acted as Managing Director of numerous U.S.</w:t>
      </w:r>
    </w:p>
    <w:p>
      <w:pPr>
        <w:spacing w:after="0" w:line="2"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and non-U.S. entities affiliated with OM Group</w:t>
      </w:r>
    </w:p>
    <w:p>
      <w:pPr>
        <w:spacing w:after="0" w:line="101" w:lineRule="exact"/>
        <w:rPr>
          <w:sz w:val="20"/>
          <w:szCs w:val="20"/>
          <w:color w:val="auto"/>
        </w:rPr>
      </w:pPr>
    </w:p>
    <w:p>
      <w:pPr>
        <w:ind w:left="2400" w:right="100"/>
        <w:spacing w:after="0" w:line="250" w:lineRule="auto"/>
        <w:rPr>
          <w:sz w:val="20"/>
          <w:szCs w:val="20"/>
          <w:color w:val="auto"/>
        </w:rPr>
      </w:pPr>
      <w:r>
        <w:rPr>
          <w:rFonts w:ascii="Arial" w:cs="Arial" w:eastAsia="Arial" w:hAnsi="Arial"/>
          <w:sz w:val="15"/>
          <w:szCs w:val="15"/>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former General Counsel of three public companies, she has developed expertise in the areas of governance, compliance, and executive compensation, which provides strong support and additional depth to our Board and to the committees on which she serves.</w:t>
      </w:r>
    </w:p>
    <w:p>
      <w:pPr>
        <w:spacing w:after="0" w:line="36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6</w:t>
      </w:r>
      <w:r>
        <w:rPr>
          <w:sz w:val="20"/>
          <w:szCs w:val="20"/>
          <w:color w:val="auto"/>
        </w:rPr>
        <w:tab/>
      </w:r>
      <w:r>
        <w:rPr>
          <w:sz w:val="1"/>
          <w:szCs w:val="1"/>
          <w:color w:val="auto"/>
        </w:rPr>
        <w:drawing>
          <wp:inline distT="0" distB="0" distL="0" distR="0">
            <wp:extent cx="476250" cy="2222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1039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1105" cy="10394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Laurie A. Siegel</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President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LAS Advisory Services</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69</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Compensation (Chair)</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 xml:space="preserve">Director Since: </w:t>
            </w:r>
            <w:r>
              <w:rPr>
                <w:rFonts w:ascii="Arial" w:cs="Arial" w:eastAsia="Arial" w:hAnsi="Arial"/>
                <w:sz w:val="15"/>
                <w:szCs w:val="15"/>
                <w:color w:val="000000"/>
              </w:rPr>
              <w:t>2023</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Lumen Technologies and Factset Research Systems, Inc.</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LAS Advisory Services</w:t>
      </w:r>
    </w:p>
    <w:p>
      <w:pPr>
        <w:spacing w:after="0" w:line="115" w:lineRule="exact"/>
        <w:rPr>
          <w:sz w:val="20"/>
          <w:szCs w:val="20"/>
          <w:color w:val="auto"/>
        </w:rPr>
      </w:pPr>
    </w:p>
    <w:p>
      <w:pPr>
        <w:ind w:left="2520" w:hanging="116"/>
        <w:spacing w:after="0"/>
        <w:tabs>
          <w:tab w:leader="none" w:pos="2520" w:val="left"/>
        </w:tabs>
        <w:numPr>
          <w:ilvl w:val="0"/>
          <w:numId w:val="34"/>
        </w:numPr>
        <w:rPr>
          <w:rFonts w:ascii="Times New Roman" w:cs="Times New Roman" w:eastAsia="Times New Roman" w:hAnsi="Times New Roman"/>
          <w:sz w:val="17"/>
          <w:szCs w:val="17"/>
          <w:color w:val="3C578C"/>
        </w:rPr>
      </w:pPr>
      <w:r>
        <w:rPr>
          <w:rFonts w:ascii="Arial" w:cs="Arial" w:eastAsia="Arial" w:hAnsi="Arial"/>
          <w:sz w:val="15"/>
          <w:szCs w:val="15"/>
          <w:color w:val="auto"/>
        </w:rPr>
        <w:t>Serves as the President since 2012</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Tyco International Ltd.</w:t>
      </w:r>
    </w:p>
    <w:p>
      <w:pPr>
        <w:spacing w:after="0" w:line="98" w:lineRule="exact"/>
        <w:rPr>
          <w:sz w:val="20"/>
          <w:szCs w:val="20"/>
          <w:color w:val="auto"/>
        </w:rPr>
      </w:pPr>
    </w:p>
    <w:p>
      <w:pPr>
        <w:ind w:left="2520" w:right="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Senior Vice President of Human</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Resources and Internal Communications from 2003 to 2012</w:t>
      </w:r>
    </w:p>
    <w:p>
      <w:pPr>
        <w:spacing w:after="0" w:line="71"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Honeywell International, Inc.</w:t>
      </w:r>
    </w:p>
    <w:p>
      <w:pPr>
        <w:spacing w:after="0" w:line="9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Vice President of Human Resources</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 Specialty Materials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20" w:hanging="113"/>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 California</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Resources Corporation and Volt Information Sciences, Inc.</w:t>
      </w:r>
    </w:p>
    <w:p>
      <w:pPr>
        <w:spacing w:after="0" w:line="1850" w:lineRule="exact"/>
        <w:rPr>
          <w:sz w:val="20"/>
          <w:szCs w:val="20"/>
          <w:color w:val="auto"/>
        </w:rPr>
      </w:pPr>
    </w:p>
    <w:p>
      <w:pPr>
        <w:sectPr>
          <w:pgSz w:w="11900" w:h="16838" w:orient="portrait"/>
          <w:cols w:equalWidth="0" w:num="2">
            <w:col w:w="5640" w:space="380"/>
            <w:col w:w="3900"/>
          </w:cols>
          <w:pgMar w:left="980" w:top="485" w:right="999" w:bottom="1440" w:gutter="0" w:footer="0" w:header="0"/>
          <w:type w:val="continuous"/>
        </w:sectPr>
      </w:pPr>
    </w:p>
    <w:p>
      <w:pPr>
        <w:ind w:left="2400" w:right="320"/>
        <w:spacing w:after="0" w:line="278" w:lineRule="auto"/>
        <w:rPr>
          <w:sz w:val="20"/>
          <w:szCs w:val="20"/>
          <w:color w:val="auto"/>
        </w:rPr>
      </w:pPr>
      <w:r>
        <w:rPr>
          <w:rFonts w:ascii="Arial" w:cs="Arial" w:eastAsia="Arial" w:hAnsi="Arial"/>
          <w:sz w:val="15"/>
          <w:szCs w:val="15"/>
          <w:color w:val="auto"/>
        </w:rPr>
        <w:t>Ms. Siegel brings to CECO’s Board substantial experience as a human resources executive with large global enterprises as well as substantial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6301105" cy="960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304"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Richard F. Wallman</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Retired Senior Vice President and Chief Financial Officer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Honeywell International,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3C578C"/>
              </w:rPr>
              <w:t xml:space="preserve">Age </w:t>
            </w:r>
            <w:r>
              <w:rPr>
                <w:rFonts w:ascii="Arial" w:cs="Arial" w:eastAsia="Arial" w:hAnsi="Arial"/>
                <w:sz w:val="15"/>
                <w:szCs w:val="15"/>
                <w:color w:val="000000"/>
              </w:rPr>
              <w:t>74</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3C578C"/>
              </w:rPr>
              <w:t xml:space="preserve">Board Committees: </w:t>
            </w:r>
            <w:r>
              <w:rPr>
                <w:rFonts w:ascii="Arial" w:cs="Arial" w:eastAsia="Arial" w:hAnsi="Arial"/>
                <w:sz w:val="15"/>
                <w:szCs w:val="15"/>
                <w:color w:val="000000"/>
              </w:rPr>
              <w:t>Audit (Chair) and Mergers and Acquisitions</w:t>
            </w:r>
          </w:p>
        </w:tc>
      </w:tr>
      <w:tr>
        <w:trPr>
          <w:trHeight w:val="175"/>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3C578C"/>
              </w:rPr>
              <w:t xml:space="preserve">Director Since: </w:t>
            </w:r>
            <w:r>
              <w:rPr>
                <w:rFonts w:ascii="Arial" w:cs="Arial" w:eastAsia="Arial" w:hAnsi="Arial"/>
                <w:sz w:val="15"/>
                <w:szCs w:val="15"/>
                <w:color w:val="000000"/>
              </w:rPr>
              <w:t>2021</w:t>
            </w:r>
          </w:p>
        </w:tc>
        <w:tc>
          <w:tcPr>
            <w:tcW w:w="5700" w:type="dxa"/>
            <w:vAlign w:val="bottom"/>
          </w:tcPr>
          <w:p>
            <w:pPr>
              <w:ind w:left="80"/>
              <w:spacing w:after="0"/>
              <w:rPr>
                <w:sz w:val="20"/>
                <w:szCs w:val="20"/>
                <w:color w:val="auto"/>
              </w:rPr>
            </w:pPr>
            <w:r>
              <w:rPr>
                <w:rFonts w:ascii="Arial" w:cs="Arial" w:eastAsia="Arial" w:hAnsi="Arial"/>
                <w:sz w:val="15"/>
                <w:szCs w:val="15"/>
                <w:color w:val="3C578C"/>
              </w:rPr>
              <w:t xml:space="preserve">Other Directorships: </w:t>
            </w:r>
            <w:r>
              <w:rPr>
                <w:rFonts w:ascii="Arial" w:cs="Arial" w:eastAsia="Arial" w:hAnsi="Arial"/>
                <w:sz w:val="15"/>
                <w:szCs w:val="15"/>
                <w:color w:val="000000"/>
              </w:rPr>
              <w:t>Charles River Laboratories International, Inc. and Roper</w:t>
            </w:r>
          </w:p>
        </w:tc>
      </w:tr>
      <w:tr>
        <w:trPr>
          <w:trHeight w:val="198"/>
        </w:trPr>
        <w:tc>
          <w:tcPr>
            <w:tcW w:w="1900" w:type="dxa"/>
            <w:vAlign w:val="bottom"/>
            <w:tcBorders>
              <w:right w:val="single" w:sz="8" w:color="CDCECD"/>
            </w:tcBorders>
          </w:tcPr>
          <w:p>
            <w:pPr>
              <w:spacing w:after="0"/>
              <w:rPr>
                <w:sz w:val="17"/>
                <w:szCs w:val="17"/>
                <w:color w:val="auto"/>
              </w:rPr>
            </w:pPr>
          </w:p>
        </w:tc>
        <w:tc>
          <w:tcPr>
            <w:tcW w:w="5700" w:type="dxa"/>
            <w:vAlign w:val="bottom"/>
          </w:tcPr>
          <w:p>
            <w:pPr>
              <w:ind w:left="80"/>
              <w:spacing w:after="0"/>
              <w:rPr>
                <w:sz w:val="20"/>
                <w:szCs w:val="20"/>
                <w:color w:val="auto"/>
              </w:rPr>
            </w:pPr>
            <w:r>
              <w:rPr>
                <w:rFonts w:ascii="Arial" w:cs="Arial" w:eastAsia="Arial" w:hAnsi="Arial"/>
                <w:sz w:val="15"/>
                <w:szCs w:val="15"/>
                <w:color w:val="auto"/>
              </w:rPr>
              <w:t>Technologies, Inc.</w:t>
            </w:r>
          </w:p>
        </w:tc>
      </w:tr>
      <w:tr>
        <w:trPr>
          <w:trHeight w:val="77"/>
        </w:trPr>
        <w:tc>
          <w:tcPr>
            <w:tcW w:w="1900" w:type="dxa"/>
            <w:vAlign w:val="bottom"/>
            <w:tcBorders>
              <w:bottom w:val="single" w:sz="8" w:color="CDCECD"/>
              <w:right w:val="single" w:sz="8" w:color="CDCECD"/>
            </w:tcBorders>
          </w:tcPr>
          <w:p>
            <w:pPr>
              <w:spacing w:after="0"/>
              <w:rPr>
                <w:sz w:val="6"/>
                <w:szCs w:val="6"/>
                <w:color w:val="auto"/>
              </w:rPr>
            </w:pPr>
          </w:p>
        </w:tc>
        <w:tc>
          <w:tcPr>
            <w:tcW w:w="5700" w:type="dxa"/>
            <w:vAlign w:val="bottom"/>
            <w:tcBorders>
              <w:bottom w:val="single" w:sz="8" w:color="CDCECD"/>
            </w:tcBorders>
          </w:tcPr>
          <w:p>
            <w:pPr>
              <w:spacing w:after="0"/>
              <w:rPr>
                <w:sz w:val="6"/>
                <w:szCs w:val="6"/>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Honeywell International, Inc.</w:t>
      </w:r>
    </w:p>
    <w:p>
      <w:pPr>
        <w:spacing w:after="0" w:line="98"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Senior Vice President and Chief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Financial Officer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4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 Spirit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Airlines, Inc., SmileDirectClub, Extended Stay America, Inc. and Wright Medical, Inc. all publicly traded companies in the United States and Boart Longyear, a publicly traded company in Australia</w:t>
      </w:r>
    </w:p>
    <w:p>
      <w:pPr>
        <w:spacing w:after="0" w:line="108" w:lineRule="exact"/>
        <w:rPr>
          <w:sz w:val="20"/>
          <w:szCs w:val="20"/>
          <w:color w:val="auto"/>
        </w:rPr>
      </w:pPr>
    </w:p>
    <w:p>
      <w:pPr>
        <w:sectPr>
          <w:pgSz w:w="11900" w:h="16838" w:orient="portrait"/>
          <w:cols w:equalWidth="0" w:num="2">
            <w:col w:w="5360" w:space="660"/>
            <w:col w:w="3900"/>
          </w:cols>
          <w:pgMar w:left="980" w:top="485" w:right="999" w:bottom="1440" w:gutter="0" w:footer="0" w:header="0"/>
          <w:type w:val="continuous"/>
        </w:sectPr>
      </w:pPr>
    </w:p>
    <w:p>
      <w:pPr>
        <w:ind w:left="2400" w:right="320"/>
        <w:spacing w:after="0" w:line="261" w:lineRule="auto"/>
        <w:rPr>
          <w:sz w:val="20"/>
          <w:szCs w:val="20"/>
          <w:color w:val="auto"/>
        </w:rPr>
      </w:pPr>
      <w:r>
        <w:rPr>
          <w:rFonts w:ascii="Arial" w:cs="Arial" w:eastAsia="Arial" w:hAnsi="Arial"/>
          <w:sz w:val="15"/>
          <w:szCs w:val="15"/>
          <w:color w:val="auto"/>
        </w:rPr>
        <w:t>Mr. Wallman brings more than 30 years of executive leadership and management experience across a broad range of global businesses and industries and has a deep understanding of the global challenges and opportunities we will continue to face as we grow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179"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In order to be elected, a nominee must receive the affirmative vote of a majority of the shares represented at the Annual Meeting in person or by proxy.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Board recommends a vote “FOR” the election of each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370840</wp:posOffset>
            </wp:positionV>
            <wp:extent cx="483870" cy="222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00" w:type="dxa"/>
            <w:vAlign w:val="bottom"/>
          </w:tcPr>
          <w:p>
            <w:pPr>
              <w:ind w:left="7900"/>
              <w:spacing w:after="0"/>
              <w:rPr>
                <w:sz w:val="20"/>
                <w:szCs w:val="20"/>
                <w:color w:val="auto"/>
              </w:rPr>
            </w:pPr>
            <w:r>
              <w:rPr>
                <w:rFonts w:ascii="Arial" w:cs="Arial" w:eastAsia="Arial" w:hAnsi="Arial"/>
                <w:sz w:val="17"/>
                <w:szCs w:val="17"/>
                <w:color w:val="7F7F7F"/>
              </w:rPr>
              <w:t>2025 Proxy Statement</w:t>
            </w:r>
          </w:p>
        </w:tc>
        <w:tc>
          <w:tcPr>
            <w:tcW w:w="220" w:type="dxa"/>
            <w:vAlign w:val="bottom"/>
          </w:tcPr>
          <w:p>
            <w:pPr>
              <w:jc w:val="right"/>
              <w:spacing w:after="0"/>
              <w:rPr>
                <w:sz w:val="20"/>
                <w:szCs w:val="20"/>
                <w:color w:val="auto"/>
              </w:rPr>
            </w:pPr>
            <w:r>
              <w:rPr>
                <w:rFonts w:ascii="Arial" w:cs="Arial" w:eastAsia="Arial" w:hAnsi="Arial"/>
                <w:sz w:val="17"/>
                <w:szCs w:val="17"/>
                <w:color w:val="7F7F7F"/>
              </w:rPr>
              <w:t>7</w:t>
            </w:r>
          </w:p>
        </w:tc>
      </w:tr>
      <w:tr>
        <w:trPr>
          <w:trHeight w:val="590"/>
        </w:trPr>
        <w:tc>
          <w:tcPr>
            <w:tcW w:w="9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Our Board and Its Committees</w:t>
      </w:r>
    </w:p>
    <w:p>
      <w:pPr>
        <w:spacing w:after="0" w:line="92"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Our Board has four standing committees: the Audit Committee, the Compensation Committee, the Mergers &amp; Acquisitions Committee, and the Nominations and Governance Committee. Each of these committees operates under a written charter, which can be found on our website www.cecoenviro.com in the Investor Relations, Governance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Director Independence</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All of our directors, other than Mr. Gleason,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6301105" cy="2372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1105" cy="237299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has determined that Mr. Wallman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w:t>
      </w:r>
    </w:p>
    <w:p>
      <w:pPr>
        <w:spacing w:after="0" w:line="6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primary purpose of our Audit Committee is to assist our Board in its general oversight of the integrity of our Company’s financial statements and of our Company’s compliance with legal and regulatory requirements.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54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540" w:type="dxa"/>
            <w:vAlign w:val="bottom"/>
          </w:tcPr>
          <w:p>
            <w:pPr>
              <w:jc w:val="right"/>
              <w:ind w:right="285"/>
              <w:spacing w:after="0"/>
              <w:rPr>
                <w:sz w:val="20"/>
                <w:szCs w:val="20"/>
                <w:color w:val="auto"/>
              </w:rPr>
            </w:pPr>
            <w:r>
              <w:rPr>
                <w:rFonts w:ascii="Arial" w:cs="Arial" w:eastAsia="Arial" w:hAnsi="Arial"/>
                <w:sz w:val="15"/>
                <w:szCs w:val="15"/>
                <w:b w:val="1"/>
                <w:bCs w:val="1"/>
                <w:color w:val="A1B657"/>
              </w:rPr>
              <w:t>7</w:t>
            </w:r>
          </w:p>
        </w:tc>
      </w:tr>
      <w:tr>
        <w:trPr>
          <w:trHeight w:val="175"/>
        </w:trPr>
        <w:tc>
          <w:tcPr>
            <w:tcW w:w="2540" w:type="dxa"/>
            <w:vAlign w:val="bottom"/>
          </w:tcPr>
          <w:p>
            <w:pPr>
              <w:spacing w:after="0"/>
              <w:rPr>
                <w:sz w:val="20"/>
                <w:szCs w:val="20"/>
                <w:color w:val="auto"/>
              </w:rPr>
            </w:pPr>
            <w:r>
              <w:rPr>
                <w:rFonts w:ascii="Arial" w:cs="Arial" w:eastAsia="Arial" w:hAnsi="Arial"/>
                <w:sz w:val="15"/>
                <w:szCs w:val="15"/>
                <w:b w:val="1"/>
                <w:bCs w:val="1"/>
                <w:color w:val="auto"/>
              </w:rPr>
              <w:t>Richard F. Wallman, Chair</w:t>
            </w:r>
          </w:p>
        </w:tc>
        <w:tc>
          <w:tcPr>
            <w:tcW w:w="1540" w:type="dxa"/>
            <w:vAlign w:val="bottom"/>
          </w:tcPr>
          <w:p>
            <w:pPr>
              <w:ind w:left="72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540" w:type="dxa"/>
            <w:vAlign w:val="bottom"/>
          </w:tcPr>
          <w:p>
            <w:pPr>
              <w:spacing w:after="0"/>
              <w:rPr>
                <w:sz w:val="20"/>
                <w:szCs w:val="20"/>
                <w:color w:val="auto"/>
              </w:rPr>
            </w:pPr>
            <w:r>
              <w:rPr>
                <w:rFonts w:ascii="Arial" w:cs="Arial" w:eastAsia="Arial" w:hAnsi="Arial"/>
                <w:sz w:val="15"/>
                <w:szCs w:val="15"/>
                <w:color w:val="auto"/>
              </w:rPr>
              <w:t>Claudio Mannarino</w:t>
            </w:r>
          </w:p>
        </w:tc>
        <w:tc>
          <w:tcPr>
            <w:tcW w:w="154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2024</w:t>
            </w:r>
          </w:p>
        </w:tc>
      </w:tr>
      <w:tr>
        <w:trPr>
          <w:trHeight w:val="198"/>
        </w:trPr>
        <w:tc>
          <w:tcPr>
            <w:tcW w:w="2540" w:type="dxa"/>
            <w:vAlign w:val="bottom"/>
          </w:tcPr>
          <w:p>
            <w:pPr>
              <w:spacing w:after="0"/>
              <w:rPr>
                <w:sz w:val="20"/>
                <w:szCs w:val="20"/>
                <w:color w:val="auto"/>
              </w:rPr>
            </w:pPr>
            <w:r>
              <w:rPr>
                <w:rFonts w:ascii="Arial" w:cs="Arial" w:eastAsia="Arial" w:hAnsi="Arial"/>
                <w:sz w:val="15"/>
                <w:szCs w:val="15"/>
                <w:color w:val="auto"/>
              </w:rPr>
              <w:t>Munish Nanda</w:t>
            </w:r>
          </w:p>
        </w:tc>
        <w:tc>
          <w:tcPr>
            <w:tcW w:w="1540" w:type="dxa"/>
            <w:vAlign w:val="bottom"/>
          </w:tcPr>
          <w:p>
            <w:pPr>
              <w:spacing w:after="0"/>
              <w:rPr>
                <w:sz w:val="17"/>
                <w:szCs w:val="17"/>
                <w:color w:val="auto"/>
              </w:rPr>
            </w:pPr>
          </w:p>
        </w:tc>
      </w:tr>
    </w:tbl>
    <w:p>
      <w:pPr>
        <w:spacing w:after="0" w:line="123"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92" w:lineRule="exact"/>
        <w:rPr>
          <w:sz w:val="20"/>
          <w:szCs w:val="20"/>
          <w:color w:val="auto"/>
        </w:rPr>
      </w:pPr>
    </w:p>
    <w:p>
      <w:pPr>
        <w:ind w:left="11" w:right="240"/>
        <w:spacing w:after="0" w:line="258" w:lineRule="auto"/>
        <w:rPr>
          <w:sz w:val="20"/>
          <w:szCs w:val="20"/>
          <w:color w:val="auto"/>
        </w:rPr>
      </w:pPr>
      <w:r>
        <w:rPr>
          <w:rFonts w:ascii="Arial" w:cs="Arial" w:eastAsia="Arial" w:hAnsi="Arial"/>
          <w:sz w:val="17"/>
          <w:szCs w:val="17"/>
          <w:color w:val="auto"/>
        </w:rPr>
        <w:t>Our Audit Committee’s responsibilities include overseeing and reviewing:</w:t>
      </w:r>
    </w:p>
    <w:p>
      <w:pPr>
        <w:spacing w:after="0" w:line="55" w:lineRule="exact"/>
        <w:rPr>
          <w:sz w:val="20"/>
          <w:szCs w:val="20"/>
          <w:color w:val="auto"/>
        </w:rPr>
      </w:pPr>
    </w:p>
    <w:p>
      <w:pPr>
        <w:ind w:left="231" w:hanging="231"/>
        <w:spacing w:after="0"/>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the financial reports and other financial information;</w:t>
      </w:r>
    </w:p>
    <w:p>
      <w:pPr>
        <w:spacing w:after="0" w:line="103" w:lineRule="exact"/>
        <w:rPr>
          <w:rFonts w:ascii="Times New Roman" w:cs="Times New Roman" w:eastAsia="Times New Roman" w:hAnsi="Times New Roman"/>
          <w:sz w:val="17"/>
          <w:szCs w:val="17"/>
          <w:color w:val="3C578C"/>
        </w:rPr>
      </w:pPr>
    </w:p>
    <w:p>
      <w:pPr>
        <w:ind w:left="231" w:right="280" w:hanging="231"/>
        <w:spacing w:after="0" w:line="257" w:lineRule="auto"/>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our Company’s system of internal accounting and financial controls;</w:t>
      </w:r>
    </w:p>
    <w:p>
      <w:pPr>
        <w:spacing w:after="0" w:line="55"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the engagement of our independent auditor; and</w:t>
      </w:r>
    </w:p>
    <w:p>
      <w:pPr>
        <w:spacing w:after="0" w:line="103"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the annual independent audit of our financial statements.</w:t>
      </w:r>
    </w:p>
    <w:p>
      <w:pPr>
        <w:spacing w:after="0" w:line="104" w:lineRule="exact"/>
        <w:rPr>
          <w:sz w:val="20"/>
          <w:szCs w:val="20"/>
          <w:color w:val="auto"/>
        </w:rPr>
      </w:pPr>
    </w:p>
    <w:p>
      <w:pPr>
        <w:jc w:val="both"/>
        <w:ind w:left="11" w:right="80"/>
        <w:spacing w:after="0" w:line="267" w:lineRule="auto"/>
        <w:rPr>
          <w:sz w:val="20"/>
          <w:szCs w:val="20"/>
          <w:color w:val="auto"/>
        </w:rPr>
      </w:pPr>
      <w:r>
        <w:rPr>
          <w:rFonts w:ascii="Arial" w:cs="Arial" w:eastAsia="Arial" w:hAnsi="Arial"/>
          <w:sz w:val="16"/>
          <w:szCs w:val="16"/>
          <w:color w:val="auto"/>
        </w:rPr>
        <w:t>Our Audit Committee also reviews and approves the services of our independent registered public accounting firm and evaluates transactions where the potential for a conflict of interest exists.</w:t>
      </w:r>
    </w:p>
    <w:p>
      <w:pPr>
        <w:spacing w:after="0" w:line="200" w:lineRule="exact"/>
        <w:rPr>
          <w:sz w:val="20"/>
          <w:szCs w:val="20"/>
          <w:color w:val="auto"/>
        </w:rPr>
      </w:pPr>
    </w:p>
    <w:p>
      <w:pPr>
        <w:sectPr>
          <w:pgSz w:w="11900" w:h="16838" w:orient="portrait"/>
          <w:cols w:equalWidth="0" w:num="2">
            <w:col w:w="4960" w:space="129"/>
            <w:col w:w="4811"/>
          </w:cols>
          <w:pgMar w:left="980" w:top="485" w:right="1019" w:bottom="1440" w:gutter="0" w:footer="0" w:header="0"/>
          <w:type w:val="continuous"/>
        </w:sectPr>
      </w:pPr>
    </w:p>
    <w:p>
      <w:pPr>
        <w:spacing w:after="0" w:line="20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8</w:t>
      </w:r>
      <w:r>
        <w:rPr>
          <w:sz w:val="20"/>
          <w:szCs w:val="20"/>
          <w:color w:val="auto"/>
        </w:rPr>
        <w:tab/>
      </w:r>
      <w:r>
        <w:rPr>
          <w:sz w:val="1"/>
          <w:szCs w:val="1"/>
          <w:color w:val="auto"/>
        </w:rPr>
        <w:drawing>
          <wp:inline distT="0" distB="0" distL="0" distR="0">
            <wp:extent cx="476250" cy="2222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4476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1105" cy="447611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has determined that each member of our Compensation Committee is independent under the applicable NASDAQ listing requirements. Our Compensation Committee oversees our executive compensation programs, with particular attention to the compensation for our Chief Executive Officer (“CEO”) and the other executive officers subject to Section 16 of the Exchange Act. The Compensation Committee's primary purpose is to assist our Board in matters related to compensation of these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34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660" w:type="dxa"/>
            <w:vAlign w:val="bottom"/>
          </w:tcPr>
          <w:p>
            <w:pPr>
              <w:jc w:val="right"/>
              <w:ind w:right="285"/>
              <w:spacing w:after="0"/>
              <w:rPr>
                <w:sz w:val="20"/>
                <w:szCs w:val="20"/>
                <w:color w:val="auto"/>
              </w:rPr>
            </w:pPr>
            <w:r>
              <w:rPr>
                <w:rFonts w:ascii="Arial" w:cs="Arial" w:eastAsia="Arial" w:hAnsi="Arial"/>
                <w:sz w:val="15"/>
                <w:szCs w:val="15"/>
                <w:b w:val="1"/>
                <w:bCs w:val="1"/>
                <w:color w:val="A1B657"/>
              </w:rPr>
              <w:t>6</w:t>
            </w:r>
          </w:p>
        </w:tc>
      </w:tr>
      <w:tr>
        <w:trPr>
          <w:trHeight w:val="175"/>
        </w:trPr>
        <w:tc>
          <w:tcPr>
            <w:tcW w:w="2340" w:type="dxa"/>
            <w:vAlign w:val="bottom"/>
          </w:tcPr>
          <w:p>
            <w:pPr>
              <w:spacing w:after="0"/>
              <w:rPr>
                <w:sz w:val="20"/>
                <w:szCs w:val="20"/>
                <w:color w:val="auto"/>
              </w:rPr>
            </w:pPr>
            <w:r>
              <w:rPr>
                <w:rFonts w:ascii="Arial" w:cs="Arial" w:eastAsia="Arial" w:hAnsi="Arial"/>
                <w:sz w:val="15"/>
                <w:szCs w:val="15"/>
                <w:b w:val="1"/>
                <w:bCs w:val="1"/>
                <w:color w:val="auto"/>
              </w:rPr>
              <w:t>Laurie Siegel, Chair</w:t>
            </w:r>
          </w:p>
        </w:tc>
        <w:tc>
          <w:tcPr>
            <w:tcW w:w="1660" w:type="dxa"/>
            <w:vAlign w:val="bottom"/>
          </w:tcPr>
          <w:p>
            <w:pPr>
              <w:ind w:left="84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340" w:type="dxa"/>
            <w:vAlign w:val="bottom"/>
          </w:tcPr>
          <w:p>
            <w:pPr>
              <w:spacing w:after="0"/>
              <w:rPr>
                <w:sz w:val="20"/>
                <w:szCs w:val="20"/>
                <w:color w:val="auto"/>
              </w:rPr>
            </w:pPr>
            <w:r>
              <w:rPr>
                <w:rFonts w:ascii="Arial" w:cs="Arial" w:eastAsia="Arial" w:hAnsi="Arial"/>
                <w:sz w:val="15"/>
                <w:szCs w:val="15"/>
                <w:color w:val="auto"/>
              </w:rPr>
              <w:t>Claudio Mannarino</w:t>
            </w:r>
          </w:p>
        </w:tc>
        <w:tc>
          <w:tcPr>
            <w:tcW w:w="166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2024</w:t>
            </w:r>
          </w:p>
        </w:tc>
      </w:tr>
      <w:tr>
        <w:trPr>
          <w:trHeight w:val="175"/>
        </w:trPr>
        <w:tc>
          <w:tcPr>
            <w:tcW w:w="2340" w:type="dxa"/>
            <w:vAlign w:val="bottom"/>
          </w:tcPr>
          <w:p>
            <w:pPr>
              <w:spacing w:after="0"/>
              <w:rPr>
                <w:sz w:val="20"/>
                <w:szCs w:val="20"/>
                <w:color w:val="auto"/>
              </w:rPr>
            </w:pPr>
            <w:r>
              <w:rPr>
                <w:rFonts w:ascii="Arial" w:cs="Arial" w:eastAsia="Arial" w:hAnsi="Arial"/>
                <w:sz w:val="15"/>
                <w:szCs w:val="15"/>
                <w:color w:val="auto"/>
              </w:rPr>
              <w:t>Robert E. Knowling, Jr.</w:t>
            </w:r>
          </w:p>
        </w:tc>
        <w:tc>
          <w:tcPr>
            <w:tcW w:w="1660" w:type="dxa"/>
            <w:vAlign w:val="bottom"/>
          </w:tcPr>
          <w:p>
            <w:pPr>
              <w:spacing w:after="0"/>
              <w:rPr>
                <w:sz w:val="15"/>
                <w:szCs w:val="15"/>
                <w:color w:val="auto"/>
              </w:rPr>
            </w:pPr>
          </w:p>
        </w:tc>
      </w:tr>
      <w:tr>
        <w:trPr>
          <w:trHeight w:val="198"/>
        </w:trPr>
        <w:tc>
          <w:tcPr>
            <w:tcW w:w="2340" w:type="dxa"/>
            <w:vAlign w:val="bottom"/>
          </w:tcPr>
          <w:p>
            <w:pPr>
              <w:spacing w:after="0"/>
              <w:rPr>
                <w:sz w:val="20"/>
                <w:szCs w:val="20"/>
                <w:color w:val="auto"/>
              </w:rPr>
            </w:pPr>
            <w:r>
              <w:rPr>
                <w:rFonts w:ascii="Arial" w:cs="Arial" w:eastAsia="Arial" w:hAnsi="Arial"/>
                <w:sz w:val="15"/>
                <w:szCs w:val="15"/>
                <w:color w:val="auto"/>
              </w:rPr>
              <w:t>Valerie Gentile Sachs</w:t>
            </w:r>
          </w:p>
        </w:tc>
        <w:tc>
          <w:tcPr>
            <w:tcW w:w="1660" w:type="dxa"/>
            <w:vAlign w:val="bottom"/>
          </w:tcPr>
          <w:p>
            <w:pPr>
              <w:spacing w:after="0"/>
              <w:rPr>
                <w:sz w:val="17"/>
                <w:szCs w:val="17"/>
                <w:color w:val="auto"/>
              </w:rPr>
            </w:pPr>
          </w:p>
        </w:tc>
      </w:tr>
    </w:tbl>
    <w:p>
      <w:pPr>
        <w:spacing w:after="0" w:line="123"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92" w:lineRule="exact"/>
        <w:rPr>
          <w:sz w:val="20"/>
          <w:szCs w:val="20"/>
          <w:color w:val="auto"/>
        </w:rPr>
      </w:pPr>
    </w:p>
    <w:p>
      <w:pPr>
        <w:ind w:left="11"/>
        <w:spacing w:after="0"/>
        <w:rPr>
          <w:sz w:val="20"/>
          <w:szCs w:val="20"/>
          <w:color w:val="auto"/>
        </w:rPr>
      </w:pPr>
      <w:r>
        <w:rPr>
          <w:rFonts w:ascii="Arial" w:cs="Arial" w:eastAsia="Arial" w:hAnsi="Arial"/>
          <w:sz w:val="17"/>
          <w:szCs w:val="17"/>
          <w:color w:val="auto"/>
        </w:rPr>
        <w:t>Our Compensation Committee’s responsibilities include:</w:t>
      </w:r>
    </w:p>
    <w:p>
      <w:pPr>
        <w:spacing w:after="0" w:line="92" w:lineRule="exact"/>
        <w:rPr>
          <w:sz w:val="20"/>
          <w:szCs w:val="20"/>
          <w:color w:val="auto"/>
        </w:rPr>
      </w:pPr>
    </w:p>
    <w:p>
      <w:pPr>
        <w:ind w:left="231" w:right="240" w:hanging="231"/>
        <w:spacing w:after="0" w:line="237" w:lineRule="auto"/>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and approving corporate goals and objectives for the compensation of our CEO, evaluating our CEO’s performance in light of those goals and objectives, and recommending to our Board for approval our CEO's compensation level based on this evaluation; and</w:t>
      </w:r>
    </w:p>
    <w:p>
      <w:pPr>
        <w:spacing w:after="0" w:line="71" w:lineRule="exact"/>
        <w:rPr>
          <w:rFonts w:ascii="Times New Roman" w:cs="Times New Roman" w:eastAsia="Times New Roman" w:hAnsi="Times New Roman"/>
          <w:sz w:val="17"/>
          <w:szCs w:val="17"/>
          <w:color w:val="3C578C"/>
        </w:rPr>
      </w:pPr>
    </w:p>
    <w:p>
      <w:pPr>
        <w:ind w:left="231" w:right="360" w:hanging="231"/>
        <w:spacing w:after="0" w:line="257" w:lineRule="auto"/>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determining and approving the compensation of our other executive officers.</w:t>
      </w:r>
    </w:p>
    <w:p>
      <w:pPr>
        <w:spacing w:after="0" w:line="55" w:lineRule="exact"/>
        <w:rPr>
          <w:sz w:val="20"/>
          <w:szCs w:val="20"/>
          <w:color w:val="auto"/>
        </w:rPr>
      </w:pPr>
    </w:p>
    <w:p>
      <w:pPr>
        <w:ind w:left="11"/>
        <w:spacing w:after="0" w:line="232" w:lineRule="auto"/>
        <w:rPr>
          <w:sz w:val="20"/>
          <w:szCs w:val="20"/>
          <w:color w:val="auto"/>
        </w:rPr>
      </w:pPr>
      <w:r>
        <w:rPr>
          <w:rFonts w:ascii="Arial" w:cs="Arial" w:eastAsia="Arial" w:hAnsi="Arial"/>
          <w:sz w:val="17"/>
          <w:szCs w:val="17"/>
          <w:color w:val="auto"/>
        </w:rPr>
        <w:t>Our Compensation Committee also oversees our equity programs, including our 2021 Equity and Incentive Compensation Plan and 2020 Employee Stock Purchase Plan. The Compensation Committee's activities include reporting to our Board on all compensation matters regarding our directors and executive officers. Our Compensation Committee annually reviews and recommends to our Board for approval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including under our 2021 Equity and Incentive Compensation Plan.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412115</wp:posOffset>
            </wp:positionV>
            <wp:extent cx="483870" cy="222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129"/>
            <w:col w:w="4831"/>
          </w:cols>
          <w:pgMar w:left="980" w:top="485" w:right="99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00" w:type="dxa"/>
            <w:vAlign w:val="bottom"/>
          </w:tcPr>
          <w:p>
            <w:pPr>
              <w:ind w:left="7900"/>
              <w:spacing w:after="0"/>
              <w:rPr>
                <w:sz w:val="20"/>
                <w:szCs w:val="20"/>
                <w:color w:val="auto"/>
              </w:rPr>
            </w:pPr>
            <w:r>
              <w:rPr>
                <w:rFonts w:ascii="Arial" w:cs="Arial" w:eastAsia="Arial" w:hAnsi="Arial"/>
                <w:sz w:val="17"/>
                <w:szCs w:val="17"/>
                <w:color w:val="7F7F7F"/>
              </w:rPr>
              <w:t>2025 Proxy Statement</w:t>
            </w:r>
          </w:p>
        </w:tc>
        <w:tc>
          <w:tcPr>
            <w:tcW w:w="220" w:type="dxa"/>
            <w:vAlign w:val="bottom"/>
          </w:tcPr>
          <w:p>
            <w:pPr>
              <w:jc w:val="right"/>
              <w:spacing w:after="0"/>
              <w:rPr>
                <w:sz w:val="20"/>
                <w:szCs w:val="20"/>
                <w:color w:val="auto"/>
              </w:rPr>
            </w:pPr>
            <w:r>
              <w:rPr>
                <w:rFonts w:ascii="Arial" w:cs="Arial" w:eastAsia="Arial" w:hAnsi="Arial"/>
                <w:sz w:val="17"/>
                <w:szCs w:val="17"/>
                <w:color w:val="7F7F7F"/>
              </w:rPr>
              <w:t>9</w:t>
            </w:r>
          </w:p>
        </w:tc>
      </w:tr>
      <w:tr>
        <w:trPr>
          <w:trHeight w:val="590"/>
        </w:trPr>
        <w:tc>
          <w:tcPr>
            <w:tcW w:w="9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250825</wp:posOffset>
            </wp:positionV>
            <wp:extent cx="6301105" cy="4904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1105" cy="4904740"/>
                    </a:xfrm>
                    <a:prstGeom prst="rect">
                      <a:avLst/>
                    </a:prstGeom>
                    <a:noFill/>
                  </pic:spPr>
                </pic:pic>
              </a:graphicData>
            </a:graphic>
          </wp:anchor>
        </w:drawing>
      </w:r>
    </w:p>
    <w:p>
      <w:pPr>
        <w:sectPr>
          <w:pgSz w:w="11900" w:h="16838" w:orient="portrait"/>
          <w:cols w:equalWidth="0" w:num="1">
            <w:col w:w="9760"/>
          </w:cols>
          <w:pgMar w:left="980" w:top="485" w:right="11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Nominations and Governance Committee</w:t>
      </w:r>
    </w:p>
    <w:p>
      <w:pPr>
        <w:spacing w:after="0" w:line="10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Board has determined that each member of our Nominations and Governance Committee is an independent director under the applicable NASDAQ listing requirements. 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www.cecoenviro.com on the Investor Relations, Governance section.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Bylaws provide stockholders the ability to nominate candidates for election as directors at the annual meeting of stockholders. Stockholders who wish to nominate a candidate should submit the candidate’s name and other information required by our Bylaws to our Corporate Secretary and follow the procedures stated in our Bylaws. These procedures are summarized below in “Information for Our 2026 Annual Meeting.”</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5080 Spectrum Drive, Suite 800E, Addison, Texas 75001, Attention: Corporate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420" w:type="dxa"/>
            <w:vAlign w:val="bottom"/>
          </w:tcPr>
          <w:p>
            <w:pPr>
              <w:jc w:val="right"/>
              <w:ind w:right="285"/>
              <w:spacing w:after="0"/>
              <w:rPr>
                <w:sz w:val="20"/>
                <w:szCs w:val="20"/>
                <w:color w:val="auto"/>
              </w:rPr>
            </w:pPr>
            <w:r>
              <w:rPr>
                <w:rFonts w:ascii="Arial" w:cs="Arial" w:eastAsia="Arial" w:hAnsi="Arial"/>
                <w:sz w:val="15"/>
                <w:szCs w:val="15"/>
                <w:b w:val="1"/>
                <w:bCs w:val="1"/>
                <w:color w:val="A1B657"/>
              </w:rPr>
              <w:t>3</w:t>
            </w:r>
          </w:p>
        </w:tc>
      </w:t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auto"/>
              </w:rPr>
              <w:t>Valerie Gentile Sachs, Chair</w:t>
            </w:r>
          </w:p>
        </w:tc>
        <w:tc>
          <w:tcPr>
            <w:tcW w:w="1420" w:type="dxa"/>
            <w:vAlign w:val="bottom"/>
          </w:tcPr>
          <w:p>
            <w:pPr>
              <w:ind w:left="60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580" w:type="dxa"/>
            <w:vAlign w:val="bottom"/>
          </w:tcPr>
          <w:p>
            <w:pPr>
              <w:spacing w:after="0"/>
              <w:rPr>
                <w:sz w:val="20"/>
                <w:szCs w:val="20"/>
                <w:color w:val="auto"/>
              </w:rPr>
            </w:pPr>
            <w:r>
              <w:rPr>
                <w:rFonts w:ascii="Arial" w:cs="Arial" w:eastAsia="Arial" w:hAnsi="Arial"/>
                <w:sz w:val="15"/>
                <w:szCs w:val="15"/>
                <w:color w:val="auto"/>
              </w:rPr>
              <w:t>Jason DeZwirek</w:t>
            </w:r>
          </w:p>
        </w:tc>
        <w:tc>
          <w:tcPr>
            <w:tcW w:w="142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2024</w:t>
            </w:r>
          </w:p>
        </w:tc>
      </w:tr>
      <w:tr>
        <w:trPr>
          <w:trHeight w:val="198"/>
        </w:trPr>
        <w:tc>
          <w:tcPr>
            <w:tcW w:w="2580" w:type="dxa"/>
            <w:vAlign w:val="bottom"/>
          </w:tcPr>
          <w:p>
            <w:pPr>
              <w:spacing w:after="0"/>
              <w:rPr>
                <w:sz w:val="20"/>
                <w:szCs w:val="20"/>
                <w:color w:val="auto"/>
              </w:rPr>
            </w:pPr>
            <w:r>
              <w:rPr>
                <w:rFonts w:ascii="Arial" w:cs="Arial" w:eastAsia="Arial" w:hAnsi="Arial"/>
                <w:sz w:val="15"/>
                <w:szCs w:val="15"/>
                <w:color w:val="auto"/>
              </w:rPr>
              <w:t>Munish Nanda</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92" w:lineRule="exact"/>
        <w:rPr>
          <w:sz w:val="20"/>
          <w:szCs w:val="20"/>
          <w:color w:val="auto"/>
        </w:rPr>
      </w:pPr>
    </w:p>
    <w:p>
      <w:pPr>
        <w:ind w:left="11" w:right="20"/>
        <w:spacing w:after="0" w:line="258" w:lineRule="auto"/>
        <w:rPr>
          <w:sz w:val="20"/>
          <w:szCs w:val="20"/>
          <w:color w:val="auto"/>
        </w:rPr>
      </w:pPr>
      <w:r>
        <w:rPr>
          <w:rFonts w:ascii="Arial" w:cs="Arial" w:eastAsia="Arial" w:hAnsi="Arial"/>
          <w:sz w:val="17"/>
          <w:szCs w:val="17"/>
          <w:color w:val="auto"/>
        </w:rPr>
        <w:t>Our Nominations and Governance Committee’s responsibilities include:</w:t>
      </w:r>
    </w:p>
    <w:p>
      <w:pPr>
        <w:spacing w:after="0" w:line="55" w:lineRule="exact"/>
        <w:rPr>
          <w:sz w:val="20"/>
          <w:szCs w:val="20"/>
          <w:color w:val="auto"/>
        </w:rPr>
      </w:pPr>
    </w:p>
    <w:p>
      <w:pPr>
        <w:ind w:left="231" w:hanging="231"/>
        <w:spacing w:after="0"/>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identifying individuals qualified to become Board members;</w:t>
      </w:r>
    </w:p>
    <w:p>
      <w:pPr>
        <w:spacing w:after="0" w:line="103" w:lineRule="exact"/>
        <w:rPr>
          <w:rFonts w:ascii="Times New Roman" w:cs="Times New Roman" w:eastAsia="Times New Roman" w:hAnsi="Times New Roman"/>
          <w:sz w:val="17"/>
          <w:szCs w:val="17"/>
          <w:color w:val="3C578C"/>
        </w:rPr>
      </w:pPr>
    </w:p>
    <w:p>
      <w:pPr>
        <w:ind w:left="231" w:hanging="231"/>
        <w:spacing w:after="0" w:line="257"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making recommendations to our Board regarding Board and committee composition;</w:t>
      </w:r>
    </w:p>
    <w:p>
      <w:pPr>
        <w:spacing w:after="0" w:line="55" w:lineRule="exact"/>
        <w:rPr>
          <w:rFonts w:ascii="Times New Roman" w:cs="Times New Roman" w:eastAsia="Times New Roman" w:hAnsi="Times New Roman"/>
          <w:sz w:val="17"/>
          <w:szCs w:val="17"/>
          <w:color w:val="3C578C"/>
        </w:rPr>
      </w:pPr>
    </w:p>
    <w:p>
      <w:pPr>
        <w:ind w:left="231" w:right="440" w:hanging="231"/>
        <w:spacing w:after="0" w:line="288" w:lineRule="auto"/>
        <w:tabs>
          <w:tab w:leader="none" w:pos="231" w:val="left"/>
        </w:tabs>
        <w:numPr>
          <w:ilvl w:val="0"/>
          <w:numId w:val="42"/>
        </w:numPr>
        <w:rPr>
          <w:rFonts w:ascii="Times New Roman" w:cs="Times New Roman" w:eastAsia="Times New Roman" w:hAnsi="Times New Roman"/>
          <w:sz w:val="16"/>
          <w:szCs w:val="16"/>
          <w:color w:val="3C578C"/>
        </w:rPr>
      </w:pPr>
      <w:r>
        <w:rPr>
          <w:rFonts w:ascii="Arial" w:cs="Arial" w:eastAsia="Arial" w:hAnsi="Arial"/>
          <w:sz w:val="16"/>
          <w:szCs w:val="16"/>
          <w:color w:val="auto"/>
        </w:rPr>
        <w:t>developing and recommending to our Board corporate governance principles applicable to our Company;</w:t>
      </w:r>
    </w:p>
    <w:p>
      <w:pPr>
        <w:spacing w:after="0" w:line="32" w:lineRule="exact"/>
        <w:rPr>
          <w:rFonts w:ascii="Times New Roman" w:cs="Times New Roman" w:eastAsia="Times New Roman" w:hAnsi="Times New Roman"/>
          <w:sz w:val="16"/>
          <w:szCs w:val="16"/>
          <w:color w:val="3C578C"/>
        </w:rPr>
      </w:pPr>
    </w:p>
    <w:p>
      <w:pPr>
        <w:ind w:left="231" w:right="440" w:hanging="231"/>
        <w:spacing w:after="0" w:line="244"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advising and assisting the Board with oversight of environmental, social and governance related ("ESG") matters; and</w:t>
      </w:r>
    </w:p>
    <w:p>
      <w:pPr>
        <w:spacing w:after="0" w:line="65"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overseeing the evaluation of our Board and management.</w:t>
      </w:r>
    </w:p>
    <w:p>
      <w:pPr>
        <w:spacing w:after="0" w:line="3474" w:lineRule="exact"/>
        <w:rPr>
          <w:sz w:val="20"/>
          <w:szCs w:val="20"/>
          <w:color w:val="auto"/>
        </w:rPr>
      </w:pPr>
    </w:p>
    <w:p>
      <w:pPr>
        <w:sectPr>
          <w:pgSz w:w="11900" w:h="16838" w:orient="portrait"/>
          <w:cols w:equalWidth="0" w:num="2">
            <w:col w:w="4940" w:space="149"/>
            <w:col w:w="4671"/>
          </w:cols>
          <w:pgMar w:left="980" w:top="485" w:right="115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10</w:t>
      </w:r>
      <w:r>
        <w:rPr>
          <w:sz w:val="20"/>
          <w:szCs w:val="20"/>
          <w:color w:val="auto"/>
        </w:rPr>
        <w:tab/>
      </w:r>
      <w:r>
        <w:rPr>
          <w:sz w:val="1"/>
          <w:szCs w:val="1"/>
          <w:color w:val="auto"/>
        </w:rPr>
        <w:drawing>
          <wp:inline distT="0" distB="0" distL="0" distR="0">
            <wp:extent cx="476250" cy="2222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760"/>
          </w:cols>
          <w:pgMar w:left="980" w:top="485" w:right="11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3468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1105" cy="346837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Mergers and Acquisitions Committee</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Board established our Mergers and Acquisitions Committee with the primary purpose of reviewing with management periodically the Company’s strategy regarding acquisitions, dispositions, joint ventures, or mergers (“Strategic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360" w:type="dxa"/>
            <w:vAlign w:val="bottom"/>
          </w:tcPr>
          <w:p>
            <w:pPr>
              <w:jc w:val="right"/>
              <w:ind w:right="285"/>
              <w:spacing w:after="0"/>
              <w:rPr>
                <w:sz w:val="20"/>
                <w:szCs w:val="20"/>
                <w:color w:val="auto"/>
              </w:rPr>
            </w:pPr>
            <w:r>
              <w:rPr>
                <w:rFonts w:ascii="Arial" w:cs="Arial" w:eastAsia="Arial" w:hAnsi="Arial"/>
                <w:sz w:val="15"/>
                <w:szCs w:val="15"/>
                <w:b w:val="1"/>
                <w:bCs w:val="1"/>
                <w:color w:val="A1B657"/>
              </w:rPr>
              <w:t>5</w:t>
            </w:r>
          </w:p>
        </w:tc>
      </w:t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Robert E. Knowling, Jr., Chair</w:t>
            </w:r>
          </w:p>
        </w:tc>
        <w:tc>
          <w:tcPr>
            <w:tcW w:w="1360" w:type="dxa"/>
            <w:vAlign w:val="bottom"/>
          </w:tcPr>
          <w:p>
            <w:pPr>
              <w:ind w:left="54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Jason DeZwirek</w:t>
            </w:r>
          </w:p>
        </w:tc>
        <w:tc>
          <w:tcPr>
            <w:tcW w:w="136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2024</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Todd Gleason</w:t>
            </w:r>
          </w:p>
        </w:tc>
        <w:tc>
          <w:tcPr>
            <w:tcW w:w="1360" w:type="dxa"/>
            <w:vAlign w:val="bottom"/>
          </w:tcPr>
          <w:p>
            <w:pPr>
              <w:spacing w:after="0"/>
              <w:rPr>
                <w:sz w:val="15"/>
                <w:szCs w:val="15"/>
                <w:color w:val="auto"/>
              </w:rPr>
            </w:pPr>
          </w:p>
        </w:tc>
      </w:tr>
      <w:tr>
        <w:trPr>
          <w:trHeight w:val="198"/>
        </w:trPr>
        <w:tc>
          <w:tcPr>
            <w:tcW w:w="2640" w:type="dxa"/>
            <w:vAlign w:val="bottom"/>
          </w:tcPr>
          <w:p>
            <w:pPr>
              <w:spacing w:after="0"/>
              <w:rPr>
                <w:sz w:val="20"/>
                <w:szCs w:val="20"/>
                <w:color w:val="auto"/>
              </w:rPr>
            </w:pPr>
            <w:r>
              <w:rPr>
                <w:rFonts w:ascii="Arial" w:cs="Arial" w:eastAsia="Arial" w:hAnsi="Arial"/>
                <w:sz w:val="15"/>
                <w:szCs w:val="15"/>
                <w:color w:val="auto"/>
              </w:rPr>
              <w:t>Richard Wallman</w:t>
            </w:r>
          </w:p>
        </w:tc>
        <w:tc>
          <w:tcPr>
            <w:tcW w:w="1360" w:type="dxa"/>
            <w:vAlign w:val="bottom"/>
          </w:tcPr>
          <w:p>
            <w:pPr>
              <w:spacing w:after="0"/>
              <w:rPr>
                <w:sz w:val="17"/>
                <w:szCs w:val="17"/>
                <w:color w:val="auto"/>
              </w:rPr>
            </w:pPr>
          </w:p>
        </w:tc>
      </w:tr>
    </w:tbl>
    <w:p>
      <w:pPr>
        <w:spacing w:after="0" w:line="123"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92" w:lineRule="exact"/>
        <w:rPr>
          <w:sz w:val="20"/>
          <w:szCs w:val="20"/>
          <w:color w:val="auto"/>
        </w:rPr>
      </w:pPr>
    </w:p>
    <w:p>
      <w:pPr>
        <w:ind w:left="11" w:right="520"/>
        <w:spacing w:after="0" w:line="258" w:lineRule="auto"/>
        <w:rPr>
          <w:sz w:val="20"/>
          <w:szCs w:val="20"/>
          <w:color w:val="auto"/>
        </w:rPr>
      </w:pPr>
      <w:r>
        <w:rPr>
          <w:rFonts w:ascii="Arial" w:cs="Arial" w:eastAsia="Arial" w:hAnsi="Arial"/>
          <w:sz w:val="17"/>
          <w:szCs w:val="17"/>
          <w:color w:val="auto"/>
        </w:rPr>
        <w:t>Our Mergers and Acquisitions Committee’s responsibilities include:</w:t>
      </w:r>
    </w:p>
    <w:p>
      <w:pPr>
        <w:spacing w:after="0" w:line="55" w:lineRule="exact"/>
        <w:rPr>
          <w:sz w:val="20"/>
          <w:szCs w:val="20"/>
          <w:color w:val="auto"/>
        </w:rPr>
      </w:pPr>
    </w:p>
    <w:p>
      <w:pPr>
        <w:ind w:left="231" w:right="500" w:hanging="231"/>
        <w:spacing w:after="0" w:line="257"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with management the Company’s strategy for Strategic Transactions;</w:t>
      </w:r>
    </w:p>
    <w:p>
      <w:pPr>
        <w:spacing w:after="0" w:line="55" w:lineRule="exact"/>
        <w:rPr>
          <w:rFonts w:ascii="Times New Roman" w:cs="Times New Roman" w:eastAsia="Times New Roman" w:hAnsi="Times New Roman"/>
          <w:sz w:val="17"/>
          <w:szCs w:val="17"/>
          <w:color w:val="3C578C"/>
        </w:rPr>
      </w:pPr>
    </w:p>
    <w:p>
      <w:pPr>
        <w:ind w:left="231" w:right="100" w:hanging="231"/>
        <w:spacing w:after="0" w:line="236"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with management the material details of any proposed Strategic Transaction, including how such transaction fits with the Company’s strategic plans and transaction strategy, transaction timing, important transaction milestones, financing, key risks and opportunities and the integration plan (including the ROI);</w:t>
      </w:r>
    </w:p>
    <w:p>
      <w:pPr>
        <w:spacing w:after="0" w:line="70" w:lineRule="exact"/>
        <w:rPr>
          <w:rFonts w:ascii="Times New Roman" w:cs="Times New Roman" w:eastAsia="Times New Roman" w:hAnsi="Times New Roman"/>
          <w:sz w:val="17"/>
          <w:szCs w:val="17"/>
          <w:color w:val="3C578C"/>
        </w:rPr>
      </w:pPr>
    </w:p>
    <w:p>
      <w:pPr>
        <w:ind w:left="231" w:right="80" w:hanging="231"/>
        <w:spacing w:after="0" w:line="244"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providing the Board such additional information and materials as appropriate to assist the Board in its evaluation or understanding of any Strategic Transaction; and</w:t>
      </w:r>
    </w:p>
    <w:p>
      <w:pPr>
        <w:spacing w:after="0" w:line="65" w:lineRule="exact"/>
        <w:rPr>
          <w:rFonts w:ascii="Times New Roman" w:cs="Times New Roman" w:eastAsia="Times New Roman" w:hAnsi="Times New Roman"/>
          <w:sz w:val="17"/>
          <w:szCs w:val="17"/>
          <w:color w:val="3C578C"/>
        </w:rPr>
      </w:pPr>
    </w:p>
    <w:p>
      <w:pPr>
        <w:ind w:left="231" w:right="100" w:hanging="231"/>
        <w:spacing w:after="0" w:line="236"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and discussing with management, after consummation of any Strategic Transaction, the execution, the financial performance, and the integration of such Strategic Transaction, including relative to information presented by management in connection with the approval of such transaction and the Company’s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293370</wp:posOffset>
            </wp:positionV>
            <wp:extent cx="483870" cy="222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269"/>
            <w:col w:w="4831"/>
          </w:cols>
          <w:pgMar w:left="980" w:top="485" w:right="999" w:bottom="1440" w:gutter="0" w:footer="0" w:header="0"/>
          <w:type w:val="continuous"/>
        </w:sectPr>
      </w:pPr>
    </w:p>
    <w:p>
      <w:pPr>
        <w:spacing w:after="0" w:line="321" w:lineRule="exact"/>
        <w:rPr>
          <w:sz w:val="20"/>
          <w:szCs w:val="20"/>
          <w:color w:val="auto"/>
        </w:rPr>
      </w:pPr>
    </w:p>
    <w:p>
      <w:pPr>
        <w:ind w:left="7900"/>
        <w:spacing w:after="0"/>
        <w:tabs>
          <w:tab w:leader="none" w:pos="974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4"/>
          <w:szCs w:val="14"/>
          <w:color w:val="7F7F7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 Attendance</w:t>
      </w:r>
    </w:p>
    <w:p>
      <w:pPr>
        <w:spacing w:after="0" w:line="90"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auto"/>
        </w:rPr>
        <w:t>During 2024, our Board held 5 regular meetings. Directors are expected to regularly attend Board meetings and meetings of committees on which they serve, as well as the annual meeting of stockholders. Each director attended at least 75% of the total number of Board meetings , and applicable committee meetings, during 2024. Our Board's policy regarding directors’ attendance at the Annual Meeting is that directors are encouraged to attend, and that we will make all appropriate arrangements for directors to attend. All of the directors attended our 2024 Annual Meetings of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Leadership Structure and Risk Oversight</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positions of Chairman of the Board and Chief Executive Officer are held by different individuals: Mr. DeZwirek serves as Chairman and Mr. Gleason serves as Chief Executive Officer. Although our Bylaws provide that any two or more offices may be held by the same person,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its task of setting and implementing the Company’s strategy.</w:t>
      </w:r>
    </w:p>
    <w:p>
      <w:pPr>
        <w:spacing w:after="0" w:line="6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separation of the roles of Chief Executive Officer and Chairman and the independence of a majority of our Board help ensure independent oversight of management. All of our directors, other than the Chief Executive Officer, Mr. Gleason, qualify as independent under the applicable NASDAQ listing requirements. Our Audit Committee, Compensation Committee, and Nominations and Governance Committee — are comprised entirely of independent directors. Additionally, the non-management directors regularly meet in executive session, and the independent directors meet in executive session, as required.</w:t>
      </w:r>
    </w:p>
    <w:p>
      <w:pPr>
        <w:spacing w:after="0" w:line="7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ESG risk to our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200" w:lineRule="exact"/>
        <w:rPr>
          <w:sz w:val="20"/>
          <w:szCs w:val="20"/>
          <w:color w:val="auto"/>
        </w:rPr>
      </w:pPr>
    </w:p>
    <w:p>
      <w:pPr>
        <w:spacing w:after="0" w:line="391"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12</w:t>
      </w:r>
      <w:r>
        <w:rPr>
          <w:sz w:val="20"/>
          <w:szCs w:val="20"/>
          <w:color w:val="auto"/>
        </w:rPr>
        <w:tab/>
      </w:r>
      <w:r>
        <w:rPr>
          <w:sz w:val="1"/>
          <w:szCs w:val="1"/>
          <w:color w:val="auto"/>
        </w:rPr>
        <w:drawing>
          <wp:inline distT="0" distB="0" distL="0" distR="0">
            <wp:extent cx="476250" cy="21399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0" cy="213995"/>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630110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ESG Oversight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Matters</w:t>
      </w:r>
    </w:p>
    <w:p>
      <w:pPr>
        <w:spacing w:after="0" w:line="9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believe that the Company is able to advance ESG-related considerations and that sound corporate citizenship includes responsiveness to ESG issues that materially impact our stakeholders and the communities in which we operate. We are committed to operating our business with integrity; focusing on material ESG issues; giving back to the communities we serve; being environmentally conscious; and improving the lives of workers involved in manufacturing our products. Our Nominations and Governance Committee has formal oversight of ESG related matters, including our governance-related policies and strategies on which we advance sustainability through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119380</wp:posOffset>
            </wp:positionV>
            <wp:extent cx="23495" cy="14839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95" cy="148399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119380</wp:posOffset>
            </wp:positionV>
            <wp:extent cx="23495" cy="14839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495" cy="148399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74"/>
        </w:trPr>
        <w:tc>
          <w:tcPr>
            <w:tcW w:w="3260" w:type="dxa"/>
            <w:vAlign w:val="bottom"/>
            <w:tcBorders>
              <w:top w:val="single" w:sz="8" w:color="88B14B"/>
            </w:tcBorders>
            <w:shd w:val="clear" w:color="auto" w:fill="F1F1F1"/>
          </w:tcPr>
          <w:p>
            <w:pPr>
              <w:ind w:left="580"/>
              <w:spacing w:after="0"/>
              <w:rPr>
                <w:sz w:val="20"/>
                <w:szCs w:val="20"/>
                <w:color w:val="auto"/>
              </w:rPr>
            </w:pPr>
            <w:r>
              <w:rPr>
                <w:rFonts w:ascii="Arial" w:cs="Arial" w:eastAsia="Arial" w:hAnsi="Arial"/>
                <w:sz w:val="20"/>
                <w:szCs w:val="20"/>
                <w:b w:val="1"/>
                <w:bCs w:val="1"/>
                <w:color w:val="auto"/>
              </w:rPr>
              <w:t>Environmental</w:t>
            </w:r>
          </w:p>
        </w:tc>
        <w:tc>
          <w:tcPr>
            <w:tcW w:w="3380" w:type="dxa"/>
            <w:vAlign w:val="bottom"/>
            <w:tcBorders>
              <w:top w:val="single" w:sz="8" w:color="88B14B"/>
            </w:tcBorders>
            <w:shd w:val="clear" w:color="auto" w:fill="F1F1F1"/>
          </w:tcPr>
          <w:p>
            <w:pPr>
              <w:ind w:left="600"/>
              <w:spacing w:after="0"/>
              <w:rPr>
                <w:sz w:val="20"/>
                <w:szCs w:val="20"/>
                <w:color w:val="auto"/>
              </w:rPr>
            </w:pPr>
            <w:r>
              <w:rPr>
                <w:rFonts w:ascii="Arial" w:cs="Arial" w:eastAsia="Arial" w:hAnsi="Arial"/>
                <w:sz w:val="20"/>
                <w:szCs w:val="20"/>
                <w:b w:val="1"/>
                <w:bCs w:val="1"/>
                <w:color w:val="auto"/>
              </w:rPr>
              <w:t>Social</w:t>
            </w:r>
          </w:p>
        </w:tc>
        <w:tc>
          <w:tcPr>
            <w:tcW w:w="3280" w:type="dxa"/>
            <w:vAlign w:val="bottom"/>
            <w:tcBorders>
              <w:top w:val="single" w:sz="8" w:color="88B14B"/>
            </w:tcBorders>
            <w:shd w:val="clear" w:color="auto" w:fill="F1F1F1"/>
          </w:tcPr>
          <w:p>
            <w:pPr>
              <w:ind w:left="580"/>
              <w:spacing w:after="0"/>
              <w:rPr>
                <w:sz w:val="20"/>
                <w:szCs w:val="20"/>
                <w:color w:val="auto"/>
              </w:rPr>
            </w:pPr>
            <w:r>
              <w:rPr>
                <w:rFonts w:ascii="Arial" w:cs="Arial" w:eastAsia="Arial" w:hAnsi="Arial"/>
                <w:sz w:val="20"/>
                <w:szCs w:val="20"/>
                <w:b w:val="1"/>
                <w:bCs w:val="1"/>
                <w:color w:val="auto"/>
              </w:rPr>
              <w:t>Governance</w:t>
            </w:r>
          </w:p>
        </w:tc>
      </w:tr>
      <w:tr>
        <w:trPr>
          <w:trHeight w:val="151"/>
        </w:trPr>
        <w:tc>
          <w:tcPr>
            <w:tcW w:w="3260" w:type="dxa"/>
            <w:vAlign w:val="bottom"/>
            <w:shd w:val="clear" w:color="auto" w:fill="F1F1F1"/>
          </w:tcPr>
          <w:p>
            <w:pPr>
              <w:spacing w:after="0"/>
              <w:rPr>
                <w:sz w:val="13"/>
                <w:szCs w:val="13"/>
                <w:color w:val="auto"/>
              </w:rPr>
            </w:pPr>
          </w:p>
        </w:tc>
        <w:tc>
          <w:tcPr>
            <w:tcW w:w="3380" w:type="dxa"/>
            <w:vAlign w:val="bottom"/>
            <w:shd w:val="clear" w:color="auto" w:fill="F1F1F1"/>
          </w:tcPr>
          <w:p>
            <w:pPr>
              <w:spacing w:after="0"/>
              <w:rPr>
                <w:sz w:val="13"/>
                <w:szCs w:val="13"/>
                <w:color w:val="auto"/>
              </w:rPr>
            </w:pPr>
          </w:p>
        </w:tc>
        <w:tc>
          <w:tcPr>
            <w:tcW w:w="3280" w:type="dxa"/>
            <w:vAlign w:val="bottom"/>
            <w:shd w:val="clear" w:color="auto" w:fill="F1F1F1"/>
          </w:tcPr>
          <w:p>
            <w:pPr>
              <w:spacing w:after="0"/>
              <w:rPr>
                <w:sz w:val="13"/>
                <w:szCs w:val="13"/>
                <w:color w:val="auto"/>
              </w:rPr>
            </w:pPr>
          </w:p>
        </w:tc>
      </w:tr>
      <w:tr>
        <w:trPr>
          <w:trHeight w:val="217"/>
        </w:trPr>
        <w:tc>
          <w:tcPr>
            <w:tcW w:w="32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Reduced energy consumption in our</w:t>
            </w:r>
          </w:p>
        </w:tc>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Continuation of policies and training programs,</w:t>
            </w:r>
          </w:p>
        </w:tc>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Maintain robust set of practices and policies to</w:t>
            </w:r>
          </w:p>
        </w:tc>
      </w:tr>
      <w:tr>
        <w:trPr>
          <w:trHeight w:val="150"/>
        </w:trPr>
        <w:tc>
          <w:tcPr>
            <w:tcW w:w="3260" w:type="dxa"/>
            <w:vAlign w:val="bottom"/>
          </w:tcPr>
          <w:p>
            <w:pPr>
              <w:ind w:left="500"/>
              <w:spacing w:after="0"/>
              <w:rPr>
                <w:sz w:val="20"/>
                <w:szCs w:val="20"/>
                <w:color w:val="auto"/>
              </w:rPr>
            </w:pPr>
            <w:r>
              <w:rPr>
                <w:rFonts w:ascii="Arial" w:cs="Arial" w:eastAsia="Arial" w:hAnsi="Arial"/>
                <w:sz w:val="13"/>
                <w:szCs w:val="13"/>
                <w:color w:val="auto"/>
              </w:rPr>
              <w:t>manufacturing operations</w:t>
            </w:r>
          </w:p>
        </w:tc>
        <w:tc>
          <w:tcPr>
            <w:tcW w:w="3380" w:type="dxa"/>
            <w:vAlign w:val="bottom"/>
          </w:tcPr>
          <w:p>
            <w:pPr>
              <w:ind w:left="480"/>
              <w:spacing w:after="0"/>
              <w:rPr>
                <w:sz w:val="20"/>
                <w:szCs w:val="20"/>
                <w:color w:val="auto"/>
              </w:rPr>
            </w:pPr>
            <w:r>
              <w:rPr>
                <w:rFonts w:ascii="Arial" w:cs="Arial" w:eastAsia="Arial" w:hAnsi="Arial"/>
                <w:sz w:val="13"/>
                <w:szCs w:val="13"/>
                <w:color w:val="auto"/>
              </w:rPr>
              <w:t>and retained a proactive program of safety</w:t>
            </w:r>
          </w:p>
        </w:tc>
        <w:tc>
          <w:tcPr>
            <w:tcW w:w="3280" w:type="dxa"/>
            <w:vAlign w:val="bottom"/>
          </w:tcPr>
          <w:p>
            <w:pPr>
              <w:ind w:left="440"/>
              <w:spacing w:after="0"/>
              <w:rPr>
                <w:sz w:val="20"/>
                <w:szCs w:val="20"/>
                <w:color w:val="auto"/>
              </w:rPr>
            </w:pPr>
            <w:r>
              <w:rPr>
                <w:rFonts w:ascii="Arial" w:cs="Arial" w:eastAsia="Arial" w:hAnsi="Arial"/>
                <w:sz w:val="13"/>
                <w:szCs w:val="13"/>
                <w:color w:val="auto"/>
              </w:rPr>
              <w:t>ensure that our team is operating with integrity,</w:t>
            </w:r>
          </w:p>
        </w:tc>
      </w:tr>
      <w:tr>
        <w:trPr>
          <w:trHeight w:val="150"/>
        </w:trPr>
        <w:tc>
          <w:tcPr>
            <w:tcW w:w="32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Continued investment in recycling programs</w:t>
            </w:r>
          </w:p>
        </w:tc>
        <w:tc>
          <w:tcPr>
            <w:tcW w:w="3380" w:type="dxa"/>
            <w:vAlign w:val="bottom"/>
          </w:tcPr>
          <w:p>
            <w:pPr>
              <w:ind w:left="480"/>
              <w:spacing w:after="0"/>
              <w:rPr>
                <w:sz w:val="20"/>
                <w:szCs w:val="20"/>
                <w:color w:val="auto"/>
              </w:rPr>
            </w:pPr>
            <w:r>
              <w:rPr>
                <w:rFonts w:ascii="Arial" w:cs="Arial" w:eastAsia="Arial" w:hAnsi="Arial"/>
                <w:sz w:val="13"/>
                <w:szCs w:val="13"/>
                <w:color w:val="auto"/>
              </w:rPr>
              <w:t>scorecards and best practice sharing between</w:t>
            </w:r>
          </w:p>
        </w:tc>
        <w:tc>
          <w:tcPr>
            <w:tcW w:w="3280" w:type="dxa"/>
            <w:vAlign w:val="bottom"/>
          </w:tcPr>
          <w:p>
            <w:pPr>
              <w:ind w:left="440"/>
              <w:spacing w:after="0"/>
              <w:rPr>
                <w:sz w:val="20"/>
                <w:szCs w:val="20"/>
                <w:color w:val="auto"/>
              </w:rPr>
            </w:pPr>
            <w:r>
              <w:rPr>
                <w:rFonts w:ascii="Arial" w:cs="Arial" w:eastAsia="Arial" w:hAnsi="Arial"/>
                <w:sz w:val="13"/>
                <w:szCs w:val="13"/>
                <w:color w:val="auto"/>
              </w:rPr>
              <w:t>honestly, fairness and accountability</w:t>
            </w:r>
          </w:p>
        </w:tc>
      </w:tr>
      <w:tr>
        <w:trPr>
          <w:trHeight w:val="150"/>
        </w:trPr>
        <w:tc>
          <w:tcPr>
            <w:tcW w:w="3260" w:type="dxa"/>
            <w:vAlign w:val="bottom"/>
          </w:tcPr>
          <w:p>
            <w:pPr>
              <w:ind w:left="500"/>
              <w:spacing w:after="0"/>
              <w:rPr>
                <w:sz w:val="20"/>
                <w:szCs w:val="20"/>
                <w:color w:val="auto"/>
              </w:rPr>
            </w:pPr>
            <w:r>
              <w:rPr>
                <w:rFonts w:ascii="Arial" w:cs="Arial" w:eastAsia="Arial" w:hAnsi="Arial"/>
                <w:sz w:val="13"/>
                <w:szCs w:val="13"/>
                <w:color w:val="auto"/>
              </w:rPr>
              <w:t>across office and manufacturing operations</w:t>
            </w:r>
          </w:p>
        </w:tc>
        <w:tc>
          <w:tcPr>
            <w:tcW w:w="3380" w:type="dxa"/>
            <w:vAlign w:val="bottom"/>
          </w:tcPr>
          <w:p>
            <w:pPr>
              <w:ind w:left="480"/>
              <w:spacing w:after="0"/>
              <w:rPr>
                <w:sz w:val="20"/>
                <w:szCs w:val="20"/>
                <w:color w:val="auto"/>
              </w:rPr>
            </w:pPr>
            <w:r>
              <w:rPr>
                <w:rFonts w:ascii="Arial" w:cs="Arial" w:eastAsia="Arial" w:hAnsi="Arial"/>
                <w:sz w:val="13"/>
                <w:szCs w:val="13"/>
                <w:color w:val="auto"/>
              </w:rPr>
              <w:t>manufacturing sites</w:t>
            </w:r>
          </w:p>
        </w:tc>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Our Human Rights Policy reinforces our</w:t>
            </w:r>
          </w:p>
        </w:tc>
      </w:tr>
      <w:tr>
        <w:trPr>
          <w:trHeight w:val="150"/>
        </w:trPr>
        <w:tc>
          <w:tcPr>
            <w:tcW w:w="32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Continued efforts to reduce greenhouse gas</w:t>
            </w:r>
          </w:p>
        </w:tc>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Enhanced employee benefits that encourage</w:t>
            </w:r>
          </w:p>
        </w:tc>
        <w:tc>
          <w:tcPr>
            <w:tcW w:w="3280" w:type="dxa"/>
            <w:vAlign w:val="bottom"/>
          </w:tcPr>
          <w:p>
            <w:pPr>
              <w:ind w:left="440"/>
              <w:spacing w:after="0"/>
              <w:rPr>
                <w:sz w:val="20"/>
                <w:szCs w:val="20"/>
                <w:color w:val="auto"/>
              </w:rPr>
            </w:pPr>
            <w:r>
              <w:rPr>
                <w:rFonts w:ascii="Arial" w:cs="Arial" w:eastAsia="Arial" w:hAnsi="Arial"/>
                <w:sz w:val="13"/>
                <w:szCs w:val="13"/>
                <w:color w:val="auto"/>
              </w:rPr>
              <w:t>commitment to treating all people with dignity</w:t>
            </w:r>
          </w:p>
        </w:tc>
      </w:tr>
      <w:tr>
        <w:trPr>
          <w:trHeight w:val="150"/>
        </w:trPr>
        <w:tc>
          <w:tcPr>
            <w:tcW w:w="3260" w:type="dxa"/>
            <w:vAlign w:val="bottom"/>
          </w:tcPr>
          <w:p>
            <w:pPr>
              <w:ind w:left="500"/>
              <w:spacing w:after="0"/>
              <w:rPr>
                <w:sz w:val="20"/>
                <w:szCs w:val="20"/>
                <w:color w:val="auto"/>
              </w:rPr>
            </w:pPr>
            <w:r>
              <w:rPr>
                <w:rFonts w:ascii="Arial" w:cs="Arial" w:eastAsia="Arial" w:hAnsi="Arial"/>
                <w:sz w:val="13"/>
                <w:szCs w:val="13"/>
                <w:color w:val="auto"/>
              </w:rPr>
              <w:t>emissions</w:t>
            </w:r>
          </w:p>
        </w:tc>
        <w:tc>
          <w:tcPr>
            <w:tcW w:w="3380" w:type="dxa"/>
            <w:vAlign w:val="bottom"/>
          </w:tcPr>
          <w:p>
            <w:pPr>
              <w:ind w:left="480"/>
              <w:spacing w:after="0"/>
              <w:rPr>
                <w:sz w:val="20"/>
                <w:szCs w:val="20"/>
                <w:color w:val="auto"/>
              </w:rPr>
            </w:pPr>
            <w:r>
              <w:rPr>
                <w:rFonts w:ascii="Arial" w:cs="Arial" w:eastAsia="Arial" w:hAnsi="Arial"/>
                <w:sz w:val="13"/>
                <w:szCs w:val="13"/>
                <w:color w:val="auto"/>
              </w:rPr>
              <w:t>employees to live healthier lives</w:t>
            </w:r>
          </w:p>
        </w:tc>
        <w:tc>
          <w:tcPr>
            <w:tcW w:w="3280" w:type="dxa"/>
            <w:vAlign w:val="bottom"/>
          </w:tcPr>
          <w:p>
            <w:pPr>
              <w:ind w:left="440"/>
              <w:spacing w:after="0"/>
              <w:rPr>
                <w:sz w:val="20"/>
                <w:szCs w:val="20"/>
                <w:color w:val="auto"/>
              </w:rPr>
            </w:pPr>
            <w:r>
              <w:rPr>
                <w:rFonts w:ascii="Arial" w:cs="Arial" w:eastAsia="Arial" w:hAnsi="Arial"/>
                <w:sz w:val="13"/>
                <w:szCs w:val="13"/>
                <w:color w:val="auto"/>
              </w:rPr>
              <w:t>and respect</w:t>
            </w:r>
          </w:p>
        </w:tc>
      </w:tr>
      <w:tr>
        <w:trPr>
          <w:trHeight w:val="150"/>
        </w:trPr>
        <w:tc>
          <w:tcPr>
            <w:tcW w:w="326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Provide products, services and solutions for</w:t>
            </w:r>
          </w:p>
        </w:tc>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Grew investment toward employee</w:t>
            </w:r>
          </w:p>
        </w:tc>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Employees and any external party can report</w:t>
            </w:r>
          </w:p>
        </w:tc>
      </w:tr>
      <w:tr>
        <w:trPr>
          <w:trHeight w:val="150"/>
        </w:trPr>
        <w:tc>
          <w:tcPr>
            <w:tcW w:w="3260" w:type="dxa"/>
            <w:vAlign w:val="bottom"/>
          </w:tcPr>
          <w:p>
            <w:pPr>
              <w:ind w:left="500"/>
              <w:spacing w:after="0"/>
              <w:rPr>
                <w:sz w:val="20"/>
                <w:szCs w:val="20"/>
                <w:color w:val="auto"/>
              </w:rPr>
            </w:pPr>
            <w:r>
              <w:rPr>
                <w:rFonts w:ascii="Arial" w:cs="Arial" w:eastAsia="Arial" w:hAnsi="Arial"/>
                <w:sz w:val="13"/>
                <w:szCs w:val="13"/>
                <w:color w:val="auto"/>
              </w:rPr>
              <w:t>our customers that lead to reduced</w:t>
            </w:r>
          </w:p>
        </w:tc>
        <w:tc>
          <w:tcPr>
            <w:tcW w:w="3380" w:type="dxa"/>
            <w:vAlign w:val="bottom"/>
          </w:tcPr>
          <w:p>
            <w:pPr>
              <w:ind w:left="480"/>
              <w:spacing w:after="0"/>
              <w:rPr>
                <w:sz w:val="20"/>
                <w:szCs w:val="20"/>
                <w:color w:val="auto"/>
              </w:rPr>
            </w:pPr>
            <w:r>
              <w:rPr>
                <w:rFonts w:ascii="Arial" w:cs="Arial" w:eastAsia="Arial" w:hAnsi="Arial"/>
                <w:sz w:val="13"/>
                <w:szCs w:val="13"/>
                <w:color w:val="auto"/>
              </w:rPr>
              <w:t>development initiatives that provide employees</w:t>
            </w:r>
          </w:p>
        </w:tc>
        <w:tc>
          <w:tcPr>
            <w:tcW w:w="3280" w:type="dxa"/>
            <w:vAlign w:val="bottom"/>
          </w:tcPr>
          <w:p>
            <w:pPr>
              <w:ind w:left="440"/>
              <w:spacing w:after="0"/>
              <w:rPr>
                <w:sz w:val="20"/>
                <w:szCs w:val="20"/>
                <w:color w:val="auto"/>
              </w:rPr>
            </w:pPr>
            <w:r>
              <w:rPr>
                <w:rFonts w:ascii="Arial" w:cs="Arial" w:eastAsia="Arial" w:hAnsi="Arial"/>
                <w:sz w:val="13"/>
                <w:szCs w:val="13"/>
                <w:color w:val="auto"/>
              </w:rPr>
              <w:t>concerns to CECO’s anonymous Hotline</w:t>
            </w:r>
          </w:p>
        </w:tc>
      </w:tr>
      <w:tr>
        <w:trPr>
          <w:trHeight w:val="150"/>
        </w:trPr>
        <w:tc>
          <w:tcPr>
            <w:tcW w:w="3260" w:type="dxa"/>
            <w:vAlign w:val="bottom"/>
          </w:tcPr>
          <w:p>
            <w:pPr>
              <w:ind w:left="500"/>
              <w:spacing w:after="0"/>
              <w:rPr>
                <w:sz w:val="20"/>
                <w:szCs w:val="20"/>
                <w:color w:val="auto"/>
              </w:rPr>
            </w:pPr>
            <w:r>
              <w:rPr>
                <w:rFonts w:ascii="Arial" w:cs="Arial" w:eastAsia="Arial" w:hAnsi="Arial"/>
                <w:sz w:val="13"/>
                <w:szCs w:val="13"/>
                <w:color w:val="auto"/>
              </w:rPr>
              <w:t>environmental pollutant impact</w:t>
            </w:r>
          </w:p>
        </w:tc>
        <w:tc>
          <w:tcPr>
            <w:tcW w:w="3380" w:type="dxa"/>
            <w:vAlign w:val="bottom"/>
          </w:tcPr>
          <w:p>
            <w:pPr>
              <w:ind w:left="480"/>
              <w:spacing w:after="0"/>
              <w:rPr>
                <w:sz w:val="20"/>
                <w:szCs w:val="20"/>
                <w:color w:val="auto"/>
              </w:rPr>
            </w:pPr>
            <w:r>
              <w:rPr>
                <w:rFonts w:ascii="Arial" w:cs="Arial" w:eastAsia="Arial" w:hAnsi="Arial"/>
                <w:sz w:val="13"/>
                <w:szCs w:val="13"/>
                <w:color w:val="auto"/>
              </w:rPr>
              <w:t>and leaders with tools and skills they need</w:t>
            </w:r>
          </w:p>
        </w:tc>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Require cybersecurity awareness training</w:t>
            </w:r>
          </w:p>
        </w:tc>
      </w:tr>
      <w:tr>
        <w:trPr>
          <w:trHeight w:val="150"/>
        </w:trPr>
        <w:tc>
          <w:tcPr>
            <w:tcW w:w="32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 xml:space="preserve">●   </w:t>
            </w:r>
            <w:r>
              <w:rPr>
                <w:rFonts w:ascii="Arial" w:cs="Arial" w:eastAsia="Arial" w:hAnsi="Arial"/>
                <w:sz w:val="13"/>
                <w:szCs w:val="13"/>
                <w:color w:val="000000"/>
              </w:rPr>
              <w:t>Require regular training that reinforces policies</w:t>
            </w:r>
          </w:p>
        </w:tc>
      </w:tr>
      <w:tr>
        <w:trPr>
          <w:trHeight w:val="175"/>
        </w:trPr>
        <w:tc>
          <w:tcPr>
            <w:tcW w:w="32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280" w:type="dxa"/>
            <w:vAlign w:val="bottom"/>
          </w:tcPr>
          <w:p>
            <w:pPr>
              <w:ind w:left="440"/>
              <w:spacing w:after="0"/>
              <w:rPr>
                <w:sz w:val="20"/>
                <w:szCs w:val="20"/>
                <w:color w:val="auto"/>
              </w:rPr>
            </w:pPr>
            <w:r>
              <w:rPr>
                <w:rFonts w:ascii="Arial" w:cs="Arial" w:eastAsia="Arial" w:hAnsi="Arial"/>
                <w:sz w:val="13"/>
                <w:szCs w:val="13"/>
                <w:color w:val="auto"/>
              </w:rPr>
              <w:t>such as sexual harassment and anti-bullying</w:t>
            </w:r>
          </w:p>
        </w:tc>
      </w:tr>
      <w:tr>
        <w:trPr>
          <w:trHeight w:val="58"/>
        </w:trPr>
        <w:tc>
          <w:tcPr>
            <w:tcW w:w="3260" w:type="dxa"/>
            <w:vAlign w:val="bottom"/>
            <w:tcBorders>
              <w:bottom w:val="single" w:sz="8" w:color="A1B657"/>
            </w:tcBorders>
          </w:tcPr>
          <w:p>
            <w:pPr>
              <w:spacing w:after="0"/>
              <w:rPr>
                <w:sz w:val="5"/>
                <w:szCs w:val="5"/>
                <w:color w:val="auto"/>
              </w:rPr>
            </w:pPr>
          </w:p>
        </w:tc>
        <w:tc>
          <w:tcPr>
            <w:tcW w:w="3380" w:type="dxa"/>
            <w:vAlign w:val="bottom"/>
            <w:tcBorders>
              <w:bottom w:val="single" w:sz="8" w:color="A1B657"/>
            </w:tcBorders>
          </w:tcPr>
          <w:p>
            <w:pPr>
              <w:spacing w:after="0"/>
              <w:rPr>
                <w:sz w:val="5"/>
                <w:szCs w:val="5"/>
                <w:color w:val="auto"/>
              </w:rPr>
            </w:pPr>
          </w:p>
        </w:tc>
        <w:tc>
          <w:tcPr>
            <w:tcW w:w="3280" w:type="dxa"/>
            <w:vAlign w:val="bottom"/>
            <w:tcBorders>
              <w:bottom w:val="single" w:sz="8" w:color="A1B657"/>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-1451610</wp:posOffset>
            </wp:positionV>
            <wp:extent cx="222250" cy="229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250" cy="229870"/>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-1467485</wp:posOffset>
            </wp:positionV>
            <wp:extent cx="238125" cy="238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-1467485</wp:posOffset>
            </wp:positionV>
            <wp:extent cx="222250" cy="238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250" cy="23812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Director Qualifications</w:t>
      </w:r>
    </w:p>
    <w:p>
      <w:pPr>
        <w:spacing w:after="0" w:line="92"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p>
      <w:pPr>
        <w:spacing w:after="0" w:line="66" w:lineRule="exact"/>
        <w:rPr>
          <w:sz w:val="20"/>
          <w:szCs w:val="20"/>
          <w:color w:val="auto"/>
        </w:rPr>
      </w:pPr>
    </w:p>
    <w:p>
      <w:pPr>
        <w:ind w:left="620" w:right="340" w:hanging="294"/>
        <w:spacing w:after="0" w:line="257" w:lineRule="auto"/>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the person will qualify as a director who is “independent” under applicable laws and regulations, and whether the person is qualified under applicable laws and regulations to serve as a director of our Company;</w:t>
      </w:r>
    </w:p>
    <w:p>
      <w:pPr>
        <w:spacing w:after="0" w:line="55" w:lineRule="exact"/>
        <w:rPr>
          <w:rFonts w:ascii="Times New Roman" w:cs="Times New Roman" w:eastAsia="Times New Roman" w:hAnsi="Times New Roman"/>
          <w:sz w:val="17"/>
          <w:szCs w:val="17"/>
          <w:color w:val="3C578C"/>
        </w:rPr>
      </w:pPr>
    </w:p>
    <w:p>
      <w:pPr>
        <w:ind w:left="620" w:right="40" w:hanging="294"/>
        <w:spacing w:after="0" w:line="257" w:lineRule="auto"/>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the person is willing to serve as a director, and willing to commit the time necessary for the performance of the duties of a director;</w:t>
      </w:r>
    </w:p>
    <w:p>
      <w:pPr>
        <w:spacing w:after="0" w:line="55" w:lineRule="exact"/>
        <w:rPr>
          <w:rFonts w:ascii="Times New Roman" w:cs="Times New Roman" w:eastAsia="Times New Roman" w:hAnsi="Times New Roman"/>
          <w:sz w:val="17"/>
          <w:szCs w:val="17"/>
          <w:color w:val="3C578C"/>
        </w:rPr>
      </w:pPr>
    </w:p>
    <w:p>
      <w:pPr>
        <w:ind w:left="620" w:right="140" w:hanging="294"/>
        <w:spacing w:after="0" w:line="244" w:lineRule="auto"/>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The contribution that the person can make to our Board, with consideration being given to the person’s business experience, education and skills, conflicts of interest, the interplay of the candidate’s experience with that of other Board members, and such other factors as our Board may consider relevant; and</w:t>
      </w:r>
    </w:p>
    <w:p>
      <w:pPr>
        <w:spacing w:after="0" w:line="6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The character and integrity of the person.</w:t>
      </w:r>
    </w:p>
    <w:p>
      <w:pPr>
        <w:spacing w:after="0" w:line="20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7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The Board is also committed to having a membership that reflects a diversity of gender, race, ethnicity, age and background. This commitment is demonstrated by the fact that the Board currently includes two female directors and two directors who are ethnically diverse. Our directors currently range in age from 54 to 74.</w:t>
      </w:r>
    </w:p>
    <w:p>
      <w:pPr>
        <w:spacing w:after="0" w:line="66" w:lineRule="exact"/>
        <w:rPr>
          <w:sz w:val="20"/>
          <w:szCs w:val="20"/>
          <w:color w:val="auto"/>
        </w:rPr>
      </w:pPr>
    </w:p>
    <w:p>
      <w:pPr>
        <w:jc w:val="both"/>
        <w:ind w:right="240"/>
        <w:spacing w:after="0" w:line="267" w:lineRule="auto"/>
        <w:rPr>
          <w:sz w:val="20"/>
          <w:szCs w:val="20"/>
          <w:color w:val="auto"/>
        </w:rPr>
      </w:pPr>
      <w:r>
        <w:rPr>
          <w:rFonts w:ascii="Arial" w:cs="Arial" w:eastAsia="Arial" w:hAnsi="Arial"/>
          <w:sz w:val="16"/>
          <w:szCs w:val="16"/>
          <w:color w:val="auto"/>
        </w:rPr>
        <w:t>With respect to skill set diversity, our Board seeks to have directors and nominees composed of qualified professionals with a broad range of skills. Our current directors have a broad range of skills, expertise and diversity, some of which have been described in the directors’ profiles. Diversity helps to create a balanced Board to effectively develop strategies for our Company’s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224155</wp:posOffset>
            </wp:positionV>
            <wp:extent cx="483870" cy="2222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9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Code of Business Conduct and Ethics and Corporate Governance Guidelines</w:t>
      </w:r>
    </w:p>
    <w:p>
      <w:pPr>
        <w:spacing w:after="0" w:line="90"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have adopted a Code of Business Conduct and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and stockholders. The Code of Business Conduct and Ethics and Corporate Governance Guidelines are posted on our website www.cecoenviro.com on the Investor Relations, Governance section. We will post on our website any amendments to or waivers of the Code of Business Conduct and Ethics for executive officers or directors in accordance with applicable laws and regulations. The information on or accessible through our website is not a part of or incorporated by reference into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 Trading Policy</w:t>
      </w:r>
    </w:p>
    <w:p>
      <w:pPr>
        <w:spacing w:after="0" w:line="9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maintain an Insider Trading Policy that governs the purchase, sale and other acquisitions or dispositions of the Company’s common stock by the Company and all of our directors, officers, employees, and agents. This policy is reasonably designed to promote compliance with insider trading laws, related SEC rules and regulations and the Nasdaq listing standards and expressly prohibits buying or selling securities while in possession of material, nonpublic information about us or another company and from disclosing such information on to others who might purchase or sell securities on the basis of such information. We consider short-term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Insider Trading Policy prohibits all members of our Board and all officers and employees of the Company and its subsidiaries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policy further prohibits such persons from pledging, hypothecating or otherwise using the Company’s securities as collateral for a loan or other form of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and Approval of Transactions with Related Parties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Since January 1, 2024, we have not been a party to any transaction or series of similar transactions in which the amount involved exceeded or will exceed $120,000 and in which any then-director, executive officer, holder of more than 5% of our common stock, or any member of the immediate family of any of the foregoing, had or will have a direct or indirect material interest. Our Audit Committee is responsible for reviewing and approving or ratifying any related party transactions in accordance with the Audit Committee Charter.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Communications with Directors</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5080 Spectrum Drive, Suite 800E, Addison, Texas, 75001.</w:t>
      </w:r>
    </w:p>
    <w:p>
      <w:pPr>
        <w:spacing w:after="0" w:line="66"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71" w:lineRule="exact"/>
        <w:rPr>
          <w:sz w:val="20"/>
          <w:szCs w:val="20"/>
          <w:color w:val="auto"/>
        </w:rPr>
      </w:pPr>
    </w:p>
    <w:p>
      <w:pPr>
        <w:ind w:right="1120"/>
        <w:spacing w:after="0" w:line="258" w:lineRule="auto"/>
        <w:rPr>
          <w:sz w:val="20"/>
          <w:szCs w:val="20"/>
          <w:color w:val="auto"/>
        </w:rPr>
      </w:pPr>
      <w:r>
        <w:rPr>
          <w:rFonts w:ascii="Arial" w:cs="Arial" w:eastAsia="Arial" w:hAnsi="Arial"/>
          <w:sz w:val="17"/>
          <w:szCs w:val="17"/>
          <w:color w:val="auto"/>
        </w:rPr>
        <w:t>Our Board or the independent directors will determine, in their respective sole discretion, the method by which any such communications will be reviewed and considered.</w:t>
      </w:r>
    </w:p>
    <w:p>
      <w:pPr>
        <w:spacing w:after="0" w:line="32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14</w:t>
      </w:r>
      <w:r>
        <w:rPr>
          <w:sz w:val="20"/>
          <w:szCs w:val="20"/>
          <w:color w:val="auto"/>
        </w:rPr>
        <w:tab/>
      </w:r>
      <w:r>
        <w:rPr>
          <w:sz w:val="1"/>
          <w:szCs w:val="1"/>
          <w:color w:val="auto"/>
        </w:rPr>
        <w:drawing>
          <wp:inline distT="0" distB="0" distL="0" distR="0">
            <wp:extent cx="476250" cy="2222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2024 Director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For 2024, our non-management directors received the following compensation for their service on our Board: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Director Service</w:t>
            </w:r>
          </w:p>
        </w:tc>
        <w:tc>
          <w:tcPr>
            <w:tcW w:w="38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Compensation ($)</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cash retainer, paid quarterly</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62,000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equity retainer</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140,000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Chair supplement</w:t>
            </w:r>
          </w:p>
        </w:tc>
        <w:tc>
          <w:tcPr>
            <w:tcW w:w="3860" w:type="dxa"/>
            <w:vAlign w:val="bottom"/>
            <w:tcBorders>
              <w:bottom w:val="single" w:sz="8" w:color="D9D9D9"/>
            </w:tcBorders>
          </w:tcPr>
          <w:p>
            <w:pPr>
              <w:spacing w:after="0"/>
              <w:rPr>
                <w:sz w:val="16"/>
                <w:szCs w:val="16"/>
                <w:color w:val="auto"/>
              </w:rPr>
            </w:pP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Board Chairman</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Audit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30,000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Compensation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M&amp;A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Nominations and Governance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Committee member supplement</w:t>
            </w:r>
          </w:p>
        </w:tc>
        <w:tc>
          <w:tcPr>
            <w:tcW w:w="3860" w:type="dxa"/>
            <w:vAlign w:val="bottom"/>
            <w:tcBorders>
              <w:bottom w:val="single" w:sz="8" w:color="D9D9D9"/>
            </w:tcBorders>
          </w:tcPr>
          <w:p>
            <w:pPr>
              <w:spacing w:after="0"/>
              <w:rPr>
                <w:sz w:val="16"/>
                <w:szCs w:val="16"/>
                <w:color w:val="auto"/>
              </w:rPr>
            </w:pPr>
          </w:p>
        </w:tc>
      </w:tr>
      <w:tr>
        <w:trPr>
          <w:trHeight w:val="187"/>
        </w:trPr>
        <w:tc>
          <w:tcPr>
            <w:tcW w:w="6060" w:type="dxa"/>
            <w:vAlign w:val="bottom"/>
            <w:tcBorders>
              <w:bottom w:val="single" w:sz="8" w:color="405788"/>
            </w:tcBorders>
          </w:tcPr>
          <w:p>
            <w:pPr>
              <w:ind w:left="300"/>
              <w:spacing w:after="0" w:line="188" w:lineRule="exact"/>
              <w:rPr>
                <w:sz w:val="20"/>
                <w:szCs w:val="20"/>
                <w:color w:val="auto"/>
              </w:rPr>
            </w:pPr>
            <w:r>
              <w:rPr>
                <w:rFonts w:ascii="Arial" w:cs="Arial" w:eastAsia="Arial" w:hAnsi="Arial"/>
                <w:sz w:val="17"/>
                <w:szCs w:val="17"/>
                <w:color w:val="auto"/>
              </w:rPr>
              <w:t>Audit Committee member</w:t>
            </w:r>
          </w:p>
        </w:tc>
        <w:tc>
          <w:tcPr>
            <w:tcW w:w="38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5,000</w:t>
            </w:r>
          </w:p>
        </w:tc>
      </w:tr>
    </w:tbl>
    <w:p>
      <w:pPr>
        <w:spacing w:after="0" w:line="17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Compensation Committee has determined that granting restricted stock units (“RSUs”) promotes the ownership of our common stock and aligns directors’ interest with our stockholders’ interests. Accordingly, in May 2024, we granted to each then-serving non-management director RSUs covering 5,712 shares of our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w:t>
      </w:r>
    </w:p>
    <w:p>
      <w:pPr>
        <w:spacing w:after="0" w:line="7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following table reflects the 2024 compensation paid to each of our non-management directors. Directors that are employees of the Company do not receive additional compensation for service on the Board or as members of any of its committees.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20" w:type="dxa"/>
            <w:vAlign w:val="bottom"/>
          </w:tcPr>
          <w:p>
            <w:pPr>
              <w:spacing w:after="0"/>
              <w:rPr>
                <w:sz w:val="13"/>
                <w:szCs w:val="13"/>
                <w:color w:val="auto"/>
              </w:rPr>
            </w:pPr>
          </w:p>
        </w:tc>
        <w:tc>
          <w:tcPr>
            <w:tcW w:w="2720" w:type="dxa"/>
            <w:vAlign w:val="bottom"/>
          </w:tcPr>
          <w:p>
            <w:pPr>
              <w:jc w:val="right"/>
              <w:ind w:right="82"/>
              <w:spacing w:after="0"/>
              <w:rPr>
                <w:sz w:val="20"/>
                <w:szCs w:val="20"/>
                <w:color w:val="auto"/>
              </w:rPr>
            </w:pPr>
            <w:r>
              <w:rPr>
                <w:rFonts w:ascii="Arial" w:cs="Arial" w:eastAsia="Arial" w:hAnsi="Arial"/>
                <w:sz w:val="13"/>
                <w:szCs w:val="13"/>
                <w:b w:val="1"/>
                <w:bCs w:val="1"/>
                <w:color w:val="auto"/>
              </w:rPr>
              <w:t>Fees Earned or</w:t>
            </w:r>
          </w:p>
        </w:tc>
        <w:tc>
          <w:tcPr>
            <w:tcW w:w="1320" w:type="dxa"/>
            <w:vAlign w:val="bottom"/>
            <w:vMerge w:val="restart"/>
          </w:tcPr>
          <w:p>
            <w:pPr>
              <w:jc w:val="right"/>
              <w:ind w:right="100"/>
              <w:spacing w:after="0"/>
              <w:rPr>
                <w:sz w:val="20"/>
                <w:szCs w:val="20"/>
                <w:color w:val="auto"/>
              </w:rPr>
            </w:pPr>
            <w:r>
              <w:rPr>
                <w:rFonts w:ascii="Arial" w:cs="Arial" w:eastAsia="Arial" w:hAnsi="Arial"/>
                <w:sz w:val="13"/>
                <w:szCs w:val="13"/>
                <w:b w:val="1"/>
                <w:bCs w:val="1"/>
                <w:color w:val="auto"/>
              </w:rPr>
              <w:t xml:space="preserve">Stock Awards </w:t>
            </w:r>
            <w:r>
              <w:rPr>
                <w:rFonts w:ascii="Arial" w:cs="Arial" w:eastAsia="Arial" w:hAnsi="Arial"/>
                <w:sz w:val="19"/>
                <w:szCs w:val="19"/>
                <w:b w:val="1"/>
                <w:bCs w:val="1"/>
                <w:color w:val="auto"/>
                <w:vertAlign w:val="superscript"/>
              </w:rPr>
              <w:t>1</w:t>
            </w:r>
          </w:p>
        </w:tc>
        <w:tc>
          <w:tcPr>
            <w:tcW w:w="1460" w:type="dxa"/>
            <w:vAlign w:val="bottom"/>
          </w:tcPr>
          <w:p>
            <w:pPr>
              <w:jc w:val="right"/>
              <w:ind w:right="262"/>
              <w:spacing w:after="0"/>
              <w:rPr>
                <w:sz w:val="20"/>
                <w:szCs w:val="20"/>
                <w:color w:val="auto"/>
              </w:rPr>
            </w:pPr>
            <w:r>
              <w:rPr>
                <w:rFonts w:ascii="Arial" w:cs="Arial" w:eastAsia="Arial" w:hAnsi="Arial"/>
                <w:sz w:val="13"/>
                <w:szCs w:val="13"/>
                <w:b w:val="1"/>
                <w:bCs w:val="1"/>
                <w:color w:val="auto"/>
              </w:rPr>
              <w:t>All 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20" w:type="dxa"/>
            <w:vAlign w:val="bottom"/>
          </w:tcPr>
          <w:p>
            <w:pPr>
              <w:spacing w:after="0"/>
              <w:rPr>
                <w:sz w:val="13"/>
                <w:szCs w:val="13"/>
                <w:color w:val="auto"/>
              </w:rPr>
            </w:pPr>
          </w:p>
        </w:tc>
        <w:tc>
          <w:tcPr>
            <w:tcW w:w="2720" w:type="dxa"/>
            <w:vAlign w:val="bottom"/>
          </w:tcPr>
          <w:p>
            <w:pPr>
              <w:jc w:val="right"/>
              <w:ind w:right="82"/>
              <w:spacing w:after="0"/>
              <w:rPr>
                <w:sz w:val="20"/>
                <w:szCs w:val="20"/>
                <w:color w:val="auto"/>
              </w:rPr>
            </w:pPr>
            <w:r>
              <w:rPr>
                <w:rFonts w:ascii="Arial" w:cs="Arial" w:eastAsia="Arial" w:hAnsi="Arial"/>
                <w:sz w:val="13"/>
                <w:szCs w:val="13"/>
                <w:b w:val="1"/>
                <w:bCs w:val="1"/>
                <w:color w:val="auto"/>
              </w:rPr>
              <w:t>Paid in Cash</w:t>
            </w:r>
          </w:p>
        </w:tc>
        <w:tc>
          <w:tcPr>
            <w:tcW w:w="1320" w:type="dxa"/>
            <w:vAlign w:val="bottom"/>
            <w:vMerge w:val="continue"/>
          </w:tcPr>
          <w:p>
            <w:pPr>
              <w:spacing w:after="0"/>
              <w:rPr>
                <w:sz w:val="13"/>
                <w:szCs w:val="13"/>
                <w:color w:val="auto"/>
              </w:rPr>
            </w:pPr>
          </w:p>
        </w:tc>
        <w:tc>
          <w:tcPr>
            <w:tcW w:w="1460" w:type="dxa"/>
            <w:vAlign w:val="bottom"/>
          </w:tcPr>
          <w:p>
            <w:pPr>
              <w:jc w:val="right"/>
              <w:ind w:right="262"/>
              <w:spacing w:after="0"/>
              <w:rPr>
                <w:sz w:val="20"/>
                <w:szCs w:val="20"/>
                <w:color w:val="auto"/>
              </w:rPr>
            </w:pPr>
            <w:r>
              <w:rPr>
                <w:rFonts w:ascii="Arial" w:cs="Arial" w:eastAsia="Arial" w:hAnsi="Arial"/>
                <w:sz w:val="13"/>
                <w:szCs w:val="13"/>
                <w:b w:val="1"/>
                <w:bCs w:val="1"/>
                <w:color w:val="auto"/>
              </w:rPr>
              <w:t>Compensation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342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2720" w:type="dxa"/>
            <w:vAlign w:val="bottom"/>
            <w:tcBorders>
              <w:bottom w:val="single" w:sz="8" w:color="405788"/>
            </w:tcBorders>
          </w:tcPr>
          <w:p>
            <w:pPr>
              <w:jc w:val="right"/>
              <w:ind w:right="82"/>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405788"/>
            </w:tcBorders>
          </w:tcPr>
          <w:p>
            <w:pPr>
              <w:jc w:val="right"/>
              <w:ind w:right="100"/>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405788"/>
            </w:tcBorders>
          </w:tcPr>
          <w:p>
            <w:pPr>
              <w:jc w:val="right"/>
              <w:ind w:right="262"/>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2720" w:type="dxa"/>
            <w:vAlign w:val="bottom"/>
            <w:tcBorders>
              <w:bottom w:val="single" w:sz="8" w:color="D9D9D9"/>
            </w:tcBorders>
          </w:tcPr>
          <w:p>
            <w:pPr>
              <w:jc w:val="right"/>
              <w:ind w:right="102"/>
              <w:spacing w:after="0" w:line="188" w:lineRule="exact"/>
              <w:rPr>
                <w:sz w:val="20"/>
                <w:szCs w:val="20"/>
                <w:color w:val="auto"/>
              </w:rPr>
            </w:pPr>
            <w:r>
              <w:rPr>
                <w:rFonts w:ascii="Arial" w:cs="Arial" w:eastAsia="Arial" w:hAnsi="Arial"/>
                <w:sz w:val="17"/>
                <w:szCs w:val="17"/>
                <w:color w:val="auto"/>
              </w:rPr>
              <w:t>162,000</w:t>
            </w:r>
          </w:p>
        </w:tc>
        <w:tc>
          <w:tcPr>
            <w:tcW w:w="13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140,001</w:t>
            </w:r>
          </w:p>
        </w:tc>
        <w:tc>
          <w:tcPr>
            <w:tcW w:w="1460" w:type="dxa"/>
            <w:vAlign w:val="bottom"/>
            <w:tcBorders>
              <w:bottom w:val="single" w:sz="8" w:color="D9D9D9"/>
            </w:tcBorders>
          </w:tcPr>
          <w:p>
            <w:pPr>
              <w:jc w:val="right"/>
              <w:ind w:right="282"/>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302,001</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Valerie Gentile Sachs </w:t>
            </w:r>
            <w:r>
              <w:rPr>
                <w:rFonts w:ascii="Arial" w:cs="Arial" w:eastAsia="Arial" w:hAnsi="Arial"/>
                <w:sz w:val="21"/>
                <w:szCs w:val="21"/>
                <w:color w:val="auto"/>
                <w:vertAlign w:val="superscript"/>
              </w:rPr>
              <w:t>2</w:t>
            </w:r>
          </w:p>
        </w:tc>
        <w:tc>
          <w:tcPr>
            <w:tcW w:w="2720" w:type="dxa"/>
            <w:vAlign w:val="bottom"/>
            <w:tcBorders>
              <w:bottom w:val="single" w:sz="8" w:color="D9D9D9"/>
            </w:tcBorders>
          </w:tcPr>
          <w:p>
            <w:pPr>
              <w:jc w:val="right"/>
              <w:ind w:right="102"/>
              <w:spacing w:after="0" w:line="188" w:lineRule="exact"/>
              <w:rPr>
                <w:sz w:val="20"/>
                <w:szCs w:val="20"/>
                <w:color w:val="auto"/>
              </w:rPr>
            </w:pPr>
            <w:r>
              <w:rPr>
                <w:rFonts w:ascii="Arial" w:cs="Arial" w:eastAsia="Arial" w:hAnsi="Arial"/>
                <w:sz w:val="17"/>
                <w:szCs w:val="17"/>
                <w:color w:val="auto"/>
              </w:rPr>
              <w:t>77,000</w:t>
            </w:r>
          </w:p>
        </w:tc>
        <w:tc>
          <w:tcPr>
            <w:tcW w:w="13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140,001</w:t>
            </w:r>
          </w:p>
        </w:tc>
        <w:tc>
          <w:tcPr>
            <w:tcW w:w="1460" w:type="dxa"/>
            <w:vAlign w:val="bottom"/>
            <w:tcBorders>
              <w:bottom w:val="single" w:sz="8" w:color="D9D9D9"/>
            </w:tcBorders>
          </w:tcPr>
          <w:p>
            <w:pPr>
              <w:jc w:val="right"/>
              <w:ind w:right="282"/>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217,001</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Robert E. Knowling, Jr. </w:t>
            </w:r>
            <w:r>
              <w:rPr>
                <w:rFonts w:ascii="Arial" w:cs="Arial" w:eastAsia="Arial" w:hAnsi="Arial"/>
                <w:sz w:val="21"/>
                <w:szCs w:val="21"/>
                <w:color w:val="auto"/>
                <w:vertAlign w:val="superscript"/>
              </w:rPr>
              <w:t>3</w:t>
            </w:r>
          </w:p>
        </w:tc>
        <w:tc>
          <w:tcPr>
            <w:tcW w:w="2720" w:type="dxa"/>
            <w:vAlign w:val="bottom"/>
            <w:tcBorders>
              <w:bottom w:val="single" w:sz="8" w:color="D9D9D9"/>
            </w:tcBorders>
          </w:tcPr>
          <w:p>
            <w:pPr>
              <w:jc w:val="right"/>
              <w:ind w:right="102"/>
              <w:spacing w:after="0" w:line="188" w:lineRule="exact"/>
              <w:rPr>
                <w:sz w:val="20"/>
                <w:szCs w:val="20"/>
                <w:color w:val="auto"/>
              </w:rPr>
            </w:pPr>
            <w:r>
              <w:rPr>
                <w:rFonts w:ascii="Arial" w:cs="Arial" w:eastAsia="Arial" w:hAnsi="Arial"/>
                <w:sz w:val="17"/>
                <w:szCs w:val="17"/>
                <w:color w:val="auto"/>
              </w:rPr>
              <w:t>77,000</w:t>
            </w:r>
          </w:p>
        </w:tc>
        <w:tc>
          <w:tcPr>
            <w:tcW w:w="13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140,001</w:t>
            </w:r>
          </w:p>
        </w:tc>
        <w:tc>
          <w:tcPr>
            <w:tcW w:w="1460" w:type="dxa"/>
            <w:vAlign w:val="bottom"/>
            <w:tcBorders>
              <w:bottom w:val="single" w:sz="8" w:color="D9D9D9"/>
            </w:tcBorders>
          </w:tcPr>
          <w:p>
            <w:pPr>
              <w:jc w:val="right"/>
              <w:ind w:right="282"/>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217,001</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Claudio A. Mannarino </w:t>
            </w:r>
            <w:r>
              <w:rPr>
                <w:rFonts w:ascii="Arial" w:cs="Arial" w:eastAsia="Arial" w:hAnsi="Arial"/>
                <w:sz w:val="21"/>
                <w:szCs w:val="21"/>
                <w:color w:val="auto"/>
                <w:vertAlign w:val="superscript"/>
              </w:rPr>
              <w:t>4</w:t>
            </w:r>
          </w:p>
        </w:tc>
        <w:tc>
          <w:tcPr>
            <w:tcW w:w="2720" w:type="dxa"/>
            <w:vAlign w:val="bottom"/>
            <w:tcBorders>
              <w:bottom w:val="single" w:sz="8" w:color="D9D9D9"/>
            </w:tcBorders>
          </w:tcPr>
          <w:p>
            <w:pPr>
              <w:jc w:val="right"/>
              <w:ind w:right="102"/>
              <w:spacing w:after="0" w:line="188" w:lineRule="exact"/>
              <w:rPr>
                <w:sz w:val="20"/>
                <w:szCs w:val="20"/>
                <w:color w:val="auto"/>
              </w:rPr>
            </w:pPr>
            <w:r>
              <w:rPr>
                <w:rFonts w:ascii="Arial" w:cs="Arial" w:eastAsia="Arial" w:hAnsi="Arial"/>
                <w:sz w:val="17"/>
                <w:szCs w:val="17"/>
                <w:color w:val="auto"/>
              </w:rPr>
              <w:t>67,000</w:t>
            </w:r>
          </w:p>
        </w:tc>
        <w:tc>
          <w:tcPr>
            <w:tcW w:w="13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140,001</w:t>
            </w:r>
          </w:p>
        </w:tc>
        <w:tc>
          <w:tcPr>
            <w:tcW w:w="1460" w:type="dxa"/>
            <w:vAlign w:val="bottom"/>
            <w:tcBorders>
              <w:bottom w:val="single" w:sz="8" w:color="D9D9D9"/>
            </w:tcBorders>
          </w:tcPr>
          <w:p>
            <w:pPr>
              <w:jc w:val="right"/>
              <w:ind w:right="282"/>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207,001</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2720" w:type="dxa"/>
            <w:vAlign w:val="bottom"/>
            <w:tcBorders>
              <w:bottom w:val="single" w:sz="8" w:color="D9D9D9"/>
            </w:tcBorders>
          </w:tcPr>
          <w:p>
            <w:pPr>
              <w:jc w:val="right"/>
              <w:ind w:right="102"/>
              <w:spacing w:after="0" w:line="188" w:lineRule="exact"/>
              <w:rPr>
                <w:sz w:val="20"/>
                <w:szCs w:val="20"/>
                <w:color w:val="auto"/>
              </w:rPr>
            </w:pPr>
            <w:r>
              <w:rPr>
                <w:rFonts w:ascii="Arial" w:cs="Arial" w:eastAsia="Arial" w:hAnsi="Arial"/>
                <w:sz w:val="17"/>
                <w:szCs w:val="17"/>
                <w:color w:val="auto"/>
              </w:rPr>
              <w:t>67,000</w:t>
            </w:r>
          </w:p>
        </w:tc>
        <w:tc>
          <w:tcPr>
            <w:tcW w:w="13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140,001</w:t>
            </w:r>
          </w:p>
        </w:tc>
        <w:tc>
          <w:tcPr>
            <w:tcW w:w="1460" w:type="dxa"/>
            <w:vAlign w:val="bottom"/>
            <w:tcBorders>
              <w:bottom w:val="single" w:sz="8" w:color="D9D9D9"/>
            </w:tcBorders>
          </w:tcPr>
          <w:p>
            <w:pPr>
              <w:jc w:val="right"/>
              <w:ind w:right="282"/>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207,001</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Laurie A. Siegel</w:t>
            </w:r>
          </w:p>
        </w:tc>
        <w:tc>
          <w:tcPr>
            <w:tcW w:w="2720" w:type="dxa"/>
            <w:vAlign w:val="bottom"/>
            <w:tcBorders>
              <w:bottom w:val="single" w:sz="8" w:color="D9D9D9"/>
            </w:tcBorders>
          </w:tcPr>
          <w:p>
            <w:pPr>
              <w:jc w:val="right"/>
              <w:ind w:right="102"/>
              <w:spacing w:after="0" w:line="188" w:lineRule="exact"/>
              <w:rPr>
                <w:sz w:val="20"/>
                <w:szCs w:val="20"/>
                <w:color w:val="auto"/>
              </w:rPr>
            </w:pPr>
            <w:r>
              <w:rPr>
                <w:rFonts w:ascii="Arial" w:cs="Arial" w:eastAsia="Arial" w:hAnsi="Arial"/>
                <w:sz w:val="17"/>
                <w:szCs w:val="17"/>
                <w:color w:val="auto"/>
              </w:rPr>
              <w:t>72,000</w:t>
            </w:r>
          </w:p>
        </w:tc>
        <w:tc>
          <w:tcPr>
            <w:tcW w:w="13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140,001</w:t>
            </w:r>
          </w:p>
        </w:tc>
        <w:tc>
          <w:tcPr>
            <w:tcW w:w="1460" w:type="dxa"/>
            <w:vAlign w:val="bottom"/>
            <w:tcBorders>
              <w:bottom w:val="single" w:sz="8" w:color="D9D9D9"/>
            </w:tcBorders>
          </w:tcPr>
          <w:p>
            <w:pPr>
              <w:jc w:val="right"/>
              <w:ind w:right="282"/>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212,001</w:t>
            </w:r>
          </w:p>
        </w:tc>
        <w:tc>
          <w:tcPr>
            <w:tcW w:w="0" w:type="dxa"/>
            <w:vAlign w:val="bottom"/>
          </w:tcPr>
          <w:p>
            <w:pPr>
              <w:spacing w:after="0"/>
              <w:rPr>
                <w:sz w:val="1"/>
                <w:szCs w:val="1"/>
                <w:color w:val="auto"/>
              </w:rPr>
            </w:pPr>
          </w:p>
        </w:tc>
      </w:tr>
      <w:tr>
        <w:trPr>
          <w:trHeight w:val="187"/>
        </w:trPr>
        <w:tc>
          <w:tcPr>
            <w:tcW w:w="3420" w:type="dxa"/>
            <w:vAlign w:val="bottom"/>
            <w:tcBorders>
              <w:bottom w:val="single" w:sz="8" w:color="405788"/>
            </w:tcBorders>
          </w:tcPr>
          <w:p>
            <w:pPr>
              <w:spacing w:after="0" w:line="188" w:lineRule="exact"/>
              <w:rPr>
                <w:sz w:val="20"/>
                <w:szCs w:val="20"/>
                <w:color w:val="auto"/>
              </w:rPr>
            </w:pPr>
            <w:r>
              <w:rPr>
                <w:rFonts w:ascii="Arial" w:cs="Arial" w:eastAsia="Arial" w:hAnsi="Arial"/>
                <w:sz w:val="15"/>
                <w:szCs w:val="15"/>
                <w:color w:val="auto"/>
              </w:rPr>
              <w:t xml:space="preserve">Richard F. Wallman </w:t>
            </w:r>
            <w:r>
              <w:rPr>
                <w:rFonts w:ascii="Arial" w:cs="Arial" w:eastAsia="Arial" w:hAnsi="Arial"/>
                <w:sz w:val="21"/>
                <w:szCs w:val="21"/>
                <w:color w:val="auto"/>
                <w:vertAlign w:val="superscript"/>
              </w:rPr>
              <w:t>5</w:t>
            </w:r>
          </w:p>
        </w:tc>
        <w:tc>
          <w:tcPr>
            <w:tcW w:w="2720" w:type="dxa"/>
            <w:vAlign w:val="bottom"/>
            <w:tcBorders>
              <w:bottom w:val="single" w:sz="8" w:color="405788"/>
            </w:tcBorders>
          </w:tcPr>
          <w:p>
            <w:pPr>
              <w:jc w:val="right"/>
              <w:ind w:right="102"/>
              <w:spacing w:after="0" w:line="188" w:lineRule="exact"/>
              <w:rPr>
                <w:sz w:val="20"/>
                <w:szCs w:val="20"/>
                <w:color w:val="auto"/>
              </w:rPr>
            </w:pPr>
            <w:r>
              <w:rPr>
                <w:rFonts w:ascii="Arial" w:cs="Arial" w:eastAsia="Arial" w:hAnsi="Arial"/>
                <w:sz w:val="17"/>
                <w:szCs w:val="17"/>
                <w:color w:val="auto"/>
              </w:rPr>
              <w:t>92,000</w:t>
            </w:r>
          </w:p>
        </w:tc>
        <w:tc>
          <w:tcPr>
            <w:tcW w:w="1320" w:type="dxa"/>
            <w:vAlign w:val="bottom"/>
            <w:tcBorders>
              <w:bottom w:val="single" w:sz="8" w:color="405788"/>
            </w:tcBorders>
          </w:tcPr>
          <w:p>
            <w:pPr>
              <w:jc w:val="right"/>
              <w:ind w:right="120"/>
              <w:spacing w:after="0" w:line="188" w:lineRule="exact"/>
              <w:rPr>
                <w:sz w:val="20"/>
                <w:szCs w:val="20"/>
                <w:color w:val="auto"/>
              </w:rPr>
            </w:pPr>
            <w:r>
              <w:rPr>
                <w:rFonts w:ascii="Arial" w:cs="Arial" w:eastAsia="Arial" w:hAnsi="Arial"/>
                <w:sz w:val="17"/>
                <w:szCs w:val="17"/>
                <w:color w:val="auto"/>
              </w:rPr>
              <w:t>140,001</w:t>
            </w:r>
          </w:p>
        </w:tc>
        <w:tc>
          <w:tcPr>
            <w:tcW w:w="1460" w:type="dxa"/>
            <w:vAlign w:val="bottom"/>
            <w:tcBorders>
              <w:bottom w:val="single" w:sz="8" w:color="405788"/>
            </w:tcBorders>
          </w:tcPr>
          <w:p>
            <w:pPr>
              <w:jc w:val="right"/>
              <w:ind w:right="282"/>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232,001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261620</wp:posOffset>
            </wp:positionV>
            <wp:extent cx="483870" cy="222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40" w:hanging="299"/>
        <w:spacing w:after="0" w:line="250" w:lineRule="auto"/>
        <w:tabs>
          <w:tab w:leader="none" w:pos="3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This column reflects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9 to the Company’s consolidated financial statements included in our Annual Report on Form 10-K for the year ended December 31, 2024. The stock awards shown in the table above represent the RSU awards granted to our directors in 2024. The table below shows the aggregate number of unvested RSUs and unexercised options held by each of our non-management directors as of December 31, 2024:</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3"/>
        </w:trPr>
        <w:tc>
          <w:tcPr>
            <w:tcW w:w="39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4220" w:type="dxa"/>
            <w:vAlign w:val="bottom"/>
            <w:tcBorders>
              <w:bottom w:val="single" w:sz="8" w:color="405788"/>
            </w:tcBorders>
            <w:gridSpan w:val="2"/>
          </w:tcPr>
          <w:p>
            <w:pPr>
              <w:ind w:left="2260"/>
              <w:spacing w:after="0"/>
              <w:rPr>
                <w:sz w:val="20"/>
                <w:szCs w:val="20"/>
                <w:color w:val="auto"/>
              </w:rPr>
            </w:pPr>
            <w:r>
              <w:rPr>
                <w:rFonts w:ascii="Arial" w:cs="Arial" w:eastAsia="Arial" w:hAnsi="Arial"/>
                <w:sz w:val="13"/>
                <w:szCs w:val="13"/>
                <w:b w:val="1"/>
                <w:bCs w:val="1"/>
                <w:color w:val="auto"/>
              </w:rPr>
              <w:t>RSUs (#)    Stock Options (#)</w:t>
            </w:r>
          </w:p>
        </w:tc>
      </w:tr>
      <w:tr>
        <w:trPr>
          <w:trHeight w:val="192"/>
        </w:trPr>
        <w:tc>
          <w:tcPr>
            <w:tcW w:w="39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3400" w:type="dxa"/>
            <w:vAlign w:val="bottom"/>
            <w:tcBorders>
              <w:bottom w:val="single" w:sz="8" w:color="D9D9D9"/>
            </w:tcBorders>
          </w:tcPr>
          <w:p>
            <w:pPr>
              <w:jc w:val="right"/>
              <w:ind w:right="519"/>
              <w:spacing w:after="0" w:line="188" w:lineRule="exact"/>
              <w:rPr>
                <w:sz w:val="20"/>
                <w:szCs w:val="20"/>
                <w:color w:val="auto"/>
              </w:rPr>
            </w:pPr>
            <w:r>
              <w:rPr>
                <w:rFonts w:ascii="Arial" w:cs="Arial" w:eastAsia="Arial" w:hAnsi="Arial"/>
                <w:sz w:val="17"/>
                <w:szCs w:val="17"/>
                <w:color w:val="auto"/>
              </w:rPr>
              <w:t>5,712</w:t>
            </w:r>
          </w:p>
        </w:tc>
        <w:tc>
          <w:tcPr>
            <w:tcW w:w="820" w:type="dxa"/>
            <w:vAlign w:val="bottom"/>
            <w:tcBorders>
              <w:bottom w:val="single" w:sz="8" w:color="D9D9D9"/>
            </w:tcBorders>
          </w:tcPr>
          <w:p>
            <w:pPr>
              <w:ind w:left="600"/>
              <w:spacing w:after="0" w:line="188" w:lineRule="exact"/>
              <w:rPr>
                <w:sz w:val="20"/>
                <w:szCs w:val="20"/>
                <w:color w:val="auto"/>
              </w:rPr>
            </w:pPr>
            <w:r>
              <w:rPr>
                <w:rFonts w:ascii="Arial" w:cs="Arial" w:eastAsia="Arial" w:hAnsi="Arial"/>
                <w:sz w:val="17"/>
                <w:szCs w:val="17"/>
                <w:color w:val="auto"/>
              </w:rPr>
              <w:t>—</w:t>
            </w:r>
          </w:p>
        </w:tc>
      </w:tr>
      <w:tr>
        <w:trPr>
          <w:trHeight w:val="192"/>
        </w:trPr>
        <w:tc>
          <w:tcPr>
            <w:tcW w:w="39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3400" w:type="dxa"/>
            <w:vAlign w:val="bottom"/>
            <w:tcBorders>
              <w:bottom w:val="single" w:sz="8" w:color="D9D9D9"/>
            </w:tcBorders>
          </w:tcPr>
          <w:p>
            <w:pPr>
              <w:jc w:val="right"/>
              <w:ind w:right="519"/>
              <w:spacing w:after="0" w:line="188" w:lineRule="exact"/>
              <w:rPr>
                <w:sz w:val="20"/>
                <w:szCs w:val="20"/>
                <w:color w:val="auto"/>
              </w:rPr>
            </w:pPr>
            <w:r>
              <w:rPr>
                <w:rFonts w:ascii="Arial" w:cs="Arial" w:eastAsia="Arial" w:hAnsi="Arial"/>
                <w:sz w:val="17"/>
                <w:szCs w:val="17"/>
                <w:color w:val="auto"/>
              </w:rPr>
              <w:t>5,712</w:t>
            </w:r>
          </w:p>
        </w:tc>
        <w:tc>
          <w:tcPr>
            <w:tcW w:w="820" w:type="dxa"/>
            <w:vAlign w:val="bottom"/>
            <w:tcBorders>
              <w:bottom w:val="single" w:sz="8" w:color="D9D9D9"/>
            </w:tcBorders>
          </w:tcPr>
          <w:p>
            <w:pPr>
              <w:ind w:left="600"/>
              <w:spacing w:after="0" w:line="188" w:lineRule="exact"/>
              <w:rPr>
                <w:sz w:val="20"/>
                <w:szCs w:val="20"/>
                <w:color w:val="auto"/>
              </w:rPr>
            </w:pPr>
            <w:r>
              <w:rPr>
                <w:rFonts w:ascii="Arial" w:cs="Arial" w:eastAsia="Arial" w:hAnsi="Arial"/>
                <w:sz w:val="17"/>
                <w:szCs w:val="17"/>
                <w:color w:val="auto"/>
              </w:rPr>
              <w:t>—</w:t>
            </w:r>
          </w:p>
        </w:tc>
      </w:tr>
      <w:tr>
        <w:trPr>
          <w:trHeight w:val="192"/>
        </w:trPr>
        <w:tc>
          <w:tcPr>
            <w:tcW w:w="39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Robert E. Knowling, Jr.</w:t>
            </w:r>
          </w:p>
        </w:tc>
        <w:tc>
          <w:tcPr>
            <w:tcW w:w="3400" w:type="dxa"/>
            <w:vAlign w:val="bottom"/>
            <w:tcBorders>
              <w:bottom w:val="single" w:sz="8" w:color="D9D9D9"/>
            </w:tcBorders>
          </w:tcPr>
          <w:p>
            <w:pPr>
              <w:jc w:val="right"/>
              <w:ind w:right="519"/>
              <w:spacing w:after="0" w:line="188" w:lineRule="exact"/>
              <w:rPr>
                <w:sz w:val="20"/>
                <w:szCs w:val="20"/>
                <w:color w:val="auto"/>
              </w:rPr>
            </w:pPr>
            <w:r>
              <w:rPr>
                <w:rFonts w:ascii="Arial" w:cs="Arial" w:eastAsia="Arial" w:hAnsi="Arial"/>
                <w:sz w:val="17"/>
                <w:szCs w:val="17"/>
                <w:color w:val="auto"/>
              </w:rPr>
              <w:t>5,712</w:t>
            </w:r>
          </w:p>
        </w:tc>
        <w:tc>
          <w:tcPr>
            <w:tcW w:w="820" w:type="dxa"/>
            <w:vAlign w:val="bottom"/>
            <w:tcBorders>
              <w:bottom w:val="single" w:sz="8" w:color="D9D9D9"/>
            </w:tcBorders>
          </w:tcPr>
          <w:p>
            <w:pPr>
              <w:ind w:left="600"/>
              <w:spacing w:after="0" w:line="188" w:lineRule="exact"/>
              <w:rPr>
                <w:sz w:val="20"/>
                <w:szCs w:val="20"/>
                <w:color w:val="auto"/>
              </w:rPr>
            </w:pPr>
            <w:r>
              <w:rPr>
                <w:rFonts w:ascii="Arial" w:cs="Arial" w:eastAsia="Arial" w:hAnsi="Arial"/>
                <w:sz w:val="17"/>
                <w:szCs w:val="17"/>
                <w:color w:val="auto"/>
              </w:rPr>
              <w:t>—</w:t>
            </w:r>
          </w:p>
        </w:tc>
      </w:tr>
      <w:tr>
        <w:trPr>
          <w:trHeight w:val="192"/>
        </w:trPr>
        <w:tc>
          <w:tcPr>
            <w:tcW w:w="39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3400" w:type="dxa"/>
            <w:vAlign w:val="bottom"/>
            <w:tcBorders>
              <w:bottom w:val="single" w:sz="8" w:color="D9D9D9"/>
            </w:tcBorders>
          </w:tcPr>
          <w:p>
            <w:pPr>
              <w:jc w:val="right"/>
              <w:ind w:right="519"/>
              <w:spacing w:after="0" w:line="188" w:lineRule="exact"/>
              <w:rPr>
                <w:sz w:val="20"/>
                <w:szCs w:val="20"/>
                <w:color w:val="auto"/>
              </w:rPr>
            </w:pPr>
            <w:r>
              <w:rPr>
                <w:rFonts w:ascii="Arial" w:cs="Arial" w:eastAsia="Arial" w:hAnsi="Arial"/>
                <w:sz w:val="17"/>
                <w:szCs w:val="17"/>
                <w:color w:val="auto"/>
              </w:rPr>
              <w:t>5,712</w:t>
            </w:r>
          </w:p>
        </w:tc>
        <w:tc>
          <w:tcPr>
            <w:tcW w:w="820" w:type="dxa"/>
            <w:vAlign w:val="bottom"/>
            <w:tcBorders>
              <w:bottom w:val="single" w:sz="8" w:color="D9D9D9"/>
            </w:tcBorders>
          </w:tcPr>
          <w:p>
            <w:pPr>
              <w:ind w:left="600"/>
              <w:spacing w:after="0" w:line="188" w:lineRule="exact"/>
              <w:rPr>
                <w:sz w:val="20"/>
                <w:szCs w:val="20"/>
                <w:color w:val="auto"/>
              </w:rPr>
            </w:pPr>
            <w:r>
              <w:rPr>
                <w:rFonts w:ascii="Arial" w:cs="Arial" w:eastAsia="Arial" w:hAnsi="Arial"/>
                <w:sz w:val="17"/>
                <w:szCs w:val="17"/>
                <w:color w:val="auto"/>
              </w:rPr>
              <w:t>—</w:t>
            </w:r>
          </w:p>
        </w:tc>
      </w:tr>
      <w:tr>
        <w:trPr>
          <w:trHeight w:val="192"/>
        </w:trPr>
        <w:tc>
          <w:tcPr>
            <w:tcW w:w="39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3400" w:type="dxa"/>
            <w:vAlign w:val="bottom"/>
            <w:tcBorders>
              <w:bottom w:val="single" w:sz="8" w:color="D9D9D9"/>
            </w:tcBorders>
          </w:tcPr>
          <w:p>
            <w:pPr>
              <w:jc w:val="right"/>
              <w:ind w:right="519"/>
              <w:spacing w:after="0" w:line="188" w:lineRule="exact"/>
              <w:rPr>
                <w:sz w:val="20"/>
                <w:szCs w:val="20"/>
                <w:color w:val="auto"/>
              </w:rPr>
            </w:pPr>
            <w:r>
              <w:rPr>
                <w:rFonts w:ascii="Arial" w:cs="Arial" w:eastAsia="Arial" w:hAnsi="Arial"/>
                <w:sz w:val="17"/>
                <w:szCs w:val="17"/>
                <w:color w:val="auto"/>
              </w:rPr>
              <w:t>5,712</w:t>
            </w:r>
          </w:p>
        </w:tc>
        <w:tc>
          <w:tcPr>
            <w:tcW w:w="820" w:type="dxa"/>
            <w:vAlign w:val="bottom"/>
            <w:tcBorders>
              <w:bottom w:val="single" w:sz="8" w:color="D9D9D9"/>
            </w:tcBorders>
          </w:tcPr>
          <w:p>
            <w:pPr>
              <w:ind w:left="600"/>
              <w:spacing w:after="0" w:line="188" w:lineRule="exact"/>
              <w:rPr>
                <w:sz w:val="20"/>
                <w:szCs w:val="20"/>
                <w:color w:val="auto"/>
              </w:rPr>
            </w:pPr>
            <w:r>
              <w:rPr>
                <w:rFonts w:ascii="Arial" w:cs="Arial" w:eastAsia="Arial" w:hAnsi="Arial"/>
                <w:sz w:val="17"/>
                <w:szCs w:val="17"/>
                <w:color w:val="auto"/>
              </w:rPr>
              <w:t>—</w:t>
            </w:r>
          </w:p>
        </w:tc>
      </w:tr>
      <w:tr>
        <w:trPr>
          <w:trHeight w:val="192"/>
        </w:trPr>
        <w:tc>
          <w:tcPr>
            <w:tcW w:w="39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Laurie A. Siegel</w:t>
            </w:r>
          </w:p>
        </w:tc>
        <w:tc>
          <w:tcPr>
            <w:tcW w:w="3400" w:type="dxa"/>
            <w:vAlign w:val="bottom"/>
            <w:tcBorders>
              <w:bottom w:val="single" w:sz="8" w:color="D9D9D9"/>
            </w:tcBorders>
          </w:tcPr>
          <w:p>
            <w:pPr>
              <w:jc w:val="right"/>
              <w:ind w:right="519"/>
              <w:spacing w:after="0" w:line="188" w:lineRule="exact"/>
              <w:rPr>
                <w:sz w:val="20"/>
                <w:szCs w:val="20"/>
                <w:color w:val="auto"/>
              </w:rPr>
            </w:pPr>
            <w:r>
              <w:rPr>
                <w:rFonts w:ascii="Arial" w:cs="Arial" w:eastAsia="Arial" w:hAnsi="Arial"/>
                <w:sz w:val="17"/>
                <w:szCs w:val="17"/>
                <w:color w:val="auto"/>
              </w:rPr>
              <w:t>5,712</w:t>
            </w:r>
          </w:p>
        </w:tc>
        <w:tc>
          <w:tcPr>
            <w:tcW w:w="820" w:type="dxa"/>
            <w:vAlign w:val="bottom"/>
            <w:tcBorders>
              <w:bottom w:val="single" w:sz="8" w:color="D9D9D9"/>
            </w:tcBorders>
          </w:tcPr>
          <w:p>
            <w:pPr>
              <w:ind w:left="600"/>
              <w:spacing w:after="0" w:line="188" w:lineRule="exact"/>
              <w:rPr>
                <w:sz w:val="20"/>
                <w:szCs w:val="20"/>
                <w:color w:val="auto"/>
              </w:rPr>
            </w:pPr>
            <w:r>
              <w:rPr>
                <w:rFonts w:ascii="Arial" w:cs="Arial" w:eastAsia="Arial" w:hAnsi="Arial"/>
                <w:sz w:val="17"/>
                <w:szCs w:val="17"/>
                <w:color w:val="auto"/>
              </w:rPr>
              <w:t>—</w:t>
            </w:r>
          </w:p>
        </w:tc>
      </w:tr>
      <w:tr>
        <w:trPr>
          <w:trHeight w:val="187"/>
        </w:trPr>
        <w:tc>
          <w:tcPr>
            <w:tcW w:w="396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3400" w:type="dxa"/>
            <w:vAlign w:val="bottom"/>
            <w:tcBorders>
              <w:bottom w:val="single" w:sz="8" w:color="405788"/>
            </w:tcBorders>
          </w:tcPr>
          <w:p>
            <w:pPr>
              <w:jc w:val="right"/>
              <w:ind w:right="519"/>
              <w:spacing w:after="0" w:line="188" w:lineRule="exact"/>
              <w:rPr>
                <w:sz w:val="20"/>
                <w:szCs w:val="20"/>
                <w:color w:val="auto"/>
              </w:rPr>
            </w:pPr>
            <w:r>
              <w:rPr>
                <w:rFonts w:ascii="Arial" w:cs="Arial" w:eastAsia="Arial" w:hAnsi="Arial"/>
                <w:sz w:val="17"/>
                <w:szCs w:val="17"/>
                <w:color w:val="auto"/>
              </w:rPr>
              <w:t>5,712</w:t>
            </w:r>
          </w:p>
        </w:tc>
        <w:tc>
          <w:tcPr>
            <w:tcW w:w="820" w:type="dxa"/>
            <w:vAlign w:val="bottom"/>
            <w:tcBorders>
              <w:bottom w:val="single" w:sz="8" w:color="405788"/>
            </w:tcBorders>
          </w:tcPr>
          <w:p>
            <w:pPr>
              <w:ind w:left="600"/>
              <w:spacing w:after="0" w:line="188" w:lineRule="exact"/>
              <w:rPr>
                <w:sz w:val="20"/>
                <w:szCs w:val="20"/>
                <w:color w:val="auto"/>
              </w:rPr>
            </w:pPr>
            <w:r>
              <w:rPr>
                <w:rFonts w:ascii="Arial" w:cs="Arial" w:eastAsia="Arial" w:hAnsi="Arial"/>
                <w:sz w:val="17"/>
                <w:szCs w:val="17"/>
                <w:color w:val="auto"/>
              </w:rPr>
              <w:t>—</w:t>
            </w:r>
          </w:p>
        </w:tc>
      </w:tr>
    </w:tbl>
    <w:p>
      <w:pPr>
        <w:spacing w:after="0" w:line="163" w:lineRule="exact"/>
        <w:rPr>
          <w:sz w:val="20"/>
          <w:szCs w:val="20"/>
          <w:color w:val="auto"/>
        </w:rPr>
      </w:pPr>
    </w:p>
    <w:p>
      <w:pPr>
        <w:ind w:left="300" w:hanging="299"/>
        <w:spacing w:after="0"/>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Ms. Sachs elected to receive the cash component of her director compensation in the form of shares of the Company’s common stock.</w:t>
      </w:r>
    </w:p>
    <w:p>
      <w:pPr>
        <w:spacing w:after="0" w:line="177" w:lineRule="exact"/>
        <w:rPr>
          <w:rFonts w:ascii="Arial" w:cs="Arial" w:eastAsia="Arial" w:hAnsi="Arial"/>
          <w:sz w:val="15"/>
          <w:szCs w:val="15"/>
          <w:color w:val="auto"/>
        </w:rPr>
      </w:pPr>
    </w:p>
    <w:p>
      <w:pPr>
        <w:jc w:val="both"/>
        <w:ind w:left="300" w:right="500" w:hanging="299"/>
        <w:spacing w:after="0" w:line="261" w:lineRule="auto"/>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Knowling elected to defer 100% of the equity compensation granted for services during the fiscal year under the Company’s Deferred Compensation Plan for Non-Employee Directors. The deferred stock units will be settled in shares of the Company’s common stock upon separation from service, in accordance with the terms of the plan.</w:t>
      </w:r>
    </w:p>
    <w:p>
      <w:pPr>
        <w:spacing w:after="0" w:line="137" w:lineRule="exact"/>
        <w:rPr>
          <w:rFonts w:ascii="Arial" w:cs="Arial" w:eastAsia="Arial" w:hAnsi="Arial"/>
          <w:sz w:val="15"/>
          <w:szCs w:val="15"/>
          <w:color w:val="auto"/>
        </w:rPr>
      </w:pPr>
    </w:p>
    <w:p>
      <w:pPr>
        <w:jc w:val="both"/>
        <w:ind w:left="300" w:right="500" w:hanging="299"/>
        <w:spacing w:after="0" w:line="261" w:lineRule="auto"/>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Mannarino elected to defer 50% of the equity compensation granted for services during the fiscal year under the Company’s Deferred Compensation Plan for Non-Employee Directors. The deferred stock units will be settled in shares of the Company’s common stock upon separation from service, in accordance with the terms of the plan.</w:t>
      </w:r>
    </w:p>
    <w:p>
      <w:pPr>
        <w:spacing w:after="0" w:line="137" w:lineRule="exact"/>
        <w:rPr>
          <w:rFonts w:ascii="Arial" w:cs="Arial" w:eastAsia="Arial" w:hAnsi="Arial"/>
          <w:sz w:val="15"/>
          <w:szCs w:val="15"/>
          <w:color w:val="auto"/>
        </w:rPr>
      </w:pPr>
    </w:p>
    <w:p>
      <w:pPr>
        <w:ind w:left="300" w:hanging="299"/>
        <w:spacing w:after="0"/>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Wallman elected to receive the cash component of his director compensation in the form of shares of the Company’s common stock.</w:t>
      </w:r>
    </w:p>
    <w:p>
      <w:pPr>
        <w:spacing w:after="0" w:line="17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five times the non-management director’s regular annual cash retainer (which amount currently equals 310,000). Non-management directors have five years from the date of his or her election or appointment to the Board to attain such ownership levels. As of December 31, 2024, all non-management directors met the stock ownership requirement. For purposes of this requirement, a non-management director’s stock ownership includes all shares of our common stock owned by the non-management director outright or held in trust for the director and the director’s immediate family, plus a non-management director’s RSUs. The value of a share is measured as the greater of the then current market price or the closing price of a share of our common stock on the acquisition or grant date.</w:t>
      </w:r>
    </w:p>
    <w:p>
      <w:pPr>
        <w:spacing w:after="0" w:line="200" w:lineRule="exact"/>
        <w:rPr>
          <w:sz w:val="20"/>
          <w:szCs w:val="20"/>
          <w:color w:val="auto"/>
        </w:rPr>
      </w:pPr>
    </w:p>
    <w:p>
      <w:pPr>
        <w:spacing w:after="0" w:line="328"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16</w:t>
      </w:r>
      <w:r>
        <w:rPr>
          <w:sz w:val="20"/>
          <w:szCs w:val="20"/>
          <w:color w:val="auto"/>
        </w:rPr>
        <w:tab/>
      </w:r>
      <w:r>
        <w:rPr>
          <w:sz w:val="1"/>
          <w:szCs w:val="1"/>
          <w:color w:val="auto"/>
        </w:rPr>
        <w:drawing>
          <wp:inline distT="0" distB="0" distL="0" distR="0">
            <wp:extent cx="476250" cy="2222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80"/>
          </w:cols>
          <w:pgMar w:left="980" w:top="485" w:right="10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ectPr>
          <w:pgSz w:w="11900" w:h="16838" w:orient="portrait"/>
          <w:cols w:equalWidth="0" w:num="1">
            <w:col w:w="9920"/>
          </w:cols>
          <w:pgMar w:left="980" w:top="485" w:right="999" w:bottom="1440" w:gutter="0" w:footer="0" w:header="0"/>
        </w:sect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301105" cy="13652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1105" cy="1365250"/>
                    </a:xfrm>
                    <a:prstGeom prst="rect">
                      <a:avLst/>
                    </a:prstGeom>
                    <a:noFill/>
                  </pic:spPr>
                </pic:pic>
              </a:graphicData>
            </a:graphic>
          </wp:anchor>
        </w:drawing>
      </w:r>
    </w:p>
    <w:p>
      <w:pPr>
        <w:spacing w:after="0" w:line="55" w:lineRule="exact"/>
        <w:rPr>
          <w:sz w:val="20"/>
          <w:szCs w:val="20"/>
          <w:color w:val="auto"/>
        </w:rPr>
      </w:pPr>
    </w:p>
    <w:p>
      <w:pPr>
        <w:ind w:left="120" w:right="1040"/>
        <w:spacing w:after="0" w:line="264" w:lineRule="auto"/>
        <w:rPr>
          <w:sz w:val="20"/>
          <w:szCs w:val="20"/>
          <w:color w:val="auto"/>
        </w:rPr>
      </w:pPr>
      <w:r>
        <w:rPr>
          <w:rFonts w:ascii="Arial" w:cs="Arial" w:eastAsia="Arial" w:hAnsi="Arial"/>
          <w:sz w:val="33"/>
          <w:szCs w:val="33"/>
          <w:color w:val="3C578C"/>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b w:val="1"/>
          <w:bCs w:val="1"/>
          <w:color w:val="3C578C"/>
        </w:rPr>
        <w:t xml:space="preserve">The Board recommends a vote </w:t>
      </w:r>
      <w:r>
        <w:rPr>
          <w:rFonts w:ascii="Arial" w:cs="Arial" w:eastAsia="Arial" w:hAnsi="Arial"/>
          <w:sz w:val="20"/>
          <w:szCs w:val="20"/>
          <w:b w:val="1"/>
          <w:bCs w:val="1"/>
          <w:color w:val="A1B657"/>
        </w:rPr>
        <w:t>FOR</w:t>
      </w:r>
      <w:r>
        <w:rPr>
          <w:rFonts w:ascii="Arial" w:cs="Arial" w:eastAsia="Arial" w:hAnsi="Arial"/>
          <w:sz w:val="20"/>
          <w:szCs w:val="20"/>
          <w:b w:val="1"/>
          <w:bCs w:val="1"/>
          <w:color w:val="3C578C"/>
        </w:rPr>
        <w:t xml:space="preserve"> the approval, on an advisory basis, of the compensation of our named executive officers.</w:t>
      </w:r>
    </w:p>
    <w:p>
      <w:pPr>
        <w:spacing w:after="0" w:line="148" w:lineRule="exact"/>
        <w:rPr>
          <w:sz w:val="20"/>
          <w:szCs w:val="20"/>
          <w:color w:val="auto"/>
        </w:rPr>
      </w:pPr>
    </w:p>
    <w:p>
      <w:pPr>
        <w:sectPr>
          <w:pgSz w:w="11900" w:h="16838" w:orient="portrait"/>
          <w:cols w:equalWidth="0" w:num="2">
            <w:col w:w="6880" w:space="720"/>
            <w:col w:w="2320"/>
          </w:cols>
          <w:pgMar w:left="980" w:top="485" w:right="999" w:bottom="1440" w:gutter="0" w:footer="0" w:header="0"/>
          <w:type w:val="continuous"/>
        </w:sectPr>
      </w:pPr>
    </w:p>
    <w:p>
      <w:pPr>
        <w:ind w:right="100"/>
        <w:spacing w:after="0" w:line="237" w:lineRule="auto"/>
        <w:rPr>
          <w:sz w:val="20"/>
          <w:szCs w:val="20"/>
          <w:color w:val="auto"/>
        </w:rPr>
      </w:pPr>
      <w:r>
        <w:rPr>
          <w:rFonts w:ascii="Arial" w:cs="Arial" w:eastAsia="Arial" w:hAnsi="Arial"/>
          <w:sz w:val="17"/>
          <w:szCs w:val="17"/>
          <w:color w:val="auto"/>
        </w:rPr>
        <w:t>We are seeking your advisory (non-binding) vote approving the compensation of our named executive officers. We believe that the structure of our executive officer compensation programs promotes the long-term interests of our stockholders. Our executive officer compensation programs are designed to attract, retain, motivate and reward talented executive officers who will achieve our business objectives and create long-term value for our stockholders. We believe that our compensation program rewards sustained performance that is aligned with long-term stockholder interests.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and Analysis, which discuss our compensation policies and procedures, and the compensation of our named executive officers for 2024.</w:t>
      </w:r>
    </w:p>
    <w:p>
      <w:pPr>
        <w:spacing w:after="0" w:line="7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At our 2024 Annual Meeting of Stockholders, our Say-on-Pay proposal to approve the compensation of our named executive officers was supported by approximately 98% of all votes represented at the meeting. We believe that this indicates strong support for our continued focus on aligning our named executive officer compensation programs with the interests of our stockholders. During 2024, we continued to focus on pay for performance, and in addition to granting time-based RSUs, we granted PRSUs that only vest if our market performance meets or exceeds the total shareholder return goals established by our Compensation Committee.</w:t>
      </w:r>
    </w:p>
    <w:p>
      <w:pPr>
        <w:spacing w:after="0" w:line="6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This vote is required pursuant to Section 14A of the Exchange Act and is advisory and non-binding; however, our Compensation Committee and our Board are expected to consider the results of the vote when making future determinations regarding our named executive officer compensation programs. Advisory Say-on-Pay votes have been scheduled to be held once every year. Depending on the results of Proposal 3 (to recommend the frequency of future advisory votes to approve named executive officer compensation) and our Board’s decision about the frequency of future advisory votes, we expect to hold the next advisory vote to approve the compensation of our named executive officers in 2026, 2027 or 2028.</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92"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This proposal requires an affirmative vote of the majority of shares represented at the Annual Meeting in person or by proxy for advisory approval.</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b w:val="1"/>
          <w:bCs w:val="1"/>
          <w:color w:val="auto"/>
        </w:rPr>
        <w:t>Our Board recommends a vote “FOR” the following resolution, providing an advisory approval of the compensation of our named executive officers:</w:t>
      </w:r>
    </w:p>
    <w:p>
      <w:pPr>
        <w:spacing w:after="0" w:line="33" w:lineRule="exact"/>
        <w:rPr>
          <w:sz w:val="20"/>
          <w:szCs w:val="20"/>
          <w:color w:val="auto"/>
        </w:rPr>
      </w:pPr>
    </w:p>
    <w:p>
      <w:pPr>
        <w:ind w:left="600" w:right="220"/>
        <w:spacing w:after="0" w:line="244" w:lineRule="auto"/>
        <w:rPr>
          <w:sz w:val="20"/>
          <w:szCs w:val="20"/>
          <w:color w:val="auto"/>
        </w:rPr>
      </w:pPr>
      <w:r>
        <w:rPr>
          <w:rFonts w:ascii="Arial" w:cs="Arial" w:eastAsia="Arial" w:hAnsi="Arial"/>
          <w:sz w:val="17"/>
          <w:szCs w:val="17"/>
          <w:color w:val="auto"/>
        </w:rPr>
        <w:t>RESOLVED, that the compensation of the Company’s named executive officers,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354330</wp:posOffset>
            </wp:positionV>
            <wp:extent cx="483870" cy="222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EXECUTIVE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Discussion and Analysis</w:t>
      </w:r>
    </w:p>
    <w:p>
      <w:pPr>
        <w:spacing w:after="0" w:line="92" w:lineRule="exact"/>
        <w:rPr>
          <w:sz w:val="20"/>
          <w:szCs w:val="20"/>
          <w:color w:val="auto"/>
        </w:rPr>
      </w:pPr>
    </w:p>
    <w:p>
      <w:pPr>
        <w:ind w:right="420"/>
        <w:spacing w:after="0" w:line="237" w:lineRule="auto"/>
        <w:rPr>
          <w:sz w:val="20"/>
          <w:szCs w:val="20"/>
          <w:color w:val="auto"/>
        </w:rPr>
      </w:pPr>
      <w:r>
        <w:rPr>
          <w:rFonts w:ascii="Arial" w:cs="Arial" w:eastAsia="Arial" w:hAnsi="Arial"/>
          <w:sz w:val="17"/>
          <w:szCs w:val="17"/>
          <w:color w:val="auto"/>
        </w:rPr>
        <w:t>Our executive compensation program is designed to attract, motivate, retain and reward executive talent to achieve our business objectives, with the ultimate goal of increasing stockholder value. This Compensation Discussion and Analysis (“CD&amp;A”) provides information about our compensation objectives and policies for our Chief Executive Officer and the other individuals who are considered our “named executive officers” under SEC rules. This CD&amp;A puts in perspective the information set forth in the “2024 Summary Compensation Table” that follows in this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Proxy Statement, the following individuals are considered our 2024 “named executive officers” or “NEOs”.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4860" w:type="dxa"/>
            <w:vAlign w:val="bottom"/>
          </w:tcPr>
          <w:p>
            <w:pPr>
              <w:spacing w:after="0"/>
              <w:rPr>
                <w:sz w:val="20"/>
                <w:szCs w:val="20"/>
                <w:color w:val="auto"/>
              </w:rPr>
            </w:pPr>
            <w:r>
              <w:rPr>
                <w:rFonts w:ascii="Arial" w:cs="Arial" w:eastAsia="Arial" w:hAnsi="Arial"/>
                <w:sz w:val="13"/>
                <w:szCs w:val="13"/>
                <w:b w:val="1"/>
                <w:bCs w:val="1"/>
                <w:color w:val="auto"/>
              </w:rPr>
              <w:t>Title</w:t>
            </w:r>
          </w:p>
        </w:tc>
      </w:tr>
      <w:tr>
        <w:trPr>
          <w:trHeight w:val="171"/>
        </w:trPr>
        <w:tc>
          <w:tcPr>
            <w:tcW w:w="4860" w:type="dxa"/>
            <w:vAlign w:val="bottom"/>
            <w:tcBorders>
              <w:top w:val="single" w:sz="8" w:color="3C578C"/>
            </w:tcBorders>
          </w:tcPr>
          <w:p>
            <w:pPr>
              <w:spacing w:after="0" w:line="171" w:lineRule="exact"/>
              <w:rPr>
                <w:sz w:val="20"/>
                <w:szCs w:val="20"/>
                <w:color w:val="auto"/>
              </w:rPr>
            </w:pPr>
            <w:r>
              <w:rPr>
                <w:rFonts w:ascii="Arial" w:cs="Arial" w:eastAsia="Arial" w:hAnsi="Arial"/>
                <w:sz w:val="17"/>
                <w:szCs w:val="17"/>
                <w:color w:val="auto"/>
              </w:rPr>
              <w:t>Todd Gleason</w:t>
            </w:r>
          </w:p>
        </w:tc>
        <w:tc>
          <w:tcPr>
            <w:tcW w:w="200" w:type="dxa"/>
            <w:vAlign w:val="bottom"/>
          </w:tcPr>
          <w:p>
            <w:pPr>
              <w:spacing w:after="0"/>
              <w:rPr>
                <w:sz w:val="14"/>
                <w:szCs w:val="14"/>
                <w:color w:val="auto"/>
              </w:rPr>
            </w:pPr>
          </w:p>
        </w:tc>
        <w:tc>
          <w:tcPr>
            <w:tcW w:w="4860" w:type="dxa"/>
            <w:vAlign w:val="bottom"/>
            <w:tcBorders>
              <w:top w:val="single" w:sz="8" w:color="3C578C"/>
            </w:tcBorders>
          </w:tcPr>
          <w:p>
            <w:pPr>
              <w:spacing w:after="0" w:line="171" w:lineRule="exact"/>
              <w:rPr>
                <w:sz w:val="20"/>
                <w:szCs w:val="20"/>
                <w:color w:val="auto"/>
              </w:rPr>
            </w:pPr>
            <w:r>
              <w:rPr>
                <w:rFonts w:ascii="Arial" w:cs="Arial" w:eastAsia="Arial" w:hAnsi="Arial"/>
                <w:sz w:val="17"/>
                <w:szCs w:val="17"/>
                <w:color w:val="auto"/>
              </w:rPr>
              <w:t>Chief Executive Officer ("CEO")</w:t>
            </w:r>
          </w:p>
        </w:tc>
      </w:tr>
      <w:tr>
        <w:trPr>
          <w:trHeight w:val="187"/>
        </w:trPr>
        <w:tc>
          <w:tcPr>
            <w:tcW w:w="5060" w:type="dxa"/>
            <w:vAlign w:val="bottom"/>
            <w:gridSpan w:val="2"/>
          </w:tcPr>
          <w:p>
            <w:pPr>
              <w:spacing w:after="0" w:line="188" w:lineRule="exact"/>
              <w:rPr>
                <w:sz w:val="20"/>
                <w:szCs w:val="20"/>
                <w:color w:val="auto"/>
              </w:rPr>
            </w:pPr>
            <w:r>
              <w:rPr>
                <w:rFonts w:ascii="Arial" w:cs="Arial" w:eastAsia="Arial" w:hAnsi="Arial"/>
                <w:sz w:val="17"/>
                <w:szCs w:val="17"/>
                <w:color w:val="auto"/>
              </w:rPr>
              <w:t>Peter Johansson</w:t>
            </w:r>
          </w:p>
        </w:tc>
        <w:tc>
          <w:tcPr>
            <w:tcW w:w="4860" w:type="dxa"/>
            <w:vAlign w:val="bottom"/>
          </w:tcPr>
          <w:p>
            <w:pPr>
              <w:spacing w:after="0" w:line="188" w:lineRule="exact"/>
              <w:rPr>
                <w:sz w:val="20"/>
                <w:szCs w:val="20"/>
                <w:color w:val="auto"/>
              </w:rPr>
            </w:pPr>
            <w:r>
              <w:rPr>
                <w:rFonts w:ascii="Arial" w:cs="Arial" w:eastAsia="Arial" w:hAnsi="Arial"/>
                <w:sz w:val="17"/>
                <w:szCs w:val="17"/>
                <w:color w:val="auto"/>
              </w:rPr>
              <w:t>Chief Financial Officer ("CFO")</w:t>
            </w:r>
          </w:p>
        </w:tc>
      </w:tr>
      <w:tr>
        <w:trPr>
          <w:trHeight w:val="219"/>
        </w:trPr>
        <w:tc>
          <w:tcPr>
            <w:tcW w:w="5060" w:type="dxa"/>
            <w:vAlign w:val="bottom"/>
            <w:gridSpan w:val="2"/>
          </w:tcPr>
          <w:p>
            <w:pPr>
              <w:spacing w:after="0"/>
              <w:rPr>
                <w:sz w:val="20"/>
                <w:szCs w:val="20"/>
                <w:color w:val="auto"/>
              </w:rPr>
            </w:pPr>
            <w:r>
              <w:rPr>
                <w:rFonts w:ascii="Arial" w:cs="Arial" w:eastAsia="Arial" w:hAnsi="Arial"/>
                <w:sz w:val="17"/>
                <w:szCs w:val="17"/>
                <w:color w:val="auto"/>
              </w:rPr>
              <w:t>Lynn Watkins-Asiyanbi</w:t>
            </w:r>
          </w:p>
        </w:tc>
        <w:tc>
          <w:tcPr>
            <w:tcW w:w="4860" w:type="dxa"/>
            <w:vAlign w:val="bottom"/>
          </w:tcPr>
          <w:p>
            <w:pPr>
              <w:spacing w:after="0"/>
              <w:rPr>
                <w:sz w:val="20"/>
                <w:szCs w:val="20"/>
                <w:color w:val="auto"/>
              </w:rPr>
            </w:pPr>
            <w:r>
              <w:rPr>
                <w:rFonts w:ascii="Arial" w:cs="Arial" w:eastAsia="Arial" w:hAnsi="Arial"/>
                <w:sz w:val="17"/>
                <w:szCs w:val="17"/>
                <w:color w:val="auto"/>
              </w:rPr>
              <w:t>Chief Administrative and Legal Officer ("CALO")</w:t>
            </w:r>
          </w:p>
        </w:tc>
      </w:tr>
    </w:tbl>
    <w:p>
      <w:pPr>
        <w:spacing w:after="0" w:line="165" w:lineRule="exact"/>
        <w:rPr>
          <w:sz w:val="20"/>
          <w:szCs w:val="20"/>
          <w:color w:val="auto"/>
        </w:rPr>
      </w:pPr>
    </w:p>
    <w:p>
      <w:pPr>
        <w:ind w:right="240"/>
        <w:spacing w:after="0" w:line="281" w:lineRule="auto"/>
        <w:rPr>
          <w:sz w:val="20"/>
          <w:szCs w:val="20"/>
          <w:color w:val="auto"/>
        </w:rPr>
      </w:pPr>
      <w:r>
        <w:rPr>
          <w:rFonts w:ascii="Arial" w:cs="Arial" w:eastAsia="Arial" w:hAnsi="Arial"/>
          <w:sz w:val="13"/>
          <w:szCs w:val="13"/>
          <w:color w:val="auto"/>
        </w:rPr>
        <w:t>*The three listed individuals were our only executive officers as of December 31, 2024. No other individuals met the definition of named executive officer under SEC rules for 2024. Our Board has elected only three executive officers in light of their expansive leadership roles.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Highlights</w:t>
      </w:r>
    </w:p>
    <w:p>
      <w:pPr>
        <w:spacing w:after="0" w:line="90" w:lineRule="exact"/>
        <w:rPr>
          <w:sz w:val="20"/>
          <w:szCs w:val="20"/>
          <w:color w:val="auto"/>
        </w:rPr>
      </w:pPr>
    </w:p>
    <w:p>
      <w:pPr>
        <w:ind w:left="620" w:hanging="294"/>
        <w:spacing w:after="0" w:line="288" w:lineRule="auto"/>
        <w:tabs>
          <w:tab w:leader="none" w:pos="620" w:val="left"/>
        </w:tabs>
        <w:numPr>
          <w:ilvl w:val="0"/>
          <w:numId w:val="47"/>
        </w:numPr>
        <w:rPr>
          <w:rFonts w:ascii="Times New Roman" w:cs="Times New Roman" w:eastAsia="Times New Roman" w:hAnsi="Times New Roman"/>
          <w:sz w:val="16"/>
          <w:szCs w:val="16"/>
          <w:color w:val="3C578C"/>
        </w:rPr>
      </w:pPr>
      <w:r>
        <w:rPr>
          <w:rFonts w:ascii="Arial" w:cs="Arial" w:eastAsia="Arial" w:hAnsi="Arial"/>
          <w:sz w:val="16"/>
          <w:szCs w:val="16"/>
          <w:color w:val="auto"/>
        </w:rPr>
        <w:t>During 2024, our Compensation Committee continued to oversee the executive compensation programs that it considers to be competitive in the market for talent and aligned with industry best practices and the long-term interests of our stockholders.</w:t>
      </w:r>
    </w:p>
    <w:p>
      <w:pPr>
        <w:spacing w:after="0" w:line="7" w:lineRule="exact"/>
        <w:rPr>
          <w:rFonts w:ascii="Times New Roman" w:cs="Times New Roman" w:eastAsia="Times New Roman" w:hAnsi="Times New Roman"/>
          <w:sz w:val="16"/>
          <w:szCs w:val="16"/>
          <w:color w:val="3C578C"/>
        </w:rPr>
      </w:pPr>
    </w:p>
    <w:p>
      <w:pPr>
        <w:ind w:left="620" w:right="100" w:hanging="294"/>
        <w:spacing w:after="0" w:line="235"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Our annual performance-based cash incentive compensation program is typically designed to reward our management team (including our NEOs) for achievement of certain pre-established, short-term financial and/or operational goals. For 2024, the performance objectives under our performance-based incentive program consisted of Adjusted EBITDA (50%) and Revenue (50%), in each case established by reference to the Company’s annual operating plan. Beginning 2024, the Committee removed cash flow from the performance objectives of the cash incentive plan to simplify the program, as it felt the metrics of revenue and Adjusted EBITDA were sufficient to incentivize executive performance. We continue to monitor cash flow generation despite its removal as a performance metric for the incentive program.</w:t>
      </w:r>
    </w:p>
    <w:p>
      <w:pPr>
        <w:spacing w:after="0" w:line="46" w:lineRule="exact"/>
        <w:rPr>
          <w:rFonts w:ascii="Times New Roman" w:cs="Times New Roman" w:eastAsia="Times New Roman" w:hAnsi="Times New Roman"/>
          <w:sz w:val="17"/>
          <w:szCs w:val="17"/>
          <w:color w:val="3C578C"/>
        </w:rPr>
      </w:pPr>
    </w:p>
    <w:p>
      <w:pPr>
        <w:ind w:left="620" w:right="60" w:hanging="294"/>
        <w:spacing w:after="0" w:line="233"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Our 2024 annual grant of performance-based restricted stock units (“PRSUs”) under our long-term equity incentive program required attainment of relative total shareholder return (“Relative TSR”) goals during the 2024-2026 performance period for a specific percentage of those PRSUs to vest. For 2024 PRSUs, we reverted to the use of a full three-year performance period to more closely align with prevailing market practices and to focus our executive team on long-term stockholder value creation. We also granted time-based restricted stock units (“RSUs”) in 2024 to our CFO and CALO. These RSUs have a three-year vesting period (reduced from four-year vesting for 2023 grants to more closely align with prevailing market practice), with 33% vesting annually on each anniversary of the grant date. We introduced stock options into the long-term incentive (“LTI”) program for our CEO in 2024. The stock options have a three-year vesting period, with 33% vesting annually on each anniversary of the grant date, and a 10-year term to exercise. We anticipate that the addition of stock options will further enhance the alignment of our CEO’s interest with stockholders’ interests.</w:t>
      </w:r>
    </w:p>
    <w:p>
      <w:pPr>
        <w:spacing w:after="0" w:line="51" w:lineRule="exact"/>
        <w:rPr>
          <w:rFonts w:ascii="Times New Roman" w:cs="Times New Roman" w:eastAsia="Times New Roman" w:hAnsi="Times New Roman"/>
          <w:sz w:val="17"/>
          <w:szCs w:val="17"/>
          <w:color w:val="3C578C"/>
        </w:rPr>
      </w:pPr>
    </w:p>
    <w:p>
      <w:pPr>
        <w:ind w:left="620" w:right="120" w:hanging="294"/>
        <w:spacing w:after="0" w:line="244"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Our stock ownership guidelines apply to all executive officers, including our NEOs. Our CEO is required to own shares of our stock or stock equivalents having a value equal to five times his base salary. Our other NEOs are required to own shares of our stock or stock equivalents having a value equal to three times their base salary.</w:t>
      </w:r>
    </w:p>
    <w:p>
      <w:pPr>
        <w:spacing w:after="0" w:line="40" w:lineRule="exact"/>
        <w:rPr>
          <w:rFonts w:ascii="Times New Roman" w:cs="Times New Roman" w:eastAsia="Times New Roman" w:hAnsi="Times New Roman"/>
          <w:sz w:val="17"/>
          <w:szCs w:val="17"/>
          <w:color w:val="3C578C"/>
        </w:rPr>
      </w:pPr>
    </w:p>
    <w:p>
      <w:pPr>
        <w:ind w:left="620" w:right="100" w:hanging="294"/>
        <w:spacing w:after="0" w:line="237"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As noted above, our Compensation Committee has engaged an independent executive compensation consultant to provide advice on compensation matters. In December 2023, we engaged our independent compensation consultant to conduct a market analysis of the compensation of all our executive officers (including the NEOs) and the Board’s total cash compensation and equity retainer against the general market and our peer group. Based on this review, we made changes to the compensation levels, discussed in further detail below.</w:t>
      </w:r>
    </w:p>
    <w:p>
      <w:pPr>
        <w:spacing w:after="0" w:line="46" w:lineRule="exact"/>
        <w:rPr>
          <w:rFonts w:ascii="Times New Roman" w:cs="Times New Roman" w:eastAsia="Times New Roman" w:hAnsi="Times New Roman"/>
          <w:sz w:val="17"/>
          <w:szCs w:val="17"/>
          <w:color w:val="3C578C"/>
        </w:rPr>
      </w:pPr>
    </w:p>
    <w:p>
      <w:pPr>
        <w:ind w:left="620" w:hanging="294"/>
        <w:spacing w:after="0" w:line="239"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We maintain a compensation recovery policy (the “Clawback Policy”) governing the recovery of erroneously awarded incentive-based compensation consistent with the requirements of the SEC and NASDAQ. The Clawback Policy provides that, if we are required to prepare a qualifying accounting restatement, then, unless an exception applies, we will recover the excess of (1) the amount of incentive-based compensation received by a</w:t>
      </w:r>
    </w:p>
    <w:p>
      <w:pPr>
        <w:spacing w:after="0" w:line="21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18</w:t>
      </w:r>
      <w:r>
        <w:rPr>
          <w:sz w:val="20"/>
          <w:szCs w:val="20"/>
          <w:color w:val="auto"/>
        </w:rPr>
        <w:tab/>
      </w:r>
      <w:r>
        <w:rPr>
          <w:sz w:val="1"/>
          <w:szCs w:val="1"/>
          <w:color w:val="auto"/>
        </w:rPr>
        <w:drawing>
          <wp:inline distT="0" distB="0" distL="0" distR="0">
            <wp:extent cx="476250" cy="2222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jc w:val="both"/>
        <w:ind w:left="620" w:right="360"/>
        <w:spacing w:after="0" w:line="267" w:lineRule="auto"/>
        <w:rPr>
          <w:sz w:val="20"/>
          <w:szCs w:val="20"/>
          <w:color w:val="auto"/>
        </w:rPr>
      </w:pPr>
      <w:r>
        <w:rPr>
          <w:rFonts w:ascii="Arial" w:cs="Arial" w:eastAsia="Arial" w:hAnsi="Arial"/>
          <w:sz w:val="16"/>
          <w:szCs w:val="16"/>
          <w:color w:val="auto"/>
        </w:rPr>
        <w:t>person who served as a covered officer at any time during the applicable performance period during the three completed years immediately preceding the date we are required to prepare the accounting restatement over (2) the amount that the person would have received had the incentive-based compensation been determined based on the restated financials.</w:t>
      </w:r>
    </w:p>
    <w:p>
      <w:pPr>
        <w:spacing w:after="0" w:line="23" w:lineRule="exact"/>
        <w:rPr>
          <w:sz w:val="20"/>
          <w:szCs w:val="20"/>
          <w:color w:val="auto"/>
        </w:rPr>
      </w:pPr>
    </w:p>
    <w:p>
      <w:pPr>
        <w:ind w:left="620" w:hanging="294"/>
        <w:spacing w:after="0"/>
        <w:tabs>
          <w:tab w:leader="none" w:pos="620" w:val="left"/>
        </w:tabs>
        <w:numPr>
          <w:ilvl w:val="0"/>
          <w:numId w:val="48"/>
        </w:numPr>
        <w:rPr>
          <w:rFonts w:ascii="Times New Roman" w:cs="Times New Roman" w:eastAsia="Times New Roman" w:hAnsi="Times New Roman"/>
          <w:sz w:val="17"/>
          <w:szCs w:val="17"/>
          <w:color w:val="3C578C"/>
        </w:rPr>
      </w:pPr>
      <w:r>
        <w:rPr>
          <w:rFonts w:ascii="Arial" w:cs="Arial" w:eastAsia="Arial" w:hAnsi="Arial"/>
          <w:sz w:val="17"/>
          <w:szCs w:val="17"/>
          <w:color w:val="auto"/>
        </w:rPr>
        <w:t>We annually review tally sheets to understand historical target and realizable compensation.</w:t>
      </w:r>
    </w:p>
    <w:p>
      <w:pPr>
        <w:spacing w:after="0" w:line="78" w:lineRule="exact"/>
        <w:rPr>
          <w:rFonts w:ascii="Times New Roman" w:cs="Times New Roman" w:eastAsia="Times New Roman" w:hAnsi="Times New Roman"/>
          <w:sz w:val="17"/>
          <w:szCs w:val="17"/>
          <w:color w:val="3C578C"/>
        </w:rPr>
      </w:pPr>
    </w:p>
    <w:p>
      <w:pPr>
        <w:ind w:left="620" w:right="400" w:hanging="294"/>
        <w:spacing w:after="0" w:line="257" w:lineRule="auto"/>
        <w:tabs>
          <w:tab w:leader="none" w:pos="620" w:val="left"/>
        </w:tabs>
        <w:numPr>
          <w:ilvl w:val="0"/>
          <w:numId w:val="48"/>
        </w:numPr>
        <w:rPr>
          <w:rFonts w:ascii="Times New Roman" w:cs="Times New Roman" w:eastAsia="Times New Roman" w:hAnsi="Times New Roman"/>
          <w:sz w:val="17"/>
          <w:szCs w:val="17"/>
          <w:color w:val="3C578C"/>
        </w:rPr>
      </w:pPr>
      <w:r>
        <w:rPr>
          <w:rFonts w:ascii="Arial" w:cs="Arial" w:eastAsia="Arial" w:hAnsi="Arial"/>
          <w:sz w:val="17"/>
          <w:szCs w:val="17"/>
          <w:color w:val="auto"/>
        </w:rPr>
        <w:t>We provide very few perquisites; we believe that the value of the perquisites we provide is reasonable and reflects only a small portion of executive officer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2024 Stockholder Engagement</w:t>
      </w:r>
    </w:p>
    <w:p>
      <w:pPr>
        <w:spacing w:after="0" w:line="9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At our 2024 Annual Meeting of Stockholders, our advisory “Say-on-Pay” proposal to approve the compensation of our NEOs was supported by approximately 98% of votes represented at the meeting. Our Compensation Committee believes that this strong approval reflects our continued efforts to improve our compensation practices. During 2024, we had direct contact and discussions with stockholders representing greater than 50% of our investor base, consistent with our experience in 2023. Mr. Gleason, Mr. Johansson, as well as some of our directors, participated in these discussions and provided stockholder feedback to our Board as a whole. Our Compensation Committee considered the 2024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Policy and Objectives</w:t>
      </w:r>
    </w:p>
    <w:p>
      <w:pPr>
        <w:spacing w:after="0" w:line="90"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Our Compensation Committee believes that an effective executive compensation program generally rewards the achievement of annual, long-term and strategic goals set by the Company and aligns our NEOs’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typical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6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Total compensation for our NEOs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NEO’s individual effort in certain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Governance Practices</w:t>
      </w:r>
    </w:p>
    <w:p>
      <w:pPr>
        <w:spacing w:after="0" w:line="9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designing our overall compensation program, we endeavor to support good governance, enhance alignment with stockholder value creation, and seek to mitigate excessive risk-taking by our executives. Accordingly, the following details the features implemented within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6301105" cy="166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1105" cy="16637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WHAT WE DO</w:t>
      </w:r>
    </w:p>
    <w:p>
      <w:pPr>
        <w:sectPr>
          <w:pgSz w:w="11900" w:h="16838" w:orient="portrait"/>
          <w:cols w:equalWidth="0" w:num="1">
            <w:col w:w="9920"/>
          </w:cols>
          <w:pgMar w:left="980" w:top="485" w:right="999" w:bottom="1440" w:gutter="0" w:footer="0" w:header="0"/>
        </w:sectPr>
      </w:pPr>
    </w:p>
    <w:p>
      <w:pPr>
        <w:spacing w:after="0" w:line="240" w:lineRule="exact"/>
        <w:rPr>
          <w:sz w:val="20"/>
          <w:szCs w:val="20"/>
          <w:color w:val="auto"/>
        </w:rPr>
      </w:pPr>
    </w:p>
    <w:p>
      <w:pPr>
        <w:ind w:left="300" w:right="84" w:firstLine="2"/>
        <w:spacing w:after="0" w:line="334" w:lineRule="auto"/>
        <w:tabs>
          <w:tab w:leader="none" w:pos="479" w:val="left"/>
        </w:tabs>
        <w:numPr>
          <w:ilvl w:val="0"/>
          <w:numId w:val="49"/>
        </w:numPr>
        <w:rPr>
          <w:rFonts w:ascii="MS PGothic" w:cs="MS PGothic" w:eastAsia="MS PGothic" w:hAnsi="MS PGothic"/>
          <w:sz w:val="14"/>
          <w:szCs w:val="14"/>
          <w:color w:val="auto"/>
        </w:rPr>
      </w:pPr>
      <w:r>
        <w:rPr>
          <w:rFonts w:ascii="Arial" w:cs="Arial" w:eastAsia="Arial" w:hAnsi="Arial"/>
          <w:sz w:val="14"/>
          <w:szCs w:val="14"/>
          <w:color w:val="auto"/>
        </w:rPr>
        <w:t>Annual “say-on-pay” advisory vote for stockholders, with robust engagement outreach to understand and respond to feedback</w:t>
      </w:r>
    </w:p>
    <w:p>
      <w:pPr>
        <w:spacing w:after="0" w:line="114" w:lineRule="exact"/>
        <w:rPr>
          <w:rFonts w:ascii="MS PGothic" w:cs="MS PGothic" w:eastAsia="MS PGothic" w:hAnsi="MS PGothic"/>
          <w:sz w:val="14"/>
          <w:szCs w:val="14"/>
          <w:color w:val="auto"/>
        </w:rPr>
      </w:pPr>
    </w:p>
    <w:p>
      <w:pPr>
        <w:ind w:left="300" w:right="144" w:firstLine="2"/>
        <w:spacing w:after="0" w:line="295" w:lineRule="auto"/>
        <w:tabs>
          <w:tab w:leader="none" w:pos="479"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Alignment of executive compensation with stockholder returns through equity ownership and equity-based awards</w:t>
      </w:r>
    </w:p>
    <w:p>
      <w:pPr>
        <w:spacing w:after="0" w:line="138" w:lineRule="exact"/>
        <w:rPr>
          <w:rFonts w:ascii="MS PGothic" w:cs="MS PGothic" w:eastAsia="MS PGothic" w:hAnsi="MS PGothic"/>
          <w:sz w:val="15"/>
          <w:szCs w:val="15"/>
          <w:color w:val="auto"/>
        </w:rPr>
      </w:pPr>
    </w:p>
    <w:p>
      <w:pPr>
        <w:ind w:left="300" w:right="664" w:firstLine="2"/>
        <w:spacing w:after="0" w:line="295" w:lineRule="auto"/>
        <w:tabs>
          <w:tab w:leader="none" w:pos="479"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Long-term incentive compensation tied to relative total shareholder return (“TSR”)</w:t>
      </w:r>
    </w:p>
    <w:p>
      <w:pPr>
        <w:spacing w:after="0" w:line="138" w:lineRule="exact"/>
        <w:rPr>
          <w:rFonts w:ascii="MS PGothic" w:cs="MS PGothic" w:eastAsia="MS PGothic" w:hAnsi="MS PGothic"/>
          <w:sz w:val="15"/>
          <w:szCs w:val="15"/>
          <w:color w:val="auto"/>
        </w:rPr>
      </w:pPr>
    </w:p>
    <w:p>
      <w:pPr>
        <w:ind w:left="300" w:right="44" w:firstLine="2"/>
        <w:spacing w:after="0" w:line="295" w:lineRule="auto"/>
        <w:tabs>
          <w:tab w:leader="none" w:pos="479"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“Double trigger” required for severance under change-in-control agreements and for accelerated vesting of equity awards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4" w:right="240" w:firstLine="4"/>
        <w:spacing w:after="0" w:line="334" w:lineRule="auto"/>
        <w:tabs>
          <w:tab w:leader="none" w:pos="175" w:val="left"/>
        </w:tabs>
        <w:numPr>
          <w:ilvl w:val="0"/>
          <w:numId w:val="50"/>
        </w:numPr>
        <w:rPr>
          <w:rFonts w:ascii="MS PGothic" w:cs="MS PGothic" w:eastAsia="MS PGothic" w:hAnsi="MS PGothic"/>
          <w:sz w:val="14"/>
          <w:szCs w:val="14"/>
          <w:color w:val="auto"/>
        </w:rPr>
      </w:pPr>
      <w:r>
        <w:rPr>
          <w:rFonts w:ascii="Arial" w:cs="Arial" w:eastAsia="Arial" w:hAnsi="Arial"/>
          <w:sz w:val="14"/>
          <w:szCs w:val="14"/>
          <w:color w:val="auto"/>
        </w:rPr>
        <w:t>Pay-for-performance emphasis with a balance of short- and long-term incentives, using an array of key performance metrics</w:t>
      </w:r>
    </w:p>
    <w:p>
      <w:pPr>
        <w:spacing w:after="0" w:line="114" w:lineRule="exact"/>
        <w:rPr>
          <w:rFonts w:ascii="MS PGothic" w:cs="MS PGothic" w:eastAsia="MS PGothic" w:hAnsi="MS PGothic"/>
          <w:sz w:val="14"/>
          <w:szCs w:val="14"/>
          <w:color w:val="auto"/>
        </w:rPr>
      </w:pPr>
    </w:p>
    <w:p>
      <w:pPr>
        <w:ind w:left="176" w:hanging="176"/>
        <w:spacing w:after="0"/>
        <w:tabs>
          <w:tab w:leader="none" w:pos="176" w:val="left"/>
        </w:tabs>
        <w:numPr>
          <w:ilvl w:val="0"/>
          <w:numId w:val="50"/>
        </w:numPr>
        <w:rPr>
          <w:rFonts w:ascii="MS PGothic" w:cs="MS PGothic" w:eastAsia="MS PGothic" w:hAnsi="MS PGothic"/>
          <w:sz w:val="15"/>
          <w:szCs w:val="15"/>
          <w:color w:val="auto"/>
        </w:rPr>
      </w:pPr>
      <w:r>
        <w:rPr>
          <w:rFonts w:ascii="Arial" w:cs="Arial" w:eastAsia="Arial" w:hAnsi="Arial"/>
          <w:sz w:val="15"/>
          <w:szCs w:val="15"/>
          <w:color w:val="auto"/>
        </w:rPr>
        <w:t>Significant stock ownership guidelines for executives</w:t>
      </w:r>
    </w:p>
    <w:p>
      <w:pPr>
        <w:spacing w:after="0" w:line="389" w:lineRule="exact"/>
        <w:rPr>
          <w:rFonts w:ascii="MS PGothic" w:cs="MS PGothic" w:eastAsia="MS PGothic" w:hAnsi="MS PGothic"/>
          <w:sz w:val="15"/>
          <w:szCs w:val="15"/>
          <w:color w:val="auto"/>
        </w:rPr>
      </w:pPr>
    </w:p>
    <w:p>
      <w:pPr>
        <w:ind w:left="-4" w:right="200" w:firstLine="4"/>
        <w:spacing w:after="0" w:line="295" w:lineRule="auto"/>
        <w:tabs>
          <w:tab w:leader="none" w:pos="175" w:val="left"/>
        </w:tabs>
        <w:numPr>
          <w:ilvl w:val="0"/>
          <w:numId w:val="50"/>
        </w:numPr>
        <w:rPr>
          <w:rFonts w:ascii="MS PGothic" w:cs="MS PGothic" w:eastAsia="MS PGothic" w:hAnsi="MS PGothic"/>
          <w:sz w:val="15"/>
          <w:szCs w:val="15"/>
          <w:color w:val="auto"/>
        </w:rPr>
      </w:pPr>
      <w:r>
        <w:rPr>
          <w:rFonts w:ascii="Arial" w:cs="Arial" w:eastAsia="Arial" w:hAnsi="Arial"/>
          <w:sz w:val="15"/>
          <w:szCs w:val="15"/>
          <w:color w:val="auto"/>
        </w:rPr>
        <w:t>Claw-back provisions for cash and equity performance-based compensation</w:t>
      </w:r>
    </w:p>
    <w:p>
      <w:pPr>
        <w:spacing w:after="0" w:line="138" w:lineRule="exact"/>
        <w:rPr>
          <w:rFonts w:ascii="MS PGothic" w:cs="MS PGothic" w:eastAsia="MS PGothic" w:hAnsi="MS PGothic"/>
          <w:sz w:val="15"/>
          <w:szCs w:val="15"/>
          <w:color w:val="auto"/>
        </w:rPr>
      </w:pPr>
    </w:p>
    <w:p>
      <w:pPr>
        <w:ind w:left="-4" w:right="100" w:firstLine="4"/>
        <w:spacing w:after="0" w:line="295" w:lineRule="auto"/>
        <w:tabs>
          <w:tab w:leader="none" w:pos="175" w:val="left"/>
        </w:tabs>
        <w:numPr>
          <w:ilvl w:val="0"/>
          <w:numId w:val="50"/>
        </w:numPr>
        <w:rPr>
          <w:rFonts w:ascii="MS PGothic" w:cs="MS PGothic" w:eastAsia="MS PGothic" w:hAnsi="MS PGothic"/>
          <w:sz w:val="15"/>
          <w:szCs w:val="15"/>
          <w:color w:val="auto"/>
        </w:rPr>
      </w:pPr>
      <w:r>
        <w:rPr>
          <w:rFonts w:ascii="Arial" w:cs="Arial" w:eastAsia="Arial" w:hAnsi="Arial"/>
          <w:sz w:val="15"/>
          <w:szCs w:val="15"/>
          <w:color w:val="auto"/>
        </w:rPr>
        <w:t>Compensation consultant to the Committee is independent and free of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95885</wp:posOffset>
            </wp:positionV>
            <wp:extent cx="483870" cy="2222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4" w:space="720"/>
            <w:col w:w="4456"/>
          </w:cols>
          <w:pgMar w:left="980" w:top="485" w:right="999" w:bottom="1440" w:gutter="0" w:footer="0" w:header="0"/>
          <w:type w:val="continuous"/>
        </w:sectPr>
      </w:pPr>
    </w:p>
    <w:p>
      <w:pPr>
        <w:spacing w:after="0" w:line="9"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20" w:type="dxa"/>
            <w:vAlign w:val="bottom"/>
            <w:tcBorders>
              <w:bottom w:val="single" w:sz="8" w:color="B2C8DF"/>
            </w:tcBorders>
            <w:shd w:val="clear" w:color="auto" w:fill="B2C8DF"/>
          </w:tcPr>
          <w:p>
            <w:pPr>
              <w:spacing w:after="0"/>
              <w:rPr>
                <w:sz w:val="21"/>
                <w:szCs w:val="21"/>
                <w:color w:val="auto"/>
              </w:rPr>
            </w:pPr>
          </w:p>
        </w:tc>
        <w:tc>
          <w:tcPr>
            <w:tcW w:w="6500" w:type="dxa"/>
            <w:vAlign w:val="bottom"/>
            <w:tcBorders>
              <w:bottom w:val="single" w:sz="8" w:color="B2C8DF"/>
            </w:tcBorders>
            <w:shd w:val="clear" w:color="auto" w:fill="B2C8DF"/>
          </w:tcPr>
          <w:p>
            <w:pPr>
              <w:ind w:left="720"/>
              <w:spacing w:after="0"/>
              <w:rPr>
                <w:sz w:val="20"/>
                <w:szCs w:val="20"/>
                <w:color w:val="auto"/>
              </w:rPr>
            </w:pPr>
            <w:r>
              <w:rPr>
                <w:rFonts w:ascii="Arial" w:cs="Arial" w:eastAsia="Arial" w:hAnsi="Arial"/>
                <w:sz w:val="15"/>
                <w:szCs w:val="15"/>
                <w:b w:val="1"/>
                <w:bCs w:val="1"/>
                <w:color w:val="auto"/>
              </w:rPr>
              <w:t>WHAT WE DO NOT DO</w:t>
            </w:r>
          </w:p>
        </w:tc>
      </w:tr>
      <w:tr>
        <w:trPr>
          <w:trHeight w:val="438"/>
        </w:trPr>
        <w:tc>
          <w:tcPr>
            <w:tcW w:w="3420" w:type="dxa"/>
            <w:vAlign w:val="bottom"/>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excise tax gross-up payments</w:t>
            </w:r>
          </w:p>
        </w:tc>
        <w:tc>
          <w:tcPr>
            <w:tcW w:w="6500" w:type="dxa"/>
            <w:vAlign w:val="bottom"/>
          </w:tcPr>
          <w:p>
            <w:pPr>
              <w:ind w:left="20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back dating or re-pricing of stock options and stock</w:t>
            </w:r>
          </w:p>
        </w:tc>
      </w:tr>
      <w:tr>
        <w:trPr>
          <w:trHeight w:val="198"/>
        </w:trPr>
        <w:tc>
          <w:tcPr>
            <w:tcW w:w="3420" w:type="dxa"/>
            <w:vAlign w:val="bottom"/>
          </w:tcPr>
          <w:p>
            <w:pPr>
              <w:spacing w:after="0"/>
              <w:rPr>
                <w:sz w:val="17"/>
                <w:szCs w:val="17"/>
                <w:color w:val="auto"/>
              </w:rPr>
            </w:pPr>
          </w:p>
        </w:tc>
        <w:tc>
          <w:tcPr>
            <w:tcW w:w="6500" w:type="dxa"/>
            <w:vAlign w:val="bottom"/>
          </w:tcPr>
          <w:p>
            <w:pPr>
              <w:ind w:left="2040"/>
              <w:spacing w:after="0"/>
              <w:rPr>
                <w:sz w:val="20"/>
                <w:szCs w:val="20"/>
                <w:color w:val="auto"/>
              </w:rPr>
            </w:pPr>
            <w:r>
              <w:rPr>
                <w:rFonts w:ascii="Arial" w:cs="Arial" w:eastAsia="Arial" w:hAnsi="Arial"/>
                <w:sz w:val="15"/>
                <w:szCs w:val="15"/>
                <w:color w:val="auto"/>
              </w:rPr>
              <w:t>appreciation rights</w:t>
            </w:r>
          </w:p>
        </w:tc>
      </w:tr>
    </w:tbl>
    <w:p>
      <w:pPr>
        <w:spacing w:after="0" w:line="177" w:lineRule="exact"/>
        <w:rPr>
          <w:sz w:val="20"/>
          <w:szCs w:val="20"/>
          <w:color w:val="auto"/>
        </w:rPr>
      </w:pPr>
    </w:p>
    <w:p>
      <w:pPr>
        <w:ind w:left="480" w:hanging="178"/>
        <w:spacing w:after="0"/>
        <w:tabs>
          <w:tab w:leader="none" w:pos="480" w:val="left"/>
        </w:tabs>
        <w:numPr>
          <w:ilvl w:val="0"/>
          <w:numId w:val="51"/>
        </w:numPr>
        <w:rPr>
          <w:rFonts w:ascii="MS PGothic" w:cs="MS PGothic" w:eastAsia="MS PGothic" w:hAnsi="MS PGothic"/>
          <w:sz w:val="15"/>
          <w:szCs w:val="15"/>
          <w:color w:val="auto"/>
        </w:rPr>
      </w:pPr>
      <w:r>
        <w:rPr>
          <w:rFonts w:ascii="Arial" w:cs="Arial" w:eastAsia="Arial" w:hAnsi="Arial"/>
          <w:sz w:val="15"/>
          <w:szCs w:val="15"/>
          <w:color w:val="auto"/>
        </w:rPr>
        <w:t>No hedging or pledging of CECO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Role</w:t>
      </w:r>
    </w:p>
    <w:p>
      <w:pPr>
        <w:spacing w:after="0" w:line="9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Our Compensation Committee oversees our compensation programs, with particular attention paid to the compensation of our CEO and the other NEOs, to help ensure that our compensation philosophy is consistent with the best interests of the Company and our stockholders. It reviews and approves changes to our executive compensation programs. While our Compensation Committee has historically established and utilized objective, formula-based incentive arrangements, it believes that an effective executive compensation program also requires the use of sound business judgment and the ability to consider qualitative factors to make adjustments when appropriate, though it did not do so during 2024.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Compensation Consultants in Compensation Decisions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Compensation Committee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composition, competitive market pay, compensation structure and general market trends for our NEOs and the Board. More specifically, Meridian provided market and peer group data to give our Compensation Committee context for our Company’s short-term cash and long-term equity compensation. The Compensation Committee sought the advice of Meridian in considering the design of the NEOs’ incentive compensation and the Board’s total cash compensation and equity incentive. In reviewing our executive compensation programs for market-competitiveness and alignment with industry best practices, our Compensation Committee considered the information and advice presented by Meridian.</w:t>
      </w:r>
    </w:p>
    <w:p>
      <w:pPr>
        <w:spacing w:after="0" w:line="60"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Our Compensation Committee assessed the independence of Meridian, as required under the NASDAQ listing requirements, and considered and assessed all relevant factors, including those set forth in Rule 10C-1(b)(4)(i) through (vi) under the Exchange Act, which could give rise to a potential conflict of interest with respect to Meridian during 2024. Based on this review, our Compensation Committee did not identify any conflict of interest raised by the work of Meridian. Meridian does not provide any services to management or any other services to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Executive Officers in Compensation Decisions</w:t>
      </w:r>
    </w:p>
    <w:p>
      <w:pPr>
        <w:spacing w:after="0" w:line="9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annual and long-term incentive-based executive compensation is generally structured to reward our executive officers for achieving our Company’s business goals. From time to time, our Compensation Committee relies upon recommendations made by our CEO, regarding compensation for our executive officers other than our CEO. As part of its review and establishment of the performance criteria and compensation of our NEOs, our Compensation Committee meets separately with our CEO at least once each year and with our other executive officers as it deems appropriate. Our CEO annually reviews the performance of each of our other NEOs (other than himself) with our Compensation Committee and makes recommendations to our Compensation Committee regarding such NEOs’ compensation. Our Compensation Committee makes its compensation decisions for our NEOs,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Setting Executive Compensation</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Compensation Committee evaluates the performance of our CEO and the other NEOs as described above and reviews and approves the annual salary and any annual cash incentive, bonus, long-term stock-based compensation and other material benefits of our NEOs other than our CEO, subject to the terms of any applicable employment agreements. Based on the recommendations of our Compensation Committee, our non-management directors approve the annual salary and any annual cash incentive, long-term stock-based compensation and other material benefits of our CEO, subject to the terms of his employment agreement.</w:t>
      </w:r>
    </w:p>
    <w:p>
      <w:pPr>
        <w:spacing w:after="0" w:line="328"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20</w:t>
      </w:r>
      <w:r>
        <w:rPr>
          <w:sz w:val="20"/>
          <w:szCs w:val="20"/>
          <w:color w:val="auto"/>
        </w:rPr>
        <w:tab/>
      </w:r>
      <w:r>
        <w:rPr>
          <w:sz w:val="1"/>
          <w:szCs w:val="1"/>
          <w:color w:val="auto"/>
        </w:rPr>
        <w:drawing>
          <wp:inline distT="0" distB="0" distL="0" distR="0">
            <wp:extent cx="476250" cy="2222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Pay Comparisons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Compensation Committee generally considers external pay comparison data as a market check on its compensation decisions. The Compensation Committee referenced our peer group’s market data, as provided by our independent compensation consultant, when establishing pay for our NEOs for 2024. The companies in our 2024 peer group listed below were selected based on having revenue, market capitalization, and overall business characteristics, including product offerings and end markets, similar to ours.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20" w:type="dxa"/>
            <w:vAlign w:val="bottom"/>
            <w:tcBorders>
              <w:top w:val="single" w:sz="8" w:color="405788"/>
              <w:bottom w:val="single" w:sz="8" w:color="D9D9D9"/>
            </w:tcBorders>
          </w:tcPr>
          <w:p>
            <w:pPr>
              <w:spacing w:after="0"/>
              <w:rPr>
                <w:sz w:val="20"/>
                <w:szCs w:val="20"/>
                <w:color w:val="auto"/>
              </w:rPr>
            </w:pPr>
            <w:r>
              <w:rPr>
                <w:rFonts w:ascii="Arial" w:cs="Arial" w:eastAsia="Arial" w:hAnsi="Arial"/>
                <w:sz w:val="17"/>
                <w:szCs w:val="17"/>
                <w:color w:val="auto"/>
              </w:rPr>
              <w:t>Allient Inc.</w:t>
            </w:r>
          </w:p>
        </w:tc>
        <w:tc>
          <w:tcPr>
            <w:tcW w:w="3120" w:type="dxa"/>
            <w:vAlign w:val="bottom"/>
            <w:tcBorders>
              <w:top w:val="single" w:sz="8" w:color="405788"/>
              <w:bottom w:val="single" w:sz="8" w:color="D9D9D9"/>
            </w:tcBorders>
          </w:tcPr>
          <w:p>
            <w:pPr>
              <w:ind w:left="340"/>
              <w:spacing w:after="0"/>
              <w:rPr>
                <w:sz w:val="20"/>
                <w:szCs w:val="20"/>
                <w:color w:val="auto"/>
              </w:rPr>
            </w:pPr>
            <w:r>
              <w:rPr>
                <w:rFonts w:ascii="Arial" w:cs="Arial" w:eastAsia="Arial" w:hAnsi="Arial"/>
                <w:sz w:val="17"/>
                <w:szCs w:val="17"/>
                <w:color w:val="auto"/>
              </w:rPr>
              <w:t>Hudson Technologies, Inc.</w:t>
            </w:r>
          </w:p>
        </w:tc>
        <w:tc>
          <w:tcPr>
            <w:tcW w:w="3880" w:type="dxa"/>
            <w:vAlign w:val="bottom"/>
            <w:tcBorders>
              <w:top w:val="single" w:sz="8" w:color="405788"/>
              <w:bottom w:val="single" w:sz="8" w:color="D9D9D9"/>
            </w:tcBorders>
          </w:tcPr>
          <w:p>
            <w:pPr>
              <w:ind w:left="840"/>
              <w:spacing w:after="0"/>
              <w:rPr>
                <w:sz w:val="20"/>
                <w:szCs w:val="20"/>
                <w:color w:val="auto"/>
              </w:rPr>
            </w:pPr>
            <w:r>
              <w:rPr>
                <w:rFonts w:ascii="Arial" w:cs="Arial" w:eastAsia="Arial" w:hAnsi="Arial"/>
                <w:sz w:val="17"/>
                <w:szCs w:val="17"/>
                <w:color w:val="auto"/>
              </w:rPr>
              <w:t>Powell Industries, Inc.</w:t>
            </w:r>
          </w:p>
        </w:tc>
      </w:tr>
      <w:tr>
        <w:trPr>
          <w:trHeight w:val="192"/>
        </w:trPr>
        <w:tc>
          <w:tcPr>
            <w:tcW w:w="29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Ameresco, Inc.</w:t>
            </w:r>
          </w:p>
        </w:tc>
        <w:tc>
          <w:tcPr>
            <w:tcW w:w="3120" w:type="dxa"/>
            <w:vAlign w:val="bottom"/>
            <w:tcBorders>
              <w:bottom w:val="single" w:sz="8" w:color="D9D9D9"/>
            </w:tcBorders>
          </w:tcPr>
          <w:p>
            <w:pPr>
              <w:ind w:left="340"/>
              <w:spacing w:after="0" w:line="188" w:lineRule="exact"/>
              <w:rPr>
                <w:sz w:val="20"/>
                <w:szCs w:val="20"/>
                <w:color w:val="auto"/>
              </w:rPr>
            </w:pPr>
            <w:r>
              <w:rPr>
                <w:rFonts w:ascii="Arial" w:cs="Arial" w:eastAsia="Arial" w:hAnsi="Arial"/>
                <w:sz w:val="17"/>
                <w:szCs w:val="17"/>
                <w:color w:val="auto"/>
              </w:rPr>
              <w:t>Kadant Inc.</w:t>
            </w:r>
          </w:p>
        </w:tc>
        <w:tc>
          <w:tcPr>
            <w:tcW w:w="388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Preformed Line Products Company</w:t>
            </w:r>
          </w:p>
        </w:tc>
      </w:tr>
      <w:tr>
        <w:trPr>
          <w:trHeight w:val="192"/>
        </w:trPr>
        <w:tc>
          <w:tcPr>
            <w:tcW w:w="29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Argan, Inc.</w:t>
            </w:r>
          </w:p>
        </w:tc>
        <w:tc>
          <w:tcPr>
            <w:tcW w:w="3120" w:type="dxa"/>
            <w:vAlign w:val="bottom"/>
            <w:tcBorders>
              <w:bottom w:val="single" w:sz="8" w:color="D9D9D9"/>
            </w:tcBorders>
          </w:tcPr>
          <w:p>
            <w:pPr>
              <w:ind w:left="340"/>
              <w:spacing w:after="0" w:line="188" w:lineRule="exact"/>
              <w:rPr>
                <w:sz w:val="20"/>
                <w:szCs w:val="20"/>
                <w:color w:val="auto"/>
              </w:rPr>
            </w:pPr>
            <w:r>
              <w:rPr>
                <w:rFonts w:ascii="Arial" w:cs="Arial" w:eastAsia="Arial" w:hAnsi="Arial"/>
                <w:sz w:val="17"/>
                <w:szCs w:val="17"/>
                <w:color w:val="auto"/>
              </w:rPr>
              <w:t>L.B. Foster Company</w:t>
            </w:r>
          </w:p>
        </w:tc>
        <w:tc>
          <w:tcPr>
            <w:tcW w:w="388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Standex International Corporation</w:t>
            </w:r>
          </w:p>
        </w:tc>
      </w:tr>
      <w:tr>
        <w:trPr>
          <w:trHeight w:val="192"/>
        </w:trPr>
        <w:tc>
          <w:tcPr>
            <w:tcW w:w="29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Astec Industries, Inc.</w:t>
            </w:r>
          </w:p>
        </w:tc>
        <w:tc>
          <w:tcPr>
            <w:tcW w:w="3120" w:type="dxa"/>
            <w:vAlign w:val="bottom"/>
            <w:tcBorders>
              <w:bottom w:val="single" w:sz="8" w:color="D9D9D9"/>
            </w:tcBorders>
          </w:tcPr>
          <w:p>
            <w:pPr>
              <w:ind w:left="340"/>
              <w:spacing w:after="0" w:line="188" w:lineRule="exact"/>
              <w:rPr>
                <w:sz w:val="20"/>
                <w:szCs w:val="20"/>
                <w:color w:val="auto"/>
              </w:rPr>
            </w:pPr>
            <w:r>
              <w:rPr>
                <w:rFonts w:ascii="Arial" w:cs="Arial" w:eastAsia="Arial" w:hAnsi="Arial"/>
                <w:sz w:val="17"/>
                <w:szCs w:val="17"/>
                <w:color w:val="auto"/>
              </w:rPr>
              <w:t>Lindsay Corporation</w:t>
            </w:r>
          </w:p>
        </w:tc>
        <w:tc>
          <w:tcPr>
            <w:tcW w:w="388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The Gorman-Rupp Company</w:t>
            </w:r>
          </w:p>
        </w:tc>
      </w:tr>
      <w:tr>
        <w:trPr>
          <w:trHeight w:val="192"/>
        </w:trPr>
        <w:tc>
          <w:tcPr>
            <w:tcW w:w="29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Babcock &amp; Wilcox Enterprises, Inc.</w:t>
            </w:r>
          </w:p>
        </w:tc>
        <w:tc>
          <w:tcPr>
            <w:tcW w:w="3120" w:type="dxa"/>
            <w:vAlign w:val="bottom"/>
            <w:tcBorders>
              <w:bottom w:val="single" w:sz="8" w:color="D9D9D9"/>
            </w:tcBorders>
          </w:tcPr>
          <w:p>
            <w:pPr>
              <w:ind w:left="340"/>
              <w:spacing w:after="0" w:line="188" w:lineRule="exact"/>
              <w:rPr>
                <w:sz w:val="20"/>
                <w:szCs w:val="20"/>
                <w:color w:val="auto"/>
              </w:rPr>
            </w:pPr>
            <w:r>
              <w:rPr>
                <w:rFonts w:ascii="Arial" w:cs="Arial" w:eastAsia="Arial" w:hAnsi="Arial"/>
                <w:sz w:val="17"/>
                <w:szCs w:val="17"/>
                <w:color w:val="auto"/>
              </w:rPr>
              <w:t>Luxfer Holdings PLC</w:t>
            </w:r>
          </w:p>
        </w:tc>
        <w:tc>
          <w:tcPr>
            <w:tcW w:w="388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Thermon Group Holdings, Inc.</w:t>
            </w:r>
          </w:p>
        </w:tc>
      </w:tr>
      <w:tr>
        <w:trPr>
          <w:trHeight w:val="187"/>
        </w:trPr>
        <w:tc>
          <w:tcPr>
            <w:tcW w:w="292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ESCO Technologies Inc.</w:t>
            </w:r>
          </w:p>
        </w:tc>
        <w:tc>
          <w:tcPr>
            <w:tcW w:w="3120" w:type="dxa"/>
            <w:vAlign w:val="bottom"/>
            <w:tcBorders>
              <w:bottom w:val="single" w:sz="8" w:color="405788"/>
            </w:tcBorders>
          </w:tcPr>
          <w:p>
            <w:pPr>
              <w:ind w:left="340"/>
              <w:spacing w:after="0" w:line="188" w:lineRule="exact"/>
              <w:rPr>
                <w:sz w:val="20"/>
                <w:szCs w:val="20"/>
                <w:color w:val="auto"/>
              </w:rPr>
            </w:pPr>
            <w:r>
              <w:rPr>
                <w:rFonts w:ascii="Arial" w:cs="Arial" w:eastAsia="Arial" w:hAnsi="Arial"/>
                <w:sz w:val="17"/>
                <w:szCs w:val="17"/>
                <w:color w:val="auto"/>
              </w:rPr>
              <w:t>Northwest Pipe Company</w:t>
            </w:r>
          </w:p>
        </w:tc>
        <w:tc>
          <w:tcPr>
            <w:tcW w:w="3880" w:type="dxa"/>
            <w:vAlign w:val="bottom"/>
            <w:tcBorders>
              <w:bottom w:val="single" w:sz="8" w:color="405788"/>
            </w:tcBorders>
          </w:tcPr>
          <w:p>
            <w:pPr>
              <w:ind w:left="840"/>
              <w:spacing w:after="0" w:line="188" w:lineRule="exact"/>
              <w:rPr>
                <w:sz w:val="20"/>
                <w:szCs w:val="20"/>
                <w:color w:val="auto"/>
              </w:rPr>
            </w:pPr>
            <w:r>
              <w:rPr>
                <w:rFonts w:ascii="Arial" w:cs="Arial" w:eastAsia="Arial" w:hAnsi="Arial"/>
                <w:sz w:val="17"/>
                <w:szCs w:val="17"/>
                <w:color w:val="auto"/>
              </w:rPr>
              <w:t>Vishay Precision Group, Inc.</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Highlights of 2024 Executive Compensation</w:t>
      </w:r>
    </w:p>
    <w:p>
      <w:pPr>
        <w:spacing w:after="0" w:line="9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Throughout 2024, the management team remained focused on growth and effectively managed our business through significant market challenges, organizational change, and the competition for talent. As a result, the Company had mixed results in 2024 driven by customer project and market related order delays but record fourth quarter orders bookings of $219 million. As a result of this mixed performance, our NEOs earned cash incentive compensation for 2024 at a payout percentage of 40% of target.</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March 2024, as incentive for future performance, Messrs. Gleason and Johansson and Ms. Watkins-Asiyanbi were awarded an annual grant of PRSUs that gives them the opportunity to earn shares based on our Company’s future performance. As in prior years, Mr. Johansson and Ms. Watkins-Asiyanbi also received a grant of timed-based RSUs that vest over three years, so that the value an executive officer may actually realize depends on our future stock performance. We changed Mr. Gleason’s long-term incentive mix from 70% PRSUs and 30% RSUs in 2023 to 75% PRSUs and 25% stock options in 2024 to further tie his compensation to stockholder value creation.</w:t>
      </w:r>
    </w:p>
    <w:p>
      <w:pPr>
        <w:spacing w:after="0" w:line="59"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charts below show how each NEO’s target direct compensation for 2024 was divided between base salary, annual cash incentive awards, stock options, RSUs and PRSUs granted in 2024 (showing the cash incentive awards and PRSUs at target). As reflected below, we weigh a significant portion of each NEO’s target compensation toward incentive-based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49530</wp:posOffset>
            </wp:positionV>
            <wp:extent cx="5824855" cy="1595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485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00"/>
        <w:spacing w:after="0"/>
        <w:tabs>
          <w:tab w:leader="none" w:pos="4280" w:val="left"/>
          <w:tab w:leader="none" w:pos="7340" w:val="left"/>
        </w:tabs>
        <w:rPr>
          <w:sz w:val="20"/>
          <w:szCs w:val="20"/>
          <w:color w:val="auto"/>
        </w:rPr>
      </w:pPr>
      <w:r>
        <w:rPr>
          <w:rFonts w:ascii="Arial" w:cs="Arial" w:eastAsia="Arial" w:hAnsi="Arial"/>
          <w:sz w:val="17"/>
          <w:szCs w:val="17"/>
          <w:b w:val="1"/>
          <w:bCs w:val="1"/>
          <w:color w:val="auto"/>
        </w:rPr>
        <w:t>Todd Gleason</w:t>
      </w:r>
      <w:r>
        <w:rPr>
          <w:sz w:val="20"/>
          <w:szCs w:val="20"/>
          <w:color w:val="auto"/>
        </w:rPr>
        <w:tab/>
      </w:r>
      <w:r>
        <w:rPr>
          <w:rFonts w:ascii="Arial" w:cs="Arial" w:eastAsia="Arial" w:hAnsi="Arial"/>
          <w:sz w:val="17"/>
          <w:szCs w:val="17"/>
          <w:b w:val="1"/>
          <w:bCs w:val="1"/>
          <w:color w:val="auto"/>
        </w:rPr>
        <w:t>Peter Johansson</w:t>
      </w:r>
      <w:r>
        <w:rPr>
          <w:sz w:val="20"/>
          <w:szCs w:val="20"/>
          <w:color w:val="auto"/>
        </w:rPr>
        <w:tab/>
      </w:r>
      <w:r>
        <w:rPr>
          <w:rFonts w:ascii="Arial" w:cs="Arial" w:eastAsia="Arial" w:hAnsi="Arial"/>
          <w:sz w:val="16"/>
          <w:szCs w:val="16"/>
          <w:b w:val="1"/>
          <w:bCs w:val="1"/>
          <w:color w:val="auto"/>
        </w:rPr>
        <w:t>Lynn Watkins-Asiyanbi</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Elements of 2024 Compensation</w:t>
      </w:r>
    </w:p>
    <w:p>
      <w:pPr>
        <w:spacing w:after="0" w:line="77"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Our 2024 executive compensation program consisted of cash, with a fixed base salary and an annual cash incentive opportunity, and equity in the form of PRSUs, RSUs and, in the case of Mr. Gleason,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227965</wp:posOffset>
            </wp:positionV>
            <wp:extent cx="483870" cy="222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97"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2024 Base Salary</w:t>
      </w:r>
    </w:p>
    <w:p>
      <w:pPr>
        <w:spacing w:after="0" w:line="9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provide our NEOs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and whether the particular executive is entitled to a minimum base salary under any existing employment agreement.</w:t>
      </w:r>
    </w:p>
    <w:p>
      <w:pPr>
        <w:spacing w:after="0" w:line="7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Salary levels for our NEOs are reviewed and approved by the Compensation Committee annually as well as upon joining the Company or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2023, our Compensation Committee approved market-based increases ranging from ~9% to 48% for our NEOs. These increases were made in recognition of current and intended market positioning, individual and 2023 company performance, hybrid roles of the NEOs, recent growth, and continued expectations for growth and stockholder value creation. In the case of Mr. Gleason, the Compensation Committee approved the base salary indicated in the table below based on a variety of factors, including his contributions to the Company’s significant growth and stockholder value creation, his tenure within our organization, his efforts in positioning the Company for continued outperformance, the Committee’s desire to retain a highly regarded leader within our industry and desired competitive positioning relative to the newly constructed peer group.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80" w:type="dxa"/>
            <w:vAlign w:val="bottom"/>
          </w:tcPr>
          <w:p>
            <w:pPr>
              <w:spacing w:after="0"/>
              <w:rPr>
                <w:sz w:val="20"/>
                <w:szCs w:val="20"/>
                <w:color w:val="auto"/>
              </w:rPr>
            </w:pPr>
            <w:r>
              <w:rPr>
                <w:rFonts w:ascii="Arial" w:cs="Arial" w:eastAsia="Arial" w:hAnsi="Arial"/>
                <w:sz w:val="13"/>
                <w:szCs w:val="13"/>
                <w:b w:val="1"/>
                <w:bCs w:val="1"/>
                <w:color w:val="auto"/>
              </w:rPr>
              <w:t>Named Executive</w:t>
            </w:r>
          </w:p>
        </w:tc>
        <w:tc>
          <w:tcPr>
            <w:tcW w:w="2540" w:type="dxa"/>
            <w:vAlign w:val="bottom"/>
          </w:tcPr>
          <w:p>
            <w:pPr>
              <w:jc w:val="right"/>
              <w:ind w:right="103"/>
              <w:spacing w:after="0"/>
              <w:rPr>
                <w:sz w:val="20"/>
                <w:szCs w:val="20"/>
                <w:color w:val="auto"/>
              </w:rPr>
            </w:pPr>
            <w:r>
              <w:rPr>
                <w:rFonts w:ascii="Arial" w:cs="Arial" w:eastAsia="Arial" w:hAnsi="Arial"/>
                <w:sz w:val="13"/>
                <w:szCs w:val="13"/>
                <w:b w:val="1"/>
                <w:bCs w:val="1"/>
                <w:color w:val="auto"/>
              </w:rPr>
              <w:t>Base Salary Rate ($)</w:t>
            </w:r>
          </w:p>
        </w:tc>
        <w:tc>
          <w:tcPr>
            <w:tcW w:w="1540" w:type="dxa"/>
            <w:vAlign w:val="bottom"/>
          </w:tcPr>
          <w:p>
            <w:pPr>
              <w:jc w:val="right"/>
              <w:ind w:right="23"/>
              <w:spacing w:after="0"/>
              <w:rPr>
                <w:sz w:val="20"/>
                <w:szCs w:val="20"/>
                <w:color w:val="auto"/>
              </w:rPr>
            </w:pPr>
            <w:r>
              <w:rPr>
                <w:rFonts w:ascii="Arial" w:cs="Arial" w:eastAsia="Arial" w:hAnsi="Arial"/>
                <w:sz w:val="13"/>
                <w:szCs w:val="13"/>
                <w:b w:val="1"/>
                <w:bCs w:val="1"/>
                <w:color w:val="auto"/>
              </w:rPr>
              <w:t>Base Salary Rate ($)</w:t>
            </w:r>
          </w:p>
        </w:tc>
        <w:tc>
          <w:tcPr>
            <w:tcW w:w="1540" w:type="dxa"/>
            <w:vAlign w:val="bottom"/>
          </w:tcPr>
          <w:p>
            <w:pPr>
              <w:jc w:val="right"/>
              <w:ind w:right="103"/>
              <w:spacing w:after="0"/>
              <w:rPr>
                <w:sz w:val="20"/>
                <w:szCs w:val="20"/>
                <w:color w:val="auto"/>
              </w:rPr>
            </w:pPr>
            <w:r>
              <w:rPr>
                <w:rFonts w:ascii="Arial" w:cs="Arial" w:eastAsia="Arial" w:hAnsi="Arial"/>
                <w:sz w:val="13"/>
                <w:szCs w:val="13"/>
                <w:b w:val="1"/>
                <w:bCs w:val="1"/>
                <w:color w:val="auto"/>
              </w:rPr>
              <w:t>Base Salary Rate ($)</w:t>
            </w:r>
          </w:p>
        </w:tc>
        <w:tc>
          <w:tcPr>
            <w:tcW w:w="1520" w:type="dxa"/>
            <w:vAlign w:val="bottom"/>
          </w:tcPr>
          <w:p>
            <w:pPr>
              <w:spacing w:after="0"/>
              <w:rPr>
                <w:sz w:val="13"/>
                <w:szCs w:val="13"/>
                <w:color w:val="auto"/>
              </w:rPr>
            </w:pPr>
          </w:p>
        </w:tc>
      </w:tr>
      <w:tr>
        <w:trPr>
          <w:trHeight w:val="163"/>
        </w:trPr>
        <w:tc>
          <w:tcPr>
            <w:tcW w:w="27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Officer</w:t>
            </w:r>
          </w:p>
        </w:tc>
        <w:tc>
          <w:tcPr>
            <w:tcW w:w="2540" w:type="dxa"/>
            <w:vAlign w:val="bottom"/>
            <w:tcBorders>
              <w:bottom w:val="single" w:sz="8" w:color="405788"/>
            </w:tcBorders>
          </w:tcPr>
          <w:p>
            <w:pPr>
              <w:jc w:val="right"/>
              <w:ind w:right="103"/>
              <w:spacing w:after="0"/>
              <w:rPr>
                <w:sz w:val="20"/>
                <w:szCs w:val="20"/>
                <w:color w:val="auto"/>
              </w:rPr>
            </w:pPr>
            <w:r>
              <w:rPr>
                <w:rFonts w:ascii="Arial" w:cs="Arial" w:eastAsia="Arial" w:hAnsi="Arial"/>
                <w:sz w:val="13"/>
                <w:szCs w:val="13"/>
                <w:b w:val="1"/>
                <w:bCs w:val="1"/>
                <w:color w:val="auto"/>
              </w:rPr>
              <w:t>(as of 12/31/22)</w:t>
            </w:r>
          </w:p>
        </w:tc>
        <w:tc>
          <w:tcPr>
            <w:tcW w:w="1540" w:type="dxa"/>
            <w:vAlign w:val="bottom"/>
            <w:tcBorders>
              <w:bottom w:val="single" w:sz="8" w:color="405788"/>
            </w:tcBorders>
          </w:tcPr>
          <w:p>
            <w:pPr>
              <w:jc w:val="right"/>
              <w:ind w:right="23"/>
              <w:spacing w:after="0"/>
              <w:rPr>
                <w:sz w:val="20"/>
                <w:szCs w:val="20"/>
                <w:color w:val="auto"/>
              </w:rPr>
            </w:pPr>
            <w:r>
              <w:rPr>
                <w:rFonts w:ascii="Arial" w:cs="Arial" w:eastAsia="Arial" w:hAnsi="Arial"/>
                <w:sz w:val="13"/>
                <w:szCs w:val="13"/>
                <w:b w:val="1"/>
                <w:bCs w:val="1"/>
                <w:color w:val="auto"/>
              </w:rPr>
              <w:t>(as of 12/31/23)</w:t>
            </w:r>
          </w:p>
        </w:tc>
        <w:tc>
          <w:tcPr>
            <w:tcW w:w="1540" w:type="dxa"/>
            <w:vAlign w:val="bottom"/>
            <w:tcBorders>
              <w:bottom w:val="single" w:sz="8" w:color="405788"/>
            </w:tcBorders>
          </w:tcPr>
          <w:p>
            <w:pPr>
              <w:jc w:val="right"/>
              <w:ind w:right="103"/>
              <w:spacing w:after="0"/>
              <w:rPr>
                <w:sz w:val="20"/>
                <w:szCs w:val="20"/>
                <w:color w:val="auto"/>
              </w:rPr>
            </w:pPr>
            <w:r>
              <w:rPr>
                <w:rFonts w:ascii="Arial" w:cs="Arial" w:eastAsia="Arial" w:hAnsi="Arial"/>
                <w:sz w:val="13"/>
                <w:szCs w:val="13"/>
                <w:b w:val="1"/>
                <w:bCs w:val="1"/>
                <w:color w:val="auto"/>
              </w:rPr>
              <w:t>(as of 12/31/24)</w:t>
            </w:r>
          </w:p>
        </w:tc>
        <w:tc>
          <w:tcPr>
            <w:tcW w:w="1520" w:type="dxa"/>
            <w:vAlign w:val="bottom"/>
            <w:tcBorders>
              <w:bottom w:val="single" w:sz="8" w:color="405788"/>
            </w:tcBorders>
          </w:tcPr>
          <w:p>
            <w:pPr>
              <w:jc w:val="right"/>
              <w:ind w:right="121"/>
              <w:spacing w:after="0"/>
              <w:rPr>
                <w:sz w:val="20"/>
                <w:szCs w:val="20"/>
                <w:color w:val="auto"/>
              </w:rPr>
            </w:pPr>
            <w:r>
              <w:rPr>
                <w:rFonts w:ascii="Arial" w:cs="Arial" w:eastAsia="Arial" w:hAnsi="Arial"/>
                <w:sz w:val="13"/>
                <w:szCs w:val="13"/>
                <w:b w:val="1"/>
                <w:bCs w:val="1"/>
                <w:color w:val="auto"/>
              </w:rPr>
              <w:t>% Increase (23-24)</w:t>
            </w:r>
          </w:p>
        </w:tc>
      </w:tr>
      <w:tr>
        <w:trPr>
          <w:trHeight w:val="192"/>
        </w:trPr>
        <w:tc>
          <w:tcPr>
            <w:tcW w:w="27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2540" w:type="dxa"/>
            <w:vAlign w:val="bottom"/>
            <w:tcBorders>
              <w:bottom w:val="single" w:sz="8" w:color="D9D9D9"/>
            </w:tcBorders>
          </w:tcPr>
          <w:p>
            <w:pPr>
              <w:jc w:val="right"/>
              <w:ind w:right="103"/>
              <w:spacing w:after="0" w:line="188" w:lineRule="exact"/>
              <w:rPr>
                <w:sz w:val="20"/>
                <w:szCs w:val="20"/>
                <w:color w:val="auto"/>
              </w:rPr>
            </w:pPr>
            <w:r>
              <w:rPr>
                <w:rFonts w:ascii="Arial" w:cs="Arial" w:eastAsia="Arial" w:hAnsi="Arial"/>
                <w:sz w:val="17"/>
                <w:szCs w:val="17"/>
                <w:color w:val="auto"/>
              </w:rPr>
              <w:t>481,950</w:t>
            </w:r>
          </w:p>
        </w:tc>
        <w:tc>
          <w:tcPr>
            <w:tcW w:w="154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525,326</w:t>
            </w:r>
          </w:p>
        </w:tc>
        <w:tc>
          <w:tcPr>
            <w:tcW w:w="1540" w:type="dxa"/>
            <w:vAlign w:val="bottom"/>
            <w:tcBorders>
              <w:bottom w:val="single" w:sz="8" w:color="D9D9D9"/>
            </w:tcBorders>
          </w:tcPr>
          <w:p>
            <w:pPr>
              <w:jc w:val="right"/>
              <w:ind w:right="123"/>
              <w:spacing w:after="0" w:line="188" w:lineRule="exact"/>
              <w:rPr>
                <w:sz w:val="20"/>
                <w:szCs w:val="20"/>
                <w:color w:val="auto"/>
              </w:rPr>
            </w:pPr>
            <w:r>
              <w:rPr>
                <w:rFonts w:ascii="Arial" w:cs="Arial" w:eastAsia="Arial" w:hAnsi="Arial"/>
                <w:sz w:val="17"/>
                <w:szCs w:val="17"/>
                <w:color w:val="auto"/>
              </w:rPr>
              <w:t>775,000</w:t>
            </w:r>
          </w:p>
        </w:tc>
        <w:tc>
          <w:tcPr>
            <w:tcW w:w="15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47.5 %</w:t>
            </w:r>
          </w:p>
        </w:tc>
      </w:tr>
      <w:tr>
        <w:trPr>
          <w:trHeight w:val="192"/>
        </w:trPr>
        <w:tc>
          <w:tcPr>
            <w:tcW w:w="27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2540" w:type="dxa"/>
            <w:vAlign w:val="bottom"/>
            <w:tcBorders>
              <w:bottom w:val="single" w:sz="8" w:color="D9D9D9"/>
            </w:tcBorders>
          </w:tcPr>
          <w:p>
            <w:pPr>
              <w:jc w:val="right"/>
              <w:ind w:right="103"/>
              <w:spacing w:after="0" w:line="188" w:lineRule="exact"/>
              <w:rPr>
                <w:sz w:val="20"/>
                <w:szCs w:val="20"/>
                <w:color w:val="auto"/>
              </w:rPr>
            </w:pPr>
            <w:r>
              <w:rPr>
                <w:rFonts w:ascii="Arial" w:cs="Arial" w:eastAsia="Arial" w:hAnsi="Arial"/>
                <w:sz w:val="17"/>
                <w:szCs w:val="17"/>
                <w:color w:val="auto"/>
              </w:rPr>
              <w:t>375,000</w:t>
            </w:r>
          </w:p>
        </w:tc>
        <w:tc>
          <w:tcPr>
            <w:tcW w:w="154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393,750</w:t>
            </w:r>
          </w:p>
        </w:tc>
        <w:tc>
          <w:tcPr>
            <w:tcW w:w="1540" w:type="dxa"/>
            <w:vAlign w:val="bottom"/>
            <w:tcBorders>
              <w:bottom w:val="single" w:sz="8" w:color="D9D9D9"/>
            </w:tcBorders>
          </w:tcPr>
          <w:p>
            <w:pPr>
              <w:jc w:val="right"/>
              <w:ind w:right="123"/>
              <w:spacing w:after="0" w:line="188" w:lineRule="exact"/>
              <w:rPr>
                <w:sz w:val="20"/>
                <w:szCs w:val="20"/>
                <w:color w:val="auto"/>
              </w:rPr>
            </w:pPr>
            <w:r>
              <w:rPr>
                <w:rFonts w:ascii="Arial" w:cs="Arial" w:eastAsia="Arial" w:hAnsi="Arial"/>
                <w:sz w:val="17"/>
                <w:szCs w:val="17"/>
                <w:color w:val="auto"/>
              </w:rPr>
              <w:t>450,000</w:t>
            </w:r>
          </w:p>
        </w:tc>
        <w:tc>
          <w:tcPr>
            <w:tcW w:w="15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14.3 %</w:t>
            </w:r>
          </w:p>
        </w:tc>
      </w:tr>
      <w:tr>
        <w:trPr>
          <w:trHeight w:val="187"/>
        </w:trPr>
        <w:tc>
          <w:tcPr>
            <w:tcW w:w="27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2540" w:type="dxa"/>
            <w:vAlign w:val="bottom"/>
            <w:tcBorders>
              <w:bottom w:val="single" w:sz="8" w:color="405788"/>
            </w:tcBorders>
          </w:tcPr>
          <w:p>
            <w:pPr>
              <w:jc w:val="right"/>
              <w:ind w:right="103"/>
              <w:spacing w:after="0" w:line="188" w:lineRule="exact"/>
              <w:rPr>
                <w:sz w:val="20"/>
                <w:szCs w:val="20"/>
                <w:color w:val="auto"/>
              </w:rPr>
            </w:pPr>
            <w:r>
              <w:rPr>
                <w:rFonts w:ascii="Arial" w:cs="Arial" w:eastAsia="Arial" w:hAnsi="Arial"/>
                <w:sz w:val="17"/>
                <w:szCs w:val="17"/>
                <w:color w:val="auto"/>
              </w:rPr>
              <w:t>350,000</w:t>
            </w:r>
          </w:p>
        </w:tc>
        <w:tc>
          <w:tcPr>
            <w:tcW w:w="1540" w:type="dxa"/>
            <w:vAlign w:val="bottom"/>
            <w:tcBorders>
              <w:bottom w:val="single" w:sz="8" w:color="405788"/>
            </w:tcBorders>
          </w:tcPr>
          <w:p>
            <w:pPr>
              <w:jc w:val="right"/>
              <w:ind w:right="43"/>
              <w:spacing w:after="0" w:line="188" w:lineRule="exact"/>
              <w:rPr>
                <w:sz w:val="20"/>
                <w:szCs w:val="20"/>
                <w:color w:val="auto"/>
              </w:rPr>
            </w:pPr>
            <w:r>
              <w:rPr>
                <w:rFonts w:ascii="Arial" w:cs="Arial" w:eastAsia="Arial" w:hAnsi="Arial"/>
                <w:sz w:val="17"/>
                <w:szCs w:val="17"/>
                <w:color w:val="auto"/>
              </w:rPr>
              <w:t>367,500</w:t>
            </w:r>
          </w:p>
        </w:tc>
        <w:tc>
          <w:tcPr>
            <w:tcW w:w="1540" w:type="dxa"/>
            <w:vAlign w:val="bottom"/>
            <w:tcBorders>
              <w:bottom w:val="single" w:sz="8" w:color="405788"/>
            </w:tcBorders>
          </w:tcPr>
          <w:p>
            <w:pPr>
              <w:jc w:val="right"/>
              <w:ind w:right="123"/>
              <w:spacing w:after="0" w:line="188" w:lineRule="exact"/>
              <w:rPr>
                <w:sz w:val="20"/>
                <w:szCs w:val="20"/>
                <w:color w:val="auto"/>
              </w:rPr>
            </w:pPr>
            <w:r>
              <w:rPr>
                <w:rFonts w:ascii="Arial" w:cs="Arial" w:eastAsia="Arial" w:hAnsi="Arial"/>
                <w:sz w:val="17"/>
                <w:szCs w:val="17"/>
                <w:color w:val="auto"/>
              </w:rPr>
              <w:t>400,000</w:t>
            </w:r>
          </w:p>
        </w:tc>
        <w:tc>
          <w:tcPr>
            <w:tcW w:w="15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8.8 %</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2024 Cash Incentive Compensation</w:t>
      </w:r>
    </w:p>
    <w:p>
      <w:pPr>
        <w:spacing w:after="0" w:line="9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believe that, in typical circumstances, a portion of our NEOs’ cash compensation should be earned based on our annual performance, so that our executive officers are appropriately motivated to maximize our financial and operating performance each year. Early each year, our Compensation Committee typically selects executive officers to participate in the annual incentive program and determines the amount of the award opportunity and the performance goals for the participant.</w:t>
      </w:r>
    </w:p>
    <w:p>
      <w:pPr>
        <w:spacing w:after="0" w:line="7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For 2024, the performance objectives under our annual incentive program were established in the first quarter of 2024 by our Compensation Committee after consultation with our CEO and CALO and consisted of objectives of Adjusted EBITDA (50%) and Revenue (50%), in each case established by reference to the Company’s annual operating plan. We eliminated free cash flow as a metric in our annual incentive plan for 2024 to further motivate profitable growth. The payout with respect to each metric could range from 0% to a maximum of 200% of target. In early 2025, the Compensation Committee determined that the Company’s performance in 2024 resulted in total payout of 40% of target for each NEO under the annual incentive program as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00" w:type="dxa"/>
            <w:vAlign w:val="bottom"/>
          </w:tcPr>
          <w:p>
            <w:pPr>
              <w:spacing w:after="0"/>
              <w:rPr>
                <w:sz w:val="20"/>
                <w:szCs w:val="20"/>
                <w:color w:val="auto"/>
              </w:rPr>
            </w:pPr>
            <w:r>
              <w:rPr>
                <w:rFonts w:ascii="Arial" w:cs="Arial" w:eastAsia="Arial" w:hAnsi="Arial"/>
                <w:sz w:val="13"/>
                <w:szCs w:val="13"/>
                <w:b w:val="1"/>
                <w:bCs w:val="1"/>
                <w:color w:val="auto"/>
              </w:rPr>
              <w:t>Performance Measures</w:t>
            </w:r>
          </w:p>
        </w:tc>
        <w:tc>
          <w:tcPr>
            <w:tcW w:w="154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Arial" w:cs="Arial" w:eastAsia="Arial" w:hAnsi="Arial"/>
                <w:sz w:val="13"/>
                <w:szCs w:val="13"/>
                <w:b w:val="1"/>
                <w:bCs w:val="1"/>
                <w:color w:val="auto"/>
              </w:rPr>
              <w:t>Threshold</w:t>
            </w:r>
          </w:p>
        </w:tc>
        <w:tc>
          <w:tcPr>
            <w:tcW w:w="1280" w:type="dxa"/>
            <w:vAlign w:val="bottom"/>
          </w:tcPr>
          <w:p>
            <w:pPr>
              <w:jc w:val="right"/>
              <w:ind w:right="5"/>
              <w:spacing w:after="0"/>
              <w:rPr>
                <w:sz w:val="20"/>
                <w:szCs w:val="20"/>
                <w:color w:val="auto"/>
              </w:rPr>
            </w:pPr>
            <w:r>
              <w:rPr>
                <w:rFonts w:ascii="Arial" w:cs="Arial" w:eastAsia="Arial" w:hAnsi="Arial"/>
                <w:sz w:val="13"/>
                <w:szCs w:val="13"/>
                <w:b w:val="1"/>
                <w:bCs w:val="1"/>
                <w:color w:val="auto"/>
              </w:rPr>
              <w:t>Target</w:t>
            </w:r>
          </w:p>
        </w:tc>
        <w:tc>
          <w:tcPr>
            <w:tcW w:w="1300" w:type="dxa"/>
            <w:vAlign w:val="bottom"/>
          </w:tcPr>
          <w:p>
            <w:pPr>
              <w:jc w:val="right"/>
              <w:ind w:right="45"/>
              <w:spacing w:after="0"/>
              <w:rPr>
                <w:sz w:val="20"/>
                <w:szCs w:val="20"/>
                <w:color w:val="auto"/>
              </w:rPr>
            </w:pPr>
            <w:r>
              <w:rPr>
                <w:rFonts w:ascii="Arial" w:cs="Arial" w:eastAsia="Arial" w:hAnsi="Arial"/>
                <w:sz w:val="13"/>
                <w:szCs w:val="13"/>
                <w:b w:val="1"/>
                <w:bCs w:val="1"/>
                <w:color w:val="auto"/>
              </w:rPr>
              <w:t>Maximum</w:t>
            </w:r>
          </w:p>
        </w:tc>
        <w:tc>
          <w:tcPr>
            <w:tcW w:w="1400" w:type="dxa"/>
            <w:vAlign w:val="bottom"/>
          </w:tcPr>
          <w:p>
            <w:pPr>
              <w:jc w:val="right"/>
              <w:ind w:right="205"/>
              <w:spacing w:after="0"/>
              <w:rPr>
                <w:sz w:val="20"/>
                <w:szCs w:val="20"/>
                <w:color w:val="auto"/>
              </w:rPr>
            </w:pPr>
            <w:r>
              <w:rPr>
                <w:rFonts w:ascii="Arial" w:cs="Arial" w:eastAsia="Arial" w:hAnsi="Arial"/>
                <w:sz w:val="13"/>
                <w:szCs w:val="13"/>
                <w:b w:val="1"/>
                <w:bCs w:val="1"/>
                <w:color w:val="auto"/>
              </w:rPr>
              <w:t>Actual</w:t>
            </w:r>
          </w:p>
        </w:tc>
        <w:tc>
          <w:tcPr>
            <w:tcW w:w="1200" w:type="dxa"/>
            <w:vAlign w:val="bottom"/>
          </w:tcPr>
          <w:p>
            <w:pPr>
              <w:jc w:val="right"/>
              <w:ind w:right="143"/>
              <w:spacing w:after="0"/>
              <w:rPr>
                <w:sz w:val="20"/>
                <w:szCs w:val="20"/>
                <w:color w:val="auto"/>
              </w:rPr>
            </w:pPr>
            <w:r>
              <w:rPr>
                <w:rFonts w:ascii="Arial" w:cs="Arial" w:eastAsia="Arial" w:hAnsi="Arial"/>
                <w:sz w:val="13"/>
                <w:szCs w:val="13"/>
                <w:b w:val="1"/>
                <w:bCs w:val="1"/>
                <w:color w:val="auto"/>
              </w:rPr>
              <w:t>Payout</w:t>
            </w:r>
          </w:p>
        </w:tc>
      </w:tr>
      <w:tr>
        <w:trPr>
          <w:trHeight w:val="163"/>
        </w:trPr>
        <w:tc>
          <w:tcPr>
            <w:tcW w:w="210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 in millions)</w:t>
            </w:r>
          </w:p>
        </w:tc>
        <w:tc>
          <w:tcPr>
            <w:tcW w:w="1540" w:type="dxa"/>
            <w:vAlign w:val="bottom"/>
            <w:tcBorders>
              <w:bottom w:val="single" w:sz="8" w:color="405788"/>
            </w:tcBorders>
          </w:tcPr>
          <w:p>
            <w:pPr>
              <w:jc w:val="right"/>
              <w:ind w:right="162"/>
              <w:spacing w:after="0"/>
              <w:rPr>
                <w:sz w:val="20"/>
                <w:szCs w:val="20"/>
                <w:color w:val="auto"/>
              </w:rPr>
            </w:pPr>
            <w:r>
              <w:rPr>
                <w:rFonts w:ascii="Arial" w:cs="Arial" w:eastAsia="Arial" w:hAnsi="Arial"/>
                <w:sz w:val="13"/>
                <w:szCs w:val="13"/>
                <w:b w:val="1"/>
                <w:bCs w:val="1"/>
                <w:color w:val="auto"/>
              </w:rPr>
              <w:t>Weight (%)</w:t>
            </w:r>
          </w:p>
        </w:tc>
        <w:tc>
          <w:tcPr>
            <w:tcW w:w="1100" w:type="dxa"/>
            <w:vAlign w:val="bottom"/>
            <w:tcBorders>
              <w:bottom w:val="single" w:sz="8" w:color="405788"/>
            </w:tcBorders>
          </w:tcPr>
          <w:p>
            <w:pPr>
              <w:jc w:val="right"/>
              <w:ind w:right="5"/>
              <w:spacing w:after="0"/>
              <w:rPr>
                <w:sz w:val="20"/>
                <w:szCs w:val="20"/>
                <w:color w:val="auto"/>
              </w:rPr>
            </w:pPr>
            <w:r>
              <w:rPr>
                <w:rFonts w:ascii="Arial" w:cs="Arial" w:eastAsia="Arial" w:hAnsi="Arial"/>
                <w:sz w:val="13"/>
                <w:szCs w:val="13"/>
                <w:b w:val="1"/>
                <w:bCs w:val="1"/>
                <w:color w:val="auto"/>
              </w:rPr>
              <w:t>(0% Payout) ($)</w:t>
            </w:r>
          </w:p>
        </w:tc>
        <w:tc>
          <w:tcPr>
            <w:tcW w:w="1280" w:type="dxa"/>
            <w:vAlign w:val="bottom"/>
            <w:tcBorders>
              <w:bottom w:val="single" w:sz="8" w:color="405788"/>
            </w:tcBorders>
          </w:tcPr>
          <w:p>
            <w:pPr>
              <w:jc w:val="right"/>
              <w:ind w:right="5"/>
              <w:spacing w:after="0"/>
              <w:rPr>
                <w:sz w:val="20"/>
                <w:szCs w:val="20"/>
                <w:color w:val="auto"/>
              </w:rPr>
            </w:pPr>
            <w:r>
              <w:rPr>
                <w:rFonts w:ascii="Arial" w:cs="Arial" w:eastAsia="Arial" w:hAnsi="Arial"/>
                <w:sz w:val="13"/>
                <w:szCs w:val="13"/>
                <w:b w:val="1"/>
                <w:bCs w:val="1"/>
                <w:color w:val="auto"/>
              </w:rPr>
              <w:t>(100% Payout) ($)</w:t>
            </w:r>
          </w:p>
        </w:tc>
        <w:tc>
          <w:tcPr>
            <w:tcW w:w="1300" w:type="dxa"/>
            <w:vAlign w:val="bottom"/>
            <w:tcBorders>
              <w:bottom w:val="single" w:sz="8" w:color="405788"/>
            </w:tcBorders>
          </w:tcPr>
          <w:p>
            <w:pPr>
              <w:jc w:val="right"/>
              <w:ind w:right="45"/>
              <w:spacing w:after="0"/>
              <w:rPr>
                <w:sz w:val="20"/>
                <w:szCs w:val="20"/>
                <w:color w:val="auto"/>
              </w:rPr>
            </w:pPr>
            <w:r>
              <w:rPr>
                <w:rFonts w:ascii="Arial" w:cs="Arial" w:eastAsia="Arial" w:hAnsi="Arial"/>
                <w:sz w:val="13"/>
                <w:szCs w:val="13"/>
                <w:b w:val="1"/>
                <w:bCs w:val="1"/>
                <w:color w:val="auto"/>
              </w:rPr>
              <w:t>(200% Payout) ($)</w:t>
            </w:r>
          </w:p>
        </w:tc>
        <w:tc>
          <w:tcPr>
            <w:tcW w:w="1400" w:type="dxa"/>
            <w:vAlign w:val="bottom"/>
            <w:tcBorders>
              <w:bottom w:val="single" w:sz="8" w:color="405788"/>
            </w:tcBorders>
          </w:tcPr>
          <w:p>
            <w:pPr>
              <w:jc w:val="right"/>
              <w:ind w:right="205"/>
              <w:spacing w:after="0"/>
              <w:rPr>
                <w:sz w:val="20"/>
                <w:szCs w:val="20"/>
                <w:color w:val="auto"/>
              </w:rPr>
            </w:pPr>
            <w:r>
              <w:rPr>
                <w:rFonts w:ascii="Arial" w:cs="Arial" w:eastAsia="Arial" w:hAnsi="Arial"/>
                <w:sz w:val="13"/>
                <w:szCs w:val="13"/>
                <w:b w:val="1"/>
                <w:bCs w:val="1"/>
                <w:color w:val="auto"/>
              </w:rPr>
              <w:t>Achievement ($)</w:t>
            </w:r>
          </w:p>
        </w:tc>
        <w:tc>
          <w:tcPr>
            <w:tcW w:w="1200" w:type="dxa"/>
            <w:vAlign w:val="bottom"/>
            <w:tcBorders>
              <w:bottom w:val="single" w:sz="8" w:color="405788"/>
            </w:tcBorders>
          </w:tcPr>
          <w:p>
            <w:pPr>
              <w:jc w:val="right"/>
              <w:ind w:right="143"/>
              <w:spacing w:after="0"/>
              <w:rPr>
                <w:sz w:val="20"/>
                <w:szCs w:val="20"/>
                <w:color w:val="auto"/>
              </w:rPr>
            </w:pPr>
            <w:r>
              <w:rPr>
                <w:rFonts w:ascii="Arial" w:cs="Arial" w:eastAsia="Arial" w:hAnsi="Arial"/>
                <w:sz w:val="13"/>
                <w:szCs w:val="13"/>
                <w:b w:val="1"/>
                <w:bCs w:val="1"/>
                <w:color w:val="auto"/>
              </w:rPr>
              <w:t>Earned (%)</w:t>
            </w:r>
          </w:p>
        </w:tc>
      </w:tr>
      <w:tr>
        <w:trPr>
          <w:trHeight w:val="192"/>
        </w:trPr>
        <w:tc>
          <w:tcPr>
            <w:tcW w:w="21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Revenue</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c>
          <w:tcPr>
            <w:tcW w:w="1100" w:type="dxa"/>
            <w:vAlign w:val="bottom"/>
            <w:tcBorders>
              <w:bottom w:val="single" w:sz="8" w:color="D9D9D9"/>
            </w:tcBorders>
          </w:tcPr>
          <w:p>
            <w:pPr>
              <w:jc w:val="right"/>
              <w:ind w:right="25"/>
              <w:spacing w:after="0" w:line="188" w:lineRule="exact"/>
              <w:rPr>
                <w:sz w:val="20"/>
                <w:szCs w:val="20"/>
                <w:color w:val="auto"/>
              </w:rPr>
            </w:pPr>
            <w:r>
              <w:rPr>
                <w:rFonts w:ascii="Arial" w:cs="Arial" w:eastAsia="Arial" w:hAnsi="Arial"/>
                <w:sz w:val="17"/>
                <w:szCs w:val="17"/>
                <w:color w:val="auto"/>
              </w:rPr>
              <w:t>575.0</w:t>
            </w:r>
          </w:p>
        </w:tc>
        <w:tc>
          <w:tcPr>
            <w:tcW w:w="1280" w:type="dxa"/>
            <w:vAlign w:val="bottom"/>
            <w:tcBorders>
              <w:bottom w:val="single" w:sz="8" w:color="D9D9D9"/>
            </w:tcBorders>
          </w:tcPr>
          <w:p>
            <w:pPr>
              <w:jc w:val="right"/>
              <w:ind w:right="25"/>
              <w:spacing w:after="0" w:line="188" w:lineRule="exact"/>
              <w:rPr>
                <w:sz w:val="20"/>
                <w:szCs w:val="20"/>
                <w:color w:val="auto"/>
              </w:rPr>
            </w:pPr>
            <w:r>
              <w:rPr>
                <w:rFonts w:ascii="Arial" w:cs="Arial" w:eastAsia="Arial" w:hAnsi="Arial"/>
                <w:sz w:val="17"/>
                <w:szCs w:val="17"/>
                <w:color w:val="auto"/>
              </w:rPr>
              <w:t>600.0</w:t>
            </w:r>
          </w:p>
        </w:tc>
        <w:tc>
          <w:tcPr>
            <w:tcW w:w="1300" w:type="dxa"/>
            <w:vAlign w:val="bottom"/>
            <w:tcBorders>
              <w:bottom w:val="single" w:sz="8" w:color="D9D9D9"/>
            </w:tcBorders>
          </w:tcPr>
          <w:p>
            <w:pPr>
              <w:jc w:val="right"/>
              <w:ind w:right="45"/>
              <w:spacing w:after="0" w:line="188" w:lineRule="exact"/>
              <w:rPr>
                <w:sz w:val="20"/>
                <w:szCs w:val="20"/>
                <w:color w:val="auto"/>
              </w:rPr>
            </w:pPr>
            <w:r>
              <w:rPr>
                <w:rFonts w:ascii="Arial" w:cs="Arial" w:eastAsia="Arial" w:hAnsi="Arial"/>
                <w:sz w:val="17"/>
                <w:szCs w:val="17"/>
                <w:color w:val="auto"/>
              </w:rPr>
              <w:t>625.0</w:t>
            </w:r>
          </w:p>
        </w:tc>
        <w:tc>
          <w:tcPr>
            <w:tcW w:w="1400" w:type="dxa"/>
            <w:vAlign w:val="bottom"/>
            <w:tcBorders>
              <w:bottom w:val="single" w:sz="8" w:color="D9D9D9"/>
            </w:tcBorders>
          </w:tcPr>
          <w:p>
            <w:pPr>
              <w:jc w:val="right"/>
              <w:ind w:right="205"/>
              <w:spacing w:after="0" w:line="188" w:lineRule="exact"/>
              <w:rPr>
                <w:sz w:val="20"/>
                <w:szCs w:val="20"/>
                <w:color w:val="auto"/>
              </w:rPr>
            </w:pPr>
            <w:r>
              <w:rPr>
                <w:rFonts w:ascii="Arial" w:cs="Arial" w:eastAsia="Arial" w:hAnsi="Arial"/>
                <w:sz w:val="17"/>
                <w:szCs w:val="17"/>
                <w:color w:val="auto"/>
              </w:rPr>
              <w:t>557.9</w:t>
            </w:r>
          </w:p>
        </w:tc>
        <w:tc>
          <w:tcPr>
            <w:tcW w:w="12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21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Adjusted EBITDA*</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c>
          <w:tcPr>
            <w:tcW w:w="1100" w:type="dxa"/>
            <w:vAlign w:val="bottom"/>
            <w:tcBorders>
              <w:bottom w:val="single" w:sz="8" w:color="D9D9D9"/>
            </w:tcBorders>
          </w:tcPr>
          <w:p>
            <w:pPr>
              <w:jc w:val="right"/>
              <w:ind w:right="25"/>
              <w:spacing w:after="0" w:line="188" w:lineRule="exact"/>
              <w:rPr>
                <w:sz w:val="20"/>
                <w:szCs w:val="20"/>
                <w:color w:val="auto"/>
              </w:rPr>
            </w:pPr>
            <w:r>
              <w:rPr>
                <w:rFonts w:ascii="Arial" w:cs="Arial" w:eastAsia="Arial" w:hAnsi="Arial"/>
                <w:sz w:val="17"/>
                <w:szCs w:val="17"/>
                <w:color w:val="auto"/>
              </w:rPr>
              <w:t>62.0</w:t>
            </w:r>
          </w:p>
        </w:tc>
        <w:tc>
          <w:tcPr>
            <w:tcW w:w="1280" w:type="dxa"/>
            <w:vAlign w:val="bottom"/>
            <w:tcBorders>
              <w:bottom w:val="single" w:sz="8" w:color="D9D9D9"/>
            </w:tcBorders>
          </w:tcPr>
          <w:p>
            <w:pPr>
              <w:jc w:val="right"/>
              <w:ind w:right="25"/>
              <w:spacing w:after="0" w:line="188" w:lineRule="exact"/>
              <w:rPr>
                <w:sz w:val="20"/>
                <w:szCs w:val="20"/>
                <w:color w:val="auto"/>
              </w:rPr>
            </w:pPr>
            <w:r>
              <w:rPr>
                <w:rFonts w:ascii="Arial" w:cs="Arial" w:eastAsia="Arial" w:hAnsi="Arial"/>
                <w:sz w:val="17"/>
                <w:szCs w:val="17"/>
                <w:color w:val="auto"/>
              </w:rPr>
              <w:t>67.0</w:t>
            </w:r>
          </w:p>
        </w:tc>
        <w:tc>
          <w:tcPr>
            <w:tcW w:w="1300" w:type="dxa"/>
            <w:vAlign w:val="bottom"/>
            <w:tcBorders>
              <w:bottom w:val="single" w:sz="8" w:color="D9D9D9"/>
            </w:tcBorders>
          </w:tcPr>
          <w:p>
            <w:pPr>
              <w:jc w:val="right"/>
              <w:ind w:right="45"/>
              <w:spacing w:after="0" w:line="188" w:lineRule="exact"/>
              <w:rPr>
                <w:sz w:val="20"/>
                <w:szCs w:val="20"/>
                <w:color w:val="auto"/>
              </w:rPr>
            </w:pPr>
            <w:r>
              <w:rPr>
                <w:rFonts w:ascii="Arial" w:cs="Arial" w:eastAsia="Arial" w:hAnsi="Arial"/>
                <w:sz w:val="17"/>
                <w:szCs w:val="17"/>
                <w:color w:val="auto"/>
              </w:rPr>
              <w:t>72.0</w:t>
            </w:r>
          </w:p>
        </w:tc>
        <w:tc>
          <w:tcPr>
            <w:tcW w:w="1400" w:type="dxa"/>
            <w:vAlign w:val="bottom"/>
            <w:tcBorders>
              <w:bottom w:val="single" w:sz="8" w:color="D9D9D9"/>
            </w:tcBorders>
          </w:tcPr>
          <w:p>
            <w:pPr>
              <w:jc w:val="right"/>
              <w:ind w:right="205"/>
              <w:spacing w:after="0" w:line="188" w:lineRule="exact"/>
              <w:rPr>
                <w:sz w:val="20"/>
                <w:szCs w:val="20"/>
                <w:color w:val="auto"/>
              </w:rPr>
            </w:pPr>
            <w:r>
              <w:rPr>
                <w:rFonts w:ascii="Arial" w:cs="Arial" w:eastAsia="Arial" w:hAnsi="Arial"/>
                <w:sz w:val="17"/>
                <w:szCs w:val="17"/>
                <w:color w:val="auto"/>
              </w:rPr>
              <w:t>62.8</w:t>
            </w:r>
          </w:p>
        </w:tc>
        <w:tc>
          <w:tcPr>
            <w:tcW w:w="12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79 %</w:t>
            </w:r>
          </w:p>
        </w:tc>
      </w:tr>
      <w:tr>
        <w:trPr>
          <w:trHeight w:val="187"/>
        </w:trPr>
        <w:tc>
          <w:tcPr>
            <w:tcW w:w="210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 Payout</w:t>
            </w:r>
          </w:p>
        </w:tc>
        <w:tc>
          <w:tcPr>
            <w:tcW w:w="1540" w:type="dxa"/>
            <w:vAlign w:val="bottom"/>
            <w:tcBorders>
              <w:bottom w:val="single" w:sz="8" w:color="405788"/>
            </w:tcBorders>
          </w:tcPr>
          <w:p>
            <w:pPr>
              <w:spacing w:after="0"/>
              <w:rPr>
                <w:sz w:val="16"/>
                <w:szCs w:val="16"/>
                <w:color w:val="auto"/>
              </w:rPr>
            </w:pPr>
          </w:p>
        </w:tc>
        <w:tc>
          <w:tcPr>
            <w:tcW w:w="1100" w:type="dxa"/>
            <w:vAlign w:val="bottom"/>
            <w:tcBorders>
              <w:bottom w:val="single" w:sz="8" w:color="405788"/>
            </w:tcBorders>
          </w:tcPr>
          <w:p>
            <w:pPr>
              <w:spacing w:after="0"/>
              <w:rPr>
                <w:sz w:val="16"/>
                <w:szCs w:val="16"/>
                <w:color w:val="auto"/>
              </w:rPr>
            </w:pPr>
          </w:p>
        </w:tc>
        <w:tc>
          <w:tcPr>
            <w:tcW w:w="1280" w:type="dxa"/>
            <w:vAlign w:val="bottom"/>
            <w:tcBorders>
              <w:bottom w:val="single" w:sz="8" w:color="405788"/>
            </w:tcBorders>
          </w:tcPr>
          <w:p>
            <w:pPr>
              <w:spacing w:after="0"/>
              <w:rPr>
                <w:sz w:val="16"/>
                <w:szCs w:val="16"/>
                <w:color w:val="auto"/>
              </w:rPr>
            </w:pPr>
          </w:p>
        </w:tc>
        <w:tc>
          <w:tcPr>
            <w:tcW w:w="1300" w:type="dxa"/>
            <w:vAlign w:val="bottom"/>
            <w:tcBorders>
              <w:bottom w:val="single" w:sz="8" w:color="405788"/>
            </w:tcBorders>
          </w:tcPr>
          <w:p>
            <w:pPr>
              <w:spacing w:after="0"/>
              <w:rPr>
                <w:sz w:val="16"/>
                <w:szCs w:val="16"/>
                <w:color w:val="auto"/>
              </w:rPr>
            </w:pPr>
          </w:p>
        </w:tc>
        <w:tc>
          <w:tcPr>
            <w:tcW w:w="1400" w:type="dxa"/>
            <w:vAlign w:val="bottom"/>
            <w:tcBorders>
              <w:bottom w:val="single" w:sz="8" w:color="405788"/>
            </w:tcBorders>
          </w:tcPr>
          <w:p>
            <w:pPr>
              <w:spacing w:after="0"/>
              <w:rPr>
                <w:sz w:val="16"/>
                <w:szCs w:val="16"/>
                <w:color w:val="auto"/>
              </w:rPr>
            </w:pPr>
          </w:p>
        </w:tc>
        <w:tc>
          <w:tcPr>
            <w:tcW w:w="12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b w:val="1"/>
                <w:bCs w:val="1"/>
                <w:color w:val="auto"/>
              </w:rPr>
              <w:t xml:space="preserve">40 </w:t>
            </w:r>
            <w:r>
              <w:rPr>
                <w:rFonts w:ascii="Arial" w:cs="Arial" w:eastAsia="Arial" w:hAnsi="Arial"/>
                <w:sz w:val="17"/>
                <w:szCs w:val="17"/>
                <w:color w:val="auto"/>
              </w:rPr>
              <w:t>%</w:t>
            </w:r>
          </w:p>
        </w:tc>
      </w:tr>
    </w:tbl>
    <w:p>
      <w:pPr>
        <w:spacing w:after="0" w:line="105" w:lineRule="exact"/>
        <w:rPr>
          <w:sz w:val="20"/>
          <w:szCs w:val="20"/>
          <w:color w:val="auto"/>
        </w:rPr>
      </w:pPr>
    </w:p>
    <w:p>
      <w:pPr>
        <w:ind w:right="80"/>
        <w:spacing w:after="0" w:line="254" w:lineRule="auto"/>
        <w:rPr>
          <w:sz w:val="20"/>
          <w:szCs w:val="20"/>
          <w:color w:val="auto"/>
        </w:rPr>
      </w:pPr>
      <w:r>
        <w:rPr>
          <w:rFonts w:ascii="Arial" w:cs="Arial" w:eastAsia="Arial" w:hAnsi="Arial"/>
          <w:sz w:val="13"/>
          <w:szCs w:val="13"/>
          <w:color w:val="auto"/>
        </w:rPr>
        <w:t>*Adjusted EBITDA is a non-GAAP measure. Adjusted EBITDA for purposes of our annual incentive program can be calculated from our audited financial statements as follows: Net income adjusted for the effects of amortization and earnout expenses, acquisition and integration expenses, restructuring expenses, asbestos litigation expense, depreciation, non-cash stock compensation expense, other expense, interest expense, income tax expense, and noncontrolling interest. Please refer to Appendix 1 to this Proxy Statement for reconciliation information relating to the non-GAAP measures presented herein.</w:t>
      </w:r>
    </w:p>
    <w:p>
      <w:pPr>
        <w:spacing w:after="0" w:line="201"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22</w:t>
      </w:r>
      <w:r>
        <w:rPr>
          <w:sz w:val="20"/>
          <w:szCs w:val="20"/>
          <w:color w:val="auto"/>
        </w:rPr>
        <w:tab/>
      </w:r>
      <w:r>
        <w:rPr>
          <w:sz w:val="1"/>
          <w:szCs w:val="1"/>
          <w:color w:val="auto"/>
        </w:rPr>
        <w:drawing>
          <wp:inline distT="0" distB="0" distL="0" distR="0">
            <wp:extent cx="476250" cy="2222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Based on such achievement, the payouts of the annual incentive awards for 2024 are set forth in the table below and reflected in our 2024 Summary Compensation Table under the column captioned “Non-Equity Incentive Plan Compensation.” We did not make any discretionary adjustments to the payouts for 2024 and based the amounts solely on achievement of the pre-established performance goals.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3140" w:type="dxa"/>
            <w:vAlign w:val="bottom"/>
            <w:tcBorders>
              <w:bottom w:val="single" w:sz="8" w:color="405788"/>
            </w:tcBorders>
          </w:tcPr>
          <w:p>
            <w:pPr>
              <w:jc w:val="right"/>
              <w:ind w:right="441"/>
              <w:spacing w:after="0"/>
              <w:rPr>
                <w:sz w:val="20"/>
                <w:szCs w:val="20"/>
                <w:color w:val="auto"/>
              </w:rPr>
            </w:pPr>
            <w:r>
              <w:rPr>
                <w:rFonts w:ascii="Arial" w:cs="Arial" w:eastAsia="Arial" w:hAnsi="Arial"/>
                <w:sz w:val="13"/>
                <w:szCs w:val="13"/>
                <w:b w:val="1"/>
                <w:bCs w:val="1"/>
                <w:color w:val="auto"/>
              </w:rPr>
              <w:t>Target Amount ($)</w:t>
            </w:r>
          </w:p>
        </w:tc>
        <w:tc>
          <w:tcPr>
            <w:tcW w:w="1400" w:type="dxa"/>
            <w:vAlign w:val="bottom"/>
            <w:tcBorders>
              <w:bottom w:val="single" w:sz="8" w:color="405788"/>
            </w:tcBorders>
          </w:tcPr>
          <w:p>
            <w:pPr>
              <w:jc w:val="right"/>
              <w:ind w:right="141"/>
              <w:spacing w:after="0"/>
              <w:rPr>
                <w:sz w:val="20"/>
                <w:szCs w:val="20"/>
                <w:color w:val="auto"/>
              </w:rPr>
            </w:pPr>
            <w:r>
              <w:rPr>
                <w:rFonts w:ascii="Arial" w:cs="Arial" w:eastAsia="Arial" w:hAnsi="Arial"/>
                <w:sz w:val="13"/>
                <w:szCs w:val="13"/>
                <w:b w:val="1"/>
                <w:bCs w:val="1"/>
                <w:color w:val="auto"/>
              </w:rPr>
              <w:t>Payout (%)</w:t>
            </w:r>
          </w:p>
        </w:tc>
        <w:tc>
          <w:tcPr>
            <w:tcW w:w="2220" w:type="dxa"/>
            <w:vAlign w:val="bottom"/>
            <w:tcBorders>
              <w:bottom w:val="single" w:sz="8" w:color="405788"/>
            </w:tcBorders>
          </w:tcPr>
          <w:p>
            <w:pPr>
              <w:jc w:val="right"/>
              <w:ind w:right="101"/>
              <w:spacing w:after="0"/>
              <w:rPr>
                <w:sz w:val="20"/>
                <w:szCs w:val="20"/>
                <w:color w:val="auto"/>
              </w:rPr>
            </w:pPr>
            <w:r>
              <w:rPr>
                <w:rFonts w:ascii="Arial" w:cs="Arial" w:eastAsia="Arial" w:hAnsi="Arial"/>
                <w:sz w:val="13"/>
                <w:szCs w:val="13"/>
                <w:b w:val="1"/>
                <w:bCs w:val="1"/>
                <w:color w:val="auto"/>
              </w:rPr>
              <w:t>Amount of Final Payment ($)</w:t>
            </w:r>
          </w:p>
        </w:tc>
      </w:tr>
      <w:tr>
        <w:trPr>
          <w:trHeight w:val="192"/>
        </w:trPr>
        <w:tc>
          <w:tcPr>
            <w:tcW w:w="31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140" w:type="dxa"/>
            <w:vAlign w:val="bottom"/>
            <w:tcBorders>
              <w:bottom w:val="single" w:sz="8" w:color="D9D9D9"/>
            </w:tcBorders>
          </w:tcPr>
          <w:p>
            <w:pPr>
              <w:jc w:val="right"/>
              <w:ind w:right="461"/>
              <w:spacing w:after="0" w:line="188" w:lineRule="exact"/>
              <w:rPr>
                <w:sz w:val="20"/>
                <w:szCs w:val="20"/>
                <w:color w:val="auto"/>
              </w:rPr>
            </w:pPr>
            <w:r>
              <w:rPr>
                <w:rFonts w:ascii="Arial" w:cs="Arial" w:eastAsia="Arial" w:hAnsi="Arial"/>
                <w:sz w:val="17"/>
                <w:szCs w:val="17"/>
                <w:color w:val="auto"/>
              </w:rPr>
              <w:t>968,750</w:t>
            </w:r>
          </w:p>
        </w:tc>
        <w:tc>
          <w:tcPr>
            <w:tcW w:w="1400" w:type="dxa"/>
            <w:vAlign w:val="bottom"/>
            <w:tcBorders>
              <w:bottom w:val="single" w:sz="8" w:color="D9D9D9"/>
            </w:tcBorders>
          </w:tcPr>
          <w:p>
            <w:pPr>
              <w:jc w:val="right"/>
              <w:ind w:right="161"/>
              <w:spacing w:after="0" w:line="188" w:lineRule="exact"/>
              <w:rPr>
                <w:sz w:val="20"/>
                <w:szCs w:val="20"/>
                <w:color w:val="auto"/>
              </w:rPr>
            </w:pPr>
            <w:r>
              <w:rPr>
                <w:rFonts w:ascii="Arial" w:cs="Arial" w:eastAsia="Arial" w:hAnsi="Arial"/>
                <w:sz w:val="17"/>
                <w:szCs w:val="17"/>
                <w:color w:val="auto"/>
              </w:rPr>
              <w:t>40</w:t>
            </w:r>
          </w:p>
        </w:tc>
        <w:tc>
          <w:tcPr>
            <w:tcW w:w="2220" w:type="dxa"/>
            <w:vAlign w:val="bottom"/>
            <w:tcBorders>
              <w:bottom w:val="single" w:sz="8" w:color="D9D9D9"/>
            </w:tcBorders>
          </w:tcPr>
          <w:p>
            <w:pPr>
              <w:jc w:val="right"/>
              <w:ind w:right="121"/>
              <w:spacing w:after="0" w:line="188" w:lineRule="exact"/>
              <w:rPr>
                <w:sz w:val="20"/>
                <w:szCs w:val="20"/>
                <w:color w:val="auto"/>
              </w:rPr>
            </w:pPr>
            <w:r>
              <w:rPr>
                <w:rFonts w:ascii="Arial" w:cs="Arial" w:eastAsia="Arial" w:hAnsi="Arial"/>
                <w:sz w:val="17"/>
                <w:szCs w:val="17"/>
                <w:color w:val="auto"/>
              </w:rPr>
              <w:t>382,656</w:t>
            </w:r>
          </w:p>
        </w:tc>
      </w:tr>
      <w:tr>
        <w:trPr>
          <w:trHeight w:val="192"/>
        </w:trPr>
        <w:tc>
          <w:tcPr>
            <w:tcW w:w="31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140" w:type="dxa"/>
            <w:vAlign w:val="bottom"/>
            <w:tcBorders>
              <w:bottom w:val="single" w:sz="8" w:color="D9D9D9"/>
            </w:tcBorders>
          </w:tcPr>
          <w:p>
            <w:pPr>
              <w:jc w:val="right"/>
              <w:ind w:right="461"/>
              <w:spacing w:after="0" w:line="188" w:lineRule="exact"/>
              <w:rPr>
                <w:sz w:val="20"/>
                <w:szCs w:val="20"/>
                <w:color w:val="auto"/>
              </w:rPr>
            </w:pPr>
            <w:r>
              <w:rPr>
                <w:rFonts w:ascii="Arial" w:cs="Arial" w:eastAsia="Arial" w:hAnsi="Arial"/>
                <w:sz w:val="17"/>
                <w:szCs w:val="17"/>
                <w:color w:val="auto"/>
              </w:rPr>
              <w:t>337,500</w:t>
            </w:r>
          </w:p>
        </w:tc>
        <w:tc>
          <w:tcPr>
            <w:tcW w:w="1400" w:type="dxa"/>
            <w:vAlign w:val="bottom"/>
            <w:tcBorders>
              <w:bottom w:val="single" w:sz="8" w:color="D9D9D9"/>
            </w:tcBorders>
          </w:tcPr>
          <w:p>
            <w:pPr>
              <w:jc w:val="right"/>
              <w:ind w:right="161"/>
              <w:spacing w:after="0" w:line="188" w:lineRule="exact"/>
              <w:rPr>
                <w:sz w:val="20"/>
                <w:szCs w:val="20"/>
                <w:color w:val="auto"/>
              </w:rPr>
            </w:pPr>
            <w:r>
              <w:rPr>
                <w:rFonts w:ascii="Arial" w:cs="Arial" w:eastAsia="Arial" w:hAnsi="Arial"/>
                <w:sz w:val="17"/>
                <w:szCs w:val="17"/>
                <w:color w:val="auto"/>
              </w:rPr>
              <w:t>40</w:t>
            </w:r>
          </w:p>
        </w:tc>
        <w:tc>
          <w:tcPr>
            <w:tcW w:w="2220" w:type="dxa"/>
            <w:vAlign w:val="bottom"/>
            <w:tcBorders>
              <w:bottom w:val="single" w:sz="8" w:color="D9D9D9"/>
            </w:tcBorders>
          </w:tcPr>
          <w:p>
            <w:pPr>
              <w:jc w:val="right"/>
              <w:ind w:right="121"/>
              <w:spacing w:after="0" w:line="188" w:lineRule="exact"/>
              <w:rPr>
                <w:sz w:val="20"/>
                <w:szCs w:val="20"/>
                <w:color w:val="auto"/>
              </w:rPr>
            </w:pPr>
            <w:r>
              <w:rPr>
                <w:rFonts w:ascii="Arial" w:cs="Arial" w:eastAsia="Arial" w:hAnsi="Arial"/>
                <w:sz w:val="17"/>
                <w:szCs w:val="17"/>
                <w:color w:val="auto"/>
              </w:rPr>
              <w:t>133,313</w:t>
            </w:r>
          </w:p>
        </w:tc>
      </w:tr>
      <w:tr>
        <w:trPr>
          <w:trHeight w:val="187"/>
        </w:trPr>
        <w:tc>
          <w:tcPr>
            <w:tcW w:w="316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140" w:type="dxa"/>
            <w:vAlign w:val="bottom"/>
            <w:tcBorders>
              <w:bottom w:val="single" w:sz="8" w:color="405788"/>
            </w:tcBorders>
          </w:tcPr>
          <w:p>
            <w:pPr>
              <w:jc w:val="right"/>
              <w:ind w:right="461"/>
              <w:spacing w:after="0" w:line="188" w:lineRule="exact"/>
              <w:rPr>
                <w:sz w:val="20"/>
                <w:szCs w:val="20"/>
                <w:color w:val="auto"/>
              </w:rPr>
            </w:pPr>
            <w:r>
              <w:rPr>
                <w:rFonts w:ascii="Arial" w:cs="Arial" w:eastAsia="Arial" w:hAnsi="Arial"/>
                <w:sz w:val="17"/>
                <w:szCs w:val="17"/>
                <w:color w:val="auto"/>
              </w:rPr>
              <w:t>300,000</w:t>
            </w:r>
          </w:p>
        </w:tc>
        <w:tc>
          <w:tcPr>
            <w:tcW w:w="1400" w:type="dxa"/>
            <w:vAlign w:val="bottom"/>
            <w:tcBorders>
              <w:bottom w:val="single" w:sz="8" w:color="405788"/>
            </w:tcBorders>
          </w:tcPr>
          <w:p>
            <w:pPr>
              <w:jc w:val="right"/>
              <w:ind w:right="161"/>
              <w:spacing w:after="0" w:line="188" w:lineRule="exact"/>
              <w:rPr>
                <w:sz w:val="20"/>
                <w:szCs w:val="20"/>
                <w:color w:val="auto"/>
              </w:rPr>
            </w:pPr>
            <w:r>
              <w:rPr>
                <w:rFonts w:ascii="Arial" w:cs="Arial" w:eastAsia="Arial" w:hAnsi="Arial"/>
                <w:sz w:val="17"/>
                <w:szCs w:val="17"/>
                <w:color w:val="auto"/>
              </w:rPr>
              <w:t>40</w:t>
            </w:r>
          </w:p>
        </w:tc>
        <w:tc>
          <w:tcPr>
            <w:tcW w:w="2220" w:type="dxa"/>
            <w:vAlign w:val="bottom"/>
            <w:tcBorders>
              <w:bottom w:val="single" w:sz="8" w:color="405788"/>
            </w:tcBorders>
          </w:tcPr>
          <w:p>
            <w:pPr>
              <w:jc w:val="right"/>
              <w:ind w:right="121"/>
              <w:spacing w:after="0" w:line="188" w:lineRule="exact"/>
              <w:rPr>
                <w:sz w:val="20"/>
                <w:szCs w:val="20"/>
                <w:color w:val="auto"/>
              </w:rPr>
            </w:pPr>
            <w:r>
              <w:rPr>
                <w:rFonts w:ascii="Arial" w:cs="Arial" w:eastAsia="Arial" w:hAnsi="Arial"/>
                <w:sz w:val="17"/>
                <w:szCs w:val="17"/>
                <w:color w:val="auto"/>
              </w:rPr>
              <w:t>118,500</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Equity Compensation</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Compensation Committee believes that granting stock-based awards on an annual basis provides our executive officers with a strong economic interest in maximizing stockholder returns over the longer term and is important in retaining and recruiting the key talent necessary to ensure our Company’s continued success. As a result, our equity compensation programs have been designed to promote the long-term financial interests and growth of our Company by: (i) helping attract and retain management with the ability to contribute to the success of the business; (ii) providing an opportunity for increased equity ownership by our executive officers and (iii) maintaining competitive levels of total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2024 Annual Equity Grants</w:t>
      </w:r>
    </w:p>
    <w:p>
      <w:pPr>
        <w:spacing w:after="0" w:line="7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2024 annual grants consisted of stock options for Mr. Gleason and RSUs for our other NEOs, in each case, vesting over time based on continued employment and PRSUs for all of our NEOs that vest only to the extent our Company attains the performance goals established by our Compensation Committee. To the extent RSUs and PRSUs vest, the recipient receives one share of our common stock for each vested stock unit and an amount in cash equal to the dividends, if any, that would have been paid on the underlying common stock since the date of the stock unit grant. In lieu of RSU grants in 2024, Mr. Gleason was awarded stock options that vest 33% on each of the first three anniversaries of the date of grant and have a 10-year term to exercise. We believe that stock options are a performance-based vehicle as the ultimate value received by a recipient is based exclusively on our share price appreciation. By granting stock options to our CEO, the Committee believes it has further enhanced the already strong stockholder alignment inherent in our overall compensation program design.</w:t>
      </w:r>
    </w:p>
    <w:p>
      <w:pPr>
        <w:spacing w:after="0" w:line="4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2024, the value of the equity awards awarded to each NEO serving at the beginning of the year was based on a fixed dollar amount determined by our Compensation Committee with Meridian’s guidance. This fixed dollar amount was allocated 75% PRSUs and 25% stock options for our CEO and 50% PRSUs and 50% RSUs for our CFO and CALO. To determine the number of RSUs and PRSUs, we divided the target value per equity vehicle by $21.32, the closing stock price on the date of grant. To determine the number of stock options to grant, the intended award value is divided by the per share value of a stock option determined by a Black-Scholes valuation. Grant information for 2024 is reflected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520" w:type="dxa"/>
            <w:vAlign w:val="bottom"/>
            <w:tcBorders>
              <w:bottom w:val="single" w:sz="8" w:color="405788"/>
            </w:tcBorders>
          </w:tcPr>
          <w:p>
            <w:pPr>
              <w:spacing w:after="0"/>
              <w:rPr>
                <w:sz w:val="14"/>
                <w:szCs w:val="14"/>
                <w:color w:val="auto"/>
              </w:rPr>
            </w:pPr>
          </w:p>
        </w:tc>
        <w:tc>
          <w:tcPr>
            <w:tcW w:w="2880" w:type="dxa"/>
            <w:vAlign w:val="bottom"/>
            <w:tcBorders>
              <w:bottom w:val="single" w:sz="8" w:color="405788"/>
            </w:tcBorders>
          </w:tcPr>
          <w:p>
            <w:pPr>
              <w:jc w:val="center"/>
              <w:spacing w:after="0"/>
              <w:rPr>
                <w:sz w:val="20"/>
                <w:szCs w:val="20"/>
                <w:color w:val="auto"/>
              </w:rPr>
            </w:pPr>
            <w:r>
              <w:rPr>
                <w:rFonts w:ascii="Arial" w:cs="Arial" w:eastAsia="Arial" w:hAnsi="Arial"/>
                <w:sz w:val="13"/>
                <w:szCs w:val="13"/>
                <w:b w:val="1"/>
                <w:bCs w:val="1"/>
                <w:color w:val="auto"/>
              </w:rPr>
              <w:t>Todd Gleason</w:t>
            </w:r>
          </w:p>
        </w:tc>
        <w:tc>
          <w:tcPr>
            <w:tcW w:w="2280" w:type="dxa"/>
            <w:vAlign w:val="bottom"/>
            <w:tcBorders>
              <w:bottom w:val="single" w:sz="8" w:color="405788"/>
            </w:tcBorders>
          </w:tcPr>
          <w:p>
            <w:pPr>
              <w:jc w:val="center"/>
              <w:spacing w:after="0"/>
              <w:rPr>
                <w:sz w:val="20"/>
                <w:szCs w:val="20"/>
                <w:color w:val="auto"/>
              </w:rPr>
            </w:pPr>
            <w:r>
              <w:rPr>
                <w:rFonts w:ascii="Arial" w:cs="Arial" w:eastAsia="Arial" w:hAnsi="Arial"/>
                <w:sz w:val="13"/>
                <w:szCs w:val="13"/>
                <w:b w:val="1"/>
                <w:bCs w:val="1"/>
                <w:color w:val="auto"/>
              </w:rPr>
              <w:t>Peter Johansson</w:t>
            </w:r>
          </w:p>
        </w:tc>
        <w:tc>
          <w:tcPr>
            <w:tcW w:w="2240" w:type="dxa"/>
            <w:vAlign w:val="bottom"/>
            <w:tcBorders>
              <w:bottom w:val="single" w:sz="8" w:color="405788"/>
            </w:tcBorders>
          </w:tcPr>
          <w:p>
            <w:pPr>
              <w:jc w:val="center"/>
              <w:ind w:left="19"/>
              <w:spacing w:after="0"/>
              <w:rPr>
                <w:sz w:val="20"/>
                <w:szCs w:val="20"/>
                <w:color w:val="auto"/>
              </w:rPr>
            </w:pPr>
            <w:r>
              <w:rPr>
                <w:rFonts w:ascii="Arial" w:cs="Arial" w:eastAsia="Arial" w:hAnsi="Arial"/>
                <w:sz w:val="13"/>
                <w:szCs w:val="13"/>
                <w:b w:val="1"/>
                <w:bCs w:val="1"/>
                <w:color w:val="auto"/>
              </w:rPr>
              <w:t>Lynn Watkins-Asiyanbi</w:t>
            </w:r>
          </w:p>
        </w:tc>
      </w:tr>
      <w:tr>
        <w:trPr>
          <w:trHeight w:val="192"/>
        </w:trPr>
        <w:tc>
          <w:tcPr>
            <w:tcW w:w="252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6"/>
              </w:rPr>
              <w:t>Target LTI ($)</w:t>
            </w:r>
          </w:p>
        </w:tc>
        <w:tc>
          <w:tcPr>
            <w:tcW w:w="28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8"/>
              </w:rPr>
              <w:t>$2,170,000</w:t>
            </w:r>
          </w:p>
        </w:tc>
        <w:tc>
          <w:tcPr>
            <w:tcW w:w="22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8"/>
              </w:rPr>
              <w:t>$562,500</w:t>
            </w:r>
          </w:p>
        </w:tc>
        <w:tc>
          <w:tcPr>
            <w:tcW w:w="2240" w:type="dxa"/>
            <w:vAlign w:val="bottom"/>
            <w:tcBorders>
              <w:bottom w:val="single" w:sz="8" w:color="D9D9D9"/>
            </w:tcBorders>
          </w:tcPr>
          <w:p>
            <w:pPr>
              <w:jc w:val="center"/>
              <w:ind w:left="19"/>
              <w:spacing w:after="0" w:line="188" w:lineRule="exact"/>
              <w:rPr>
                <w:sz w:val="20"/>
                <w:szCs w:val="20"/>
                <w:color w:val="auto"/>
              </w:rPr>
            </w:pPr>
            <w:r>
              <w:rPr>
                <w:rFonts w:ascii="Arial" w:cs="Arial" w:eastAsia="Arial" w:hAnsi="Arial"/>
                <w:sz w:val="17"/>
                <w:szCs w:val="17"/>
                <w:color w:val="auto"/>
                <w:w w:val="98"/>
              </w:rPr>
              <w:t>$500,000</w:t>
            </w:r>
          </w:p>
        </w:tc>
      </w:tr>
      <w:tr>
        <w:trPr>
          <w:trHeight w:val="192"/>
        </w:trPr>
        <w:tc>
          <w:tcPr>
            <w:tcW w:w="252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6"/>
              </w:rPr>
              <w:t>Vehicle Split (%)</w:t>
            </w:r>
          </w:p>
        </w:tc>
        <w:tc>
          <w:tcPr>
            <w:tcW w:w="28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8"/>
              </w:rPr>
              <w:t>75% PRSUs/25% Stock Options</w:t>
            </w:r>
          </w:p>
        </w:tc>
        <w:tc>
          <w:tcPr>
            <w:tcW w:w="22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7"/>
              </w:rPr>
              <w:t>50% PRSUs/50% RSUs</w:t>
            </w:r>
          </w:p>
        </w:tc>
        <w:tc>
          <w:tcPr>
            <w:tcW w:w="2240" w:type="dxa"/>
            <w:vAlign w:val="bottom"/>
            <w:tcBorders>
              <w:bottom w:val="single" w:sz="8" w:color="D9D9D9"/>
            </w:tcBorders>
          </w:tcPr>
          <w:p>
            <w:pPr>
              <w:jc w:val="center"/>
              <w:ind w:left="19"/>
              <w:spacing w:after="0" w:line="188" w:lineRule="exact"/>
              <w:rPr>
                <w:sz w:val="20"/>
                <w:szCs w:val="20"/>
                <w:color w:val="auto"/>
              </w:rPr>
            </w:pPr>
            <w:r>
              <w:rPr>
                <w:rFonts w:ascii="Arial" w:cs="Arial" w:eastAsia="Arial" w:hAnsi="Arial"/>
                <w:sz w:val="17"/>
                <w:szCs w:val="17"/>
                <w:color w:val="auto"/>
                <w:w w:val="97"/>
              </w:rPr>
              <w:t>50% PRSUs/ 50%RSUs</w:t>
            </w:r>
          </w:p>
        </w:tc>
      </w:tr>
      <w:tr>
        <w:trPr>
          <w:trHeight w:val="192"/>
        </w:trPr>
        <w:tc>
          <w:tcPr>
            <w:tcW w:w="252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7"/>
              </w:rPr>
              <w:t># of RSUs Granted</w:t>
            </w:r>
          </w:p>
        </w:tc>
        <w:tc>
          <w:tcPr>
            <w:tcW w:w="28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84"/>
              </w:rPr>
              <w:t>0</w:t>
            </w:r>
          </w:p>
        </w:tc>
        <w:tc>
          <w:tcPr>
            <w:tcW w:w="22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6"/>
              </w:rPr>
              <w:t>13,192</w:t>
            </w:r>
          </w:p>
        </w:tc>
        <w:tc>
          <w:tcPr>
            <w:tcW w:w="2240" w:type="dxa"/>
            <w:vAlign w:val="bottom"/>
            <w:tcBorders>
              <w:bottom w:val="single" w:sz="8" w:color="D9D9D9"/>
            </w:tcBorders>
          </w:tcPr>
          <w:p>
            <w:pPr>
              <w:jc w:val="center"/>
              <w:ind w:left="19"/>
              <w:spacing w:after="0" w:line="188" w:lineRule="exact"/>
              <w:rPr>
                <w:sz w:val="20"/>
                <w:szCs w:val="20"/>
                <w:color w:val="auto"/>
              </w:rPr>
            </w:pPr>
            <w:r>
              <w:rPr>
                <w:rFonts w:ascii="Arial" w:cs="Arial" w:eastAsia="Arial" w:hAnsi="Arial"/>
                <w:sz w:val="17"/>
                <w:szCs w:val="17"/>
                <w:color w:val="auto"/>
                <w:w w:val="96"/>
              </w:rPr>
              <w:t>11,727</w:t>
            </w:r>
          </w:p>
        </w:tc>
      </w:tr>
      <w:tr>
        <w:trPr>
          <w:trHeight w:val="192"/>
        </w:trPr>
        <w:tc>
          <w:tcPr>
            <w:tcW w:w="252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7"/>
              </w:rPr>
              <w:t># of Stock Options Granted</w:t>
            </w:r>
          </w:p>
        </w:tc>
        <w:tc>
          <w:tcPr>
            <w:tcW w:w="28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5"/>
                <w:szCs w:val="15"/>
                <w:color w:val="auto"/>
              </w:rPr>
              <w:t xml:space="preserve">25,446 </w:t>
            </w:r>
            <w:r>
              <w:rPr>
                <w:rFonts w:ascii="Arial" w:cs="Arial" w:eastAsia="Arial" w:hAnsi="Arial"/>
                <w:sz w:val="21"/>
                <w:szCs w:val="21"/>
                <w:color w:val="auto"/>
                <w:vertAlign w:val="superscript"/>
              </w:rPr>
              <w:t>1</w:t>
            </w:r>
          </w:p>
        </w:tc>
        <w:tc>
          <w:tcPr>
            <w:tcW w:w="228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rPr>
              <w:t>0</w:t>
            </w:r>
          </w:p>
        </w:tc>
        <w:tc>
          <w:tcPr>
            <w:tcW w:w="224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84"/>
              </w:rPr>
              <w:t>0</w:t>
            </w:r>
          </w:p>
        </w:tc>
      </w:tr>
      <w:tr>
        <w:trPr>
          <w:trHeight w:val="187"/>
        </w:trPr>
        <w:tc>
          <w:tcPr>
            <w:tcW w:w="2520" w:type="dxa"/>
            <w:vAlign w:val="bottom"/>
            <w:tcBorders>
              <w:bottom w:val="single" w:sz="8" w:color="405788"/>
            </w:tcBorders>
          </w:tcPr>
          <w:p>
            <w:pPr>
              <w:jc w:val="center"/>
              <w:spacing w:after="0" w:line="188" w:lineRule="exact"/>
              <w:rPr>
                <w:sz w:val="20"/>
                <w:szCs w:val="20"/>
                <w:color w:val="auto"/>
              </w:rPr>
            </w:pPr>
            <w:r>
              <w:rPr>
                <w:rFonts w:ascii="Arial" w:cs="Arial" w:eastAsia="Arial" w:hAnsi="Arial"/>
                <w:sz w:val="17"/>
                <w:szCs w:val="17"/>
                <w:color w:val="auto"/>
                <w:w w:val="97"/>
              </w:rPr>
              <w:t>Target # of PRSUs Granted</w:t>
            </w:r>
          </w:p>
        </w:tc>
        <w:tc>
          <w:tcPr>
            <w:tcW w:w="2880" w:type="dxa"/>
            <w:vAlign w:val="bottom"/>
            <w:tcBorders>
              <w:bottom w:val="single" w:sz="8" w:color="405788"/>
            </w:tcBorders>
          </w:tcPr>
          <w:p>
            <w:pPr>
              <w:jc w:val="center"/>
              <w:spacing w:after="0" w:line="188" w:lineRule="exact"/>
              <w:rPr>
                <w:sz w:val="20"/>
                <w:szCs w:val="20"/>
                <w:color w:val="auto"/>
              </w:rPr>
            </w:pPr>
            <w:r>
              <w:rPr>
                <w:rFonts w:ascii="Arial" w:cs="Arial" w:eastAsia="Arial" w:hAnsi="Arial"/>
                <w:sz w:val="17"/>
                <w:szCs w:val="17"/>
                <w:color w:val="auto"/>
                <w:w w:val="99"/>
              </w:rPr>
              <w:t>76,337</w:t>
            </w:r>
          </w:p>
        </w:tc>
        <w:tc>
          <w:tcPr>
            <w:tcW w:w="2280" w:type="dxa"/>
            <w:vAlign w:val="bottom"/>
            <w:tcBorders>
              <w:bottom w:val="single" w:sz="8" w:color="405788"/>
            </w:tcBorders>
          </w:tcPr>
          <w:p>
            <w:pPr>
              <w:jc w:val="center"/>
              <w:spacing w:after="0" w:line="188" w:lineRule="exact"/>
              <w:rPr>
                <w:sz w:val="20"/>
                <w:szCs w:val="20"/>
                <w:color w:val="auto"/>
              </w:rPr>
            </w:pPr>
            <w:r>
              <w:rPr>
                <w:rFonts w:ascii="Arial" w:cs="Arial" w:eastAsia="Arial" w:hAnsi="Arial"/>
                <w:sz w:val="17"/>
                <w:szCs w:val="17"/>
                <w:color w:val="auto"/>
                <w:w w:val="96"/>
              </w:rPr>
              <w:t>13,192</w:t>
            </w:r>
          </w:p>
        </w:tc>
        <w:tc>
          <w:tcPr>
            <w:tcW w:w="2240" w:type="dxa"/>
            <w:vAlign w:val="bottom"/>
            <w:tcBorders>
              <w:bottom w:val="single" w:sz="8" w:color="405788"/>
            </w:tcBorders>
          </w:tcPr>
          <w:p>
            <w:pPr>
              <w:jc w:val="center"/>
              <w:ind w:left="19"/>
              <w:spacing w:after="0" w:line="188" w:lineRule="exact"/>
              <w:rPr>
                <w:sz w:val="20"/>
                <w:szCs w:val="20"/>
                <w:color w:val="auto"/>
              </w:rPr>
            </w:pPr>
            <w:r>
              <w:rPr>
                <w:rFonts w:ascii="Arial" w:cs="Arial" w:eastAsia="Arial" w:hAnsi="Arial"/>
                <w:sz w:val="17"/>
                <w:szCs w:val="17"/>
                <w:color w:val="auto"/>
                <w:w w:val="96"/>
              </w:rPr>
              <w:t>11,727</w:t>
            </w:r>
          </w:p>
        </w:tc>
      </w:tr>
    </w:tbl>
    <w:p>
      <w:pPr>
        <w:spacing w:after="0" w:line="175" w:lineRule="exact"/>
        <w:rPr>
          <w:sz w:val="20"/>
          <w:szCs w:val="20"/>
          <w:color w:val="auto"/>
        </w:rPr>
      </w:pPr>
    </w:p>
    <w:p>
      <w:pPr>
        <w:ind w:left="300" w:right="60" w:hanging="299"/>
        <w:spacing w:after="0" w:line="252" w:lineRule="auto"/>
        <w:tabs>
          <w:tab w:leader="none" w:pos="3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 2024, the Company issued 25,446 stock options to our CEO. The number of options was erroneously calculated using the grant date closing price of $21.32, rather than a Black-Scholes value. This error resulted in the CEO receiving fewer stock options than intended by the Compensation Committee. For this reason, the CEO’s actual LTI granted in 2024 was less than the target LTI shown above. The Compensation Committee granted our CEO additional stock options (with an exercise price equal to the grant date closing price of our common stock on March 17, 2025 to make our CEO whole for this error.</w:t>
      </w:r>
    </w:p>
    <w:p>
      <w:pPr>
        <w:spacing w:after="0" w:line="65"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RSUs and stock options that were granted to the NEOs in March 2024 vest in equal annual installments on each of the first three anniversaries of the grant date. We changed the vesting schedule for the RSUs granted in 2024 to three years from four years in 2023 to align with market practice. All of the 2024 RSU and stock option awards granted to our NEOs are shown in the “2024 Grants of Plan-Based Awards Table” below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167005</wp:posOffset>
            </wp:positionV>
            <wp:extent cx="483870" cy="222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0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The PRSUs that we granted to the NEOs in March 2024 vest on December 31, 2026, to the extent our Company attains the Relative TSR (as defined below) goals for the performance period beginning on January 1, 2024, and ending on December 31, 2026, as established by our Compensation Committee. The Compensation Committee determined to use Relative TSR for the 2024 PRSU awards because this metric keeps the focus on creating stockholder value (i.e., alignment with stockholder interests) even in challenging times. The target number of PRSUs granted to each NEO and noted above can be earned from 0% to 200% of target levels based on actual performance.</w:t>
      </w:r>
    </w:p>
    <w:p>
      <w:pPr>
        <w:spacing w:after="0" w:line="4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For purposes of the 2024 PRSU awards, Relative TSR is the percentile rank of the Company’s total shareholder return as compared to the total shareholder returns of all members of a designated peer group at the end of the 2024 -2026 performance period. “Total shareholder return” is a rate of return reflecting stock price appreciation, plus the reinvestment of dividends in additional shares of stock (with appropriate adjustments for certain changes in capital structure), from the beginning of the performance period through the end of the performance period, where (1) the beginning stock price is based on the average closing stock price for the twenty (20) calendar days preceding January 1, 2024 and (2) the ending stock price is based on the average closing stock price for the twenty (20) calendar days preceding and including the last day of the performance period. We updated the measurement period for the PRSUs in 2024 to be a single three-year performance period (rather than, as in 2023, three one-year performance periods) and changed the maximum PRSUs payout from 150% in 2023 to 200% in 2024, in each case to align with market practice and incentivize our executive team to provide above-average long-term stockholder returns.</w:t>
      </w:r>
    </w:p>
    <w:p>
      <w:pPr>
        <w:spacing w:after="0" w:line="5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For purposes of calculating Relative TSR, the relevant peer group is 125 publicly traded companies that, at the time of selection by the Compensation Committee, were U.S. companies classified in the Materials or Industrials sector with a market capitalization from $200 million to $ 800 million and revenue greater than $100 million. The list of Relative TSR peer companies is included with this Proxy Statement as Appendix 2. The peer group is subject to adjustment in the event of certain significant events that occur with respect to a peer company, including bankruptcy, delisting, liquidation, certain acquisitions, or “going private” transactions.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80" w:type="dxa"/>
            <w:vAlign w:val="bottom"/>
          </w:tcPr>
          <w:p>
            <w:pPr>
              <w:spacing w:after="0"/>
              <w:rPr>
                <w:sz w:val="13"/>
                <w:szCs w:val="13"/>
                <w:color w:val="auto"/>
              </w:rPr>
            </w:pPr>
          </w:p>
        </w:tc>
        <w:tc>
          <w:tcPr>
            <w:tcW w:w="2180" w:type="dxa"/>
            <w:vAlign w:val="bottom"/>
          </w:tcPr>
          <w:p>
            <w:pPr>
              <w:jc w:val="center"/>
              <w:ind w:left="249"/>
              <w:spacing w:after="0"/>
              <w:rPr>
                <w:sz w:val="20"/>
                <w:szCs w:val="20"/>
                <w:color w:val="auto"/>
              </w:rPr>
            </w:pPr>
            <w:r>
              <w:rPr>
                <w:rFonts w:ascii="Arial" w:cs="Arial" w:eastAsia="Arial" w:hAnsi="Arial"/>
                <w:sz w:val="13"/>
                <w:szCs w:val="13"/>
                <w:b w:val="1"/>
                <w:bCs w:val="1"/>
                <w:color w:val="auto"/>
              </w:rPr>
              <w:t>Performance</w:t>
            </w:r>
          </w:p>
        </w:tc>
        <w:tc>
          <w:tcPr>
            <w:tcW w:w="1940" w:type="dxa"/>
            <w:vAlign w:val="bottom"/>
          </w:tcPr>
          <w:p>
            <w:pPr>
              <w:jc w:val="center"/>
              <w:ind w:right="269"/>
              <w:spacing w:after="0"/>
              <w:rPr>
                <w:sz w:val="20"/>
                <w:szCs w:val="20"/>
                <w:color w:val="auto"/>
              </w:rPr>
            </w:pPr>
            <w:r>
              <w:rPr>
                <w:rFonts w:ascii="Arial" w:cs="Arial" w:eastAsia="Arial" w:hAnsi="Arial"/>
                <w:sz w:val="13"/>
                <w:szCs w:val="13"/>
                <w:b w:val="1"/>
                <w:bCs w:val="1"/>
                <w:color w:val="auto"/>
              </w:rPr>
              <w:t>Performance</w:t>
            </w:r>
          </w:p>
        </w:tc>
        <w:tc>
          <w:tcPr>
            <w:tcW w:w="1820" w:type="dxa"/>
            <w:vAlign w:val="bottom"/>
          </w:tcPr>
          <w:p>
            <w:pPr>
              <w:spacing w:after="0"/>
              <w:rPr>
                <w:sz w:val="13"/>
                <w:szCs w:val="13"/>
                <w:color w:val="auto"/>
              </w:rPr>
            </w:pPr>
          </w:p>
        </w:tc>
      </w:tr>
      <w:tr>
        <w:trPr>
          <w:trHeight w:val="150"/>
        </w:trPr>
        <w:tc>
          <w:tcPr>
            <w:tcW w:w="3980" w:type="dxa"/>
            <w:vAlign w:val="bottom"/>
          </w:tcPr>
          <w:p>
            <w:pPr>
              <w:spacing w:after="0"/>
              <w:rPr>
                <w:sz w:val="13"/>
                <w:szCs w:val="13"/>
                <w:color w:val="auto"/>
              </w:rPr>
            </w:pPr>
          </w:p>
        </w:tc>
        <w:tc>
          <w:tcPr>
            <w:tcW w:w="2180" w:type="dxa"/>
            <w:vAlign w:val="bottom"/>
          </w:tcPr>
          <w:p>
            <w:pPr>
              <w:jc w:val="center"/>
              <w:ind w:left="249"/>
              <w:spacing w:after="0"/>
              <w:rPr>
                <w:sz w:val="20"/>
                <w:szCs w:val="20"/>
                <w:color w:val="auto"/>
              </w:rPr>
            </w:pPr>
            <w:r>
              <w:rPr>
                <w:rFonts w:ascii="Arial" w:cs="Arial" w:eastAsia="Arial" w:hAnsi="Arial"/>
                <w:sz w:val="13"/>
                <w:szCs w:val="13"/>
                <w:b w:val="1"/>
                <w:bCs w:val="1"/>
                <w:color w:val="auto"/>
              </w:rPr>
              <w:t>Period</w:t>
            </w:r>
          </w:p>
        </w:tc>
        <w:tc>
          <w:tcPr>
            <w:tcW w:w="1940" w:type="dxa"/>
            <w:vAlign w:val="bottom"/>
          </w:tcPr>
          <w:p>
            <w:pPr>
              <w:jc w:val="center"/>
              <w:ind w:right="269"/>
              <w:spacing w:after="0"/>
              <w:rPr>
                <w:sz w:val="20"/>
                <w:szCs w:val="20"/>
                <w:color w:val="auto"/>
              </w:rPr>
            </w:pPr>
            <w:r>
              <w:rPr>
                <w:rFonts w:ascii="Arial" w:cs="Arial" w:eastAsia="Arial" w:hAnsi="Arial"/>
                <w:sz w:val="13"/>
                <w:szCs w:val="13"/>
                <w:b w:val="1"/>
                <w:bCs w:val="1"/>
                <w:color w:val="auto"/>
                <w:w w:val="98"/>
              </w:rPr>
              <w:t>Period</w:t>
            </w:r>
          </w:p>
        </w:tc>
        <w:tc>
          <w:tcPr>
            <w:tcW w:w="1820" w:type="dxa"/>
            <w:vAlign w:val="bottom"/>
          </w:tcPr>
          <w:p>
            <w:pPr>
              <w:spacing w:after="0"/>
              <w:rPr>
                <w:sz w:val="13"/>
                <w:szCs w:val="13"/>
                <w:color w:val="auto"/>
              </w:rPr>
            </w:pPr>
          </w:p>
        </w:tc>
      </w:tr>
      <w:tr>
        <w:trPr>
          <w:trHeight w:val="163"/>
        </w:trPr>
        <w:tc>
          <w:tcPr>
            <w:tcW w:w="3980" w:type="dxa"/>
            <w:vAlign w:val="bottom"/>
            <w:tcBorders>
              <w:bottom w:val="single" w:sz="8" w:color="405788"/>
            </w:tcBorders>
          </w:tcPr>
          <w:p>
            <w:pPr>
              <w:jc w:val="center"/>
              <w:ind w:left="245"/>
              <w:spacing w:after="0"/>
              <w:rPr>
                <w:sz w:val="20"/>
                <w:szCs w:val="20"/>
                <w:color w:val="auto"/>
              </w:rPr>
            </w:pPr>
            <w:r>
              <w:rPr>
                <w:rFonts w:ascii="Arial" w:cs="Arial" w:eastAsia="Arial" w:hAnsi="Arial"/>
                <w:sz w:val="13"/>
                <w:szCs w:val="13"/>
                <w:b w:val="1"/>
                <w:bCs w:val="1"/>
                <w:color w:val="auto"/>
              </w:rPr>
              <w:t>Performance Period</w:t>
            </w:r>
          </w:p>
        </w:tc>
        <w:tc>
          <w:tcPr>
            <w:tcW w:w="2180" w:type="dxa"/>
            <w:vAlign w:val="bottom"/>
            <w:tcBorders>
              <w:bottom w:val="single" w:sz="8" w:color="405788"/>
            </w:tcBorders>
          </w:tcPr>
          <w:p>
            <w:pPr>
              <w:jc w:val="center"/>
              <w:ind w:left="249"/>
              <w:spacing w:after="0"/>
              <w:rPr>
                <w:sz w:val="20"/>
                <w:szCs w:val="20"/>
                <w:color w:val="auto"/>
              </w:rPr>
            </w:pPr>
            <w:r>
              <w:rPr>
                <w:rFonts w:ascii="Arial" w:cs="Arial" w:eastAsia="Arial" w:hAnsi="Arial"/>
                <w:sz w:val="13"/>
                <w:szCs w:val="13"/>
                <w:b w:val="1"/>
                <w:bCs w:val="1"/>
                <w:color w:val="auto"/>
              </w:rPr>
              <w:t>Beginning</w:t>
            </w:r>
          </w:p>
        </w:tc>
        <w:tc>
          <w:tcPr>
            <w:tcW w:w="1940" w:type="dxa"/>
            <w:vAlign w:val="bottom"/>
            <w:tcBorders>
              <w:bottom w:val="single" w:sz="8" w:color="405788"/>
            </w:tcBorders>
          </w:tcPr>
          <w:p>
            <w:pPr>
              <w:jc w:val="center"/>
              <w:ind w:right="269"/>
              <w:spacing w:after="0"/>
              <w:rPr>
                <w:sz w:val="20"/>
                <w:szCs w:val="20"/>
                <w:color w:val="auto"/>
              </w:rPr>
            </w:pPr>
            <w:r>
              <w:rPr>
                <w:rFonts w:ascii="Arial" w:cs="Arial" w:eastAsia="Arial" w:hAnsi="Arial"/>
                <w:sz w:val="13"/>
                <w:szCs w:val="13"/>
                <w:b w:val="1"/>
                <w:bCs w:val="1"/>
                <w:color w:val="auto"/>
                <w:w w:val="99"/>
              </w:rPr>
              <w:t>Ending</w:t>
            </w:r>
          </w:p>
        </w:tc>
        <w:tc>
          <w:tcPr>
            <w:tcW w:w="1820" w:type="dxa"/>
            <w:vAlign w:val="bottom"/>
            <w:tcBorders>
              <w:bottom w:val="single" w:sz="8" w:color="405788"/>
            </w:tcBorders>
          </w:tcPr>
          <w:p>
            <w:pPr>
              <w:jc w:val="right"/>
              <w:ind w:right="545"/>
              <w:spacing w:after="0"/>
              <w:rPr>
                <w:sz w:val="20"/>
                <w:szCs w:val="20"/>
                <w:color w:val="auto"/>
              </w:rPr>
            </w:pPr>
            <w:r>
              <w:rPr>
                <w:rFonts w:ascii="Arial" w:cs="Arial" w:eastAsia="Arial" w:hAnsi="Arial"/>
                <w:sz w:val="13"/>
                <w:szCs w:val="13"/>
                <w:b w:val="1"/>
                <w:bCs w:val="1"/>
                <w:color w:val="auto"/>
              </w:rPr>
              <w:t>Vesting Date</w:t>
            </w:r>
          </w:p>
        </w:tc>
      </w:tr>
      <w:tr>
        <w:trPr>
          <w:trHeight w:val="187"/>
        </w:trPr>
        <w:tc>
          <w:tcPr>
            <w:tcW w:w="3980" w:type="dxa"/>
            <w:vAlign w:val="bottom"/>
            <w:tcBorders>
              <w:bottom w:val="single" w:sz="8" w:color="405788"/>
            </w:tcBorders>
          </w:tcPr>
          <w:p>
            <w:pPr>
              <w:jc w:val="center"/>
              <w:ind w:left="225"/>
              <w:spacing w:after="0" w:line="188" w:lineRule="exact"/>
              <w:rPr>
                <w:sz w:val="20"/>
                <w:szCs w:val="20"/>
                <w:color w:val="auto"/>
              </w:rPr>
            </w:pPr>
            <w:r>
              <w:rPr>
                <w:rFonts w:ascii="Arial" w:cs="Arial" w:eastAsia="Arial" w:hAnsi="Arial"/>
                <w:sz w:val="17"/>
                <w:szCs w:val="17"/>
                <w:b w:val="1"/>
                <w:bCs w:val="1"/>
                <w:color w:val="auto"/>
                <w:w w:val="97"/>
              </w:rPr>
              <w:t>3-Year TSR Measurement</w:t>
            </w:r>
          </w:p>
        </w:tc>
        <w:tc>
          <w:tcPr>
            <w:tcW w:w="2180" w:type="dxa"/>
            <w:vAlign w:val="bottom"/>
            <w:tcBorders>
              <w:bottom w:val="single" w:sz="8" w:color="405788"/>
            </w:tcBorders>
          </w:tcPr>
          <w:p>
            <w:pPr>
              <w:jc w:val="right"/>
              <w:ind w:right="329"/>
              <w:spacing w:after="0" w:line="188" w:lineRule="exact"/>
              <w:rPr>
                <w:sz w:val="20"/>
                <w:szCs w:val="20"/>
                <w:color w:val="auto"/>
              </w:rPr>
            </w:pPr>
            <w:r>
              <w:rPr>
                <w:rFonts w:ascii="Arial" w:cs="Arial" w:eastAsia="Arial" w:hAnsi="Arial"/>
                <w:sz w:val="17"/>
                <w:szCs w:val="17"/>
                <w:color w:val="auto"/>
              </w:rPr>
              <w:t>1/1/2024</w:t>
            </w:r>
          </w:p>
        </w:tc>
        <w:tc>
          <w:tcPr>
            <w:tcW w:w="1940" w:type="dxa"/>
            <w:vAlign w:val="bottom"/>
            <w:tcBorders>
              <w:bottom w:val="single" w:sz="8" w:color="405788"/>
            </w:tcBorders>
          </w:tcPr>
          <w:p>
            <w:pPr>
              <w:jc w:val="right"/>
              <w:ind w:right="349"/>
              <w:spacing w:after="0" w:line="188" w:lineRule="exact"/>
              <w:rPr>
                <w:sz w:val="20"/>
                <w:szCs w:val="20"/>
                <w:color w:val="auto"/>
              </w:rPr>
            </w:pPr>
            <w:r>
              <w:rPr>
                <w:rFonts w:ascii="Arial" w:cs="Arial" w:eastAsia="Arial" w:hAnsi="Arial"/>
                <w:sz w:val="17"/>
                <w:szCs w:val="17"/>
                <w:color w:val="auto"/>
              </w:rPr>
              <w:t>12/31/2026</w:t>
            </w:r>
          </w:p>
        </w:tc>
        <w:tc>
          <w:tcPr>
            <w:tcW w:w="1820" w:type="dxa"/>
            <w:vAlign w:val="bottom"/>
            <w:tcBorders>
              <w:bottom w:val="single" w:sz="8" w:color="405788"/>
            </w:tcBorders>
          </w:tcPr>
          <w:p>
            <w:pPr>
              <w:jc w:val="right"/>
              <w:ind w:right="185"/>
              <w:spacing w:after="0" w:line="188" w:lineRule="exact"/>
              <w:rPr>
                <w:sz w:val="20"/>
                <w:szCs w:val="20"/>
                <w:color w:val="auto"/>
              </w:rPr>
            </w:pPr>
            <w:r>
              <w:rPr>
                <w:rFonts w:ascii="Arial" w:cs="Arial" w:eastAsia="Arial" w:hAnsi="Arial"/>
                <w:sz w:val="17"/>
                <w:szCs w:val="17"/>
                <w:color w:val="auto"/>
              </w:rPr>
              <w:t>12/31/2026</w:t>
            </w:r>
          </w:p>
        </w:tc>
      </w:tr>
    </w:tbl>
    <w:p>
      <w:pPr>
        <w:spacing w:after="0" w:line="58"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A percentage of the PRSUs will be earned based on achievement of Relative TSR during the 2024-2026 performance period as follows (with straight line mathematical interpolation between performance levels):</w:t>
      </w:r>
    </w:p>
    <w:p>
      <w:pPr>
        <w:spacing w:after="0" w:line="64"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2900" w:type="dxa"/>
            <w:vAlign w:val="bottom"/>
            <w:tcBorders>
              <w:bottom w:val="single" w:sz="8" w:color="405788"/>
            </w:tcBorders>
          </w:tcPr>
          <w:p>
            <w:pPr>
              <w:jc w:val="center"/>
              <w:ind w:left="260"/>
              <w:spacing w:after="0"/>
              <w:rPr>
                <w:sz w:val="20"/>
                <w:szCs w:val="20"/>
                <w:color w:val="auto"/>
              </w:rPr>
            </w:pPr>
            <w:r>
              <w:rPr>
                <w:rFonts w:ascii="Arial" w:cs="Arial" w:eastAsia="Arial" w:hAnsi="Arial"/>
                <w:sz w:val="13"/>
                <w:szCs w:val="13"/>
                <w:b w:val="1"/>
                <w:bCs w:val="1"/>
                <w:color w:val="auto"/>
              </w:rPr>
              <w:t>Performance Level</w:t>
            </w:r>
          </w:p>
        </w:tc>
        <w:tc>
          <w:tcPr>
            <w:tcW w:w="2780" w:type="dxa"/>
            <w:vAlign w:val="bottom"/>
            <w:tcBorders>
              <w:bottom w:val="single" w:sz="8" w:color="405788"/>
            </w:tcBorders>
          </w:tcPr>
          <w:p>
            <w:pPr>
              <w:jc w:val="center"/>
              <w:ind w:left="287"/>
              <w:spacing w:after="0"/>
              <w:rPr>
                <w:sz w:val="20"/>
                <w:szCs w:val="20"/>
                <w:color w:val="auto"/>
              </w:rPr>
            </w:pPr>
            <w:r>
              <w:rPr>
                <w:rFonts w:ascii="Arial" w:cs="Arial" w:eastAsia="Arial" w:hAnsi="Arial"/>
                <w:sz w:val="13"/>
                <w:szCs w:val="13"/>
                <w:b w:val="1"/>
                <w:bCs w:val="1"/>
                <w:color w:val="auto"/>
              </w:rPr>
              <w:t>Relative TSR</w:t>
            </w:r>
          </w:p>
        </w:tc>
        <w:tc>
          <w:tcPr>
            <w:tcW w:w="2260" w:type="dxa"/>
            <w:vAlign w:val="bottom"/>
            <w:tcBorders>
              <w:bottom w:val="single" w:sz="8" w:color="405788"/>
            </w:tcBorders>
          </w:tcPr>
          <w:p>
            <w:pPr>
              <w:jc w:val="right"/>
              <w:ind w:right="280"/>
              <w:spacing w:after="0"/>
              <w:rPr>
                <w:sz w:val="20"/>
                <w:szCs w:val="20"/>
                <w:color w:val="auto"/>
              </w:rPr>
            </w:pPr>
            <w:r>
              <w:rPr>
                <w:rFonts w:ascii="Arial" w:cs="Arial" w:eastAsia="Arial" w:hAnsi="Arial"/>
                <w:sz w:val="13"/>
                <w:szCs w:val="13"/>
                <w:b w:val="1"/>
                <w:bCs w:val="1"/>
                <w:color w:val="auto"/>
              </w:rPr>
              <w:t>% of Target PRSUs Earned</w:t>
            </w:r>
          </w:p>
        </w:tc>
      </w:tr>
      <w:tr>
        <w:trPr>
          <w:trHeight w:val="192"/>
        </w:trPr>
        <w:tc>
          <w:tcPr>
            <w:tcW w:w="2900" w:type="dxa"/>
            <w:vAlign w:val="bottom"/>
            <w:tcBorders>
              <w:bottom w:val="single" w:sz="8" w:color="D9D9D9"/>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7"/>
              </w:rPr>
              <w:t>Below Threshold</w:t>
            </w:r>
          </w:p>
        </w:tc>
        <w:tc>
          <w:tcPr>
            <w:tcW w:w="2780" w:type="dxa"/>
            <w:vAlign w:val="bottom"/>
            <w:tcBorders>
              <w:bottom w:val="single" w:sz="8" w:color="D9D9D9"/>
            </w:tcBorders>
          </w:tcPr>
          <w:p>
            <w:pPr>
              <w:jc w:val="center"/>
              <w:ind w:left="307"/>
              <w:spacing w:after="0" w:line="188" w:lineRule="exact"/>
              <w:rPr>
                <w:sz w:val="20"/>
                <w:szCs w:val="20"/>
                <w:color w:val="auto"/>
              </w:rPr>
            </w:pPr>
            <w:r>
              <w:rPr>
                <w:rFonts w:ascii="Arial" w:cs="Arial" w:eastAsia="Arial" w:hAnsi="Arial"/>
                <w:sz w:val="15"/>
                <w:szCs w:val="15"/>
                <w:color w:val="auto"/>
              </w:rPr>
              <w:t>Below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2900" w:type="dxa"/>
            <w:vAlign w:val="bottom"/>
            <w:tcBorders>
              <w:bottom w:val="single" w:sz="8" w:color="D9D9D9"/>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7"/>
              </w:rPr>
              <w:t>Threshold</w:t>
            </w:r>
          </w:p>
        </w:tc>
        <w:tc>
          <w:tcPr>
            <w:tcW w:w="2780" w:type="dxa"/>
            <w:vAlign w:val="bottom"/>
            <w:tcBorders>
              <w:bottom w:val="single" w:sz="8" w:color="D9D9D9"/>
            </w:tcBorders>
          </w:tcPr>
          <w:p>
            <w:pPr>
              <w:jc w:val="center"/>
              <w:ind w:left="287"/>
              <w:spacing w:after="0" w:line="188" w:lineRule="exact"/>
              <w:rPr>
                <w:sz w:val="20"/>
                <w:szCs w:val="20"/>
                <w:color w:val="auto"/>
              </w:rPr>
            </w:pPr>
            <w:r>
              <w:rPr>
                <w:rFonts w:ascii="Arial" w:cs="Arial" w:eastAsia="Arial" w:hAnsi="Arial"/>
                <w:sz w:val="15"/>
                <w:szCs w:val="15"/>
                <w:color w:val="auto"/>
              </w:rPr>
              <w:t>At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92"/>
        </w:trPr>
        <w:tc>
          <w:tcPr>
            <w:tcW w:w="2900" w:type="dxa"/>
            <w:vAlign w:val="bottom"/>
            <w:tcBorders>
              <w:bottom w:val="single" w:sz="8" w:color="D9D9D9"/>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6"/>
              </w:rPr>
              <w:t>Target</w:t>
            </w:r>
          </w:p>
        </w:tc>
        <w:tc>
          <w:tcPr>
            <w:tcW w:w="2780" w:type="dxa"/>
            <w:vAlign w:val="bottom"/>
            <w:tcBorders>
              <w:bottom w:val="single" w:sz="8" w:color="D9D9D9"/>
            </w:tcBorders>
          </w:tcPr>
          <w:p>
            <w:pPr>
              <w:jc w:val="center"/>
              <w:ind w:left="287"/>
              <w:spacing w:after="0" w:line="188" w:lineRule="exact"/>
              <w:rPr>
                <w:sz w:val="20"/>
                <w:szCs w:val="20"/>
                <w:color w:val="auto"/>
              </w:rPr>
            </w:pPr>
            <w:r>
              <w:rPr>
                <w:rFonts w:ascii="Arial" w:cs="Arial" w:eastAsia="Arial" w:hAnsi="Arial"/>
                <w:sz w:val="15"/>
                <w:szCs w:val="15"/>
                <w:color w:val="auto"/>
              </w:rPr>
              <w:t>At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100 %</w:t>
            </w:r>
          </w:p>
        </w:tc>
      </w:tr>
      <w:tr>
        <w:trPr>
          <w:trHeight w:val="187"/>
        </w:trPr>
        <w:tc>
          <w:tcPr>
            <w:tcW w:w="2900" w:type="dxa"/>
            <w:vAlign w:val="bottom"/>
            <w:tcBorders>
              <w:bottom w:val="single" w:sz="8" w:color="405788"/>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6"/>
              </w:rPr>
              <w:t>Maximum</w:t>
            </w:r>
          </w:p>
        </w:tc>
        <w:tc>
          <w:tcPr>
            <w:tcW w:w="2780" w:type="dxa"/>
            <w:vAlign w:val="bottom"/>
            <w:tcBorders>
              <w:bottom w:val="single" w:sz="8" w:color="405788"/>
            </w:tcBorders>
          </w:tcPr>
          <w:p>
            <w:pPr>
              <w:jc w:val="center"/>
              <w:ind w:left="307"/>
              <w:spacing w:after="0" w:line="188" w:lineRule="exact"/>
              <w:rPr>
                <w:sz w:val="20"/>
                <w:szCs w:val="20"/>
                <w:color w:val="auto"/>
              </w:rPr>
            </w:pPr>
            <w:r>
              <w:rPr>
                <w:rFonts w:ascii="Arial" w:cs="Arial" w:eastAsia="Arial" w:hAnsi="Arial"/>
                <w:sz w:val="15"/>
                <w:szCs w:val="15"/>
                <w:color w:val="auto"/>
              </w:rPr>
              <w:t>At or above 75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200 %</w:t>
            </w:r>
          </w:p>
        </w:tc>
      </w:tr>
    </w:tbl>
    <w:p>
      <w:pPr>
        <w:spacing w:after="0" w:line="9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However, regardless of the level of Relative TSR performance, if the Company’s absolute total shareholder return for the performance period is negative, the percentage of target PRSUs earned will not exceed 100% of target.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Awards Granted in Prior Years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PRSUs Earned for 2022-2024 Performance Cycle</w:t>
      </w:r>
    </w:p>
    <w:p>
      <w:pPr>
        <w:spacing w:after="0" w:line="9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2022, we made an annual grant of PRSUs to Messrs. Gleason and Johansson and Ms. Watkins-Asiyanbi having a performance period that ran from January 1, 2022 to December 31, 2024 and which vested on March 15, 2025 by their terms as a result of Messrs. Gleason and Johansson and Ms. Watkins-Asiyanbi continuous employment through the vesting date.</w:t>
      </w:r>
    </w:p>
    <w:p>
      <w:pPr>
        <w:spacing w:after="0" w:line="41"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Compensation Committee determined to use Relative TSR as the sole performance metric for the 2022 PRSU awards with the payout being determined by comparing our total shareholder return against a peer group of 68 publicly traded companies that, at the time of selection by the Compensation Committee, were U.S. companies classified in the Materials or Industrials sector with a market capitalization from $100 million to $500 million and revenue greater than $100 million. The PRSUs were divided into three equal tranches which vested on March 15, 2025. Each one-third tranche</w:t>
      </w:r>
    </w:p>
    <w:p>
      <w:pPr>
        <w:spacing w:after="0" w:line="14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24</w:t>
      </w:r>
      <w:r>
        <w:rPr>
          <w:sz w:val="20"/>
          <w:szCs w:val="20"/>
          <w:color w:val="auto"/>
        </w:rPr>
        <w:tab/>
      </w:r>
      <w:r>
        <w:rPr>
          <w:sz w:val="1"/>
          <w:szCs w:val="1"/>
          <w:color w:val="auto"/>
        </w:rPr>
        <w:drawing>
          <wp:inline distT="0" distB="0" distL="0" distR="0">
            <wp:extent cx="476250" cy="2222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has a specific "Performance Period" from January 1, 2022, until December 31 of each “Performance Period” as outlined in the table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tcPr>
          <w:p>
            <w:pPr>
              <w:jc w:val="center"/>
              <w:ind w:right="65"/>
              <w:spacing w:after="0"/>
              <w:rPr>
                <w:sz w:val="20"/>
                <w:szCs w:val="20"/>
                <w:color w:val="auto"/>
              </w:rPr>
            </w:pPr>
            <w:r>
              <w:rPr>
                <w:rFonts w:ascii="Arial" w:cs="Arial" w:eastAsia="Arial" w:hAnsi="Arial"/>
                <w:sz w:val="13"/>
                <w:szCs w:val="13"/>
                <w:b w:val="1"/>
                <w:bCs w:val="1"/>
                <w:color w:val="auto"/>
              </w:rPr>
              <w:t>Performance</w:t>
            </w:r>
          </w:p>
        </w:tc>
        <w:tc>
          <w:tcPr>
            <w:tcW w:w="1640" w:type="dxa"/>
            <w:vAlign w:val="bottom"/>
          </w:tcPr>
          <w:p>
            <w:pPr>
              <w:ind w:left="320"/>
              <w:spacing w:after="0"/>
              <w:rPr>
                <w:sz w:val="20"/>
                <w:szCs w:val="20"/>
                <w:color w:val="auto"/>
              </w:rPr>
            </w:pPr>
            <w:r>
              <w:rPr>
                <w:rFonts w:ascii="Arial" w:cs="Arial" w:eastAsia="Arial" w:hAnsi="Arial"/>
                <w:sz w:val="13"/>
                <w:szCs w:val="13"/>
                <w:b w:val="1"/>
                <w:bCs w:val="1"/>
                <w:color w:val="auto"/>
              </w:rPr>
              <w:t>Performance</w:t>
            </w:r>
          </w:p>
        </w:tc>
        <w:tc>
          <w:tcPr>
            <w:tcW w:w="1640" w:type="dxa"/>
            <w:vAlign w:val="bottom"/>
          </w:tcPr>
          <w:p>
            <w:pPr>
              <w:spacing w:after="0"/>
              <w:rPr>
                <w:sz w:val="15"/>
                <w:szCs w:val="15"/>
                <w:color w:val="auto"/>
              </w:rPr>
            </w:pPr>
          </w:p>
        </w:tc>
      </w:tr>
      <w:tr>
        <w:trPr>
          <w:trHeight w:val="169"/>
        </w:trPr>
        <w:tc>
          <w:tcPr>
            <w:tcW w:w="3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3"/>
                <w:szCs w:val="13"/>
                <w:b w:val="1"/>
                <w:bCs w:val="1"/>
                <w:color w:val="auto"/>
              </w:rPr>
              <w:t>Period</w:t>
            </w:r>
          </w:p>
        </w:tc>
        <w:tc>
          <w:tcPr>
            <w:tcW w:w="1640" w:type="dxa"/>
            <w:vAlign w:val="bottom"/>
          </w:tcPr>
          <w:p>
            <w:pPr>
              <w:ind w:left="520"/>
              <w:spacing w:after="0"/>
              <w:rPr>
                <w:sz w:val="20"/>
                <w:szCs w:val="20"/>
                <w:color w:val="auto"/>
              </w:rPr>
            </w:pPr>
            <w:r>
              <w:rPr>
                <w:rFonts w:ascii="Arial" w:cs="Arial" w:eastAsia="Arial" w:hAnsi="Arial"/>
                <w:sz w:val="13"/>
                <w:szCs w:val="13"/>
                <w:b w:val="1"/>
                <w:bCs w:val="1"/>
                <w:color w:val="auto"/>
              </w:rPr>
              <w:t>Period</w:t>
            </w:r>
          </w:p>
        </w:tc>
        <w:tc>
          <w:tcPr>
            <w:tcW w:w="1640" w:type="dxa"/>
            <w:vAlign w:val="bottom"/>
          </w:tcPr>
          <w:p>
            <w:pPr>
              <w:spacing w:after="0"/>
              <w:rPr>
                <w:sz w:val="14"/>
                <w:szCs w:val="14"/>
                <w:color w:val="auto"/>
              </w:rPr>
            </w:pPr>
          </w:p>
        </w:tc>
      </w:tr>
      <w:tr>
        <w:trPr>
          <w:trHeight w:val="163"/>
        </w:trPr>
        <w:tc>
          <w:tcPr>
            <w:tcW w:w="3400" w:type="dxa"/>
            <w:vAlign w:val="bottom"/>
            <w:tcBorders>
              <w:bottom w:val="single" w:sz="8" w:color="405788"/>
            </w:tcBorders>
          </w:tcPr>
          <w:p>
            <w:pPr>
              <w:jc w:val="center"/>
              <w:ind w:left="61"/>
              <w:spacing w:after="0"/>
              <w:rPr>
                <w:sz w:val="20"/>
                <w:szCs w:val="20"/>
                <w:color w:val="auto"/>
              </w:rPr>
            </w:pPr>
            <w:r>
              <w:rPr>
                <w:rFonts w:ascii="Arial" w:cs="Arial" w:eastAsia="Arial" w:hAnsi="Arial"/>
                <w:sz w:val="13"/>
                <w:szCs w:val="13"/>
                <w:b w:val="1"/>
                <w:bCs w:val="1"/>
                <w:color w:val="auto"/>
              </w:rPr>
              <w:t>Performance Period</w:t>
            </w:r>
          </w:p>
        </w:tc>
        <w:tc>
          <w:tcPr>
            <w:tcW w:w="1600" w:type="dxa"/>
            <w:vAlign w:val="bottom"/>
            <w:tcBorders>
              <w:bottom w:val="single" w:sz="8" w:color="405788"/>
            </w:tcBorders>
          </w:tcPr>
          <w:p>
            <w:pPr>
              <w:jc w:val="center"/>
              <w:ind w:left="161"/>
              <w:spacing w:after="0"/>
              <w:rPr>
                <w:sz w:val="20"/>
                <w:szCs w:val="20"/>
                <w:color w:val="auto"/>
              </w:rPr>
            </w:pPr>
            <w:r>
              <w:rPr>
                <w:rFonts w:ascii="Arial" w:cs="Arial" w:eastAsia="Arial" w:hAnsi="Arial"/>
                <w:sz w:val="13"/>
                <w:szCs w:val="13"/>
                <w:b w:val="1"/>
                <w:bCs w:val="1"/>
                <w:color w:val="auto"/>
              </w:rPr>
              <w:t>Weighting</w:t>
            </w:r>
          </w:p>
        </w:tc>
        <w:tc>
          <w:tcPr>
            <w:tcW w:w="1640" w:type="dxa"/>
            <w:vAlign w:val="bottom"/>
            <w:tcBorders>
              <w:bottom w:val="single" w:sz="8" w:color="405788"/>
            </w:tcBorders>
          </w:tcPr>
          <w:p>
            <w:pPr>
              <w:jc w:val="center"/>
              <w:ind w:right="65"/>
              <w:spacing w:after="0"/>
              <w:rPr>
                <w:sz w:val="20"/>
                <w:szCs w:val="20"/>
                <w:color w:val="auto"/>
              </w:rPr>
            </w:pPr>
            <w:r>
              <w:rPr>
                <w:rFonts w:ascii="Arial" w:cs="Arial" w:eastAsia="Arial" w:hAnsi="Arial"/>
                <w:sz w:val="13"/>
                <w:szCs w:val="13"/>
                <w:b w:val="1"/>
                <w:bCs w:val="1"/>
                <w:color w:val="auto"/>
              </w:rPr>
              <w:t>Beginning</w:t>
            </w:r>
          </w:p>
        </w:tc>
        <w:tc>
          <w:tcPr>
            <w:tcW w:w="1640" w:type="dxa"/>
            <w:vAlign w:val="bottom"/>
            <w:tcBorders>
              <w:bottom w:val="single" w:sz="8" w:color="405788"/>
            </w:tcBorders>
          </w:tcPr>
          <w:p>
            <w:pPr>
              <w:ind w:left="500"/>
              <w:spacing w:after="0"/>
              <w:rPr>
                <w:sz w:val="20"/>
                <w:szCs w:val="20"/>
                <w:color w:val="auto"/>
              </w:rPr>
            </w:pPr>
            <w:r>
              <w:rPr>
                <w:rFonts w:ascii="Arial" w:cs="Arial" w:eastAsia="Arial" w:hAnsi="Arial"/>
                <w:sz w:val="13"/>
                <w:szCs w:val="13"/>
                <w:b w:val="1"/>
                <w:bCs w:val="1"/>
                <w:color w:val="auto"/>
              </w:rPr>
              <w:t>Ending</w:t>
            </w:r>
          </w:p>
        </w:tc>
        <w:tc>
          <w:tcPr>
            <w:tcW w:w="1640" w:type="dxa"/>
            <w:vAlign w:val="bottom"/>
            <w:tcBorders>
              <w:bottom w:val="single" w:sz="8" w:color="405788"/>
            </w:tcBorders>
          </w:tcPr>
          <w:p>
            <w:pPr>
              <w:jc w:val="right"/>
              <w:ind w:right="461"/>
              <w:spacing w:after="0"/>
              <w:rPr>
                <w:sz w:val="20"/>
                <w:szCs w:val="20"/>
                <w:color w:val="auto"/>
              </w:rPr>
            </w:pPr>
            <w:r>
              <w:rPr>
                <w:rFonts w:ascii="Arial" w:cs="Arial" w:eastAsia="Arial" w:hAnsi="Arial"/>
                <w:sz w:val="13"/>
                <w:szCs w:val="13"/>
                <w:b w:val="1"/>
                <w:bCs w:val="1"/>
                <w:color w:val="auto"/>
              </w:rPr>
              <w:t>Vesting Date</w:t>
            </w:r>
          </w:p>
        </w:tc>
      </w:tr>
      <w:tr>
        <w:trPr>
          <w:trHeight w:val="192"/>
        </w:trPr>
        <w:tc>
          <w:tcPr>
            <w:tcW w:w="3400" w:type="dxa"/>
            <w:vAlign w:val="bottom"/>
            <w:tcBorders>
              <w:bottom w:val="single" w:sz="8" w:color="D9D9D9"/>
            </w:tcBorders>
          </w:tcPr>
          <w:p>
            <w:pPr>
              <w:jc w:val="center"/>
              <w:ind w:left="81"/>
              <w:spacing w:after="0" w:line="188" w:lineRule="exact"/>
              <w:rPr>
                <w:sz w:val="20"/>
                <w:szCs w:val="20"/>
                <w:color w:val="auto"/>
              </w:rPr>
            </w:pPr>
            <w:r>
              <w:rPr>
                <w:rFonts w:ascii="Arial" w:cs="Arial" w:eastAsia="Arial" w:hAnsi="Arial"/>
                <w:sz w:val="17"/>
                <w:szCs w:val="17"/>
                <w:b w:val="1"/>
                <w:bCs w:val="1"/>
                <w:color w:val="auto"/>
                <w:w w:val="97"/>
              </w:rPr>
              <w:t>1-Year TSR Measurement</w:t>
            </w:r>
          </w:p>
        </w:tc>
        <w:tc>
          <w:tcPr>
            <w:tcW w:w="1600" w:type="dxa"/>
            <w:vAlign w:val="bottom"/>
            <w:tcBorders>
              <w:bottom w:val="single" w:sz="8" w:color="D9D9D9"/>
            </w:tcBorders>
          </w:tcPr>
          <w:p>
            <w:pPr>
              <w:jc w:val="center"/>
              <w:ind w:left="181"/>
              <w:spacing w:after="0" w:line="188" w:lineRule="exact"/>
              <w:rPr>
                <w:sz w:val="20"/>
                <w:szCs w:val="20"/>
                <w:color w:val="auto"/>
              </w:rPr>
            </w:pPr>
            <w:r>
              <w:rPr>
                <w:rFonts w:ascii="Arial" w:cs="Arial" w:eastAsia="Arial" w:hAnsi="Arial"/>
                <w:sz w:val="17"/>
                <w:szCs w:val="17"/>
                <w:color w:val="auto"/>
                <w:w w:val="92"/>
              </w:rPr>
              <w:t>1/3</w:t>
            </w:r>
          </w:p>
        </w:tc>
        <w:tc>
          <w:tcPr>
            <w:tcW w:w="1640" w:type="dxa"/>
            <w:vAlign w:val="bottom"/>
            <w:tcBorders>
              <w:bottom w:val="single" w:sz="8" w:color="D9D9D9"/>
            </w:tcBorders>
          </w:tcPr>
          <w:p>
            <w:pPr>
              <w:jc w:val="right"/>
              <w:ind w:right="225"/>
              <w:spacing w:after="0" w:line="188" w:lineRule="exact"/>
              <w:rPr>
                <w:sz w:val="20"/>
                <w:szCs w:val="20"/>
                <w:color w:val="auto"/>
              </w:rPr>
            </w:pPr>
            <w:r>
              <w:rPr>
                <w:rFonts w:ascii="Arial" w:cs="Arial" w:eastAsia="Arial" w:hAnsi="Arial"/>
                <w:sz w:val="17"/>
                <w:szCs w:val="17"/>
                <w:color w:val="auto"/>
              </w:rPr>
              <w:t>1/1/2022</w:t>
            </w:r>
          </w:p>
        </w:tc>
        <w:tc>
          <w:tcPr>
            <w:tcW w:w="1640" w:type="dxa"/>
            <w:vAlign w:val="bottom"/>
            <w:tcBorders>
              <w:bottom w:val="single" w:sz="8" w:color="D9D9D9"/>
            </w:tcBorders>
          </w:tcPr>
          <w:p>
            <w:pPr>
              <w:ind w:left="500"/>
              <w:spacing w:after="0" w:line="188" w:lineRule="exact"/>
              <w:rPr>
                <w:sz w:val="20"/>
                <w:szCs w:val="20"/>
                <w:color w:val="auto"/>
              </w:rPr>
            </w:pPr>
            <w:r>
              <w:rPr>
                <w:rFonts w:ascii="Arial" w:cs="Arial" w:eastAsia="Arial" w:hAnsi="Arial"/>
                <w:sz w:val="17"/>
                <w:szCs w:val="17"/>
                <w:color w:val="auto"/>
              </w:rPr>
              <w:t>12/31/2022</w:t>
            </w:r>
          </w:p>
        </w:tc>
        <w:tc>
          <w:tcPr>
            <w:tcW w:w="1640" w:type="dxa"/>
            <w:vAlign w:val="bottom"/>
            <w:tcBorders>
              <w:bottom w:val="single" w:sz="8" w:color="D9D9D9"/>
            </w:tcBorders>
          </w:tcPr>
          <w:p>
            <w:pPr>
              <w:jc w:val="right"/>
              <w:ind w:right="261"/>
              <w:spacing w:after="0" w:line="188" w:lineRule="exact"/>
              <w:rPr>
                <w:sz w:val="20"/>
                <w:szCs w:val="20"/>
                <w:color w:val="auto"/>
              </w:rPr>
            </w:pPr>
            <w:r>
              <w:rPr>
                <w:rFonts w:ascii="Arial" w:cs="Arial" w:eastAsia="Arial" w:hAnsi="Arial"/>
                <w:sz w:val="17"/>
                <w:szCs w:val="17"/>
                <w:color w:val="auto"/>
              </w:rPr>
              <w:t>3/15/2025</w:t>
            </w:r>
          </w:p>
        </w:tc>
      </w:tr>
      <w:tr>
        <w:trPr>
          <w:trHeight w:val="192"/>
        </w:trPr>
        <w:tc>
          <w:tcPr>
            <w:tcW w:w="3400" w:type="dxa"/>
            <w:vAlign w:val="bottom"/>
            <w:tcBorders>
              <w:bottom w:val="single" w:sz="8" w:color="D9D9D9"/>
            </w:tcBorders>
          </w:tcPr>
          <w:p>
            <w:pPr>
              <w:jc w:val="center"/>
              <w:ind w:left="81"/>
              <w:spacing w:after="0" w:line="188" w:lineRule="exact"/>
              <w:rPr>
                <w:sz w:val="20"/>
                <w:szCs w:val="20"/>
                <w:color w:val="auto"/>
              </w:rPr>
            </w:pPr>
            <w:r>
              <w:rPr>
                <w:rFonts w:ascii="Arial" w:cs="Arial" w:eastAsia="Arial" w:hAnsi="Arial"/>
                <w:sz w:val="17"/>
                <w:szCs w:val="17"/>
                <w:b w:val="1"/>
                <w:bCs w:val="1"/>
                <w:color w:val="auto"/>
                <w:w w:val="97"/>
              </w:rPr>
              <w:t>2-Year TSR Measurement</w:t>
            </w:r>
          </w:p>
        </w:tc>
        <w:tc>
          <w:tcPr>
            <w:tcW w:w="1600" w:type="dxa"/>
            <w:vAlign w:val="bottom"/>
            <w:tcBorders>
              <w:bottom w:val="single" w:sz="8" w:color="D9D9D9"/>
            </w:tcBorders>
          </w:tcPr>
          <w:p>
            <w:pPr>
              <w:jc w:val="center"/>
              <w:ind w:left="181"/>
              <w:spacing w:after="0" w:line="188" w:lineRule="exact"/>
              <w:rPr>
                <w:sz w:val="20"/>
                <w:szCs w:val="20"/>
                <w:color w:val="auto"/>
              </w:rPr>
            </w:pPr>
            <w:r>
              <w:rPr>
                <w:rFonts w:ascii="Arial" w:cs="Arial" w:eastAsia="Arial" w:hAnsi="Arial"/>
                <w:sz w:val="17"/>
                <w:szCs w:val="17"/>
                <w:color w:val="auto"/>
                <w:w w:val="92"/>
              </w:rPr>
              <w:t>1/3</w:t>
            </w:r>
          </w:p>
        </w:tc>
        <w:tc>
          <w:tcPr>
            <w:tcW w:w="1640" w:type="dxa"/>
            <w:vAlign w:val="bottom"/>
            <w:tcBorders>
              <w:bottom w:val="single" w:sz="8" w:color="D9D9D9"/>
            </w:tcBorders>
          </w:tcPr>
          <w:p>
            <w:pPr>
              <w:jc w:val="right"/>
              <w:ind w:right="225"/>
              <w:spacing w:after="0" w:line="188" w:lineRule="exact"/>
              <w:rPr>
                <w:sz w:val="20"/>
                <w:szCs w:val="20"/>
                <w:color w:val="auto"/>
              </w:rPr>
            </w:pPr>
            <w:r>
              <w:rPr>
                <w:rFonts w:ascii="Arial" w:cs="Arial" w:eastAsia="Arial" w:hAnsi="Arial"/>
                <w:sz w:val="17"/>
                <w:szCs w:val="17"/>
                <w:color w:val="auto"/>
              </w:rPr>
              <w:t>1/1/2022</w:t>
            </w:r>
          </w:p>
        </w:tc>
        <w:tc>
          <w:tcPr>
            <w:tcW w:w="1640" w:type="dxa"/>
            <w:vAlign w:val="bottom"/>
            <w:tcBorders>
              <w:bottom w:val="single" w:sz="8" w:color="D9D9D9"/>
            </w:tcBorders>
          </w:tcPr>
          <w:p>
            <w:pPr>
              <w:ind w:left="500"/>
              <w:spacing w:after="0" w:line="188" w:lineRule="exact"/>
              <w:rPr>
                <w:sz w:val="20"/>
                <w:szCs w:val="20"/>
                <w:color w:val="auto"/>
              </w:rPr>
            </w:pPr>
            <w:r>
              <w:rPr>
                <w:rFonts w:ascii="Arial" w:cs="Arial" w:eastAsia="Arial" w:hAnsi="Arial"/>
                <w:sz w:val="17"/>
                <w:szCs w:val="17"/>
                <w:color w:val="auto"/>
              </w:rPr>
              <w:t>12/31/2023</w:t>
            </w:r>
          </w:p>
        </w:tc>
        <w:tc>
          <w:tcPr>
            <w:tcW w:w="1640" w:type="dxa"/>
            <w:vAlign w:val="bottom"/>
            <w:tcBorders>
              <w:bottom w:val="single" w:sz="8" w:color="D9D9D9"/>
            </w:tcBorders>
          </w:tcPr>
          <w:p>
            <w:pPr>
              <w:jc w:val="right"/>
              <w:ind w:right="261"/>
              <w:spacing w:after="0" w:line="188" w:lineRule="exact"/>
              <w:rPr>
                <w:sz w:val="20"/>
                <w:szCs w:val="20"/>
                <w:color w:val="auto"/>
              </w:rPr>
            </w:pPr>
            <w:r>
              <w:rPr>
                <w:rFonts w:ascii="Arial" w:cs="Arial" w:eastAsia="Arial" w:hAnsi="Arial"/>
                <w:sz w:val="17"/>
                <w:szCs w:val="17"/>
                <w:color w:val="auto"/>
              </w:rPr>
              <w:t>3/15/2025</w:t>
            </w:r>
          </w:p>
        </w:tc>
      </w:tr>
      <w:tr>
        <w:trPr>
          <w:trHeight w:val="187"/>
        </w:trPr>
        <w:tc>
          <w:tcPr>
            <w:tcW w:w="3400" w:type="dxa"/>
            <w:vAlign w:val="bottom"/>
            <w:tcBorders>
              <w:bottom w:val="single" w:sz="8" w:color="405788"/>
            </w:tcBorders>
          </w:tcPr>
          <w:p>
            <w:pPr>
              <w:jc w:val="center"/>
              <w:ind w:left="81"/>
              <w:spacing w:after="0" w:line="188" w:lineRule="exact"/>
              <w:rPr>
                <w:sz w:val="20"/>
                <w:szCs w:val="20"/>
                <w:color w:val="auto"/>
              </w:rPr>
            </w:pPr>
            <w:r>
              <w:rPr>
                <w:rFonts w:ascii="Arial" w:cs="Arial" w:eastAsia="Arial" w:hAnsi="Arial"/>
                <w:sz w:val="17"/>
                <w:szCs w:val="17"/>
                <w:b w:val="1"/>
                <w:bCs w:val="1"/>
                <w:color w:val="auto"/>
                <w:w w:val="97"/>
              </w:rPr>
              <w:t>3-Year TSR Measurement</w:t>
            </w:r>
          </w:p>
        </w:tc>
        <w:tc>
          <w:tcPr>
            <w:tcW w:w="1600" w:type="dxa"/>
            <w:vAlign w:val="bottom"/>
            <w:tcBorders>
              <w:bottom w:val="single" w:sz="8" w:color="405788"/>
            </w:tcBorders>
          </w:tcPr>
          <w:p>
            <w:pPr>
              <w:jc w:val="center"/>
              <w:ind w:left="181"/>
              <w:spacing w:after="0" w:line="188" w:lineRule="exact"/>
              <w:rPr>
                <w:sz w:val="20"/>
                <w:szCs w:val="20"/>
                <w:color w:val="auto"/>
              </w:rPr>
            </w:pPr>
            <w:r>
              <w:rPr>
                <w:rFonts w:ascii="Arial" w:cs="Arial" w:eastAsia="Arial" w:hAnsi="Arial"/>
                <w:sz w:val="17"/>
                <w:szCs w:val="17"/>
                <w:color w:val="auto"/>
                <w:w w:val="92"/>
              </w:rPr>
              <w:t>1/3</w:t>
            </w:r>
          </w:p>
        </w:tc>
        <w:tc>
          <w:tcPr>
            <w:tcW w:w="1640" w:type="dxa"/>
            <w:vAlign w:val="bottom"/>
            <w:tcBorders>
              <w:bottom w:val="single" w:sz="8" w:color="405788"/>
            </w:tcBorders>
          </w:tcPr>
          <w:p>
            <w:pPr>
              <w:jc w:val="right"/>
              <w:ind w:right="225"/>
              <w:spacing w:after="0" w:line="188" w:lineRule="exact"/>
              <w:rPr>
                <w:sz w:val="20"/>
                <w:szCs w:val="20"/>
                <w:color w:val="auto"/>
              </w:rPr>
            </w:pPr>
            <w:r>
              <w:rPr>
                <w:rFonts w:ascii="Arial" w:cs="Arial" w:eastAsia="Arial" w:hAnsi="Arial"/>
                <w:sz w:val="17"/>
                <w:szCs w:val="17"/>
                <w:color w:val="auto"/>
              </w:rPr>
              <w:t>1/1/2022</w:t>
            </w:r>
          </w:p>
        </w:tc>
        <w:tc>
          <w:tcPr>
            <w:tcW w:w="1640" w:type="dxa"/>
            <w:vAlign w:val="bottom"/>
            <w:tcBorders>
              <w:bottom w:val="single" w:sz="8" w:color="405788"/>
            </w:tcBorders>
          </w:tcPr>
          <w:p>
            <w:pPr>
              <w:ind w:left="500"/>
              <w:spacing w:after="0" w:line="188" w:lineRule="exact"/>
              <w:rPr>
                <w:sz w:val="20"/>
                <w:szCs w:val="20"/>
                <w:color w:val="auto"/>
              </w:rPr>
            </w:pPr>
            <w:r>
              <w:rPr>
                <w:rFonts w:ascii="Arial" w:cs="Arial" w:eastAsia="Arial" w:hAnsi="Arial"/>
                <w:sz w:val="17"/>
                <w:szCs w:val="17"/>
                <w:color w:val="auto"/>
              </w:rPr>
              <w:t>12/31/2024</w:t>
            </w:r>
          </w:p>
        </w:tc>
        <w:tc>
          <w:tcPr>
            <w:tcW w:w="1640" w:type="dxa"/>
            <w:vAlign w:val="bottom"/>
            <w:tcBorders>
              <w:bottom w:val="single" w:sz="8" w:color="405788"/>
            </w:tcBorders>
          </w:tcPr>
          <w:p>
            <w:pPr>
              <w:jc w:val="right"/>
              <w:ind w:right="261"/>
              <w:spacing w:after="0" w:line="188" w:lineRule="exact"/>
              <w:rPr>
                <w:sz w:val="20"/>
                <w:szCs w:val="20"/>
                <w:color w:val="auto"/>
              </w:rPr>
            </w:pPr>
            <w:r>
              <w:rPr>
                <w:rFonts w:ascii="Arial" w:cs="Arial" w:eastAsia="Arial" w:hAnsi="Arial"/>
                <w:sz w:val="17"/>
                <w:szCs w:val="17"/>
                <w:color w:val="auto"/>
              </w:rPr>
              <w:t>3/15/2025</w:t>
            </w:r>
          </w:p>
        </w:tc>
      </w:tr>
    </w:tbl>
    <w:p>
      <w:pPr>
        <w:spacing w:after="0" w:line="58"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For each one-third tranche, a percentage of the PRSUs subject to such one-third tranche would be earned based on achievement of Relative TSR during the performance period for such one-third tranche as follows (with straight line mathematical interpolation between performance levels):</w:t>
      </w:r>
    </w:p>
    <w:p>
      <w:pPr>
        <w:spacing w:after="0" w:line="88"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2900" w:type="dxa"/>
            <w:vAlign w:val="bottom"/>
            <w:tcBorders>
              <w:bottom w:val="single" w:sz="8" w:color="405788"/>
            </w:tcBorders>
          </w:tcPr>
          <w:p>
            <w:pPr>
              <w:jc w:val="center"/>
              <w:ind w:left="260"/>
              <w:spacing w:after="0"/>
              <w:rPr>
                <w:sz w:val="20"/>
                <w:szCs w:val="20"/>
                <w:color w:val="auto"/>
              </w:rPr>
            </w:pPr>
            <w:r>
              <w:rPr>
                <w:rFonts w:ascii="Arial" w:cs="Arial" w:eastAsia="Arial" w:hAnsi="Arial"/>
                <w:sz w:val="13"/>
                <w:szCs w:val="13"/>
                <w:b w:val="1"/>
                <w:bCs w:val="1"/>
                <w:color w:val="auto"/>
              </w:rPr>
              <w:t>Performance Level</w:t>
            </w:r>
          </w:p>
        </w:tc>
        <w:tc>
          <w:tcPr>
            <w:tcW w:w="2780" w:type="dxa"/>
            <w:vAlign w:val="bottom"/>
            <w:tcBorders>
              <w:bottom w:val="single" w:sz="8" w:color="405788"/>
            </w:tcBorders>
          </w:tcPr>
          <w:p>
            <w:pPr>
              <w:jc w:val="center"/>
              <w:ind w:left="287"/>
              <w:spacing w:after="0"/>
              <w:rPr>
                <w:sz w:val="20"/>
                <w:szCs w:val="20"/>
                <w:color w:val="auto"/>
              </w:rPr>
            </w:pPr>
            <w:r>
              <w:rPr>
                <w:rFonts w:ascii="Arial" w:cs="Arial" w:eastAsia="Arial" w:hAnsi="Arial"/>
                <w:sz w:val="13"/>
                <w:szCs w:val="13"/>
                <w:b w:val="1"/>
                <w:bCs w:val="1"/>
                <w:color w:val="auto"/>
              </w:rPr>
              <w:t>Relative TSR</w:t>
            </w:r>
          </w:p>
        </w:tc>
        <w:tc>
          <w:tcPr>
            <w:tcW w:w="2260" w:type="dxa"/>
            <w:vAlign w:val="bottom"/>
            <w:tcBorders>
              <w:bottom w:val="single" w:sz="8" w:color="405788"/>
            </w:tcBorders>
          </w:tcPr>
          <w:p>
            <w:pPr>
              <w:jc w:val="right"/>
              <w:ind w:right="280"/>
              <w:spacing w:after="0"/>
              <w:rPr>
                <w:sz w:val="20"/>
                <w:szCs w:val="20"/>
                <w:color w:val="auto"/>
              </w:rPr>
            </w:pPr>
            <w:r>
              <w:rPr>
                <w:rFonts w:ascii="Arial" w:cs="Arial" w:eastAsia="Arial" w:hAnsi="Arial"/>
                <w:sz w:val="13"/>
                <w:szCs w:val="13"/>
                <w:b w:val="1"/>
                <w:bCs w:val="1"/>
                <w:color w:val="auto"/>
              </w:rPr>
              <w:t>% of Target PRSUs Earned</w:t>
            </w:r>
          </w:p>
        </w:tc>
      </w:tr>
      <w:tr>
        <w:trPr>
          <w:trHeight w:val="192"/>
        </w:trPr>
        <w:tc>
          <w:tcPr>
            <w:tcW w:w="2900" w:type="dxa"/>
            <w:vAlign w:val="bottom"/>
            <w:tcBorders>
              <w:bottom w:val="single" w:sz="8" w:color="D9D9D9"/>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7"/>
              </w:rPr>
              <w:t>Below Threshold</w:t>
            </w:r>
          </w:p>
        </w:tc>
        <w:tc>
          <w:tcPr>
            <w:tcW w:w="2780" w:type="dxa"/>
            <w:vAlign w:val="bottom"/>
            <w:tcBorders>
              <w:bottom w:val="single" w:sz="8" w:color="D9D9D9"/>
            </w:tcBorders>
          </w:tcPr>
          <w:p>
            <w:pPr>
              <w:jc w:val="center"/>
              <w:ind w:left="307"/>
              <w:spacing w:after="0" w:line="188" w:lineRule="exact"/>
              <w:rPr>
                <w:sz w:val="20"/>
                <w:szCs w:val="20"/>
                <w:color w:val="auto"/>
              </w:rPr>
            </w:pPr>
            <w:r>
              <w:rPr>
                <w:rFonts w:ascii="Arial" w:cs="Arial" w:eastAsia="Arial" w:hAnsi="Arial"/>
                <w:sz w:val="15"/>
                <w:szCs w:val="15"/>
                <w:color w:val="auto"/>
              </w:rPr>
              <w:t>Below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2900" w:type="dxa"/>
            <w:vAlign w:val="bottom"/>
            <w:tcBorders>
              <w:bottom w:val="single" w:sz="8" w:color="D9D9D9"/>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7"/>
              </w:rPr>
              <w:t>Threshold</w:t>
            </w:r>
          </w:p>
        </w:tc>
        <w:tc>
          <w:tcPr>
            <w:tcW w:w="2780" w:type="dxa"/>
            <w:vAlign w:val="bottom"/>
            <w:tcBorders>
              <w:bottom w:val="single" w:sz="8" w:color="D9D9D9"/>
            </w:tcBorders>
          </w:tcPr>
          <w:p>
            <w:pPr>
              <w:jc w:val="center"/>
              <w:ind w:left="287"/>
              <w:spacing w:after="0" w:line="188" w:lineRule="exact"/>
              <w:rPr>
                <w:sz w:val="20"/>
                <w:szCs w:val="20"/>
                <w:color w:val="auto"/>
              </w:rPr>
            </w:pPr>
            <w:r>
              <w:rPr>
                <w:rFonts w:ascii="Arial" w:cs="Arial" w:eastAsia="Arial" w:hAnsi="Arial"/>
                <w:sz w:val="15"/>
                <w:szCs w:val="15"/>
                <w:color w:val="auto"/>
              </w:rPr>
              <w:t>At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92"/>
        </w:trPr>
        <w:tc>
          <w:tcPr>
            <w:tcW w:w="2900" w:type="dxa"/>
            <w:vAlign w:val="bottom"/>
            <w:tcBorders>
              <w:bottom w:val="single" w:sz="8" w:color="D9D9D9"/>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6"/>
              </w:rPr>
              <w:t>Target</w:t>
            </w:r>
          </w:p>
        </w:tc>
        <w:tc>
          <w:tcPr>
            <w:tcW w:w="2780" w:type="dxa"/>
            <w:vAlign w:val="bottom"/>
            <w:tcBorders>
              <w:bottom w:val="single" w:sz="8" w:color="D9D9D9"/>
            </w:tcBorders>
          </w:tcPr>
          <w:p>
            <w:pPr>
              <w:jc w:val="center"/>
              <w:ind w:left="287"/>
              <w:spacing w:after="0" w:line="188" w:lineRule="exact"/>
              <w:rPr>
                <w:sz w:val="20"/>
                <w:szCs w:val="20"/>
                <w:color w:val="auto"/>
              </w:rPr>
            </w:pPr>
            <w:r>
              <w:rPr>
                <w:rFonts w:ascii="Arial" w:cs="Arial" w:eastAsia="Arial" w:hAnsi="Arial"/>
                <w:sz w:val="15"/>
                <w:szCs w:val="15"/>
                <w:color w:val="auto"/>
              </w:rPr>
              <w:t>At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100 %</w:t>
            </w:r>
          </w:p>
        </w:tc>
      </w:tr>
      <w:tr>
        <w:trPr>
          <w:trHeight w:val="187"/>
        </w:trPr>
        <w:tc>
          <w:tcPr>
            <w:tcW w:w="2900" w:type="dxa"/>
            <w:vAlign w:val="bottom"/>
            <w:tcBorders>
              <w:bottom w:val="single" w:sz="8" w:color="405788"/>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6"/>
              </w:rPr>
              <w:t>Maximum</w:t>
            </w:r>
          </w:p>
        </w:tc>
        <w:tc>
          <w:tcPr>
            <w:tcW w:w="2780" w:type="dxa"/>
            <w:vAlign w:val="bottom"/>
            <w:tcBorders>
              <w:bottom w:val="single" w:sz="8" w:color="405788"/>
            </w:tcBorders>
          </w:tcPr>
          <w:p>
            <w:pPr>
              <w:jc w:val="center"/>
              <w:ind w:left="307"/>
              <w:spacing w:after="0" w:line="188" w:lineRule="exact"/>
              <w:rPr>
                <w:sz w:val="20"/>
                <w:szCs w:val="20"/>
                <w:color w:val="auto"/>
              </w:rPr>
            </w:pPr>
            <w:r>
              <w:rPr>
                <w:rFonts w:ascii="Arial" w:cs="Arial" w:eastAsia="Arial" w:hAnsi="Arial"/>
                <w:sz w:val="15"/>
                <w:szCs w:val="15"/>
                <w:color w:val="auto"/>
              </w:rPr>
              <w:t>At or above 75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150 %</w:t>
            </w:r>
          </w:p>
        </w:tc>
      </w:tr>
    </w:tbl>
    <w:p>
      <w:pPr>
        <w:spacing w:after="0" w:line="171"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The following table summarizes the target and actual earned shares under the PRSUs granted to Messrs. Gleason and Johansson and Ms. Watkins-Asiyanbi in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3400" w:type="dxa"/>
            <w:vAlign w:val="bottom"/>
            <w:gridSpan w:val="3"/>
          </w:tcPr>
          <w:p>
            <w:pPr>
              <w:ind w:left="820"/>
              <w:spacing w:after="0"/>
              <w:rPr>
                <w:sz w:val="20"/>
                <w:szCs w:val="20"/>
                <w:color w:val="auto"/>
              </w:rPr>
            </w:pPr>
            <w:r>
              <w:rPr>
                <w:rFonts w:ascii="Arial" w:cs="Arial" w:eastAsia="Arial" w:hAnsi="Arial"/>
                <w:sz w:val="13"/>
                <w:szCs w:val="13"/>
                <w:b w:val="1"/>
                <w:bCs w:val="1"/>
                <w:color w:val="auto"/>
              </w:rPr>
              <w:t>PRSU Award Opportunity</w:t>
            </w:r>
          </w:p>
        </w:tc>
        <w:tc>
          <w:tcPr>
            <w:tcW w:w="3040" w:type="dxa"/>
            <w:vAlign w:val="bottom"/>
            <w:gridSpan w:val="2"/>
          </w:tcPr>
          <w:p>
            <w:pPr>
              <w:jc w:val="right"/>
              <w:ind w:right="643"/>
              <w:spacing w:after="0"/>
              <w:rPr>
                <w:sz w:val="20"/>
                <w:szCs w:val="20"/>
                <w:color w:val="auto"/>
              </w:rPr>
            </w:pPr>
            <w:r>
              <w:rPr>
                <w:rFonts w:ascii="Arial" w:cs="Arial" w:eastAsia="Arial" w:hAnsi="Arial"/>
                <w:sz w:val="13"/>
                <w:szCs w:val="13"/>
                <w:b w:val="1"/>
                <w:bCs w:val="1"/>
                <w:color w:val="auto"/>
              </w:rPr>
              <w:t xml:space="preserve">2022-2024 Performance </w:t>
            </w:r>
            <w:r>
              <w:rPr>
                <w:rFonts w:ascii="Arial" w:cs="Arial" w:eastAsia="Arial" w:hAnsi="Arial"/>
                <w:sz w:val="19"/>
                <w:szCs w:val="19"/>
                <w:b w:val="1"/>
                <w:bCs w:val="1"/>
                <w:color w:val="auto"/>
                <w:vertAlign w:val="superscript"/>
              </w:rPr>
              <w:t>1</w:t>
            </w:r>
          </w:p>
        </w:tc>
      </w:tr>
      <w:tr>
        <w:trPr>
          <w:trHeight w:val="142"/>
        </w:trPr>
        <w:tc>
          <w:tcPr>
            <w:tcW w:w="3480" w:type="dxa"/>
            <w:vAlign w:val="bottom"/>
          </w:tcPr>
          <w:p>
            <w:pPr>
              <w:spacing w:after="0"/>
              <w:rPr>
                <w:sz w:val="12"/>
                <w:szCs w:val="12"/>
                <w:color w:val="auto"/>
              </w:rPr>
            </w:pPr>
          </w:p>
        </w:tc>
        <w:tc>
          <w:tcPr>
            <w:tcW w:w="1720" w:type="dxa"/>
            <w:vAlign w:val="bottom"/>
            <w:tcBorders>
              <w:top w:val="single" w:sz="8" w:color="405788"/>
            </w:tcBorders>
          </w:tcPr>
          <w:p>
            <w:pPr>
              <w:jc w:val="right"/>
              <w:ind w:right="125"/>
              <w:spacing w:after="0" w:line="143" w:lineRule="exact"/>
              <w:rPr>
                <w:sz w:val="20"/>
                <w:szCs w:val="20"/>
                <w:color w:val="auto"/>
              </w:rPr>
            </w:pPr>
            <w:r>
              <w:rPr>
                <w:rFonts w:ascii="Arial" w:cs="Arial" w:eastAsia="Arial" w:hAnsi="Arial"/>
                <w:sz w:val="13"/>
                <w:szCs w:val="13"/>
                <w:b w:val="1"/>
                <w:bCs w:val="1"/>
                <w:color w:val="auto"/>
              </w:rPr>
              <w:t>Target Number of</w:t>
            </w:r>
          </w:p>
        </w:tc>
        <w:tc>
          <w:tcPr>
            <w:tcW w:w="154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b w:val="1"/>
                <w:bCs w:val="1"/>
                <w:color w:val="auto"/>
              </w:rPr>
              <w:t>Maximum Number of</w:t>
            </w:r>
          </w:p>
        </w:tc>
        <w:tc>
          <w:tcPr>
            <w:tcW w:w="140" w:type="dxa"/>
            <w:vAlign w:val="bottom"/>
          </w:tcPr>
          <w:p>
            <w:pPr>
              <w:spacing w:after="0"/>
              <w:rPr>
                <w:sz w:val="12"/>
                <w:szCs w:val="12"/>
                <w:color w:val="auto"/>
              </w:rPr>
            </w:pPr>
          </w:p>
        </w:tc>
        <w:tc>
          <w:tcPr>
            <w:tcW w:w="1620" w:type="dxa"/>
            <w:vAlign w:val="bottom"/>
            <w:tcBorders>
              <w:top w:val="single" w:sz="8" w:color="405788"/>
            </w:tcBorders>
          </w:tcPr>
          <w:p>
            <w:pPr>
              <w:ind w:left="680"/>
              <w:spacing w:after="0" w:line="143" w:lineRule="exact"/>
              <w:rPr>
                <w:sz w:val="20"/>
                <w:szCs w:val="20"/>
                <w:color w:val="auto"/>
              </w:rPr>
            </w:pPr>
            <w:r>
              <w:rPr>
                <w:rFonts w:ascii="Arial" w:cs="Arial" w:eastAsia="Arial" w:hAnsi="Arial"/>
                <w:sz w:val="13"/>
                <w:szCs w:val="13"/>
                <w:b w:val="1"/>
                <w:bCs w:val="1"/>
                <w:color w:val="auto"/>
              </w:rPr>
              <w:t>% of Target</w:t>
            </w:r>
          </w:p>
        </w:tc>
        <w:tc>
          <w:tcPr>
            <w:tcW w:w="142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b w:val="1"/>
                <w:bCs w:val="1"/>
                <w:color w:val="auto"/>
              </w:rPr>
              <w:t>Number of Shares</w:t>
            </w:r>
          </w:p>
        </w:tc>
      </w:tr>
      <w:tr>
        <w:trPr>
          <w:trHeight w:val="163"/>
        </w:trPr>
        <w:tc>
          <w:tcPr>
            <w:tcW w:w="34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1720" w:type="dxa"/>
            <w:vAlign w:val="bottom"/>
            <w:tcBorders>
              <w:bottom w:val="single" w:sz="8" w:color="405788"/>
            </w:tcBorders>
          </w:tcPr>
          <w:p>
            <w:pPr>
              <w:jc w:val="right"/>
              <w:ind w:right="125"/>
              <w:spacing w:after="0"/>
              <w:rPr>
                <w:sz w:val="20"/>
                <w:szCs w:val="20"/>
                <w:color w:val="auto"/>
              </w:rPr>
            </w:pPr>
            <w:r>
              <w:rPr>
                <w:rFonts w:ascii="Arial" w:cs="Arial" w:eastAsia="Arial" w:hAnsi="Arial"/>
                <w:sz w:val="13"/>
                <w:szCs w:val="13"/>
                <w:b w:val="1"/>
                <w:bCs w:val="1"/>
                <w:color w:val="auto"/>
              </w:rPr>
              <w:t>Shares</w:t>
            </w:r>
          </w:p>
        </w:tc>
        <w:tc>
          <w:tcPr>
            <w:tcW w:w="1680" w:type="dxa"/>
            <w:vAlign w:val="bottom"/>
            <w:tcBorders>
              <w:bottom w:val="single" w:sz="8" w:color="405788"/>
            </w:tcBorders>
            <w:gridSpan w:val="2"/>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1620" w:type="dxa"/>
            <w:vAlign w:val="bottom"/>
            <w:tcBorders>
              <w:bottom w:val="single" w:sz="8" w:color="405788"/>
            </w:tcBorders>
          </w:tcPr>
          <w:p>
            <w:pPr>
              <w:ind w:left="960"/>
              <w:spacing w:after="0"/>
              <w:rPr>
                <w:sz w:val="20"/>
                <w:szCs w:val="20"/>
                <w:color w:val="auto"/>
              </w:rPr>
            </w:pPr>
            <w:r>
              <w:rPr>
                <w:rFonts w:ascii="Arial" w:cs="Arial" w:eastAsia="Arial" w:hAnsi="Arial"/>
                <w:sz w:val="13"/>
                <w:szCs w:val="13"/>
                <w:b w:val="1"/>
                <w:bCs w:val="1"/>
                <w:color w:val="auto"/>
              </w:rPr>
              <w:t>Earned</w:t>
            </w:r>
          </w:p>
        </w:tc>
        <w:tc>
          <w:tcPr>
            <w:tcW w:w="14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Earned</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1720" w:type="dxa"/>
            <w:vAlign w:val="bottom"/>
            <w:tcBorders>
              <w:bottom w:val="single" w:sz="8" w:color="D9D9D9"/>
            </w:tcBorders>
          </w:tcPr>
          <w:p>
            <w:pPr>
              <w:jc w:val="right"/>
              <w:ind w:right="125"/>
              <w:spacing w:after="0" w:line="188" w:lineRule="exact"/>
              <w:rPr>
                <w:sz w:val="20"/>
                <w:szCs w:val="20"/>
                <w:color w:val="auto"/>
              </w:rPr>
            </w:pPr>
            <w:r>
              <w:rPr>
                <w:rFonts w:ascii="Arial" w:cs="Arial" w:eastAsia="Arial" w:hAnsi="Arial"/>
                <w:sz w:val="17"/>
                <w:szCs w:val="17"/>
                <w:color w:val="auto"/>
              </w:rPr>
              <w:t>135,136</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202,705</w:t>
            </w:r>
          </w:p>
        </w:tc>
        <w:tc>
          <w:tcPr>
            <w:tcW w:w="140" w:type="dxa"/>
            <w:vAlign w:val="bottom"/>
            <w:tcBorders>
              <w:bottom w:val="single" w:sz="8" w:color="D9D9D9"/>
            </w:tcBorders>
          </w:tcPr>
          <w:p>
            <w:pPr>
              <w:spacing w:after="0"/>
              <w:rPr>
                <w:sz w:val="16"/>
                <w:szCs w:val="16"/>
                <w:color w:val="auto"/>
              </w:rPr>
            </w:pPr>
          </w:p>
        </w:tc>
        <w:tc>
          <w:tcPr>
            <w:tcW w:w="1620" w:type="dxa"/>
            <w:vAlign w:val="bottom"/>
            <w:tcBorders>
              <w:bottom w:val="single" w:sz="8" w:color="D9D9D9"/>
            </w:tcBorders>
          </w:tcPr>
          <w:p>
            <w:pPr>
              <w:ind w:left="960"/>
              <w:spacing w:after="0" w:line="188" w:lineRule="exact"/>
              <w:rPr>
                <w:sz w:val="20"/>
                <w:szCs w:val="20"/>
                <w:color w:val="auto"/>
              </w:rPr>
            </w:pPr>
            <w:r>
              <w:rPr>
                <w:rFonts w:ascii="Arial" w:cs="Arial" w:eastAsia="Arial" w:hAnsi="Arial"/>
                <w:sz w:val="17"/>
                <w:szCs w:val="17"/>
                <w:color w:val="auto"/>
              </w:rPr>
              <w:t>150.0</w:t>
            </w:r>
          </w:p>
        </w:tc>
        <w:tc>
          <w:tcPr>
            <w:tcW w:w="14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202,705</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1720" w:type="dxa"/>
            <w:vAlign w:val="bottom"/>
            <w:tcBorders>
              <w:bottom w:val="single" w:sz="8" w:color="D9D9D9"/>
            </w:tcBorders>
          </w:tcPr>
          <w:p>
            <w:pPr>
              <w:jc w:val="right"/>
              <w:ind w:right="125"/>
              <w:spacing w:after="0" w:line="188" w:lineRule="exact"/>
              <w:rPr>
                <w:sz w:val="20"/>
                <w:szCs w:val="20"/>
                <w:color w:val="auto"/>
              </w:rPr>
            </w:pPr>
            <w:r>
              <w:rPr>
                <w:rFonts w:ascii="Arial" w:cs="Arial" w:eastAsia="Arial" w:hAnsi="Arial"/>
                <w:sz w:val="17"/>
                <w:szCs w:val="17"/>
                <w:color w:val="auto"/>
              </w:rPr>
              <w:t>14,808</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22,212</w:t>
            </w:r>
          </w:p>
        </w:tc>
        <w:tc>
          <w:tcPr>
            <w:tcW w:w="140" w:type="dxa"/>
            <w:vAlign w:val="bottom"/>
            <w:tcBorders>
              <w:bottom w:val="single" w:sz="8" w:color="D9D9D9"/>
            </w:tcBorders>
          </w:tcPr>
          <w:p>
            <w:pPr>
              <w:spacing w:after="0"/>
              <w:rPr>
                <w:sz w:val="16"/>
                <w:szCs w:val="16"/>
                <w:color w:val="auto"/>
              </w:rPr>
            </w:pPr>
          </w:p>
        </w:tc>
        <w:tc>
          <w:tcPr>
            <w:tcW w:w="1620" w:type="dxa"/>
            <w:vAlign w:val="bottom"/>
            <w:tcBorders>
              <w:bottom w:val="single" w:sz="8" w:color="D9D9D9"/>
            </w:tcBorders>
          </w:tcPr>
          <w:p>
            <w:pPr>
              <w:ind w:left="960"/>
              <w:spacing w:after="0" w:line="188" w:lineRule="exact"/>
              <w:rPr>
                <w:sz w:val="20"/>
                <w:szCs w:val="20"/>
                <w:color w:val="auto"/>
              </w:rPr>
            </w:pPr>
            <w:r>
              <w:rPr>
                <w:rFonts w:ascii="Arial" w:cs="Arial" w:eastAsia="Arial" w:hAnsi="Arial"/>
                <w:sz w:val="17"/>
                <w:szCs w:val="17"/>
                <w:color w:val="auto"/>
              </w:rPr>
              <w:t>150.0</w:t>
            </w:r>
          </w:p>
        </w:tc>
        <w:tc>
          <w:tcPr>
            <w:tcW w:w="14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22,212</w:t>
            </w:r>
          </w:p>
        </w:tc>
      </w:tr>
      <w:tr>
        <w:trPr>
          <w:trHeight w:val="187"/>
        </w:trPr>
        <w:tc>
          <w:tcPr>
            <w:tcW w:w="34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1720" w:type="dxa"/>
            <w:vAlign w:val="bottom"/>
            <w:tcBorders>
              <w:bottom w:val="single" w:sz="8" w:color="405788"/>
            </w:tcBorders>
          </w:tcPr>
          <w:p>
            <w:pPr>
              <w:jc w:val="right"/>
              <w:ind w:right="125"/>
              <w:spacing w:after="0" w:line="188" w:lineRule="exact"/>
              <w:rPr>
                <w:sz w:val="20"/>
                <w:szCs w:val="20"/>
                <w:color w:val="auto"/>
              </w:rPr>
            </w:pPr>
            <w:r>
              <w:rPr>
                <w:rFonts w:ascii="Arial" w:cs="Arial" w:eastAsia="Arial" w:hAnsi="Arial"/>
                <w:sz w:val="17"/>
                <w:szCs w:val="17"/>
                <w:color w:val="auto"/>
              </w:rPr>
              <w:t>7,341</w:t>
            </w:r>
          </w:p>
        </w:tc>
        <w:tc>
          <w:tcPr>
            <w:tcW w:w="15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11,012</w:t>
            </w:r>
          </w:p>
        </w:tc>
        <w:tc>
          <w:tcPr>
            <w:tcW w:w="140" w:type="dxa"/>
            <w:vAlign w:val="bottom"/>
            <w:tcBorders>
              <w:bottom w:val="single" w:sz="8" w:color="405788"/>
            </w:tcBorders>
          </w:tcPr>
          <w:p>
            <w:pPr>
              <w:spacing w:after="0"/>
              <w:rPr>
                <w:sz w:val="16"/>
                <w:szCs w:val="16"/>
                <w:color w:val="auto"/>
              </w:rPr>
            </w:pPr>
          </w:p>
        </w:tc>
        <w:tc>
          <w:tcPr>
            <w:tcW w:w="1620" w:type="dxa"/>
            <w:vAlign w:val="bottom"/>
            <w:tcBorders>
              <w:bottom w:val="single" w:sz="8" w:color="405788"/>
            </w:tcBorders>
          </w:tcPr>
          <w:p>
            <w:pPr>
              <w:ind w:left="960"/>
              <w:spacing w:after="0" w:line="188" w:lineRule="exact"/>
              <w:rPr>
                <w:sz w:val="20"/>
                <w:szCs w:val="20"/>
                <w:color w:val="auto"/>
              </w:rPr>
            </w:pPr>
            <w:r>
              <w:rPr>
                <w:rFonts w:ascii="Arial" w:cs="Arial" w:eastAsia="Arial" w:hAnsi="Arial"/>
                <w:sz w:val="17"/>
                <w:szCs w:val="17"/>
                <w:color w:val="auto"/>
              </w:rPr>
              <w:t>150.0</w:t>
            </w:r>
          </w:p>
        </w:tc>
        <w:tc>
          <w:tcPr>
            <w:tcW w:w="14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11,012</w:t>
            </w:r>
          </w:p>
        </w:tc>
      </w:tr>
    </w:tbl>
    <w:p>
      <w:pPr>
        <w:spacing w:after="0" w:line="76" w:lineRule="exact"/>
        <w:rPr>
          <w:sz w:val="20"/>
          <w:szCs w:val="20"/>
          <w:color w:val="auto"/>
        </w:rPr>
      </w:pPr>
    </w:p>
    <w:p>
      <w:pPr>
        <w:ind w:left="300" w:right="480" w:hanging="299"/>
        <w:spacing w:after="0" w:line="224" w:lineRule="auto"/>
        <w:tabs>
          <w:tab w:leader="none" w:pos="3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At the end of the Performance Period ending December 31, 2022, we achieved a calculated TSR of 94.1% which ranked just over the 98</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applicable peer group and resulted in a payout of 150% of the target number of shares granted to Messrs. Gleason and Johansson and Ms. Watkins-Asiyanbi.</w:t>
      </w:r>
    </w:p>
    <w:p>
      <w:pPr>
        <w:spacing w:after="0" w:line="141" w:lineRule="exact"/>
        <w:rPr>
          <w:rFonts w:ascii="Arial" w:cs="Arial" w:eastAsia="Arial" w:hAnsi="Arial"/>
          <w:sz w:val="15"/>
          <w:szCs w:val="15"/>
          <w:color w:val="auto"/>
        </w:rPr>
      </w:pPr>
    </w:p>
    <w:p>
      <w:pPr>
        <w:ind w:left="300" w:right="60"/>
        <w:spacing w:after="0" w:line="224" w:lineRule="auto"/>
        <w:rPr>
          <w:rFonts w:ascii="Arial" w:cs="Arial" w:eastAsia="Arial" w:hAnsi="Arial"/>
          <w:sz w:val="15"/>
          <w:szCs w:val="15"/>
          <w:color w:val="auto"/>
        </w:rPr>
      </w:pPr>
      <w:r>
        <w:rPr>
          <w:rFonts w:ascii="Arial" w:cs="Arial" w:eastAsia="Arial" w:hAnsi="Arial"/>
          <w:sz w:val="15"/>
          <w:szCs w:val="15"/>
          <w:color w:val="auto"/>
        </w:rPr>
        <w:t>At the end of the Performance Period ending December 31, 2023, we achieved a calculated TSR of 235.7% which ranked at the 100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applicable peer group and resulted in a payout of 150% of the target number of shares granted to Messrs. Gleason and Johansson and Ms. Watkins-Asiyanbi.</w:t>
      </w:r>
    </w:p>
    <w:p>
      <w:pPr>
        <w:spacing w:after="0" w:line="142" w:lineRule="exact"/>
        <w:rPr>
          <w:sz w:val="20"/>
          <w:szCs w:val="20"/>
          <w:color w:val="auto"/>
        </w:rPr>
      </w:pPr>
    </w:p>
    <w:p>
      <w:pPr>
        <w:ind w:left="300" w:right="380"/>
        <w:spacing w:after="0" w:line="224" w:lineRule="auto"/>
        <w:rPr>
          <w:sz w:val="20"/>
          <w:szCs w:val="20"/>
          <w:color w:val="auto"/>
        </w:rPr>
      </w:pPr>
      <w:r>
        <w:rPr>
          <w:rFonts w:ascii="Arial" w:cs="Arial" w:eastAsia="Arial" w:hAnsi="Arial"/>
          <w:sz w:val="15"/>
          <w:szCs w:val="15"/>
          <w:color w:val="auto"/>
        </w:rPr>
        <w:t>At the end of the Performance Period ending December 31, 2024, we achieved a calculated TSR of 395.6% which ranked just over the 96</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applicable peer group and resulted in a payout of 150% of the target number of shares granted to Messrs. Gleason and Johansson and Ms. Watkins-Asiyanbi.</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Personal Benefits and Perquisites</w:t>
      </w:r>
    </w:p>
    <w:p>
      <w:pPr>
        <w:spacing w:after="0" w:line="9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provide our NEOs with very few perquisites that we believe are reasonable and consistent with our overall compensation program and better enable us to attract and retain employees for key positions. These perquisites generally consist of a car allowance and payment of life insurance premiums.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9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Our Company sponsors a 401(k) retirement plan for substantially all of our U.S. employees (the “401(k) Plan”), pursuant to which we generally match contributions each pay period at 100% of the employee’s contributions for the first 3% of eligible compensation, and 50% of the employee’s contribution on the next 3% of eligible compensation, for a maximum match of 4.5% of eligible compensation. Our NEOs generally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167005</wp:posOffset>
            </wp:positionV>
            <wp:extent cx="483870" cy="222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0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Control Severance Plan</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maintain the Executive Change in Control Severance Plan (the “Severance Plan”), which provides our executive officers and other eligible participants with certain severance benefits in the event of certain qualifying terminations of employment. The Severance Plan is designed to address organizational leadership needs to attract and retain senior level executives in the Company and remove barriers and distractions of executives by providing limited protection to senior level leaders should a potential change in control occur. Offering continuity for these leaders while not tying the organization to an employment contract allows the Company to recruit, retain and demonstrate the value our senior level leaders contribute to our organization. The Severance Plan is described in more detail under the heading “Potential Payments Upon Termination or Change in Control.”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9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To reinforce the alignment of our executive officers’ long-term financial interests with the interests of our stockholders, we require our executive officers to own shares of our common stock having values equal to the applicable multiple of base salary set forth in the table below:</w:t>
      </w:r>
    </w:p>
    <w:p>
      <w:pPr>
        <w:spacing w:after="0" w:line="88" w:lineRule="exact"/>
        <w:rPr>
          <w:sz w:val="20"/>
          <w:szCs w:val="20"/>
          <w:color w:val="auto"/>
        </w:rPr>
      </w:pPr>
    </w:p>
    <w:tbl>
      <w:tblPr>
        <w:tblLayout w:type="fixed"/>
        <w:tblInd w:w="124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r>
      <w:tr>
        <w:trPr>
          <w:trHeight w:val="150"/>
        </w:trPr>
        <w:tc>
          <w:tcPr>
            <w:tcW w:w="470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Requirement</w:t>
            </w:r>
          </w:p>
        </w:tc>
      </w:tr>
      <w:tr>
        <w:trPr>
          <w:trHeight w:val="150"/>
        </w:trPr>
        <w:tc>
          <w:tcPr>
            <w:tcW w:w="470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(Multiple of</w:t>
            </w:r>
          </w:p>
        </w:tc>
      </w:tr>
      <w:tr>
        <w:trPr>
          <w:trHeight w:val="163"/>
        </w:trPr>
        <w:tc>
          <w:tcPr>
            <w:tcW w:w="470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274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base salary)</w:t>
            </w:r>
          </w:p>
        </w:tc>
      </w:tr>
      <w:tr>
        <w:trPr>
          <w:trHeight w:val="192"/>
        </w:trPr>
        <w:tc>
          <w:tcPr>
            <w:tcW w:w="47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Executive Officer</w:t>
            </w:r>
          </w:p>
        </w:tc>
        <w:tc>
          <w:tcPr>
            <w:tcW w:w="27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5X</w:t>
            </w:r>
          </w:p>
        </w:tc>
      </w:tr>
      <w:tr>
        <w:trPr>
          <w:trHeight w:val="192"/>
        </w:trPr>
        <w:tc>
          <w:tcPr>
            <w:tcW w:w="47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Financial and Strategy Officer</w:t>
            </w:r>
          </w:p>
        </w:tc>
        <w:tc>
          <w:tcPr>
            <w:tcW w:w="27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3X</w:t>
            </w:r>
          </w:p>
        </w:tc>
      </w:tr>
      <w:tr>
        <w:trPr>
          <w:trHeight w:val="192"/>
        </w:trPr>
        <w:tc>
          <w:tcPr>
            <w:tcW w:w="47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Administrative and Legal Officer</w:t>
            </w:r>
          </w:p>
        </w:tc>
        <w:tc>
          <w:tcPr>
            <w:tcW w:w="27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3X</w:t>
            </w:r>
          </w:p>
        </w:tc>
      </w:tr>
      <w:tr>
        <w:trPr>
          <w:trHeight w:val="187"/>
        </w:trPr>
        <w:tc>
          <w:tcPr>
            <w:tcW w:w="470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Other Executives Officers</w:t>
            </w:r>
          </w:p>
        </w:tc>
        <w:tc>
          <w:tcPr>
            <w:tcW w:w="27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1X</w:t>
            </w:r>
          </w:p>
        </w:tc>
      </w:tr>
    </w:tbl>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NEO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 As of December 31, 2024, all of our NEOs are in compliance with their stock ownership requirements.</w:t>
      </w:r>
    </w:p>
    <w:p>
      <w:pPr>
        <w:spacing w:after="0" w:line="60"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Our executive officers are prohibited under our Insider Trading Policy from engaging in certain transaction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Clawback Policy</w:t>
      </w:r>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During 2023, we adopted an updated compensation recovery policy (the “Clawback Policy”) governing the recovery of erroneously awarded incentive-based compensation consistent with the requirements of the SEC and NASDAQ. The Clawback Policy replaced our existing compensation recovery policy and provides that, if we are required to prepare a qualifying accounting restatement, then, unless an exception applies, we will recover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would have been received had it been determined based on the restated financials.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Grant Timing</w:t>
      </w:r>
    </w:p>
    <w:p>
      <w:pPr>
        <w:spacing w:after="0" w:line="9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generally grant annual equity-based awards during the first half of our fiscal year, although such timing may change from year to year. The Compensation Committee also may consider and approve interim or mid-year grants, or grants made on another basis, from time to time based on business needs, changing compensation practices or other factors, in the discretion of the Compensation Committee. The Compensation Committee does not take into account material nonpublic information in determining the timing and terms of equity-based awards, and we have not timed the disclosure of material nonpublic information for the purpose of affecting the value of executive compensation.</w:t>
      </w:r>
    </w:p>
    <w:p>
      <w:pPr>
        <w:spacing w:after="0" w:line="34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26</w:t>
      </w:r>
      <w:r>
        <w:rPr>
          <w:sz w:val="20"/>
          <w:szCs w:val="20"/>
          <w:color w:val="auto"/>
        </w:rPr>
        <w:tab/>
      </w:r>
      <w:r>
        <w:rPr>
          <w:sz w:val="1"/>
          <w:szCs w:val="1"/>
          <w:color w:val="auto"/>
        </w:rPr>
        <w:drawing>
          <wp:inline distT="0" distB="0" distL="0" distR="0">
            <wp:extent cx="476250" cy="2222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Considerations in our Compensation Program</w:t>
      </w:r>
    </w:p>
    <w:p>
      <w:pPr>
        <w:spacing w:after="0" w:line="9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or discretionary cash bonuses and long-term equity incentives (time-based RSUs and PRSUs). In a typical year, incentive compensation is generally tied to the achievement of corporate performance goals based on metrics established by our Compensation Committee. For 2024, we used a Relative TSR goal for long-term equity incentives.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NEOs. In December 2023, a market pay analysis study was conducted,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Conclusion</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recognize the importance of attracting, motivating, retaining and rewarding executive talent who can effectively lead our business. Our Compensation Committee continues to analyze and adjust our compensation programs to emphasize the alignment of our NEOs’ interests with the long-term interests of our stockholders. It seeks to incentivize our NEOs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357505</wp:posOffset>
            </wp:positionV>
            <wp:extent cx="483870" cy="222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Committee Report</w:t>
      </w:r>
    </w:p>
    <w:p>
      <w:pPr>
        <w:spacing w:after="0" w:line="9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Compensation Committee has reviewed and discussed the foregoing Compensation Discussion and Analysis with management. Based on this review and discussion, the Compensation Committee recommended to the Board of Directors that the Compensation Discussion and Analysis be included in this Proxy Statement and, by incorporation by reference, in the Company’s Annual Report on Form 10-K for the fiscal year ended December 31, 2024.</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This report is submitted on behalf of the members of the Compensation Committee: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Laurie Siegel, Chair</w:t>
      </w:r>
    </w:p>
    <w:p>
      <w:pPr>
        <w:spacing w:after="0"/>
        <w:rPr>
          <w:sz w:val="20"/>
          <w:szCs w:val="20"/>
          <w:color w:val="auto"/>
        </w:rPr>
      </w:pPr>
      <w:r>
        <w:rPr>
          <w:rFonts w:ascii="Arial" w:cs="Arial" w:eastAsia="Arial" w:hAnsi="Arial"/>
          <w:sz w:val="17"/>
          <w:szCs w:val="17"/>
          <w:color w:val="auto"/>
        </w:rPr>
        <w:t>Robert F. Knowling, Jr.</w:t>
      </w:r>
    </w:p>
    <w:p>
      <w:pPr>
        <w:spacing w:after="0" w:line="230" w:lineRule="auto"/>
        <w:rPr>
          <w:sz w:val="20"/>
          <w:szCs w:val="20"/>
          <w:color w:val="auto"/>
        </w:rPr>
      </w:pPr>
      <w:r>
        <w:rPr>
          <w:rFonts w:ascii="Arial" w:cs="Arial" w:eastAsia="Arial" w:hAnsi="Arial"/>
          <w:sz w:val="17"/>
          <w:szCs w:val="17"/>
          <w:color w:val="auto"/>
        </w:rPr>
        <w:t>Claudio Mannarino</w:t>
      </w:r>
    </w:p>
    <w:p>
      <w:pPr>
        <w:spacing w:after="0"/>
        <w:rPr>
          <w:sz w:val="20"/>
          <w:szCs w:val="20"/>
          <w:color w:val="auto"/>
        </w:rPr>
      </w:pPr>
      <w:r>
        <w:rPr>
          <w:rFonts w:ascii="Arial" w:cs="Arial" w:eastAsia="Arial" w:hAnsi="Arial"/>
          <w:sz w:val="17"/>
          <w:szCs w:val="17"/>
          <w:color w:val="auto"/>
        </w:rPr>
        <w:t>Valerie Gentile Sachs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2024 Summary Compensation Table</w:t>
      </w:r>
    </w:p>
    <w:p>
      <w:pPr>
        <w:spacing w:after="0" w:line="9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following table summarizes compensation earned by each of our named executives during the fiscal years indicated. To understand the table below, we encourage a careful reading of the footnotes, which explain the various assumptions and calculations employed in determining the dollar amounts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jc w:val="right"/>
              <w:ind w:right="111"/>
              <w:spacing w:after="0"/>
              <w:rPr>
                <w:sz w:val="20"/>
                <w:szCs w:val="20"/>
                <w:color w:val="auto"/>
              </w:rPr>
            </w:pPr>
            <w:r>
              <w:rPr>
                <w:rFonts w:ascii="Arial" w:cs="Arial" w:eastAsia="Arial" w:hAnsi="Arial"/>
                <w:sz w:val="15"/>
                <w:szCs w:val="15"/>
                <w:b w:val="1"/>
                <w:bCs w:val="1"/>
                <w:color w:val="auto"/>
              </w:rPr>
              <w:t>Non-Equity</w:t>
            </w: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jc w:val="right"/>
              <w:ind w:right="171"/>
              <w:spacing w:after="0"/>
              <w:rPr>
                <w:sz w:val="20"/>
                <w:szCs w:val="20"/>
                <w:color w:val="auto"/>
              </w:rPr>
            </w:pPr>
            <w:r>
              <w:rPr>
                <w:rFonts w:ascii="Arial" w:cs="Arial" w:eastAsia="Arial" w:hAnsi="Arial"/>
                <w:sz w:val="15"/>
                <w:szCs w:val="15"/>
                <w:b w:val="1"/>
                <w:bCs w:val="1"/>
                <w:color w:val="auto"/>
              </w:rPr>
              <w:t>Stock</w:t>
            </w:r>
          </w:p>
        </w:tc>
        <w:tc>
          <w:tcPr>
            <w:tcW w:w="920" w:type="dxa"/>
            <w:vAlign w:val="bottom"/>
          </w:tcPr>
          <w:p>
            <w:pPr>
              <w:jc w:val="right"/>
              <w:ind w:right="91"/>
              <w:spacing w:after="0"/>
              <w:rPr>
                <w:sz w:val="20"/>
                <w:szCs w:val="20"/>
                <w:color w:val="auto"/>
              </w:rPr>
            </w:pPr>
            <w:r>
              <w:rPr>
                <w:rFonts w:ascii="Arial" w:cs="Arial" w:eastAsia="Arial" w:hAnsi="Arial"/>
                <w:sz w:val="15"/>
                <w:szCs w:val="15"/>
                <w:b w:val="1"/>
                <w:bCs w:val="1"/>
                <w:color w:val="auto"/>
              </w:rPr>
              <w:t>Option</w:t>
            </w:r>
          </w:p>
        </w:tc>
        <w:tc>
          <w:tcPr>
            <w:tcW w:w="1320" w:type="dxa"/>
            <w:vAlign w:val="bottom"/>
          </w:tcPr>
          <w:p>
            <w:pPr>
              <w:jc w:val="right"/>
              <w:ind w:right="111"/>
              <w:spacing w:after="0"/>
              <w:rPr>
                <w:sz w:val="20"/>
                <w:szCs w:val="20"/>
                <w:color w:val="auto"/>
              </w:rPr>
            </w:pPr>
            <w:r>
              <w:rPr>
                <w:rFonts w:ascii="Arial" w:cs="Arial" w:eastAsia="Arial" w:hAnsi="Arial"/>
                <w:sz w:val="15"/>
                <w:szCs w:val="15"/>
                <w:b w:val="1"/>
                <w:bCs w:val="1"/>
                <w:color w:val="auto"/>
              </w:rPr>
              <w:t>Incentive Plan</w:t>
            </w:r>
          </w:p>
        </w:tc>
        <w:tc>
          <w:tcPr>
            <w:tcW w:w="1400" w:type="dxa"/>
            <w:vAlign w:val="bottom"/>
          </w:tcPr>
          <w:p>
            <w:pPr>
              <w:jc w:val="right"/>
              <w:ind w:right="171"/>
              <w:spacing w:after="0"/>
              <w:rPr>
                <w:sz w:val="20"/>
                <w:szCs w:val="20"/>
                <w:color w:val="auto"/>
              </w:rPr>
            </w:pPr>
            <w:r>
              <w:rPr>
                <w:rFonts w:ascii="Arial" w:cs="Arial" w:eastAsia="Arial" w:hAnsi="Arial"/>
                <w:sz w:val="15"/>
                <w:szCs w:val="15"/>
                <w:b w:val="1"/>
                <w:bCs w:val="1"/>
                <w:color w:val="auto"/>
              </w:rPr>
              <w:t>All Other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20" w:type="dxa"/>
            <w:vAlign w:val="bottom"/>
          </w:tcPr>
          <w:p>
            <w:pPr>
              <w:spacing w:after="0" w:line="163" w:lineRule="exact"/>
              <w:rPr>
                <w:sz w:val="20"/>
                <w:szCs w:val="20"/>
                <w:color w:val="auto"/>
              </w:rPr>
            </w:pPr>
            <w:r>
              <w:rPr>
                <w:rFonts w:ascii="Arial" w:cs="Arial" w:eastAsia="Arial" w:hAnsi="Arial"/>
                <w:sz w:val="15"/>
                <w:szCs w:val="15"/>
                <w:b w:val="1"/>
                <w:bCs w:val="1"/>
                <w:color w:val="auto"/>
              </w:rPr>
              <w:t>Name and Principal</w:t>
            </w:r>
          </w:p>
        </w:tc>
        <w:tc>
          <w:tcPr>
            <w:tcW w:w="740" w:type="dxa"/>
            <w:vAlign w:val="bottom"/>
          </w:tcPr>
          <w:p>
            <w:pPr>
              <w:spacing w:after="0"/>
              <w:rPr>
                <w:sz w:val="14"/>
                <w:szCs w:val="14"/>
                <w:color w:val="auto"/>
              </w:rPr>
            </w:pPr>
          </w:p>
        </w:tc>
        <w:tc>
          <w:tcPr>
            <w:tcW w:w="820" w:type="dxa"/>
            <w:vAlign w:val="bottom"/>
          </w:tcPr>
          <w:p>
            <w:pPr>
              <w:jc w:val="right"/>
              <w:ind w:right="112"/>
              <w:spacing w:after="0" w:line="163" w:lineRule="exact"/>
              <w:rPr>
                <w:sz w:val="20"/>
                <w:szCs w:val="20"/>
                <w:color w:val="auto"/>
              </w:rPr>
            </w:pPr>
            <w:r>
              <w:rPr>
                <w:rFonts w:ascii="Arial" w:cs="Arial" w:eastAsia="Arial" w:hAnsi="Arial"/>
                <w:sz w:val="15"/>
                <w:szCs w:val="15"/>
                <w:b w:val="1"/>
                <w:bCs w:val="1"/>
                <w:color w:val="auto"/>
              </w:rPr>
              <w:t>Salary</w:t>
            </w:r>
          </w:p>
        </w:tc>
        <w:tc>
          <w:tcPr>
            <w:tcW w:w="840" w:type="dxa"/>
            <w:vAlign w:val="bottom"/>
          </w:tcPr>
          <w:p>
            <w:pPr>
              <w:jc w:val="right"/>
              <w:ind w:right="132"/>
              <w:spacing w:after="0" w:line="163" w:lineRule="exact"/>
              <w:rPr>
                <w:sz w:val="20"/>
                <w:szCs w:val="20"/>
                <w:color w:val="auto"/>
              </w:rPr>
            </w:pPr>
            <w:r>
              <w:rPr>
                <w:rFonts w:ascii="Arial" w:cs="Arial" w:eastAsia="Arial" w:hAnsi="Arial"/>
                <w:sz w:val="15"/>
                <w:szCs w:val="15"/>
                <w:b w:val="1"/>
                <w:bCs w:val="1"/>
                <w:color w:val="auto"/>
              </w:rPr>
              <w:t>Bonus</w:t>
            </w:r>
          </w:p>
        </w:tc>
        <w:tc>
          <w:tcPr>
            <w:tcW w:w="1040" w:type="dxa"/>
            <w:vAlign w:val="bottom"/>
          </w:tcPr>
          <w:p>
            <w:pPr>
              <w:jc w:val="right"/>
              <w:ind w:right="171"/>
              <w:spacing w:after="0" w:line="163" w:lineRule="exact"/>
              <w:rPr>
                <w:sz w:val="20"/>
                <w:szCs w:val="20"/>
                <w:color w:val="auto"/>
              </w:rPr>
            </w:pPr>
            <w:r>
              <w:rPr>
                <w:rFonts w:ascii="Arial" w:cs="Arial" w:eastAsia="Arial" w:hAnsi="Arial"/>
                <w:sz w:val="15"/>
                <w:szCs w:val="15"/>
                <w:b w:val="1"/>
                <w:bCs w:val="1"/>
                <w:color w:val="auto"/>
              </w:rPr>
              <w:t>Awards</w:t>
            </w:r>
          </w:p>
        </w:tc>
        <w:tc>
          <w:tcPr>
            <w:tcW w:w="920" w:type="dxa"/>
            <w:vAlign w:val="bottom"/>
          </w:tcPr>
          <w:p>
            <w:pPr>
              <w:jc w:val="right"/>
              <w:ind w:right="91"/>
              <w:spacing w:after="0" w:line="163" w:lineRule="exact"/>
              <w:rPr>
                <w:sz w:val="20"/>
                <w:szCs w:val="20"/>
                <w:color w:val="auto"/>
              </w:rPr>
            </w:pPr>
            <w:r>
              <w:rPr>
                <w:rFonts w:ascii="Arial" w:cs="Arial" w:eastAsia="Arial" w:hAnsi="Arial"/>
                <w:sz w:val="15"/>
                <w:szCs w:val="15"/>
                <w:b w:val="1"/>
                <w:bCs w:val="1"/>
                <w:color w:val="auto"/>
              </w:rPr>
              <w:t>Awards</w:t>
            </w:r>
          </w:p>
        </w:tc>
        <w:tc>
          <w:tcPr>
            <w:tcW w:w="1320" w:type="dxa"/>
            <w:vAlign w:val="bottom"/>
          </w:tcPr>
          <w:p>
            <w:pPr>
              <w:jc w:val="right"/>
              <w:ind w:right="111"/>
              <w:spacing w:after="0" w:line="163" w:lineRule="exact"/>
              <w:rPr>
                <w:sz w:val="20"/>
                <w:szCs w:val="20"/>
                <w:color w:val="auto"/>
              </w:rPr>
            </w:pPr>
            <w:r>
              <w:rPr>
                <w:rFonts w:ascii="Arial" w:cs="Arial" w:eastAsia="Arial" w:hAnsi="Arial"/>
                <w:sz w:val="15"/>
                <w:szCs w:val="15"/>
                <w:b w:val="1"/>
                <w:bCs w:val="1"/>
                <w:color w:val="auto"/>
              </w:rPr>
              <w:t>Compensation</w:t>
            </w:r>
          </w:p>
        </w:tc>
        <w:tc>
          <w:tcPr>
            <w:tcW w:w="1400" w:type="dxa"/>
            <w:vAlign w:val="bottom"/>
          </w:tcPr>
          <w:p>
            <w:pPr>
              <w:jc w:val="right"/>
              <w:ind w:right="171"/>
              <w:spacing w:after="0" w:line="163" w:lineRule="exact"/>
              <w:rPr>
                <w:sz w:val="20"/>
                <w:szCs w:val="20"/>
                <w:color w:val="auto"/>
              </w:rPr>
            </w:pPr>
            <w:r>
              <w:rPr>
                <w:rFonts w:ascii="Arial" w:cs="Arial" w:eastAsia="Arial" w:hAnsi="Arial"/>
                <w:sz w:val="15"/>
                <w:szCs w:val="15"/>
                <w:b w:val="1"/>
                <w:bCs w:val="1"/>
                <w:color w:val="auto"/>
              </w:rPr>
              <w:t>Compensation</w:t>
            </w:r>
          </w:p>
        </w:tc>
        <w:tc>
          <w:tcPr>
            <w:tcW w:w="82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02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color w:val="auto"/>
              </w:rPr>
              <w:t>Position</w:t>
            </w:r>
          </w:p>
        </w:tc>
        <w:tc>
          <w:tcPr>
            <w:tcW w:w="740" w:type="dxa"/>
            <w:vAlign w:val="bottom"/>
            <w:tcBorders>
              <w:bottom w:val="single" w:sz="8" w:color="405788"/>
            </w:tcBorders>
          </w:tcPr>
          <w:p>
            <w:pPr>
              <w:jc w:val="right"/>
              <w:ind w:right="112"/>
              <w:spacing w:after="0"/>
              <w:rPr>
                <w:sz w:val="20"/>
                <w:szCs w:val="20"/>
                <w:color w:val="auto"/>
              </w:rPr>
            </w:pPr>
            <w:r>
              <w:rPr>
                <w:rFonts w:ascii="Arial" w:cs="Arial" w:eastAsia="Arial" w:hAnsi="Arial"/>
                <w:sz w:val="15"/>
                <w:szCs w:val="15"/>
                <w:b w:val="1"/>
                <w:bCs w:val="1"/>
                <w:color w:val="auto"/>
              </w:rPr>
              <w:t>Year</w:t>
            </w:r>
          </w:p>
        </w:tc>
        <w:tc>
          <w:tcPr>
            <w:tcW w:w="820" w:type="dxa"/>
            <w:vAlign w:val="bottom"/>
            <w:tcBorders>
              <w:bottom w:val="single" w:sz="8" w:color="405788"/>
            </w:tcBorders>
          </w:tcPr>
          <w:p>
            <w:pPr>
              <w:jc w:val="right"/>
              <w:ind w:right="112"/>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405788"/>
            </w:tcBorders>
          </w:tcPr>
          <w:p>
            <w:pPr>
              <w:jc w:val="right"/>
              <w:ind w:right="132"/>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405788"/>
            </w:tcBorders>
          </w:tcPr>
          <w:p>
            <w:pPr>
              <w:jc w:val="right"/>
              <w:ind w:right="13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1</w:t>
            </w:r>
          </w:p>
        </w:tc>
        <w:tc>
          <w:tcPr>
            <w:tcW w:w="920" w:type="dxa"/>
            <w:vAlign w:val="bottom"/>
            <w:tcBorders>
              <w:bottom w:val="single" w:sz="8" w:color="405788"/>
            </w:tcBorders>
          </w:tcPr>
          <w:p>
            <w:pPr>
              <w:jc w:val="right"/>
              <w:ind w:right="5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2</w:t>
            </w:r>
          </w:p>
        </w:tc>
        <w:tc>
          <w:tcPr>
            <w:tcW w:w="1320" w:type="dxa"/>
            <w:vAlign w:val="bottom"/>
            <w:tcBorders>
              <w:bottom w:val="single" w:sz="8" w:color="405788"/>
            </w:tcBorders>
          </w:tcPr>
          <w:p>
            <w:pPr>
              <w:jc w:val="right"/>
              <w:ind w:right="5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3</w:t>
            </w:r>
          </w:p>
        </w:tc>
        <w:tc>
          <w:tcPr>
            <w:tcW w:w="1400" w:type="dxa"/>
            <w:vAlign w:val="bottom"/>
            <w:tcBorders>
              <w:bottom w:val="single" w:sz="8" w:color="405788"/>
            </w:tcBorders>
          </w:tcPr>
          <w:p>
            <w:pPr>
              <w:jc w:val="right"/>
              <w:ind w:right="13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4</w:t>
            </w:r>
          </w:p>
        </w:tc>
        <w:tc>
          <w:tcPr>
            <w:tcW w:w="820" w:type="dxa"/>
            <w:vAlign w:val="bottom"/>
            <w:tcBorders>
              <w:bottom w:val="single" w:sz="8" w:color="405788"/>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Arial" w:cs="Arial" w:eastAsia="Arial" w:hAnsi="Arial"/>
                <w:sz w:val="13"/>
                <w:szCs w:val="13"/>
                <w:b w:val="1"/>
                <w:bCs w:val="1"/>
                <w:color w:val="auto"/>
              </w:rPr>
              <w:t>Todd Gleason</w:t>
            </w:r>
          </w:p>
        </w:tc>
        <w:tc>
          <w:tcPr>
            <w:tcW w:w="740" w:type="dxa"/>
            <w:vAlign w:val="bottom"/>
          </w:tcPr>
          <w:p>
            <w:pPr>
              <w:jc w:val="right"/>
              <w:ind w:right="172"/>
              <w:spacing w:after="0"/>
              <w:rPr>
                <w:sz w:val="20"/>
                <w:szCs w:val="20"/>
                <w:color w:val="auto"/>
              </w:rPr>
            </w:pPr>
            <w:r>
              <w:rPr>
                <w:rFonts w:ascii="Arial" w:cs="Arial" w:eastAsia="Arial" w:hAnsi="Arial"/>
                <w:sz w:val="13"/>
                <w:szCs w:val="13"/>
                <w:color w:val="auto"/>
              </w:rPr>
              <w:t>2024</w:t>
            </w:r>
          </w:p>
        </w:tc>
        <w:tc>
          <w:tcPr>
            <w:tcW w:w="820" w:type="dxa"/>
            <w:vAlign w:val="bottom"/>
          </w:tcPr>
          <w:p>
            <w:pPr>
              <w:jc w:val="right"/>
              <w:ind w:right="92"/>
              <w:spacing w:after="0"/>
              <w:rPr>
                <w:sz w:val="20"/>
                <w:szCs w:val="20"/>
                <w:color w:val="auto"/>
              </w:rPr>
            </w:pPr>
            <w:r>
              <w:rPr>
                <w:rFonts w:ascii="Arial" w:cs="Arial" w:eastAsia="Arial" w:hAnsi="Arial"/>
                <w:sz w:val="13"/>
                <w:szCs w:val="13"/>
                <w:color w:val="auto"/>
              </w:rPr>
              <w:t>717,383</w:t>
            </w:r>
          </w:p>
        </w:tc>
        <w:tc>
          <w:tcPr>
            <w:tcW w:w="84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1"/>
              <w:spacing w:after="0"/>
              <w:rPr>
                <w:sz w:val="20"/>
                <w:szCs w:val="20"/>
                <w:color w:val="auto"/>
              </w:rPr>
            </w:pPr>
            <w:r>
              <w:rPr>
                <w:rFonts w:ascii="Arial" w:cs="Arial" w:eastAsia="Arial" w:hAnsi="Arial"/>
                <w:sz w:val="13"/>
                <w:szCs w:val="13"/>
                <w:color w:val="auto"/>
              </w:rPr>
              <w:t>1,627,505</w:t>
            </w:r>
          </w:p>
        </w:tc>
        <w:tc>
          <w:tcPr>
            <w:tcW w:w="920" w:type="dxa"/>
            <w:vAlign w:val="bottom"/>
          </w:tcPr>
          <w:p>
            <w:pPr>
              <w:jc w:val="right"/>
              <w:ind w:right="91"/>
              <w:spacing w:after="0"/>
              <w:rPr>
                <w:sz w:val="20"/>
                <w:szCs w:val="20"/>
                <w:color w:val="auto"/>
              </w:rPr>
            </w:pPr>
            <w:r>
              <w:rPr>
                <w:rFonts w:ascii="Arial" w:cs="Arial" w:eastAsia="Arial" w:hAnsi="Arial"/>
                <w:sz w:val="13"/>
                <w:szCs w:val="13"/>
                <w:color w:val="auto"/>
              </w:rPr>
              <w:t>289,575</w:t>
            </w:r>
          </w:p>
        </w:tc>
        <w:tc>
          <w:tcPr>
            <w:tcW w:w="1320" w:type="dxa"/>
            <w:vAlign w:val="bottom"/>
          </w:tcPr>
          <w:p>
            <w:pPr>
              <w:jc w:val="right"/>
              <w:ind w:right="91"/>
              <w:spacing w:after="0"/>
              <w:rPr>
                <w:sz w:val="20"/>
                <w:szCs w:val="20"/>
                <w:color w:val="auto"/>
              </w:rPr>
            </w:pPr>
            <w:r>
              <w:rPr>
                <w:rFonts w:ascii="Arial" w:cs="Arial" w:eastAsia="Arial" w:hAnsi="Arial"/>
                <w:sz w:val="13"/>
                <w:szCs w:val="13"/>
                <w:color w:val="auto"/>
              </w:rPr>
              <w:t>382,656</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34,651</w:t>
            </w:r>
          </w:p>
        </w:tc>
        <w:tc>
          <w:tcPr>
            <w:tcW w:w="820" w:type="dxa"/>
            <w:vAlign w:val="bottom"/>
          </w:tcPr>
          <w:p>
            <w:pPr>
              <w:jc w:val="right"/>
              <w:spacing w:after="0"/>
              <w:rPr>
                <w:sz w:val="20"/>
                <w:szCs w:val="20"/>
                <w:color w:val="auto"/>
              </w:rPr>
            </w:pPr>
            <w:r>
              <w:rPr>
                <w:rFonts w:ascii="Arial" w:cs="Arial" w:eastAsia="Arial" w:hAnsi="Arial"/>
                <w:sz w:val="13"/>
                <w:szCs w:val="13"/>
                <w:color w:val="auto"/>
              </w:rPr>
              <w:t>3,051,771</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740" w:type="dxa"/>
            <w:vAlign w:val="bottom"/>
          </w:tcPr>
          <w:p>
            <w:pPr>
              <w:jc w:val="right"/>
              <w:ind w:right="17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92"/>
              <w:spacing w:after="0"/>
              <w:rPr>
                <w:sz w:val="20"/>
                <w:szCs w:val="20"/>
                <w:color w:val="auto"/>
              </w:rPr>
            </w:pPr>
            <w:r>
              <w:rPr>
                <w:rFonts w:ascii="Arial" w:cs="Arial" w:eastAsia="Arial" w:hAnsi="Arial"/>
                <w:sz w:val="13"/>
                <w:szCs w:val="13"/>
                <w:color w:val="auto"/>
              </w:rPr>
              <w:t>515,316</w:t>
            </w:r>
          </w:p>
        </w:tc>
        <w:tc>
          <w:tcPr>
            <w:tcW w:w="84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1"/>
              <w:spacing w:after="0"/>
              <w:rPr>
                <w:sz w:val="20"/>
                <w:szCs w:val="20"/>
                <w:color w:val="auto"/>
              </w:rPr>
            </w:pPr>
            <w:r>
              <w:rPr>
                <w:rFonts w:ascii="Arial" w:cs="Arial" w:eastAsia="Arial" w:hAnsi="Arial"/>
                <w:sz w:val="13"/>
                <w:szCs w:val="13"/>
                <w:color w:val="auto"/>
              </w:rPr>
              <w:t>3,981,255</w:t>
            </w:r>
          </w:p>
        </w:tc>
        <w:tc>
          <w:tcPr>
            <w:tcW w:w="920" w:type="dxa"/>
            <w:vAlign w:val="bottom"/>
          </w:tcPr>
          <w:p>
            <w:pPr>
              <w:jc w:val="right"/>
              <w:ind w:right="91"/>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91"/>
              <w:spacing w:after="0"/>
              <w:rPr>
                <w:sz w:val="20"/>
                <w:szCs w:val="20"/>
                <w:color w:val="auto"/>
              </w:rPr>
            </w:pPr>
            <w:r>
              <w:rPr>
                <w:rFonts w:ascii="Arial" w:cs="Arial" w:eastAsia="Arial" w:hAnsi="Arial"/>
                <w:sz w:val="13"/>
                <w:szCs w:val="13"/>
                <w:color w:val="auto"/>
              </w:rPr>
              <w:t>1,050,652</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30,753</w:t>
            </w:r>
          </w:p>
        </w:tc>
        <w:tc>
          <w:tcPr>
            <w:tcW w:w="820" w:type="dxa"/>
            <w:vAlign w:val="bottom"/>
          </w:tcPr>
          <w:p>
            <w:pPr>
              <w:jc w:val="right"/>
              <w:spacing w:after="0"/>
              <w:rPr>
                <w:sz w:val="20"/>
                <w:szCs w:val="20"/>
                <w:color w:val="auto"/>
              </w:rPr>
            </w:pPr>
            <w:r>
              <w:rPr>
                <w:rFonts w:ascii="Arial" w:cs="Arial" w:eastAsia="Arial" w:hAnsi="Arial"/>
                <w:sz w:val="13"/>
                <w:szCs w:val="13"/>
                <w:color w:val="auto"/>
              </w:rPr>
              <w:t>5,577,976</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D9D9D9"/>
            </w:tcBorders>
          </w:tcPr>
          <w:p>
            <w:pPr>
              <w:spacing w:after="0"/>
              <w:rPr>
                <w:sz w:val="15"/>
                <w:szCs w:val="15"/>
                <w:color w:val="auto"/>
              </w:rPr>
            </w:pPr>
          </w:p>
        </w:tc>
        <w:tc>
          <w:tcPr>
            <w:tcW w:w="740" w:type="dxa"/>
            <w:vAlign w:val="bottom"/>
            <w:tcBorders>
              <w:bottom w:val="single" w:sz="8" w:color="D9D9D9"/>
            </w:tcBorders>
          </w:tcPr>
          <w:p>
            <w:pPr>
              <w:jc w:val="right"/>
              <w:ind w:right="172"/>
              <w:spacing w:after="0"/>
              <w:rPr>
                <w:sz w:val="20"/>
                <w:szCs w:val="20"/>
                <w:color w:val="auto"/>
              </w:rPr>
            </w:pPr>
            <w:r>
              <w:rPr>
                <w:rFonts w:ascii="Arial" w:cs="Arial" w:eastAsia="Arial" w:hAnsi="Arial"/>
                <w:sz w:val="13"/>
                <w:szCs w:val="13"/>
                <w:color w:val="auto"/>
              </w:rPr>
              <w:t>2022</w:t>
            </w:r>
          </w:p>
        </w:tc>
        <w:tc>
          <w:tcPr>
            <w:tcW w:w="820" w:type="dxa"/>
            <w:vAlign w:val="bottom"/>
            <w:tcBorders>
              <w:bottom w:val="single" w:sz="8" w:color="D9D9D9"/>
            </w:tcBorders>
          </w:tcPr>
          <w:p>
            <w:pPr>
              <w:jc w:val="right"/>
              <w:ind w:right="92"/>
              <w:spacing w:after="0"/>
              <w:rPr>
                <w:sz w:val="20"/>
                <w:szCs w:val="20"/>
                <w:color w:val="auto"/>
              </w:rPr>
            </w:pPr>
            <w:r>
              <w:rPr>
                <w:rFonts w:ascii="Arial" w:cs="Arial" w:eastAsia="Arial" w:hAnsi="Arial"/>
                <w:sz w:val="13"/>
                <w:szCs w:val="13"/>
                <w:color w:val="auto"/>
              </w:rPr>
              <w:t>475,771</w:t>
            </w:r>
          </w:p>
        </w:tc>
        <w:tc>
          <w:tcPr>
            <w:tcW w:w="840" w:type="dxa"/>
            <w:vAlign w:val="bottom"/>
            <w:tcBorders>
              <w:bottom w:val="single" w:sz="8" w:color="D9D9D9"/>
            </w:tcBorders>
          </w:tcPr>
          <w:p>
            <w:pPr>
              <w:jc w:val="right"/>
              <w:ind w:right="132"/>
              <w:spacing w:after="0"/>
              <w:rPr>
                <w:sz w:val="20"/>
                <w:szCs w:val="20"/>
                <w:color w:val="auto"/>
              </w:rPr>
            </w:pPr>
            <w:r>
              <w:rPr>
                <w:rFonts w:ascii="Arial" w:cs="Arial" w:eastAsia="Arial" w:hAnsi="Arial"/>
                <w:sz w:val="13"/>
                <w:szCs w:val="13"/>
                <w:color w:val="auto"/>
              </w:rPr>
              <w:t>25,990</w:t>
            </w:r>
          </w:p>
        </w:tc>
        <w:tc>
          <w:tcPr>
            <w:tcW w:w="1040" w:type="dxa"/>
            <w:vAlign w:val="bottom"/>
            <w:tcBorders>
              <w:bottom w:val="single" w:sz="8" w:color="D9D9D9"/>
            </w:tcBorders>
          </w:tcPr>
          <w:p>
            <w:pPr>
              <w:jc w:val="right"/>
              <w:ind w:right="171"/>
              <w:spacing w:after="0"/>
              <w:rPr>
                <w:sz w:val="20"/>
                <w:szCs w:val="20"/>
                <w:color w:val="auto"/>
              </w:rPr>
            </w:pPr>
            <w:r>
              <w:rPr>
                <w:rFonts w:ascii="Arial" w:cs="Arial" w:eastAsia="Arial" w:hAnsi="Arial"/>
                <w:sz w:val="13"/>
                <w:szCs w:val="13"/>
                <w:color w:val="auto"/>
              </w:rPr>
              <w:t>1,059,469</w:t>
            </w:r>
          </w:p>
        </w:tc>
        <w:tc>
          <w:tcPr>
            <w:tcW w:w="920" w:type="dxa"/>
            <w:vAlign w:val="bottom"/>
            <w:tcBorders>
              <w:bottom w:val="single" w:sz="8" w:color="D9D9D9"/>
            </w:tcBorders>
          </w:tcPr>
          <w:p>
            <w:pPr>
              <w:jc w:val="right"/>
              <w:ind w:right="91"/>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D9D9D9"/>
            </w:tcBorders>
          </w:tcPr>
          <w:p>
            <w:pPr>
              <w:jc w:val="right"/>
              <w:ind w:right="91"/>
              <w:spacing w:after="0"/>
              <w:rPr>
                <w:sz w:val="20"/>
                <w:szCs w:val="20"/>
                <w:color w:val="auto"/>
              </w:rPr>
            </w:pPr>
            <w:r>
              <w:rPr>
                <w:rFonts w:ascii="Arial" w:cs="Arial" w:eastAsia="Arial" w:hAnsi="Arial"/>
                <w:sz w:val="13"/>
                <w:szCs w:val="13"/>
                <w:color w:val="auto"/>
              </w:rPr>
              <w:t>937,910</w:t>
            </w:r>
          </w:p>
        </w:tc>
        <w:tc>
          <w:tcPr>
            <w:tcW w:w="1400" w:type="dxa"/>
            <w:vAlign w:val="bottom"/>
            <w:tcBorders>
              <w:bottom w:val="single" w:sz="8" w:color="D9D9D9"/>
            </w:tcBorders>
          </w:tcPr>
          <w:p>
            <w:pPr>
              <w:jc w:val="right"/>
              <w:ind w:right="171"/>
              <w:spacing w:after="0"/>
              <w:rPr>
                <w:sz w:val="20"/>
                <w:szCs w:val="20"/>
                <w:color w:val="auto"/>
              </w:rPr>
            </w:pPr>
            <w:r>
              <w:rPr>
                <w:rFonts w:ascii="Arial" w:cs="Arial" w:eastAsia="Arial" w:hAnsi="Arial"/>
                <w:sz w:val="13"/>
                <w:szCs w:val="13"/>
                <w:color w:val="auto"/>
              </w:rPr>
              <w:t>35,054</w:t>
            </w: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2,534,194</w:t>
            </w: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3"/>
                <w:szCs w:val="13"/>
                <w:b w:val="1"/>
                <w:bCs w:val="1"/>
                <w:color w:val="auto"/>
              </w:rPr>
              <w:t>Peter Johansson</w:t>
            </w:r>
          </w:p>
        </w:tc>
        <w:tc>
          <w:tcPr>
            <w:tcW w:w="740" w:type="dxa"/>
            <w:vAlign w:val="bottom"/>
          </w:tcPr>
          <w:p>
            <w:pPr>
              <w:jc w:val="right"/>
              <w:ind w:right="172"/>
              <w:spacing w:after="0"/>
              <w:rPr>
                <w:sz w:val="20"/>
                <w:szCs w:val="20"/>
                <w:color w:val="auto"/>
              </w:rPr>
            </w:pPr>
            <w:r>
              <w:rPr>
                <w:rFonts w:ascii="Arial" w:cs="Arial" w:eastAsia="Arial" w:hAnsi="Arial"/>
                <w:sz w:val="13"/>
                <w:szCs w:val="13"/>
                <w:color w:val="auto"/>
              </w:rPr>
              <w:t>2024</w:t>
            </w:r>
          </w:p>
        </w:tc>
        <w:tc>
          <w:tcPr>
            <w:tcW w:w="820" w:type="dxa"/>
            <w:vAlign w:val="bottom"/>
          </w:tcPr>
          <w:p>
            <w:pPr>
              <w:jc w:val="right"/>
              <w:ind w:right="92"/>
              <w:spacing w:after="0"/>
              <w:rPr>
                <w:sz w:val="20"/>
                <w:szCs w:val="20"/>
                <w:color w:val="auto"/>
              </w:rPr>
            </w:pPr>
            <w:r>
              <w:rPr>
                <w:rFonts w:ascii="Arial" w:cs="Arial" w:eastAsia="Arial" w:hAnsi="Arial"/>
                <w:sz w:val="13"/>
                <w:szCs w:val="13"/>
                <w:color w:val="auto"/>
              </w:rPr>
              <w:t>437,019</w:t>
            </w:r>
          </w:p>
        </w:tc>
        <w:tc>
          <w:tcPr>
            <w:tcW w:w="84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1"/>
              <w:spacing w:after="0"/>
              <w:rPr>
                <w:sz w:val="20"/>
                <w:szCs w:val="20"/>
                <w:color w:val="auto"/>
              </w:rPr>
            </w:pPr>
            <w:r>
              <w:rPr>
                <w:rFonts w:ascii="Arial" w:cs="Arial" w:eastAsia="Arial" w:hAnsi="Arial"/>
                <w:sz w:val="13"/>
                <w:szCs w:val="13"/>
                <w:color w:val="auto"/>
              </w:rPr>
              <w:t>562,507</w:t>
            </w:r>
          </w:p>
        </w:tc>
        <w:tc>
          <w:tcPr>
            <w:tcW w:w="920" w:type="dxa"/>
            <w:vAlign w:val="bottom"/>
          </w:tcPr>
          <w:p>
            <w:pPr>
              <w:jc w:val="right"/>
              <w:ind w:right="91"/>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91"/>
              <w:spacing w:after="0"/>
              <w:rPr>
                <w:sz w:val="20"/>
                <w:szCs w:val="20"/>
                <w:color w:val="auto"/>
              </w:rPr>
            </w:pPr>
            <w:r>
              <w:rPr>
                <w:rFonts w:ascii="Arial" w:cs="Arial" w:eastAsia="Arial" w:hAnsi="Arial"/>
                <w:sz w:val="13"/>
                <w:szCs w:val="13"/>
                <w:color w:val="auto"/>
              </w:rPr>
              <w:t>133,313</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40,733</w:t>
            </w:r>
          </w:p>
        </w:tc>
        <w:tc>
          <w:tcPr>
            <w:tcW w:w="820" w:type="dxa"/>
            <w:vAlign w:val="bottom"/>
          </w:tcPr>
          <w:p>
            <w:pPr>
              <w:jc w:val="right"/>
              <w:spacing w:after="0"/>
              <w:rPr>
                <w:sz w:val="20"/>
                <w:szCs w:val="20"/>
                <w:color w:val="auto"/>
              </w:rPr>
            </w:pPr>
            <w:r>
              <w:rPr>
                <w:rFonts w:ascii="Arial" w:cs="Arial" w:eastAsia="Arial" w:hAnsi="Arial"/>
                <w:sz w:val="13"/>
                <w:szCs w:val="13"/>
                <w:color w:val="auto"/>
              </w:rPr>
              <w:t>1,173,572</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20"/>
                <w:szCs w:val="20"/>
                <w:color w:val="auto"/>
              </w:rPr>
            </w:pPr>
            <w:r>
              <w:rPr>
                <w:rFonts w:ascii="Arial" w:cs="Arial" w:eastAsia="Arial" w:hAnsi="Arial"/>
                <w:sz w:val="13"/>
                <w:szCs w:val="13"/>
                <w:color w:val="auto"/>
              </w:rPr>
              <w:t>Chief Financial and Strategy</w:t>
            </w:r>
          </w:p>
        </w:tc>
        <w:tc>
          <w:tcPr>
            <w:tcW w:w="740" w:type="dxa"/>
            <w:vAlign w:val="bottom"/>
          </w:tcPr>
          <w:p>
            <w:pPr>
              <w:jc w:val="right"/>
              <w:ind w:right="17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92"/>
              <w:spacing w:after="0"/>
              <w:rPr>
                <w:sz w:val="20"/>
                <w:szCs w:val="20"/>
                <w:color w:val="auto"/>
              </w:rPr>
            </w:pPr>
            <w:r>
              <w:rPr>
                <w:rFonts w:ascii="Arial" w:cs="Arial" w:eastAsia="Arial" w:hAnsi="Arial"/>
                <w:sz w:val="13"/>
                <w:szCs w:val="13"/>
                <w:color w:val="auto"/>
              </w:rPr>
              <w:t>389,423</w:t>
            </w:r>
          </w:p>
        </w:tc>
        <w:tc>
          <w:tcPr>
            <w:tcW w:w="84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1"/>
              <w:spacing w:after="0"/>
              <w:rPr>
                <w:sz w:val="20"/>
                <w:szCs w:val="20"/>
                <w:color w:val="auto"/>
              </w:rPr>
            </w:pPr>
            <w:r>
              <w:rPr>
                <w:rFonts w:ascii="Arial" w:cs="Arial" w:eastAsia="Arial" w:hAnsi="Arial"/>
                <w:sz w:val="13"/>
                <w:szCs w:val="13"/>
                <w:color w:val="auto"/>
              </w:rPr>
              <w:t>1,054,536</w:t>
            </w:r>
          </w:p>
        </w:tc>
        <w:tc>
          <w:tcPr>
            <w:tcW w:w="920" w:type="dxa"/>
            <w:vAlign w:val="bottom"/>
          </w:tcPr>
          <w:p>
            <w:pPr>
              <w:jc w:val="right"/>
              <w:ind w:right="91"/>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91"/>
              <w:spacing w:after="0"/>
              <w:rPr>
                <w:sz w:val="20"/>
                <w:szCs w:val="20"/>
                <w:color w:val="auto"/>
              </w:rPr>
            </w:pPr>
            <w:r>
              <w:rPr>
                <w:rFonts w:ascii="Arial" w:cs="Arial" w:eastAsia="Arial" w:hAnsi="Arial"/>
                <w:sz w:val="13"/>
                <w:szCs w:val="13"/>
                <w:color w:val="auto"/>
              </w:rPr>
              <w:t>472,500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38,654</w:t>
            </w:r>
          </w:p>
        </w:tc>
        <w:tc>
          <w:tcPr>
            <w:tcW w:w="820" w:type="dxa"/>
            <w:vAlign w:val="bottom"/>
          </w:tcPr>
          <w:p>
            <w:pPr>
              <w:jc w:val="right"/>
              <w:spacing w:after="0"/>
              <w:rPr>
                <w:sz w:val="20"/>
                <w:szCs w:val="20"/>
                <w:color w:val="auto"/>
              </w:rPr>
            </w:pPr>
            <w:r>
              <w:rPr>
                <w:rFonts w:ascii="Arial" w:cs="Arial" w:eastAsia="Arial" w:hAnsi="Arial"/>
                <w:sz w:val="13"/>
                <w:szCs w:val="13"/>
                <w:color w:val="auto"/>
              </w:rPr>
              <w:t>1,955,114</w:t>
            </w:r>
          </w:p>
        </w:tc>
        <w:tc>
          <w:tcPr>
            <w:tcW w:w="0" w:type="dxa"/>
            <w:vAlign w:val="bottom"/>
          </w:tcPr>
          <w:p>
            <w:pPr>
              <w:spacing w:after="0"/>
              <w:rPr>
                <w:sz w:val="1"/>
                <w:szCs w:val="1"/>
                <w:color w:val="auto"/>
              </w:rPr>
            </w:pPr>
          </w:p>
        </w:tc>
      </w:tr>
      <w:tr>
        <w:trPr>
          <w:trHeight w:val="188"/>
        </w:trPr>
        <w:tc>
          <w:tcPr>
            <w:tcW w:w="202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Officer</w:t>
            </w:r>
          </w:p>
        </w:tc>
        <w:tc>
          <w:tcPr>
            <w:tcW w:w="740" w:type="dxa"/>
            <w:vAlign w:val="bottom"/>
            <w:tcBorders>
              <w:bottom w:val="single" w:sz="8" w:color="D9D9D9"/>
            </w:tcBorders>
          </w:tcPr>
          <w:p>
            <w:pPr>
              <w:jc w:val="right"/>
              <w:ind w:right="172"/>
              <w:spacing w:after="0"/>
              <w:rPr>
                <w:sz w:val="20"/>
                <w:szCs w:val="20"/>
                <w:color w:val="auto"/>
              </w:rPr>
            </w:pPr>
            <w:r>
              <w:rPr>
                <w:rFonts w:ascii="Arial" w:cs="Arial" w:eastAsia="Arial" w:hAnsi="Arial"/>
                <w:sz w:val="13"/>
                <w:szCs w:val="13"/>
                <w:color w:val="auto"/>
              </w:rPr>
              <w:t>2022</w:t>
            </w:r>
          </w:p>
        </w:tc>
        <w:tc>
          <w:tcPr>
            <w:tcW w:w="820" w:type="dxa"/>
            <w:vAlign w:val="bottom"/>
            <w:tcBorders>
              <w:bottom w:val="single" w:sz="8" w:color="D9D9D9"/>
            </w:tcBorders>
          </w:tcPr>
          <w:p>
            <w:pPr>
              <w:jc w:val="right"/>
              <w:ind w:right="92"/>
              <w:spacing w:after="0"/>
              <w:rPr>
                <w:sz w:val="20"/>
                <w:szCs w:val="20"/>
                <w:color w:val="auto"/>
              </w:rPr>
            </w:pPr>
            <w:r>
              <w:rPr>
                <w:rFonts w:ascii="Arial" w:cs="Arial" w:eastAsia="Arial" w:hAnsi="Arial"/>
                <w:sz w:val="13"/>
                <w:szCs w:val="13"/>
                <w:color w:val="auto"/>
              </w:rPr>
              <w:t>151,442</w:t>
            </w:r>
          </w:p>
        </w:tc>
        <w:tc>
          <w:tcPr>
            <w:tcW w:w="840" w:type="dxa"/>
            <w:vAlign w:val="bottom"/>
            <w:tcBorders>
              <w:bottom w:val="single" w:sz="8" w:color="D9D9D9"/>
            </w:tcBorders>
          </w:tcPr>
          <w:p>
            <w:pPr>
              <w:jc w:val="right"/>
              <w:ind w:right="132"/>
              <w:spacing w:after="0"/>
              <w:rPr>
                <w:sz w:val="20"/>
                <w:szCs w:val="20"/>
                <w:color w:val="auto"/>
              </w:rPr>
            </w:pPr>
            <w:r>
              <w:rPr>
                <w:rFonts w:ascii="Arial" w:cs="Arial" w:eastAsia="Arial" w:hAnsi="Arial"/>
                <w:sz w:val="13"/>
                <w:szCs w:val="13"/>
                <w:color w:val="auto"/>
              </w:rPr>
              <w:t>155,086</w:t>
            </w:r>
          </w:p>
        </w:tc>
        <w:tc>
          <w:tcPr>
            <w:tcW w:w="1040" w:type="dxa"/>
            <w:vAlign w:val="bottom"/>
            <w:tcBorders>
              <w:bottom w:val="single" w:sz="8" w:color="D9D9D9"/>
            </w:tcBorders>
          </w:tcPr>
          <w:p>
            <w:pPr>
              <w:jc w:val="right"/>
              <w:ind w:right="171"/>
              <w:spacing w:after="0"/>
              <w:rPr>
                <w:sz w:val="20"/>
                <w:szCs w:val="20"/>
                <w:color w:val="auto"/>
              </w:rPr>
            </w:pPr>
            <w:r>
              <w:rPr>
                <w:rFonts w:ascii="Arial" w:cs="Arial" w:eastAsia="Arial" w:hAnsi="Arial"/>
                <w:sz w:val="13"/>
                <w:szCs w:val="13"/>
                <w:color w:val="auto"/>
              </w:rPr>
              <w:t>450,015</w:t>
            </w:r>
          </w:p>
        </w:tc>
        <w:tc>
          <w:tcPr>
            <w:tcW w:w="920" w:type="dxa"/>
            <w:vAlign w:val="bottom"/>
            <w:tcBorders>
              <w:bottom w:val="single" w:sz="8" w:color="D9D9D9"/>
            </w:tcBorders>
          </w:tcPr>
          <w:p>
            <w:pPr>
              <w:jc w:val="right"/>
              <w:ind w:right="91"/>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D9D9D9"/>
            </w:tcBorders>
          </w:tcPr>
          <w:p>
            <w:pPr>
              <w:jc w:val="right"/>
              <w:ind w:right="91"/>
              <w:spacing w:after="0"/>
              <w:rPr>
                <w:sz w:val="20"/>
                <w:szCs w:val="20"/>
                <w:color w:val="auto"/>
              </w:rPr>
            </w:pPr>
            <w:r>
              <w:rPr>
                <w:rFonts w:ascii="Arial" w:cs="Arial" w:eastAsia="Arial" w:hAnsi="Arial"/>
                <w:sz w:val="13"/>
                <w:szCs w:val="13"/>
                <w:color w:val="auto"/>
              </w:rPr>
              <w:t>183,544</w:t>
            </w:r>
          </w:p>
        </w:tc>
        <w:tc>
          <w:tcPr>
            <w:tcW w:w="1400" w:type="dxa"/>
            <w:vAlign w:val="bottom"/>
            <w:tcBorders>
              <w:bottom w:val="single" w:sz="8" w:color="D9D9D9"/>
            </w:tcBorders>
          </w:tcPr>
          <w:p>
            <w:pPr>
              <w:jc w:val="right"/>
              <w:ind w:right="171"/>
              <w:spacing w:after="0"/>
              <w:rPr>
                <w:sz w:val="20"/>
                <w:szCs w:val="20"/>
                <w:color w:val="auto"/>
              </w:rPr>
            </w:pPr>
            <w:r>
              <w:rPr>
                <w:rFonts w:ascii="Arial" w:cs="Arial" w:eastAsia="Arial" w:hAnsi="Arial"/>
                <w:sz w:val="13"/>
                <w:szCs w:val="13"/>
                <w:color w:val="auto"/>
              </w:rPr>
              <w:t>13,308</w:t>
            </w: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953,395</w:t>
            </w: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3"/>
                <w:szCs w:val="13"/>
                <w:b w:val="1"/>
                <w:bCs w:val="1"/>
                <w:color w:val="auto"/>
              </w:rPr>
              <w:t>Lynn Watkins-Asiyanbi</w:t>
            </w:r>
          </w:p>
        </w:tc>
        <w:tc>
          <w:tcPr>
            <w:tcW w:w="740" w:type="dxa"/>
            <w:vAlign w:val="bottom"/>
          </w:tcPr>
          <w:p>
            <w:pPr>
              <w:jc w:val="right"/>
              <w:ind w:right="172"/>
              <w:spacing w:after="0"/>
              <w:rPr>
                <w:sz w:val="20"/>
                <w:szCs w:val="20"/>
                <w:color w:val="auto"/>
              </w:rPr>
            </w:pPr>
            <w:r>
              <w:rPr>
                <w:rFonts w:ascii="Arial" w:cs="Arial" w:eastAsia="Arial" w:hAnsi="Arial"/>
                <w:sz w:val="13"/>
                <w:szCs w:val="13"/>
                <w:color w:val="auto"/>
              </w:rPr>
              <w:t>2024</w:t>
            </w:r>
          </w:p>
        </w:tc>
        <w:tc>
          <w:tcPr>
            <w:tcW w:w="820" w:type="dxa"/>
            <w:vAlign w:val="bottom"/>
          </w:tcPr>
          <w:p>
            <w:pPr>
              <w:jc w:val="right"/>
              <w:ind w:right="92"/>
              <w:spacing w:after="0"/>
              <w:rPr>
                <w:sz w:val="20"/>
                <w:szCs w:val="20"/>
                <w:color w:val="auto"/>
              </w:rPr>
            </w:pPr>
            <w:r>
              <w:rPr>
                <w:rFonts w:ascii="Arial" w:cs="Arial" w:eastAsia="Arial" w:hAnsi="Arial"/>
                <w:sz w:val="13"/>
                <w:szCs w:val="13"/>
                <w:color w:val="auto"/>
              </w:rPr>
              <w:t>392,500</w:t>
            </w:r>
          </w:p>
        </w:tc>
        <w:tc>
          <w:tcPr>
            <w:tcW w:w="84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1"/>
              <w:spacing w:after="0"/>
              <w:rPr>
                <w:sz w:val="20"/>
                <w:szCs w:val="20"/>
                <w:color w:val="auto"/>
              </w:rPr>
            </w:pPr>
            <w:r>
              <w:rPr>
                <w:rFonts w:ascii="Arial" w:cs="Arial" w:eastAsia="Arial" w:hAnsi="Arial"/>
                <w:sz w:val="13"/>
                <w:szCs w:val="13"/>
                <w:color w:val="auto"/>
              </w:rPr>
              <w:t>500,039</w:t>
            </w:r>
          </w:p>
        </w:tc>
        <w:tc>
          <w:tcPr>
            <w:tcW w:w="920" w:type="dxa"/>
            <w:vAlign w:val="bottom"/>
          </w:tcPr>
          <w:p>
            <w:pPr>
              <w:jc w:val="right"/>
              <w:ind w:right="91"/>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91"/>
              <w:spacing w:after="0"/>
              <w:rPr>
                <w:sz w:val="20"/>
                <w:szCs w:val="20"/>
                <w:color w:val="auto"/>
              </w:rPr>
            </w:pPr>
            <w:r>
              <w:rPr>
                <w:rFonts w:ascii="Arial" w:cs="Arial" w:eastAsia="Arial" w:hAnsi="Arial"/>
                <w:sz w:val="13"/>
                <w:szCs w:val="13"/>
                <w:color w:val="auto"/>
              </w:rPr>
              <w:t>118,500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23,060</w:t>
            </w:r>
          </w:p>
        </w:tc>
        <w:tc>
          <w:tcPr>
            <w:tcW w:w="820" w:type="dxa"/>
            <w:vAlign w:val="bottom"/>
          </w:tcPr>
          <w:p>
            <w:pPr>
              <w:jc w:val="right"/>
              <w:spacing w:after="0"/>
              <w:rPr>
                <w:sz w:val="20"/>
                <w:szCs w:val="20"/>
                <w:color w:val="auto"/>
              </w:rPr>
            </w:pPr>
            <w:r>
              <w:rPr>
                <w:rFonts w:ascii="Arial" w:cs="Arial" w:eastAsia="Arial" w:hAnsi="Arial"/>
                <w:sz w:val="13"/>
                <w:szCs w:val="13"/>
                <w:color w:val="auto"/>
              </w:rPr>
              <w:t>1,034,100</w:t>
            </w:r>
          </w:p>
        </w:tc>
        <w:tc>
          <w:tcPr>
            <w:tcW w:w="0" w:type="dxa"/>
            <w:vAlign w:val="bottom"/>
          </w:tcPr>
          <w:p>
            <w:pPr>
              <w:spacing w:after="0"/>
              <w:rPr>
                <w:sz w:val="1"/>
                <w:szCs w:val="1"/>
                <w:color w:val="auto"/>
              </w:rPr>
            </w:pPr>
          </w:p>
        </w:tc>
      </w:tr>
      <w:tr>
        <w:trPr>
          <w:trHeight w:val="150"/>
        </w:trPr>
        <w:tc>
          <w:tcPr>
            <w:tcW w:w="2020" w:type="dxa"/>
            <w:vAlign w:val="bottom"/>
          </w:tcPr>
          <w:p>
            <w:pPr>
              <w:spacing w:after="0"/>
              <w:rPr>
                <w:sz w:val="20"/>
                <w:szCs w:val="20"/>
                <w:color w:val="auto"/>
              </w:rPr>
            </w:pPr>
            <w:r>
              <w:rPr>
                <w:rFonts w:ascii="Arial" w:cs="Arial" w:eastAsia="Arial" w:hAnsi="Arial"/>
                <w:sz w:val="13"/>
                <w:szCs w:val="13"/>
                <w:color w:val="auto"/>
              </w:rPr>
              <w:t>Chief Administrative and Legal</w:t>
            </w:r>
          </w:p>
        </w:tc>
        <w:tc>
          <w:tcPr>
            <w:tcW w:w="740" w:type="dxa"/>
            <w:vAlign w:val="bottom"/>
            <w:vMerge w:val="restart"/>
          </w:tcPr>
          <w:p>
            <w:pPr>
              <w:jc w:val="right"/>
              <w:ind w:right="172"/>
              <w:spacing w:after="0"/>
              <w:rPr>
                <w:sz w:val="20"/>
                <w:szCs w:val="20"/>
                <w:color w:val="auto"/>
              </w:rPr>
            </w:pPr>
            <w:r>
              <w:rPr>
                <w:rFonts w:ascii="Arial" w:cs="Arial" w:eastAsia="Arial" w:hAnsi="Arial"/>
                <w:sz w:val="13"/>
                <w:szCs w:val="13"/>
                <w:color w:val="auto"/>
              </w:rPr>
              <w:t>2023</w:t>
            </w:r>
          </w:p>
        </w:tc>
        <w:tc>
          <w:tcPr>
            <w:tcW w:w="820" w:type="dxa"/>
            <w:vAlign w:val="bottom"/>
            <w:vMerge w:val="restart"/>
          </w:tcPr>
          <w:p>
            <w:pPr>
              <w:jc w:val="right"/>
              <w:ind w:right="92"/>
              <w:spacing w:after="0"/>
              <w:rPr>
                <w:sz w:val="20"/>
                <w:szCs w:val="20"/>
                <w:color w:val="auto"/>
              </w:rPr>
            </w:pPr>
            <w:r>
              <w:rPr>
                <w:rFonts w:ascii="Arial" w:cs="Arial" w:eastAsia="Arial" w:hAnsi="Arial"/>
                <w:sz w:val="13"/>
                <w:szCs w:val="13"/>
                <w:color w:val="auto"/>
              </w:rPr>
              <w:t>363,462</w:t>
            </w:r>
          </w:p>
        </w:tc>
        <w:tc>
          <w:tcPr>
            <w:tcW w:w="840" w:type="dxa"/>
            <w:vAlign w:val="bottom"/>
            <w:vMerge w:val="restart"/>
          </w:tcPr>
          <w:p>
            <w:pPr>
              <w:jc w:val="right"/>
              <w:ind w:right="132"/>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71"/>
              <w:spacing w:after="0"/>
              <w:rPr>
                <w:sz w:val="20"/>
                <w:szCs w:val="20"/>
                <w:color w:val="auto"/>
              </w:rPr>
            </w:pPr>
            <w:r>
              <w:rPr>
                <w:rFonts w:ascii="Arial" w:cs="Arial" w:eastAsia="Arial" w:hAnsi="Arial"/>
                <w:sz w:val="13"/>
                <w:szCs w:val="13"/>
                <w:color w:val="auto"/>
              </w:rPr>
              <w:t>922,724</w:t>
            </w:r>
          </w:p>
        </w:tc>
        <w:tc>
          <w:tcPr>
            <w:tcW w:w="920" w:type="dxa"/>
            <w:vAlign w:val="bottom"/>
            <w:vMerge w:val="restart"/>
          </w:tcPr>
          <w:p>
            <w:pPr>
              <w:jc w:val="right"/>
              <w:ind w:right="91"/>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91"/>
              <w:spacing w:after="0"/>
              <w:rPr>
                <w:sz w:val="20"/>
                <w:szCs w:val="20"/>
                <w:color w:val="auto"/>
              </w:rPr>
            </w:pPr>
            <w:r>
              <w:rPr>
                <w:rFonts w:ascii="Arial" w:cs="Arial" w:eastAsia="Arial" w:hAnsi="Arial"/>
                <w:sz w:val="13"/>
                <w:szCs w:val="13"/>
                <w:color w:val="auto"/>
              </w:rPr>
              <w:t>367,500</w:t>
            </w:r>
          </w:p>
        </w:tc>
        <w:tc>
          <w:tcPr>
            <w:tcW w:w="1400" w:type="dxa"/>
            <w:vAlign w:val="bottom"/>
            <w:vMerge w:val="restart"/>
          </w:tcPr>
          <w:p>
            <w:pPr>
              <w:jc w:val="right"/>
              <w:ind w:right="171"/>
              <w:spacing w:after="0"/>
              <w:rPr>
                <w:sz w:val="20"/>
                <w:szCs w:val="20"/>
                <w:color w:val="auto"/>
              </w:rPr>
            </w:pPr>
            <w:r>
              <w:rPr>
                <w:rFonts w:ascii="Arial" w:cs="Arial" w:eastAsia="Arial" w:hAnsi="Arial"/>
                <w:sz w:val="13"/>
                <w:szCs w:val="13"/>
                <w:color w:val="auto"/>
              </w:rPr>
              <w:t>15,894</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1,669,580</w:t>
            </w:r>
          </w:p>
        </w:tc>
        <w:tc>
          <w:tcPr>
            <w:tcW w:w="0" w:type="dxa"/>
            <w:vAlign w:val="bottom"/>
          </w:tcPr>
          <w:p>
            <w:pPr>
              <w:spacing w:after="0"/>
              <w:rPr>
                <w:sz w:val="1"/>
                <w:szCs w:val="1"/>
                <w:color w:val="auto"/>
              </w:rPr>
            </w:pPr>
          </w:p>
        </w:tc>
      </w:tr>
      <w:tr>
        <w:trPr>
          <w:trHeight w:val="100"/>
        </w:trPr>
        <w:tc>
          <w:tcPr>
            <w:tcW w:w="2020" w:type="dxa"/>
            <w:vAlign w:val="bottom"/>
            <w:vMerge w:val="restart"/>
          </w:tcPr>
          <w:p>
            <w:pPr>
              <w:spacing w:after="0"/>
              <w:rPr>
                <w:sz w:val="20"/>
                <w:szCs w:val="20"/>
                <w:color w:val="auto"/>
              </w:rPr>
            </w:pPr>
            <w:r>
              <w:rPr>
                <w:rFonts w:ascii="Arial" w:cs="Arial" w:eastAsia="Arial" w:hAnsi="Arial"/>
                <w:sz w:val="13"/>
                <w:szCs w:val="13"/>
                <w:color w:val="auto"/>
              </w:rPr>
              <w:t>Officer</w:t>
            </w: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20" w:type="dxa"/>
            <w:vAlign w:val="bottom"/>
            <w:tcBorders>
              <w:bottom w:val="single" w:sz="8" w:color="405788"/>
            </w:tcBorders>
            <w:vMerge w:val="continue"/>
          </w:tcPr>
          <w:p>
            <w:pPr>
              <w:spacing w:after="0"/>
              <w:rPr>
                <w:sz w:val="5"/>
                <w:szCs w:val="5"/>
                <w:color w:val="auto"/>
              </w:rPr>
            </w:pPr>
          </w:p>
        </w:tc>
        <w:tc>
          <w:tcPr>
            <w:tcW w:w="740" w:type="dxa"/>
            <w:vAlign w:val="bottom"/>
            <w:tcBorders>
              <w:bottom w:val="single" w:sz="8" w:color="405788"/>
            </w:tcBorders>
          </w:tcPr>
          <w:p>
            <w:pPr>
              <w:spacing w:after="0"/>
              <w:rPr>
                <w:sz w:val="5"/>
                <w:szCs w:val="5"/>
                <w:color w:val="auto"/>
              </w:rPr>
            </w:pPr>
          </w:p>
        </w:tc>
        <w:tc>
          <w:tcPr>
            <w:tcW w:w="820" w:type="dxa"/>
            <w:vAlign w:val="bottom"/>
            <w:tcBorders>
              <w:bottom w:val="single" w:sz="8" w:color="405788"/>
            </w:tcBorders>
          </w:tcPr>
          <w:p>
            <w:pPr>
              <w:spacing w:after="0"/>
              <w:rPr>
                <w:sz w:val="5"/>
                <w:szCs w:val="5"/>
                <w:color w:val="auto"/>
              </w:rPr>
            </w:pPr>
          </w:p>
        </w:tc>
        <w:tc>
          <w:tcPr>
            <w:tcW w:w="840" w:type="dxa"/>
            <w:vAlign w:val="bottom"/>
            <w:tcBorders>
              <w:bottom w:val="single" w:sz="8" w:color="405788"/>
            </w:tcBorders>
          </w:tcPr>
          <w:p>
            <w:pPr>
              <w:spacing w:after="0"/>
              <w:rPr>
                <w:sz w:val="5"/>
                <w:szCs w:val="5"/>
                <w:color w:val="auto"/>
              </w:rPr>
            </w:pPr>
          </w:p>
        </w:tc>
        <w:tc>
          <w:tcPr>
            <w:tcW w:w="1040" w:type="dxa"/>
            <w:vAlign w:val="bottom"/>
            <w:tcBorders>
              <w:bottom w:val="single" w:sz="8" w:color="405788"/>
            </w:tcBorders>
          </w:tcPr>
          <w:p>
            <w:pPr>
              <w:spacing w:after="0"/>
              <w:rPr>
                <w:sz w:val="5"/>
                <w:szCs w:val="5"/>
                <w:color w:val="auto"/>
              </w:rPr>
            </w:pPr>
          </w:p>
        </w:tc>
        <w:tc>
          <w:tcPr>
            <w:tcW w:w="920" w:type="dxa"/>
            <w:vAlign w:val="bottom"/>
            <w:tcBorders>
              <w:bottom w:val="single" w:sz="8" w:color="405788"/>
            </w:tcBorders>
          </w:tcPr>
          <w:p>
            <w:pPr>
              <w:spacing w:after="0"/>
              <w:rPr>
                <w:sz w:val="5"/>
                <w:szCs w:val="5"/>
                <w:color w:val="auto"/>
              </w:rPr>
            </w:pPr>
          </w:p>
        </w:tc>
        <w:tc>
          <w:tcPr>
            <w:tcW w:w="1320" w:type="dxa"/>
            <w:vAlign w:val="bottom"/>
            <w:tcBorders>
              <w:bottom w:val="single" w:sz="8" w:color="405788"/>
            </w:tcBorders>
          </w:tcPr>
          <w:p>
            <w:pPr>
              <w:spacing w:after="0"/>
              <w:rPr>
                <w:sz w:val="5"/>
                <w:szCs w:val="5"/>
                <w:color w:val="auto"/>
              </w:rPr>
            </w:pPr>
          </w:p>
        </w:tc>
        <w:tc>
          <w:tcPr>
            <w:tcW w:w="1400" w:type="dxa"/>
            <w:vAlign w:val="bottom"/>
            <w:tcBorders>
              <w:bottom w:val="single" w:sz="8" w:color="405788"/>
            </w:tcBorders>
          </w:tcPr>
          <w:p>
            <w:pPr>
              <w:spacing w:after="0"/>
              <w:rPr>
                <w:sz w:val="5"/>
                <w:szCs w:val="5"/>
                <w:color w:val="auto"/>
              </w:rPr>
            </w:pPr>
          </w:p>
        </w:tc>
        <w:tc>
          <w:tcPr>
            <w:tcW w:w="820" w:type="dxa"/>
            <w:vAlign w:val="bottom"/>
            <w:tcBorders>
              <w:bottom w:val="single" w:sz="8" w:color="405788"/>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right="40" w:hanging="299"/>
        <w:spacing w:after="0" w:line="252" w:lineRule="auto"/>
        <w:tabs>
          <w:tab w:leader="none" w:pos="3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This column reflects, for 2024, the aggregate grant date fair value of all stock awards granted during 2024 calculated in accordance with Financial Accounting Standards Board Accounting Standards Codification Topic 718 (“FASB ASC Topic 718”), disregarding estimated forfeitures. There is no assurance that the named executive officers will realize these amounts. Assumptions used in calculating these amounts are included in Note 9 to the Company’s consolidated financial statements included in our Annual Report on Form 10-K for the year ended December 31, 2024.</w:t>
      </w:r>
    </w:p>
    <w:p>
      <w:pPr>
        <w:spacing w:after="0" w:line="69" w:lineRule="exact"/>
        <w:rPr>
          <w:rFonts w:ascii="Arial" w:cs="Arial" w:eastAsia="Arial" w:hAnsi="Arial"/>
          <w:sz w:val="15"/>
          <w:szCs w:val="15"/>
          <w:color w:val="auto"/>
        </w:rPr>
      </w:pPr>
    </w:p>
    <w:p>
      <w:pPr>
        <w:jc w:val="both"/>
        <w:ind w:left="300" w:right="340"/>
        <w:spacing w:after="0" w:line="261" w:lineRule="auto"/>
        <w:rPr>
          <w:rFonts w:ascii="Arial" w:cs="Arial" w:eastAsia="Arial" w:hAnsi="Arial"/>
          <w:sz w:val="15"/>
          <w:szCs w:val="15"/>
          <w:color w:val="auto"/>
        </w:rPr>
      </w:pPr>
      <w:r>
        <w:rPr>
          <w:rFonts w:ascii="Arial" w:cs="Arial" w:eastAsia="Arial" w:hAnsi="Arial"/>
          <w:sz w:val="15"/>
          <w:szCs w:val="15"/>
          <w:color w:val="auto"/>
        </w:rPr>
        <w:t>For 2024, the amount includes the sum of the grant date fair values of the regular annual grant of RSUs and PRSUs. For PRSU awards, the grant date fair value represents the probable outcome of the applicable performance conditions. The table below identifies the amount of the grant date fair value reported in this column that is attributable to each of the various awards granted during 2024 to each NEO.</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3160" w:type="dxa"/>
            <w:vAlign w:val="bottom"/>
          </w:tcPr>
          <w:p>
            <w:pPr>
              <w:jc w:val="right"/>
              <w:ind w:right="345"/>
              <w:spacing w:after="0"/>
              <w:rPr>
                <w:sz w:val="20"/>
                <w:szCs w:val="20"/>
                <w:color w:val="auto"/>
              </w:rPr>
            </w:pPr>
            <w:r>
              <w:rPr>
                <w:rFonts w:ascii="Arial" w:cs="Arial" w:eastAsia="Arial" w:hAnsi="Arial"/>
                <w:sz w:val="15"/>
                <w:szCs w:val="15"/>
                <w:b w:val="1"/>
                <w:bCs w:val="1"/>
                <w:color w:val="auto"/>
              </w:rPr>
              <w:t>RSUs</w:t>
            </w:r>
          </w:p>
        </w:tc>
        <w:tc>
          <w:tcPr>
            <w:tcW w:w="1320" w:type="dxa"/>
            <w:vAlign w:val="bottom"/>
          </w:tcPr>
          <w:p>
            <w:pPr>
              <w:jc w:val="right"/>
              <w:ind w:right="165"/>
              <w:spacing w:after="0"/>
              <w:rPr>
                <w:sz w:val="20"/>
                <w:szCs w:val="20"/>
                <w:color w:val="auto"/>
              </w:rPr>
            </w:pPr>
            <w:r>
              <w:rPr>
                <w:rFonts w:ascii="Arial" w:cs="Arial" w:eastAsia="Arial" w:hAnsi="Arial"/>
                <w:sz w:val="15"/>
                <w:szCs w:val="15"/>
                <w:b w:val="1"/>
                <w:bCs w:val="1"/>
                <w:color w:val="auto"/>
              </w:rPr>
              <w:t>PRSUs</w:t>
            </w:r>
          </w:p>
        </w:tc>
      </w:tr>
      <w:tr>
        <w:trPr>
          <w:trHeight w:val="192"/>
        </w:trPr>
        <w:tc>
          <w:tcPr>
            <w:tcW w:w="370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color w:val="auto"/>
              </w:rPr>
              <w:t>Name</w:t>
            </w:r>
          </w:p>
        </w:tc>
        <w:tc>
          <w:tcPr>
            <w:tcW w:w="3160" w:type="dxa"/>
            <w:vAlign w:val="bottom"/>
            <w:tcBorders>
              <w:bottom w:val="single" w:sz="8" w:color="405788"/>
            </w:tcBorders>
          </w:tcPr>
          <w:p>
            <w:pPr>
              <w:jc w:val="right"/>
              <w:ind w:right="345"/>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405788"/>
            </w:tcBorders>
          </w:tcPr>
          <w:p>
            <w:pPr>
              <w:jc w:val="right"/>
              <w:ind w:right="165"/>
              <w:spacing w:after="0"/>
              <w:rPr>
                <w:sz w:val="20"/>
                <w:szCs w:val="20"/>
                <w:color w:val="auto"/>
              </w:rPr>
            </w:pPr>
            <w:r>
              <w:rPr>
                <w:rFonts w:ascii="Arial" w:cs="Arial" w:eastAsia="Arial" w:hAnsi="Arial"/>
                <w:sz w:val="15"/>
                <w:szCs w:val="15"/>
                <w:b w:val="1"/>
                <w:bCs w:val="1"/>
                <w:color w:val="auto"/>
              </w:rPr>
              <w:t>($)</w:t>
            </w:r>
          </w:p>
        </w:tc>
      </w:tr>
      <w:tr>
        <w:trPr>
          <w:trHeight w:val="180"/>
        </w:trPr>
        <w:tc>
          <w:tcPr>
            <w:tcW w:w="370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Todd Gleason</w:t>
            </w:r>
          </w:p>
        </w:tc>
        <w:tc>
          <w:tcPr>
            <w:tcW w:w="3160" w:type="dxa"/>
            <w:vAlign w:val="bottom"/>
            <w:tcBorders>
              <w:bottom w:val="single" w:sz="8" w:color="D9D9D9"/>
            </w:tcBorders>
          </w:tcPr>
          <w:p>
            <w:pPr>
              <w:jc w:val="right"/>
              <w:ind w:right="34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D9D9D9"/>
            </w:tcBorders>
          </w:tcPr>
          <w:p>
            <w:pPr>
              <w:jc w:val="right"/>
              <w:ind w:right="165"/>
              <w:spacing w:after="0"/>
              <w:rPr>
                <w:sz w:val="20"/>
                <w:szCs w:val="20"/>
                <w:color w:val="auto"/>
              </w:rPr>
            </w:pPr>
            <w:r>
              <w:rPr>
                <w:rFonts w:ascii="Arial" w:cs="Arial" w:eastAsia="Arial" w:hAnsi="Arial"/>
                <w:sz w:val="15"/>
                <w:szCs w:val="15"/>
                <w:color w:val="auto"/>
              </w:rPr>
              <w:t>1,627,505</w:t>
            </w:r>
          </w:p>
        </w:tc>
      </w:tr>
      <w:tr>
        <w:trPr>
          <w:trHeight w:val="180"/>
        </w:trPr>
        <w:tc>
          <w:tcPr>
            <w:tcW w:w="370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Peter Johansson</w:t>
            </w:r>
          </w:p>
        </w:tc>
        <w:tc>
          <w:tcPr>
            <w:tcW w:w="3160" w:type="dxa"/>
            <w:vAlign w:val="bottom"/>
            <w:tcBorders>
              <w:bottom w:val="single" w:sz="8" w:color="D9D9D9"/>
            </w:tcBorders>
          </w:tcPr>
          <w:p>
            <w:pPr>
              <w:jc w:val="right"/>
              <w:ind w:right="345"/>
              <w:spacing w:after="0"/>
              <w:rPr>
                <w:sz w:val="20"/>
                <w:szCs w:val="20"/>
                <w:color w:val="auto"/>
              </w:rPr>
            </w:pPr>
            <w:r>
              <w:rPr>
                <w:rFonts w:ascii="Arial" w:cs="Arial" w:eastAsia="Arial" w:hAnsi="Arial"/>
                <w:sz w:val="15"/>
                <w:szCs w:val="15"/>
                <w:color w:val="auto"/>
              </w:rPr>
              <w:t>281,253</w:t>
            </w:r>
          </w:p>
        </w:tc>
        <w:tc>
          <w:tcPr>
            <w:tcW w:w="1320" w:type="dxa"/>
            <w:vAlign w:val="bottom"/>
            <w:tcBorders>
              <w:bottom w:val="single" w:sz="8" w:color="D9D9D9"/>
            </w:tcBorders>
          </w:tcPr>
          <w:p>
            <w:pPr>
              <w:jc w:val="right"/>
              <w:ind w:right="165"/>
              <w:spacing w:after="0"/>
              <w:rPr>
                <w:sz w:val="20"/>
                <w:szCs w:val="20"/>
                <w:color w:val="auto"/>
              </w:rPr>
            </w:pPr>
            <w:r>
              <w:rPr>
                <w:rFonts w:ascii="Arial" w:cs="Arial" w:eastAsia="Arial" w:hAnsi="Arial"/>
                <w:sz w:val="15"/>
                <w:szCs w:val="15"/>
                <w:color w:val="auto"/>
              </w:rPr>
              <w:t>281,253</w:t>
            </w:r>
          </w:p>
        </w:tc>
      </w:tr>
      <w:tr>
        <w:trPr>
          <w:trHeight w:val="175"/>
        </w:trPr>
        <w:tc>
          <w:tcPr>
            <w:tcW w:w="3700" w:type="dxa"/>
            <w:vAlign w:val="bottom"/>
            <w:tcBorders>
              <w:bottom w:val="single" w:sz="8" w:color="405788"/>
            </w:tcBorders>
          </w:tcPr>
          <w:p>
            <w:pPr>
              <w:spacing w:after="0"/>
              <w:rPr>
                <w:sz w:val="20"/>
                <w:szCs w:val="20"/>
                <w:color w:val="auto"/>
              </w:rPr>
            </w:pPr>
            <w:r>
              <w:rPr>
                <w:rFonts w:ascii="Arial" w:cs="Arial" w:eastAsia="Arial" w:hAnsi="Arial"/>
                <w:sz w:val="15"/>
                <w:szCs w:val="15"/>
                <w:color w:val="auto"/>
              </w:rPr>
              <w:t>Lynn Watkins-Asiyanbi</w:t>
            </w:r>
          </w:p>
        </w:tc>
        <w:tc>
          <w:tcPr>
            <w:tcW w:w="3160" w:type="dxa"/>
            <w:vAlign w:val="bottom"/>
            <w:tcBorders>
              <w:bottom w:val="single" w:sz="8" w:color="405788"/>
            </w:tcBorders>
          </w:tcPr>
          <w:p>
            <w:pPr>
              <w:jc w:val="right"/>
              <w:ind w:right="345"/>
              <w:spacing w:after="0"/>
              <w:rPr>
                <w:sz w:val="20"/>
                <w:szCs w:val="20"/>
                <w:color w:val="auto"/>
              </w:rPr>
            </w:pPr>
            <w:r>
              <w:rPr>
                <w:rFonts w:ascii="Arial" w:cs="Arial" w:eastAsia="Arial" w:hAnsi="Arial"/>
                <w:sz w:val="15"/>
                <w:szCs w:val="15"/>
                <w:color w:val="auto"/>
              </w:rPr>
              <w:t>250,020</w:t>
            </w:r>
          </w:p>
        </w:tc>
        <w:tc>
          <w:tcPr>
            <w:tcW w:w="1320" w:type="dxa"/>
            <w:vAlign w:val="bottom"/>
            <w:tcBorders>
              <w:bottom w:val="single" w:sz="8" w:color="405788"/>
            </w:tcBorders>
          </w:tcPr>
          <w:p>
            <w:pPr>
              <w:jc w:val="right"/>
              <w:ind w:right="165"/>
              <w:spacing w:after="0"/>
              <w:rPr>
                <w:sz w:val="20"/>
                <w:szCs w:val="20"/>
                <w:color w:val="auto"/>
              </w:rPr>
            </w:pPr>
            <w:r>
              <w:rPr>
                <w:rFonts w:ascii="Arial" w:cs="Arial" w:eastAsia="Arial" w:hAnsi="Arial"/>
                <w:sz w:val="15"/>
                <w:szCs w:val="15"/>
                <w:color w:val="auto"/>
              </w:rPr>
              <w:t>250,020</w:t>
            </w:r>
          </w:p>
        </w:tc>
      </w:tr>
    </w:tbl>
    <w:p>
      <w:pPr>
        <w:spacing w:after="0" w:line="263" w:lineRule="exact"/>
        <w:rPr>
          <w:sz w:val="20"/>
          <w:szCs w:val="20"/>
          <w:color w:val="auto"/>
        </w:rPr>
      </w:pPr>
    </w:p>
    <w:p>
      <w:pPr>
        <w:ind w:left="300" w:right="160"/>
        <w:spacing w:after="0" w:line="261" w:lineRule="auto"/>
        <w:rPr>
          <w:sz w:val="20"/>
          <w:szCs w:val="20"/>
          <w:color w:val="auto"/>
        </w:rPr>
      </w:pPr>
      <w:r>
        <w:rPr>
          <w:rFonts w:ascii="Arial" w:cs="Arial" w:eastAsia="Arial" w:hAnsi="Arial"/>
          <w:sz w:val="15"/>
          <w:szCs w:val="15"/>
          <w:color w:val="auto"/>
        </w:rPr>
        <w:t>Assuming maximum achievement with respect to the performance metrics applicable to the 2024 annual grant of PRSU awards, the grant date fair values of such awards would be as follows: $3,255,010, $562,507, and $500,039 for Messrs. Gleason, and Johansson and Ms. Watkins-Asiyanbi, respectively.</w:t>
      </w:r>
    </w:p>
    <w:p>
      <w:pPr>
        <w:spacing w:after="0" w:line="62" w:lineRule="exact"/>
        <w:rPr>
          <w:sz w:val="20"/>
          <w:szCs w:val="20"/>
          <w:color w:val="auto"/>
        </w:rPr>
      </w:pPr>
    </w:p>
    <w:p>
      <w:pPr>
        <w:ind w:left="300" w:right="100" w:hanging="299"/>
        <w:spacing w:after="0" w:line="249" w:lineRule="auto"/>
        <w:tabs>
          <w:tab w:leader="none" w:pos="3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This column reflects, for 2024, the aggregate grant date fair value of all option awards granted during 2024 calculated in accordance with FASB ASC Topic 718, disregarding estimated forfeitures. In 2024, the Company issued 25,446 stock options to our CEO. The number of options was erroneously calculated using the grant date closing price of $21.32, rather than a Black-Scholes value. This error resulted in the CEO receiving fewer stock options than intended by the Compensation Committee. For this reason, the fair value of the equity awards to the CEO in 2024 shown in the 2024 Summary Compensation Table was less than the target LTI disclosed in the CD&amp;A above. The Compensation Committee granted our CEO additional stock options with an exercise price equal to the grant date closing price of our common stock on March 17, 2025 to make our CEO whole for this error.</w:t>
      </w:r>
    </w:p>
    <w:p>
      <w:pPr>
        <w:spacing w:after="0" w:line="236"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28</w:t>
      </w:r>
      <w:r>
        <w:rPr>
          <w:sz w:val="20"/>
          <w:szCs w:val="20"/>
          <w:color w:val="auto"/>
        </w:rPr>
        <w:tab/>
      </w:r>
      <w:r>
        <w:rPr>
          <w:sz w:val="1"/>
          <w:szCs w:val="1"/>
          <w:color w:val="auto"/>
        </w:rPr>
        <w:drawing>
          <wp:inline distT="0" distB="0" distL="0" distR="0">
            <wp:extent cx="476250" cy="2222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460" w:hanging="299"/>
        <w:spacing w:after="0" w:line="278" w:lineRule="auto"/>
        <w:tabs>
          <w:tab w:leader="none" w:pos="3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This column reflects the named executive officers’ annual cash incentive awards that was paid based on formulaic performance, as further described above.</w:t>
      </w:r>
    </w:p>
    <w:p>
      <w:pPr>
        <w:spacing w:after="0" w:line="50" w:lineRule="exact"/>
        <w:rPr>
          <w:rFonts w:ascii="Arial" w:cs="Arial" w:eastAsia="Arial" w:hAnsi="Arial"/>
          <w:sz w:val="15"/>
          <w:szCs w:val="15"/>
          <w:color w:val="auto"/>
        </w:rPr>
      </w:pPr>
    </w:p>
    <w:p>
      <w:pPr>
        <w:ind w:left="300" w:hanging="299"/>
        <w:spacing w:after="0"/>
        <w:tabs>
          <w:tab w:leader="none" w:pos="3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Amounts reported in this column for 2024 consist of the following:</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150"/>
        </w:trPr>
        <w:tc>
          <w:tcPr>
            <w:tcW w:w="2280" w:type="dxa"/>
            <w:vAlign w:val="bottom"/>
          </w:tcPr>
          <w:p>
            <w:pPr>
              <w:spacing w:after="0"/>
              <w:rPr>
                <w:sz w:val="13"/>
                <w:szCs w:val="13"/>
                <w:color w:val="auto"/>
              </w:rPr>
            </w:pPr>
          </w:p>
        </w:tc>
        <w:tc>
          <w:tcPr>
            <w:tcW w:w="1720" w:type="dxa"/>
            <w:vAlign w:val="bottom"/>
          </w:tcPr>
          <w:p>
            <w:pPr>
              <w:jc w:val="right"/>
              <w:ind w:right="53"/>
              <w:spacing w:after="0"/>
              <w:rPr>
                <w:sz w:val="20"/>
                <w:szCs w:val="20"/>
                <w:color w:val="auto"/>
              </w:rPr>
            </w:pPr>
            <w:r>
              <w:rPr>
                <w:rFonts w:ascii="Arial" w:cs="Arial" w:eastAsia="Arial" w:hAnsi="Arial"/>
                <w:sz w:val="13"/>
                <w:szCs w:val="13"/>
                <w:b w:val="1"/>
                <w:bCs w:val="1"/>
                <w:color w:val="auto"/>
              </w:rPr>
              <w:t>401 (k)</w:t>
            </w:r>
          </w:p>
        </w:tc>
        <w:tc>
          <w:tcPr>
            <w:tcW w:w="900" w:type="dxa"/>
            <w:vAlign w:val="bottom"/>
          </w:tcPr>
          <w:p>
            <w:pPr>
              <w:jc w:val="right"/>
              <w:ind w:right="53"/>
              <w:spacing w:after="0"/>
              <w:rPr>
                <w:sz w:val="20"/>
                <w:szCs w:val="20"/>
                <w:color w:val="auto"/>
              </w:rPr>
            </w:pPr>
            <w:r>
              <w:rPr>
                <w:rFonts w:ascii="Arial" w:cs="Arial" w:eastAsia="Arial" w:hAnsi="Arial"/>
                <w:sz w:val="13"/>
                <w:szCs w:val="13"/>
                <w:b w:val="1"/>
                <w:bCs w:val="1"/>
                <w:color w:val="auto"/>
              </w:rPr>
              <w:t>Term Life</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2280" w:type="dxa"/>
            <w:vAlign w:val="bottom"/>
          </w:tcPr>
          <w:p>
            <w:pPr>
              <w:spacing w:after="0"/>
              <w:rPr>
                <w:sz w:val="13"/>
                <w:szCs w:val="13"/>
                <w:color w:val="auto"/>
              </w:rPr>
            </w:pPr>
          </w:p>
        </w:tc>
        <w:tc>
          <w:tcPr>
            <w:tcW w:w="1720" w:type="dxa"/>
            <w:vAlign w:val="bottom"/>
          </w:tcPr>
          <w:p>
            <w:pPr>
              <w:jc w:val="right"/>
              <w:ind w:right="53"/>
              <w:spacing w:after="0"/>
              <w:rPr>
                <w:sz w:val="20"/>
                <w:szCs w:val="20"/>
                <w:color w:val="auto"/>
              </w:rPr>
            </w:pPr>
            <w:r>
              <w:rPr>
                <w:rFonts w:ascii="Arial" w:cs="Arial" w:eastAsia="Arial" w:hAnsi="Arial"/>
                <w:sz w:val="13"/>
                <w:szCs w:val="13"/>
                <w:b w:val="1"/>
                <w:bCs w:val="1"/>
                <w:color w:val="auto"/>
              </w:rPr>
              <w:t>Matching</w:t>
            </w:r>
          </w:p>
        </w:tc>
        <w:tc>
          <w:tcPr>
            <w:tcW w:w="900" w:type="dxa"/>
            <w:vAlign w:val="bottom"/>
          </w:tcPr>
          <w:p>
            <w:pPr>
              <w:jc w:val="right"/>
              <w:ind w:right="53"/>
              <w:spacing w:after="0"/>
              <w:rPr>
                <w:sz w:val="20"/>
                <w:szCs w:val="20"/>
                <w:color w:val="auto"/>
              </w:rPr>
            </w:pPr>
            <w:r>
              <w:rPr>
                <w:rFonts w:ascii="Arial" w:cs="Arial" w:eastAsia="Arial" w:hAnsi="Arial"/>
                <w:sz w:val="13"/>
                <w:szCs w:val="13"/>
                <w:b w:val="1"/>
                <w:bCs w:val="1"/>
                <w:color w:val="auto"/>
              </w:rPr>
              <w:t>Insurance</w:t>
            </w:r>
          </w:p>
        </w:tc>
        <w:tc>
          <w:tcPr>
            <w:tcW w:w="900" w:type="dxa"/>
            <w:vAlign w:val="bottom"/>
          </w:tcPr>
          <w:p>
            <w:pPr>
              <w:jc w:val="right"/>
              <w:ind w:right="53"/>
              <w:spacing w:after="0"/>
              <w:rPr>
                <w:sz w:val="20"/>
                <w:szCs w:val="20"/>
                <w:color w:val="auto"/>
              </w:rPr>
            </w:pPr>
            <w:r>
              <w:rPr>
                <w:rFonts w:ascii="Arial" w:cs="Arial" w:eastAsia="Arial" w:hAnsi="Arial"/>
                <w:sz w:val="13"/>
                <w:szCs w:val="13"/>
                <w:b w:val="1"/>
                <w:bCs w:val="1"/>
                <w:color w:val="auto"/>
              </w:rPr>
              <w:t>Car</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Executive</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2280" w:type="dxa"/>
            <w:vAlign w:val="bottom"/>
          </w:tcPr>
          <w:p>
            <w:pPr>
              <w:spacing w:after="0"/>
              <w:rPr>
                <w:sz w:val="13"/>
                <w:szCs w:val="13"/>
                <w:color w:val="auto"/>
              </w:rPr>
            </w:pPr>
          </w:p>
        </w:tc>
        <w:tc>
          <w:tcPr>
            <w:tcW w:w="1720" w:type="dxa"/>
            <w:vAlign w:val="bottom"/>
          </w:tcPr>
          <w:p>
            <w:pPr>
              <w:jc w:val="right"/>
              <w:ind w:right="53"/>
              <w:spacing w:after="0"/>
              <w:rPr>
                <w:sz w:val="20"/>
                <w:szCs w:val="20"/>
                <w:color w:val="auto"/>
              </w:rPr>
            </w:pPr>
            <w:r>
              <w:rPr>
                <w:rFonts w:ascii="Arial" w:cs="Arial" w:eastAsia="Arial" w:hAnsi="Arial"/>
                <w:sz w:val="13"/>
                <w:szCs w:val="13"/>
                <w:b w:val="1"/>
                <w:bCs w:val="1"/>
                <w:color w:val="auto"/>
              </w:rPr>
              <w:t>Contributions</w:t>
            </w:r>
          </w:p>
        </w:tc>
        <w:tc>
          <w:tcPr>
            <w:tcW w:w="900" w:type="dxa"/>
            <w:vAlign w:val="bottom"/>
          </w:tcPr>
          <w:p>
            <w:pPr>
              <w:jc w:val="right"/>
              <w:ind w:right="53"/>
              <w:spacing w:after="0"/>
              <w:rPr>
                <w:sz w:val="20"/>
                <w:szCs w:val="20"/>
                <w:color w:val="auto"/>
              </w:rPr>
            </w:pPr>
            <w:r>
              <w:rPr>
                <w:rFonts w:ascii="Arial" w:cs="Arial" w:eastAsia="Arial" w:hAnsi="Arial"/>
                <w:sz w:val="13"/>
                <w:szCs w:val="13"/>
                <w:b w:val="1"/>
                <w:bCs w:val="1"/>
                <w:color w:val="auto"/>
              </w:rPr>
              <w:t>Premiums</w:t>
            </w:r>
          </w:p>
        </w:tc>
        <w:tc>
          <w:tcPr>
            <w:tcW w:w="900" w:type="dxa"/>
            <w:vAlign w:val="bottom"/>
          </w:tcPr>
          <w:p>
            <w:pPr>
              <w:jc w:val="right"/>
              <w:ind w:right="53"/>
              <w:spacing w:after="0"/>
              <w:rPr>
                <w:sz w:val="20"/>
                <w:szCs w:val="20"/>
                <w:color w:val="auto"/>
              </w:rPr>
            </w:pPr>
            <w:r>
              <w:rPr>
                <w:rFonts w:ascii="Arial" w:cs="Arial" w:eastAsia="Arial" w:hAnsi="Arial"/>
                <w:sz w:val="13"/>
                <w:szCs w:val="13"/>
                <w:b w:val="1"/>
                <w:bCs w:val="1"/>
                <w:color w:val="auto"/>
              </w:rPr>
              <w:t>Allowance</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Physical</w:t>
            </w:r>
          </w:p>
        </w:tc>
        <w:tc>
          <w:tcPr>
            <w:tcW w:w="920" w:type="dxa"/>
            <w:vAlign w:val="bottom"/>
          </w:tcPr>
          <w:p>
            <w:pPr>
              <w:jc w:val="right"/>
              <w:ind w:right="73"/>
              <w:spacing w:after="0"/>
              <w:rPr>
                <w:sz w:val="20"/>
                <w:szCs w:val="20"/>
                <w:color w:val="auto"/>
              </w:rPr>
            </w:pPr>
            <w:r>
              <w:rPr>
                <w:rFonts w:ascii="Arial" w:cs="Arial" w:eastAsia="Arial" w:hAnsi="Arial"/>
                <w:sz w:val="13"/>
                <w:szCs w:val="13"/>
                <w:b w:val="1"/>
                <w:bCs w:val="1"/>
                <w:color w:val="auto"/>
              </w:rPr>
              <w:t>Severance</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3"/>
        </w:trPr>
        <w:tc>
          <w:tcPr>
            <w:tcW w:w="22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72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55"/>
        </w:trPr>
        <w:tc>
          <w:tcPr>
            <w:tcW w:w="228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Todd Gleason</w:t>
            </w:r>
          </w:p>
        </w:tc>
        <w:tc>
          <w:tcPr>
            <w:tcW w:w="17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10,350</w:t>
            </w:r>
          </w:p>
        </w:tc>
        <w:tc>
          <w:tcPr>
            <w:tcW w:w="9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6,930</w:t>
            </w:r>
          </w:p>
        </w:tc>
        <w:tc>
          <w:tcPr>
            <w:tcW w:w="9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5,371</w:t>
            </w:r>
          </w:p>
        </w:tc>
        <w:tc>
          <w:tcPr>
            <w:tcW w:w="92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34,651</w:t>
            </w:r>
          </w:p>
        </w:tc>
      </w:tr>
      <w:tr>
        <w:trPr>
          <w:trHeight w:val="155"/>
        </w:trPr>
        <w:tc>
          <w:tcPr>
            <w:tcW w:w="228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Peter Johansson</w:t>
            </w:r>
          </w:p>
        </w:tc>
        <w:tc>
          <w:tcPr>
            <w:tcW w:w="17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14,017</w:t>
            </w:r>
          </w:p>
        </w:tc>
        <w:tc>
          <w:tcPr>
            <w:tcW w:w="9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9,556</w:t>
            </w:r>
          </w:p>
        </w:tc>
        <w:tc>
          <w:tcPr>
            <w:tcW w:w="9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5,160</w:t>
            </w:r>
          </w:p>
        </w:tc>
        <w:tc>
          <w:tcPr>
            <w:tcW w:w="92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40,733</w:t>
            </w:r>
          </w:p>
        </w:tc>
      </w:tr>
      <w:tr>
        <w:trPr>
          <w:trHeight w:val="150"/>
        </w:trPr>
        <w:tc>
          <w:tcPr>
            <w:tcW w:w="2280" w:type="dxa"/>
            <w:vAlign w:val="bottom"/>
            <w:tcBorders>
              <w:bottom w:val="single" w:sz="8" w:color="405788"/>
            </w:tcBorders>
          </w:tcPr>
          <w:p>
            <w:pPr>
              <w:spacing w:after="0"/>
              <w:rPr>
                <w:sz w:val="20"/>
                <w:szCs w:val="20"/>
                <w:color w:val="auto"/>
              </w:rPr>
            </w:pPr>
            <w:r>
              <w:rPr>
                <w:rFonts w:ascii="Arial" w:cs="Arial" w:eastAsia="Arial" w:hAnsi="Arial"/>
                <w:sz w:val="13"/>
                <w:szCs w:val="13"/>
                <w:color w:val="auto"/>
              </w:rPr>
              <w:t>Lynn Watkins-Asiyanbi</w:t>
            </w:r>
          </w:p>
        </w:tc>
        <w:tc>
          <w:tcPr>
            <w:tcW w:w="172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5,958</w:t>
            </w:r>
          </w:p>
        </w:tc>
        <w:tc>
          <w:tcPr>
            <w:tcW w:w="9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5,102</w:t>
            </w:r>
          </w:p>
        </w:tc>
        <w:tc>
          <w:tcPr>
            <w:tcW w:w="92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23,060</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2024 Grants of Plan-Based Awards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All Other</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All Other</w:t>
            </w: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Stock</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Option</w:t>
            </w: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Awards:</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Awards:</w:t>
            </w:r>
          </w:p>
        </w:tc>
        <w:tc>
          <w:tcPr>
            <w:tcW w:w="1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Grant Date</w:t>
            </w:r>
          </w:p>
        </w:tc>
      </w:tr>
      <w:tr>
        <w:trPr>
          <w:trHeight w:val="150"/>
        </w:trPr>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3"/>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Number</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Number</w:t>
            </w:r>
          </w:p>
        </w:tc>
        <w:tc>
          <w:tcPr>
            <w:tcW w:w="1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33"/>
        </w:trPr>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3"/>
          </w:tcPr>
          <w:p>
            <w:pPr>
              <w:jc w:val="center"/>
              <w:spacing w:after="0" w:line="133" w:lineRule="exact"/>
              <w:rPr>
                <w:sz w:val="20"/>
                <w:szCs w:val="20"/>
                <w:color w:val="auto"/>
              </w:rPr>
            </w:pPr>
            <w:r>
              <w:rPr>
                <w:rFonts w:ascii="Arial" w:cs="Arial" w:eastAsia="Arial" w:hAnsi="Arial"/>
                <w:sz w:val="13"/>
                <w:szCs w:val="13"/>
                <w:b w:val="1"/>
                <w:bCs w:val="1"/>
                <w:color w:val="auto"/>
              </w:rPr>
              <w:t>Under Equity Incentive Plan</w:t>
            </w:r>
          </w:p>
        </w:tc>
        <w:tc>
          <w:tcPr>
            <w:tcW w:w="860" w:type="dxa"/>
            <w:vAlign w:val="bottom"/>
          </w:tcPr>
          <w:p>
            <w:pPr>
              <w:jc w:val="right"/>
              <w:ind w:right="33"/>
              <w:spacing w:after="0" w:line="133" w:lineRule="exact"/>
              <w:rPr>
                <w:sz w:val="20"/>
                <w:szCs w:val="20"/>
                <w:color w:val="auto"/>
              </w:rPr>
            </w:pPr>
            <w:r>
              <w:rPr>
                <w:rFonts w:ascii="Arial" w:cs="Arial" w:eastAsia="Arial" w:hAnsi="Arial"/>
                <w:sz w:val="13"/>
                <w:szCs w:val="13"/>
                <w:b w:val="1"/>
                <w:bCs w:val="1"/>
                <w:color w:val="auto"/>
              </w:rPr>
              <w:t>of Shares</w:t>
            </w:r>
          </w:p>
        </w:tc>
        <w:tc>
          <w:tcPr>
            <w:tcW w:w="92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of Shares</w:t>
            </w:r>
          </w:p>
        </w:tc>
        <w:tc>
          <w:tcPr>
            <w:tcW w:w="120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Exercise or</w:t>
            </w:r>
          </w:p>
        </w:tc>
        <w:tc>
          <w:tcPr>
            <w:tcW w:w="8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of Stock</w:t>
            </w:r>
          </w:p>
        </w:tc>
      </w:tr>
      <w:tr>
        <w:trPr>
          <w:trHeight w:val="180"/>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gridSpan w:val="4"/>
          </w:tcPr>
          <w:p>
            <w:pPr>
              <w:ind w:left="120"/>
              <w:spacing w:after="0" w:line="175" w:lineRule="exact"/>
              <w:rPr>
                <w:sz w:val="20"/>
                <w:szCs w:val="20"/>
                <w:color w:val="auto"/>
              </w:rPr>
            </w:pPr>
            <w:r>
              <w:rPr>
                <w:rFonts w:ascii="Arial" w:cs="Arial" w:eastAsia="Arial" w:hAnsi="Arial"/>
                <w:sz w:val="13"/>
                <w:szCs w:val="13"/>
                <w:b w:val="1"/>
                <w:bCs w:val="1"/>
                <w:color w:val="auto"/>
              </w:rPr>
              <w:t xml:space="preserve">Non-Equity Incentive Plan Awards </w:t>
            </w:r>
            <w:r>
              <w:rPr>
                <w:rFonts w:ascii="Arial" w:cs="Arial" w:eastAsia="Arial" w:hAnsi="Arial"/>
                <w:sz w:val="19"/>
                <w:szCs w:val="19"/>
                <w:b w:val="1"/>
                <w:bCs w:val="1"/>
                <w:color w:val="auto"/>
                <w:vertAlign w:val="superscript"/>
              </w:rPr>
              <w:t>1</w:t>
            </w:r>
          </w:p>
        </w:tc>
        <w:tc>
          <w:tcPr>
            <w:tcW w:w="76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97"/>
              </w:rPr>
              <w:t xml:space="preserve">Awards </w:t>
            </w:r>
            <w:r>
              <w:rPr>
                <w:rFonts w:ascii="Arial" w:cs="Arial" w:eastAsia="Arial" w:hAnsi="Arial"/>
                <w:sz w:val="19"/>
                <w:szCs w:val="19"/>
                <w:b w:val="1"/>
                <w:bCs w:val="1"/>
                <w:color w:val="auto"/>
                <w:w w:val="97"/>
                <w:vertAlign w:val="superscript"/>
              </w:rPr>
              <w:t>2</w:t>
            </w:r>
          </w:p>
        </w:tc>
        <w:tc>
          <w:tcPr>
            <w:tcW w:w="72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of Stock</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Underlying</w:t>
            </w:r>
          </w:p>
        </w:tc>
        <w:tc>
          <w:tcPr>
            <w:tcW w:w="1200" w:type="dxa"/>
            <w:vAlign w:val="bottom"/>
          </w:tcPr>
          <w:p>
            <w:pPr>
              <w:jc w:val="right"/>
              <w:ind w:right="53"/>
              <w:spacing w:after="0"/>
              <w:rPr>
                <w:sz w:val="20"/>
                <w:szCs w:val="20"/>
                <w:color w:val="auto"/>
              </w:rPr>
            </w:pPr>
            <w:r>
              <w:rPr>
                <w:rFonts w:ascii="Arial" w:cs="Arial" w:eastAsia="Arial" w:hAnsi="Arial"/>
                <w:sz w:val="13"/>
                <w:szCs w:val="13"/>
                <w:b w:val="1"/>
                <w:bCs w:val="1"/>
                <w:color w:val="auto"/>
              </w:rPr>
              <w:t>Base Price of</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and Option</w:t>
            </w:r>
          </w:p>
        </w:tc>
      </w:tr>
      <w:tr>
        <w:trPr>
          <w:trHeight w:val="125"/>
        </w:trPr>
        <w:tc>
          <w:tcPr>
            <w:tcW w:w="740" w:type="dxa"/>
            <w:vAlign w:val="bottom"/>
          </w:tcPr>
          <w:p>
            <w:pPr>
              <w:spacing w:after="0"/>
              <w:rPr>
                <w:sz w:val="10"/>
                <w:szCs w:val="10"/>
                <w:color w:val="auto"/>
              </w:rPr>
            </w:pPr>
          </w:p>
        </w:tc>
        <w:tc>
          <w:tcPr>
            <w:tcW w:w="640" w:type="dxa"/>
            <w:vAlign w:val="bottom"/>
          </w:tcPr>
          <w:p>
            <w:pPr>
              <w:jc w:val="right"/>
              <w:ind w:right="53"/>
              <w:spacing w:after="0" w:line="125" w:lineRule="exact"/>
              <w:rPr>
                <w:sz w:val="20"/>
                <w:szCs w:val="20"/>
                <w:color w:val="auto"/>
              </w:rPr>
            </w:pPr>
            <w:r>
              <w:rPr>
                <w:rFonts w:ascii="Arial" w:cs="Arial" w:eastAsia="Arial" w:hAnsi="Arial"/>
                <w:sz w:val="13"/>
                <w:szCs w:val="13"/>
                <w:b w:val="1"/>
                <w:bCs w:val="1"/>
                <w:color w:val="auto"/>
              </w:rPr>
              <w:t>Grant</w:t>
            </w:r>
          </w:p>
        </w:tc>
        <w:tc>
          <w:tcPr>
            <w:tcW w:w="900" w:type="dxa"/>
            <w:vAlign w:val="bottom"/>
            <w:tcBorders>
              <w:top w:val="single" w:sz="8" w:color="405788"/>
            </w:tcBorders>
          </w:tcPr>
          <w:p>
            <w:pPr>
              <w:jc w:val="right"/>
              <w:ind w:right="113"/>
              <w:spacing w:after="0" w:line="125" w:lineRule="exact"/>
              <w:rPr>
                <w:sz w:val="20"/>
                <w:szCs w:val="20"/>
                <w:color w:val="auto"/>
              </w:rPr>
            </w:pPr>
            <w:r>
              <w:rPr>
                <w:rFonts w:ascii="Arial" w:cs="Arial" w:eastAsia="Arial" w:hAnsi="Arial"/>
                <w:sz w:val="13"/>
                <w:szCs w:val="13"/>
                <w:b w:val="1"/>
                <w:bCs w:val="1"/>
                <w:color w:val="auto"/>
              </w:rPr>
              <w:t>Threshold</w:t>
            </w:r>
          </w:p>
        </w:tc>
        <w:tc>
          <w:tcPr>
            <w:tcW w:w="800" w:type="dxa"/>
            <w:vAlign w:val="bottom"/>
            <w:tcBorders>
              <w:top w:val="single" w:sz="8" w:color="405788"/>
            </w:tcBorders>
          </w:tcPr>
          <w:p>
            <w:pPr>
              <w:jc w:val="right"/>
              <w:ind w:right="53"/>
              <w:spacing w:after="0" w:line="125" w:lineRule="exact"/>
              <w:rPr>
                <w:sz w:val="20"/>
                <w:szCs w:val="20"/>
                <w:color w:val="auto"/>
              </w:rPr>
            </w:pPr>
            <w:r>
              <w:rPr>
                <w:rFonts w:ascii="Arial" w:cs="Arial" w:eastAsia="Arial" w:hAnsi="Arial"/>
                <w:sz w:val="13"/>
                <w:szCs w:val="13"/>
                <w:b w:val="1"/>
                <w:bCs w:val="1"/>
                <w:color w:val="auto"/>
              </w:rPr>
              <w:t>Target</w:t>
            </w:r>
          </w:p>
        </w:tc>
        <w:tc>
          <w:tcPr>
            <w:tcW w:w="780" w:type="dxa"/>
            <w:vAlign w:val="bottom"/>
            <w:tcBorders>
              <w:top w:val="single" w:sz="8" w:color="405788"/>
            </w:tcBorders>
          </w:tcPr>
          <w:p>
            <w:pPr>
              <w:jc w:val="right"/>
              <w:spacing w:after="0" w:line="125" w:lineRule="exact"/>
              <w:rPr>
                <w:sz w:val="20"/>
                <w:szCs w:val="20"/>
                <w:color w:val="auto"/>
              </w:rPr>
            </w:pPr>
            <w:r>
              <w:rPr>
                <w:rFonts w:ascii="Arial" w:cs="Arial" w:eastAsia="Arial" w:hAnsi="Arial"/>
                <w:sz w:val="13"/>
                <w:szCs w:val="13"/>
                <w:b w:val="1"/>
                <w:bCs w:val="1"/>
                <w:color w:val="auto"/>
              </w:rPr>
              <w:t>Maximum</w:t>
            </w:r>
          </w:p>
        </w:tc>
        <w:tc>
          <w:tcPr>
            <w:tcW w:w="80" w:type="dxa"/>
            <w:vAlign w:val="bottom"/>
          </w:tcPr>
          <w:p>
            <w:pPr>
              <w:spacing w:after="0"/>
              <w:rPr>
                <w:sz w:val="10"/>
                <w:szCs w:val="10"/>
                <w:color w:val="auto"/>
              </w:rPr>
            </w:pPr>
          </w:p>
        </w:tc>
        <w:tc>
          <w:tcPr>
            <w:tcW w:w="760" w:type="dxa"/>
            <w:vAlign w:val="bottom"/>
            <w:tcBorders>
              <w:top w:val="single" w:sz="8" w:color="405788"/>
            </w:tcBorders>
          </w:tcPr>
          <w:p>
            <w:pPr>
              <w:jc w:val="right"/>
              <w:spacing w:after="0" w:line="125" w:lineRule="exact"/>
              <w:rPr>
                <w:sz w:val="20"/>
                <w:szCs w:val="20"/>
                <w:color w:val="auto"/>
              </w:rPr>
            </w:pPr>
            <w:r>
              <w:rPr>
                <w:rFonts w:ascii="Arial" w:cs="Arial" w:eastAsia="Arial" w:hAnsi="Arial"/>
                <w:sz w:val="13"/>
                <w:szCs w:val="13"/>
                <w:b w:val="1"/>
                <w:bCs w:val="1"/>
                <w:color w:val="auto"/>
              </w:rPr>
              <w:t>Threshold</w:t>
            </w:r>
          </w:p>
        </w:tc>
        <w:tc>
          <w:tcPr>
            <w:tcW w:w="680" w:type="dxa"/>
            <w:vAlign w:val="bottom"/>
            <w:tcBorders>
              <w:top w:val="single" w:sz="8" w:color="405788"/>
            </w:tcBorders>
          </w:tcPr>
          <w:p>
            <w:pPr>
              <w:jc w:val="right"/>
              <w:ind w:right="53"/>
              <w:spacing w:after="0" w:line="125" w:lineRule="exact"/>
              <w:rPr>
                <w:sz w:val="20"/>
                <w:szCs w:val="20"/>
                <w:color w:val="auto"/>
              </w:rPr>
            </w:pPr>
            <w:r>
              <w:rPr>
                <w:rFonts w:ascii="Arial" w:cs="Arial" w:eastAsia="Arial" w:hAnsi="Arial"/>
                <w:sz w:val="13"/>
                <w:szCs w:val="13"/>
                <w:b w:val="1"/>
                <w:bCs w:val="1"/>
                <w:color w:val="auto"/>
              </w:rPr>
              <w:t>Target</w:t>
            </w:r>
          </w:p>
        </w:tc>
        <w:tc>
          <w:tcPr>
            <w:tcW w:w="720" w:type="dxa"/>
            <w:vAlign w:val="bottom"/>
            <w:tcBorders>
              <w:top w:val="single" w:sz="8" w:color="405788"/>
            </w:tcBorders>
          </w:tcPr>
          <w:p>
            <w:pPr>
              <w:jc w:val="right"/>
              <w:spacing w:after="0" w:line="125" w:lineRule="exact"/>
              <w:rPr>
                <w:sz w:val="20"/>
                <w:szCs w:val="20"/>
                <w:color w:val="auto"/>
              </w:rPr>
            </w:pPr>
            <w:r>
              <w:rPr>
                <w:rFonts w:ascii="Arial" w:cs="Arial" w:eastAsia="Arial" w:hAnsi="Arial"/>
                <w:sz w:val="13"/>
                <w:szCs w:val="13"/>
                <w:b w:val="1"/>
                <w:bCs w:val="1"/>
                <w:color w:val="auto"/>
              </w:rPr>
              <w:t>Maximum</w:t>
            </w:r>
          </w:p>
        </w:tc>
        <w:tc>
          <w:tcPr>
            <w:tcW w:w="860" w:type="dxa"/>
            <w:vAlign w:val="bottom"/>
          </w:tcPr>
          <w:p>
            <w:pPr>
              <w:jc w:val="right"/>
              <w:ind w:right="33"/>
              <w:spacing w:after="0" w:line="125" w:lineRule="exact"/>
              <w:rPr>
                <w:sz w:val="20"/>
                <w:szCs w:val="20"/>
                <w:color w:val="auto"/>
              </w:rPr>
            </w:pPr>
            <w:r>
              <w:rPr>
                <w:rFonts w:ascii="Arial" w:cs="Arial" w:eastAsia="Arial" w:hAnsi="Arial"/>
                <w:sz w:val="13"/>
                <w:szCs w:val="13"/>
                <w:b w:val="1"/>
                <w:bCs w:val="1"/>
                <w:color w:val="auto"/>
              </w:rPr>
              <w:t>or Units</w:t>
            </w:r>
          </w:p>
        </w:tc>
        <w:tc>
          <w:tcPr>
            <w:tcW w:w="920" w:type="dxa"/>
            <w:vAlign w:val="bottom"/>
          </w:tcPr>
          <w:p>
            <w:pPr>
              <w:jc w:val="right"/>
              <w:ind w:right="53"/>
              <w:spacing w:after="0" w:line="125" w:lineRule="exact"/>
              <w:rPr>
                <w:sz w:val="20"/>
                <w:szCs w:val="20"/>
                <w:color w:val="auto"/>
              </w:rPr>
            </w:pPr>
            <w:r>
              <w:rPr>
                <w:rFonts w:ascii="Arial" w:cs="Arial" w:eastAsia="Arial" w:hAnsi="Arial"/>
                <w:sz w:val="13"/>
                <w:szCs w:val="13"/>
                <w:b w:val="1"/>
                <w:bCs w:val="1"/>
                <w:color w:val="auto"/>
              </w:rPr>
              <w:t>Options</w:t>
            </w:r>
          </w:p>
        </w:tc>
        <w:tc>
          <w:tcPr>
            <w:tcW w:w="1200" w:type="dxa"/>
            <w:vAlign w:val="bottom"/>
          </w:tcPr>
          <w:p>
            <w:pPr>
              <w:jc w:val="right"/>
              <w:ind w:right="53"/>
              <w:spacing w:after="0" w:line="125" w:lineRule="exact"/>
              <w:rPr>
                <w:sz w:val="20"/>
                <w:szCs w:val="20"/>
                <w:color w:val="auto"/>
              </w:rPr>
            </w:pPr>
            <w:r>
              <w:rPr>
                <w:rFonts w:ascii="Arial" w:cs="Arial" w:eastAsia="Arial" w:hAnsi="Arial"/>
                <w:sz w:val="13"/>
                <w:szCs w:val="13"/>
                <w:b w:val="1"/>
                <w:bCs w:val="1"/>
                <w:color w:val="auto"/>
              </w:rPr>
              <w:t>Option Awards</w:t>
            </w:r>
          </w:p>
        </w:tc>
        <w:tc>
          <w:tcPr>
            <w:tcW w:w="840" w:type="dxa"/>
            <w:vAlign w:val="bottom"/>
          </w:tcPr>
          <w:p>
            <w:pPr>
              <w:jc w:val="right"/>
              <w:spacing w:after="0" w:line="125" w:lineRule="exact"/>
              <w:rPr>
                <w:sz w:val="20"/>
                <w:szCs w:val="20"/>
                <w:color w:val="auto"/>
              </w:rPr>
            </w:pPr>
            <w:r>
              <w:rPr>
                <w:rFonts w:ascii="Arial" w:cs="Arial" w:eastAsia="Arial" w:hAnsi="Arial"/>
                <w:sz w:val="13"/>
                <w:szCs w:val="13"/>
                <w:b w:val="1"/>
                <w:bCs w:val="1"/>
                <w:color w:val="auto"/>
              </w:rPr>
              <w:t>Awards</w:t>
            </w:r>
          </w:p>
        </w:tc>
      </w:tr>
      <w:tr>
        <w:trPr>
          <w:trHeight w:val="180"/>
        </w:trPr>
        <w:tc>
          <w:tcPr>
            <w:tcW w:w="740" w:type="dxa"/>
            <w:vAlign w:val="bottom"/>
            <w:tcBorders>
              <w:bottom w:val="single" w:sz="8" w:color="405788"/>
            </w:tcBorders>
          </w:tcPr>
          <w:p>
            <w:pPr>
              <w:ind w:left="180"/>
              <w:spacing w:after="0"/>
              <w:rPr>
                <w:sz w:val="20"/>
                <w:szCs w:val="20"/>
                <w:color w:val="auto"/>
              </w:rPr>
            </w:pPr>
            <w:r>
              <w:rPr>
                <w:rFonts w:ascii="Arial" w:cs="Arial" w:eastAsia="Arial" w:hAnsi="Arial"/>
                <w:sz w:val="13"/>
                <w:szCs w:val="13"/>
                <w:b w:val="1"/>
                <w:bCs w:val="1"/>
                <w:color w:val="auto"/>
              </w:rPr>
              <w:t>Name</w:t>
            </w:r>
          </w:p>
        </w:tc>
        <w:tc>
          <w:tcPr>
            <w:tcW w:w="64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Date</w:t>
            </w:r>
          </w:p>
        </w:tc>
        <w:tc>
          <w:tcPr>
            <w:tcW w:w="900" w:type="dxa"/>
            <w:vAlign w:val="bottom"/>
            <w:tcBorders>
              <w:bottom w:val="single" w:sz="8" w:color="405788"/>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405788"/>
            </w:tcBorders>
          </w:tcPr>
          <w:p>
            <w:pPr>
              <w:spacing w:after="0"/>
              <w:rPr>
                <w:sz w:val="15"/>
                <w:szCs w:val="15"/>
                <w:color w:val="auto"/>
              </w:rPr>
            </w:pPr>
          </w:p>
        </w:tc>
        <w:tc>
          <w:tcPr>
            <w:tcW w:w="7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405788"/>
            </w:tcBorders>
          </w:tcPr>
          <w:p>
            <w:pPr>
              <w:jc w:val="right"/>
              <w:ind w:right="33"/>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3</w:t>
            </w:r>
          </w:p>
        </w:tc>
        <w:tc>
          <w:tcPr>
            <w:tcW w:w="920" w:type="dxa"/>
            <w:vAlign w:val="bottom"/>
            <w:tcBorders>
              <w:bottom w:val="single" w:sz="8" w:color="405788"/>
            </w:tcBorders>
          </w:tcPr>
          <w:p>
            <w:pPr>
              <w:jc w:val="right"/>
              <w:ind w:right="53"/>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4</w:t>
            </w:r>
          </w:p>
        </w:tc>
        <w:tc>
          <w:tcPr>
            <w:tcW w:w="12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($/Sh)</w:t>
            </w:r>
          </w:p>
        </w:tc>
        <w:tc>
          <w:tcPr>
            <w:tcW w:w="840" w:type="dxa"/>
            <w:vAlign w:val="bottom"/>
            <w:tcBorders>
              <w:bottom w:val="single" w:sz="8" w:color="405788"/>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5</w:t>
            </w:r>
          </w:p>
        </w:tc>
      </w:tr>
      <w:tr>
        <w:trPr>
          <w:trHeight w:val="142"/>
        </w:trPr>
        <w:tc>
          <w:tcPr>
            <w:tcW w:w="740" w:type="dxa"/>
            <w:vAlign w:val="bottom"/>
          </w:tcPr>
          <w:p>
            <w:pPr>
              <w:spacing w:after="0" w:line="143" w:lineRule="exact"/>
              <w:rPr>
                <w:sz w:val="20"/>
                <w:szCs w:val="20"/>
                <w:color w:val="auto"/>
              </w:rPr>
            </w:pPr>
            <w:r>
              <w:rPr>
                <w:rFonts w:ascii="Arial" w:cs="Arial" w:eastAsia="Arial" w:hAnsi="Arial"/>
                <w:sz w:val="13"/>
                <w:szCs w:val="13"/>
                <w:color w:val="auto"/>
              </w:rPr>
              <w:t>Todd</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0"/>
        </w:trPr>
        <w:tc>
          <w:tcPr>
            <w:tcW w:w="740" w:type="dxa"/>
            <w:vAlign w:val="bottom"/>
          </w:tcPr>
          <w:p>
            <w:pPr>
              <w:spacing w:after="0"/>
              <w:rPr>
                <w:sz w:val="20"/>
                <w:szCs w:val="20"/>
                <w:color w:val="auto"/>
              </w:rPr>
            </w:pPr>
            <w:r>
              <w:rPr>
                <w:rFonts w:ascii="Arial" w:cs="Arial" w:eastAsia="Arial" w:hAnsi="Arial"/>
                <w:sz w:val="13"/>
                <w:szCs w:val="13"/>
                <w:color w:val="auto"/>
              </w:rPr>
              <w:t>Gleason</w:t>
            </w:r>
          </w:p>
        </w:tc>
        <w:tc>
          <w:tcPr>
            <w:tcW w:w="640" w:type="dxa"/>
            <w:vAlign w:val="bottom"/>
          </w:tcPr>
          <w:p>
            <w:pPr>
              <w:spacing w:after="0"/>
              <w:rPr>
                <w:sz w:val="13"/>
                <w:szCs w:val="13"/>
                <w:color w:val="auto"/>
              </w:rPr>
            </w:pP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968,750</w:t>
            </w:r>
          </w:p>
        </w:tc>
        <w:tc>
          <w:tcPr>
            <w:tcW w:w="780" w:type="dxa"/>
            <w:vAlign w:val="bottom"/>
          </w:tcPr>
          <w:p>
            <w:pPr>
              <w:jc w:val="right"/>
              <w:spacing w:after="0"/>
              <w:rPr>
                <w:sz w:val="20"/>
                <w:szCs w:val="20"/>
                <w:color w:val="auto"/>
              </w:rPr>
            </w:pPr>
            <w:r>
              <w:rPr>
                <w:rFonts w:ascii="Arial" w:cs="Arial" w:eastAsia="Arial" w:hAnsi="Arial"/>
                <w:sz w:val="13"/>
                <w:szCs w:val="13"/>
                <w:color w:val="auto"/>
              </w:rPr>
              <w:t>1,937,500</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740" w:type="dxa"/>
            <w:vAlign w:val="bottom"/>
          </w:tcPr>
          <w:p>
            <w:pPr>
              <w:spacing w:after="0"/>
              <w:rPr>
                <w:sz w:val="13"/>
                <w:szCs w:val="13"/>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3/15/24</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25,446</w:t>
            </w: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21.32</w:t>
            </w:r>
          </w:p>
        </w:tc>
        <w:tc>
          <w:tcPr>
            <w:tcW w:w="840" w:type="dxa"/>
            <w:vAlign w:val="bottom"/>
          </w:tcPr>
          <w:p>
            <w:pPr>
              <w:jc w:val="right"/>
              <w:spacing w:after="0"/>
              <w:rPr>
                <w:sz w:val="20"/>
                <w:szCs w:val="20"/>
                <w:color w:val="auto"/>
              </w:rPr>
            </w:pPr>
            <w:r>
              <w:rPr>
                <w:rFonts w:ascii="Arial" w:cs="Arial" w:eastAsia="Arial" w:hAnsi="Arial"/>
                <w:sz w:val="13"/>
                <w:szCs w:val="13"/>
                <w:color w:val="auto"/>
              </w:rPr>
              <w:t>289,575</w:t>
            </w:r>
          </w:p>
        </w:tc>
      </w:tr>
      <w:tr>
        <w:trPr>
          <w:trHeight w:val="163"/>
        </w:trPr>
        <w:tc>
          <w:tcPr>
            <w:tcW w:w="740" w:type="dxa"/>
            <w:vAlign w:val="bottom"/>
            <w:tcBorders>
              <w:bottom w:val="single" w:sz="8" w:color="D9D9D9"/>
            </w:tcBorders>
          </w:tcPr>
          <w:p>
            <w:pPr>
              <w:spacing w:after="0"/>
              <w:rPr>
                <w:sz w:val="14"/>
                <w:szCs w:val="14"/>
                <w:color w:val="auto"/>
              </w:rPr>
            </w:pPr>
          </w:p>
        </w:tc>
        <w:tc>
          <w:tcPr>
            <w:tcW w:w="64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3/15/24</w:t>
            </w:r>
          </w:p>
        </w:tc>
        <w:tc>
          <w:tcPr>
            <w:tcW w:w="900" w:type="dxa"/>
            <w:vAlign w:val="bottom"/>
            <w:tcBorders>
              <w:bottom w:val="single" w:sz="8" w:color="D9D9D9"/>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38,169</w:t>
            </w:r>
          </w:p>
        </w:tc>
        <w:tc>
          <w:tcPr>
            <w:tcW w:w="68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76,337</w:t>
            </w:r>
          </w:p>
        </w:tc>
        <w:tc>
          <w:tcPr>
            <w:tcW w:w="7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152,674</w:t>
            </w:r>
          </w:p>
        </w:tc>
        <w:tc>
          <w:tcPr>
            <w:tcW w:w="86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1,627,505</w:t>
            </w:r>
          </w:p>
        </w:tc>
      </w:tr>
      <w:tr>
        <w:trPr>
          <w:trHeight w:val="142"/>
        </w:trPr>
        <w:tc>
          <w:tcPr>
            <w:tcW w:w="740" w:type="dxa"/>
            <w:vAlign w:val="bottom"/>
          </w:tcPr>
          <w:p>
            <w:pPr>
              <w:spacing w:after="0" w:line="143" w:lineRule="exact"/>
              <w:rPr>
                <w:sz w:val="20"/>
                <w:szCs w:val="20"/>
                <w:color w:val="auto"/>
              </w:rPr>
            </w:pPr>
            <w:r>
              <w:rPr>
                <w:rFonts w:ascii="Arial" w:cs="Arial" w:eastAsia="Arial" w:hAnsi="Arial"/>
                <w:sz w:val="13"/>
                <w:szCs w:val="13"/>
                <w:color w:val="auto"/>
              </w:rPr>
              <w:t>Peter</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0"/>
        </w:trPr>
        <w:tc>
          <w:tcPr>
            <w:tcW w:w="740" w:type="dxa"/>
            <w:vAlign w:val="bottom"/>
          </w:tcPr>
          <w:p>
            <w:pPr>
              <w:spacing w:after="0"/>
              <w:rPr>
                <w:sz w:val="20"/>
                <w:szCs w:val="20"/>
                <w:color w:val="auto"/>
              </w:rPr>
            </w:pPr>
            <w:r>
              <w:rPr>
                <w:rFonts w:ascii="Arial" w:cs="Arial" w:eastAsia="Arial" w:hAnsi="Arial"/>
                <w:sz w:val="13"/>
                <w:szCs w:val="13"/>
                <w:color w:val="auto"/>
              </w:rPr>
              <w:t>Johansson</w:t>
            </w:r>
          </w:p>
        </w:tc>
        <w:tc>
          <w:tcPr>
            <w:tcW w:w="640" w:type="dxa"/>
            <w:vAlign w:val="bottom"/>
          </w:tcPr>
          <w:p>
            <w:pPr>
              <w:spacing w:after="0"/>
              <w:rPr>
                <w:sz w:val="13"/>
                <w:szCs w:val="13"/>
                <w:color w:val="auto"/>
              </w:rPr>
            </w:pP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337,500</w:t>
            </w:r>
          </w:p>
        </w:tc>
        <w:tc>
          <w:tcPr>
            <w:tcW w:w="780" w:type="dxa"/>
            <w:vAlign w:val="bottom"/>
          </w:tcPr>
          <w:p>
            <w:pPr>
              <w:jc w:val="right"/>
              <w:spacing w:after="0"/>
              <w:rPr>
                <w:sz w:val="20"/>
                <w:szCs w:val="20"/>
                <w:color w:val="auto"/>
              </w:rPr>
            </w:pPr>
            <w:r>
              <w:rPr>
                <w:rFonts w:ascii="Arial" w:cs="Arial" w:eastAsia="Arial" w:hAnsi="Arial"/>
                <w:sz w:val="13"/>
                <w:szCs w:val="13"/>
                <w:color w:val="auto"/>
              </w:rPr>
              <w:t>675,000</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740" w:type="dxa"/>
            <w:vAlign w:val="bottom"/>
          </w:tcPr>
          <w:p>
            <w:pPr>
              <w:spacing w:after="0"/>
              <w:rPr>
                <w:sz w:val="13"/>
                <w:szCs w:val="13"/>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3/15/24</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13,192</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281,253</w:t>
            </w:r>
          </w:p>
        </w:tc>
      </w:tr>
      <w:tr>
        <w:trPr>
          <w:trHeight w:val="163"/>
        </w:trPr>
        <w:tc>
          <w:tcPr>
            <w:tcW w:w="740" w:type="dxa"/>
            <w:vAlign w:val="bottom"/>
            <w:tcBorders>
              <w:bottom w:val="single" w:sz="8" w:color="D9D9D9"/>
            </w:tcBorders>
          </w:tcPr>
          <w:p>
            <w:pPr>
              <w:spacing w:after="0"/>
              <w:rPr>
                <w:sz w:val="14"/>
                <w:szCs w:val="14"/>
                <w:color w:val="auto"/>
              </w:rPr>
            </w:pPr>
          </w:p>
        </w:tc>
        <w:tc>
          <w:tcPr>
            <w:tcW w:w="64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3/15/24</w:t>
            </w:r>
          </w:p>
        </w:tc>
        <w:tc>
          <w:tcPr>
            <w:tcW w:w="900" w:type="dxa"/>
            <w:vAlign w:val="bottom"/>
            <w:tcBorders>
              <w:bottom w:val="single" w:sz="8" w:color="D9D9D9"/>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6,596</w:t>
            </w:r>
          </w:p>
        </w:tc>
        <w:tc>
          <w:tcPr>
            <w:tcW w:w="68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13,192</w:t>
            </w:r>
          </w:p>
        </w:tc>
        <w:tc>
          <w:tcPr>
            <w:tcW w:w="7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26,384</w:t>
            </w:r>
          </w:p>
        </w:tc>
        <w:tc>
          <w:tcPr>
            <w:tcW w:w="86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281,253</w:t>
            </w:r>
          </w:p>
        </w:tc>
      </w:tr>
      <w:tr>
        <w:trPr>
          <w:trHeight w:val="142"/>
        </w:trPr>
        <w:tc>
          <w:tcPr>
            <w:tcW w:w="740" w:type="dxa"/>
            <w:vAlign w:val="bottom"/>
          </w:tcPr>
          <w:p>
            <w:pPr>
              <w:spacing w:after="0" w:line="143" w:lineRule="exact"/>
              <w:rPr>
                <w:sz w:val="20"/>
                <w:szCs w:val="20"/>
                <w:color w:val="auto"/>
              </w:rPr>
            </w:pPr>
            <w:r>
              <w:rPr>
                <w:rFonts w:ascii="Arial" w:cs="Arial" w:eastAsia="Arial" w:hAnsi="Arial"/>
                <w:sz w:val="13"/>
                <w:szCs w:val="13"/>
                <w:color w:val="auto"/>
              </w:rPr>
              <w:t>Lynn</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0"/>
        </w:trPr>
        <w:tc>
          <w:tcPr>
            <w:tcW w:w="740" w:type="dxa"/>
            <w:vAlign w:val="bottom"/>
          </w:tcPr>
          <w:p>
            <w:pPr>
              <w:spacing w:after="0"/>
              <w:rPr>
                <w:sz w:val="20"/>
                <w:szCs w:val="20"/>
                <w:color w:val="auto"/>
              </w:rPr>
            </w:pPr>
            <w:r>
              <w:rPr>
                <w:rFonts w:ascii="Arial" w:cs="Arial" w:eastAsia="Arial" w:hAnsi="Arial"/>
                <w:sz w:val="13"/>
                <w:szCs w:val="13"/>
                <w:color w:val="auto"/>
              </w:rPr>
              <w:t>Watkins-</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740" w:type="dxa"/>
            <w:vAlign w:val="bottom"/>
          </w:tcPr>
          <w:p>
            <w:pPr>
              <w:spacing w:after="0"/>
              <w:rPr>
                <w:sz w:val="20"/>
                <w:szCs w:val="20"/>
                <w:color w:val="auto"/>
              </w:rPr>
            </w:pPr>
            <w:r>
              <w:rPr>
                <w:rFonts w:ascii="Arial" w:cs="Arial" w:eastAsia="Arial" w:hAnsi="Arial"/>
                <w:sz w:val="13"/>
                <w:szCs w:val="13"/>
                <w:color w:val="auto"/>
              </w:rPr>
              <w:t>Asiyanbi</w:t>
            </w:r>
          </w:p>
        </w:tc>
        <w:tc>
          <w:tcPr>
            <w:tcW w:w="640" w:type="dxa"/>
            <w:vAlign w:val="bottom"/>
          </w:tcPr>
          <w:p>
            <w:pPr>
              <w:spacing w:after="0"/>
              <w:rPr>
                <w:sz w:val="13"/>
                <w:szCs w:val="13"/>
                <w:color w:val="auto"/>
              </w:rPr>
            </w:pP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300,000</w:t>
            </w:r>
          </w:p>
        </w:tc>
        <w:tc>
          <w:tcPr>
            <w:tcW w:w="780" w:type="dxa"/>
            <w:vAlign w:val="bottom"/>
          </w:tcPr>
          <w:p>
            <w:pPr>
              <w:jc w:val="right"/>
              <w:spacing w:after="0"/>
              <w:rPr>
                <w:sz w:val="20"/>
                <w:szCs w:val="20"/>
                <w:color w:val="auto"/>
              </w:rPr>
            </w:pPr>
            <w:r>
              <w:rPr>
                <w:rFonts w:ascii="Arial" w:cs="Arial" w:eastAsia="Arial" w:hAnsi="Arial"/>
                <w:sz w:val="13"/>
                <w:szCs w:val="13"/>
                <w:color w:val="auto"/>
              </w:rPr>
              <w:t>600,000</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740" w:type="dxa"/>
            <w:vAlign w:val="bottom"/>
          </w:tcPr>
          <w:p>
            <w:pPr>
              <w:spacing w:after="0"/>
              <w:rPr>
                <w:sz w:val="13"/>
                <w:szCs w:val="13"/>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3/15/24</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11,727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250,020</w:t>
            </w:r>
          </w:p>
        </w:tc>
      </w:tr>
      <w:tr>
        <w:trPr>
          <w:trHeight w:val="158"/>
        </w:trPr>
        <w:tc>
          <w:tcPr>
            <w:tcW w:w="740" w:type="dxa"/>
            <w:vAlign w:val="bottom"/>
            <w:tcBorders>
              <w:bottom w:val="single" w:sz="8" w:color="405788"/>
            </w:tcBorders>
          </w:tcPr>
          <w:p>
            <w:pPr>
              <w:spacing w:after="0"/>
              <w:rPr>
                <w:sz w:val="13"/>
                <w:szCs w:val="13"/>
                <w:color w:val="auto"/>
              </w:rPr>
            </w:pPr>
          </w:p>
        </w:tc>
        <w:tc>
          <w:tcPr>
            <w:tcW w:w="640" w:type="dxa"/>
            <w:vAlign w:val="bottom"/>
            <w:tcBorders>
              <w:bottom w:val="single" w:sz="8" w:color="405788"/>
            </w:tcBorders>
          </w:tcPr>
          <w:p>
            <w:pPr>
              <w:jc w:val="right"/>
              <w:ind w:right="33"/>
              <w:spacing w:after="0"/>
              <w:rPr>
                <w:sz w:val="20"/>
                <w:szCs w:val="20"/>
                <w:color w:val="auto"/>
              </w:rPr>
            </w:pPr>
            <w:r>
              <w:rPr>
                <w:rFonts w:ascii="Arial" w:cs="Arial" w:eastAsia="Arial" w:hAnsi="Arial"/>
                <w:sz w:val="13"/>
                <w:szCs w:val="13"/>
                <w:color w:val="auto"/>
              </w:rPr>
              <w:t>3/15/24</w:t>
            </w:r>
          </w:p>
        </w:tc>
        <w:tc>
          <w:tcPr>
            <w:tcW w:w="900" w:type="dxa"/>
            <w:vAlign w:val="bottom"/>
            <w:tcBorders>
              <w:bottom w:val="single" w:sz="8" w:color="405788"/>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405788"/>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5,864</w:t>
            </w:r>
          </w:p>
        </w:tc>
        <w:tc>
          <w:tcPr>
            <w:tcW w:w="68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11,727</w:t>
            </w:r>
          </w:p>
        </w:tc>
        <w:tc>
          <w:tcPr>
            <w:tcW w:w="72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23,454</w:t>
            </w:r>
          </w:p>
        </w:tc>
        <w:tc>
          <w:tcPr>
            <w:tcW w:w="860" w:type="dxa"/>
            <w:vAlign w:val="bottom"/>
            <w:tcBorders>
              <w:bottom w:val="single" w:sz="8" w:color="405788"/>
            </w:tcBorders>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250,020</w:t>
            </w:r>
          </w:p>
        </w:tc>
      </w:tr>
    </w:tbl>
    <w:p>
      <w:pPr>
        <w:spacing w:after="0" w:line="113" w:lineRule="exact"/>
        <w:rPr>
          <w:sz w:val="20"/>
          <w:szCs w:val="20"/>
          <w:color w:val="auto"/>
        </w:rPr>
      </w:pPr>
    </w:p>
    <w:p>
      <w:pPr>
        <w:ind w:left="300" w:right="60" w:hanging="299"/>
        <w:spacing w:after="0" w:line="255" w:lineRule="auto"/>
        <w:tabs>
          <w:tab w:leader="none" w:pos="3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amounts shown in the "Target" and "Maximum" columns consist of annual performance-based cash compensation opportunities for 2024 provided to the named executive officers and further described in the CD&amp;A above. The "Threshold" column shows dashes because the ultimate value of the performance-based compensation opportunities could be reduced to zero. The Actual payout for 2024 is shown in the "2024 Summary Compensation Table".</w:t>
      </w:r>
    </w:p>
    <w:p>
      <w:pPr>
        <w:spacing w:after="0" w:line="66" w:lineRule="exact"/>
        <w:rPr>
          <w:rFonts w:ascii="Arial" w:cs="Arial" w:eastAsia="Arial" w:hAnsi="Arial"/>
          <w:sz w:val="15"/>
          <w:szCs w:val="15"/>
          <w:color w:val="auto"/>
        </w:rPr>
      </w:pPr>
    </w:p>
    <w:p>
      <w:pPr>
        <w:ind w:left="300" w:right="20" w:hanging="299"/>
        <w:spacing w:after="0" w:line="255" w:lineRule="auto"/>
        <w:tabs>
          <w:tab w:leader="none" w:pos="3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amounts shown in the “Threshold,” “Target” and “Maximum” columns for Messrs. Gleason and Johansson and Ms. Watkins-Asiyanbi represent the potential payout levels with respect to PRSU awards granted to such officers in 2024, which amounts may be earned based on Relative TSR performance during the 2024-2026 performance period and will generally vest, subject to continued employment, on December 31, 2026.</w:t>
      </w:r>
    </w:p>
    <w:p>
      <w:pPr>
        <w:spacing w:after="0" w:line="66" w:lineRule="exact"/>
        <w:rPr>
          <w:rFonts w:ascii="Arial" w:cs="Arial" w:eastAsia="Arial" w:hAnsi="Arial"/>
          <w:sz w:val="15"/>
          <w:szCs w:val="15"/>
          <w:color w:val="auto"/>
        </w:rPr>
      </w:pPr>
    </w:p>
    <w:p>
      <w:pPr>
        <w:ind w:left="300" w:right="180" w:hanging="299"/>
        <w:spacing w:after="0" w:line="278" w:lineRule="auto"/>
        <w:tabs>
          <w:tab w:leader="none" w:pos="3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amounts shown in this column consist of RSU awards, which generally vest in three substantially equal annual installments on each of the first three anniversaries of the grant date.</w:t>
      </w:r>
    </w:p>
    <w:p>
      <w:pPr>
        <w:spacing w:after="0" w:line="50" w:lineRule="exact"/>
        <w:rPr>
          <w:rFonts w:ascii="Arial" w:cs="Arial" w:eastAsia="Arial" w:hAnsi="Arial"/>
          <w:sz w:val="15"/>
          <w:szCs w:val="15"/>
          <w:color w:val="auto"/>
        </w:rPr>
      </w:pPr>
    </w:p>
    <w:p>
      <w:pPr>
        <w:ind w:left="300" w:right="120" w:hanging="299"/>
        <w:spacing w:after="0" w:line="278" w:lineRule="auto"/>
        <w:tabs>
          <w:tab w:leader="none" w:pos="3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amounts shown in this column consist of stock option awards, which generally vest in three substantially equal annual installments on each of the first three anniversaries of the grant date.</w:t>
      </w:r>
    </w:p>
    <w:p>
      <w:pPr>
        <w:spacing w:after="0" w:line="50" w:lineRule="exact"/>
        <w:rPr>
          <w:rFonts w:ascii="Arial" w:cs="Arial" w:eastAsia="Arial" w:hAnsi="Arial"/>
          <w:sz w:val="15"/>
          <w:szCs w:val="15"/>
          <w:color w:val="auto"/>
        </w:rPr>
      </w:pPr>
    </w:p>
    <w:p>
      <w:pPr>
        <w:ind w:left="300" w:right="20" w:hanging="299"/>
        <w:spacing w:after="0" w:line="255" w:lineRule="auto"/>
        <w:tabs>
          <w:tab w:leader="none" w:pos="3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amounts shown in this column represent the grant date fair value of stock and option awards calculated in accordance with FASB ASC Topic 718, disregarding estimated forfeitures, rather than amounts realized by the named executive officers. Assumptions used in calculating these amounts are included in Note 9 to the Company’s consolidated financial statements included in our Annual Report on Form 10-K for the year ended December 31, 2024.</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For information regarding the terms of the employment agreements in effect with our named executive officers during 2024, please see “Potential Payments Upon Termination or Change in Control.” For information regarding the terms of the awards described in the table above, please see “Compensation Discussion and Analysis.” For more information about the amount of salary and bonus earned in relation to total compensation, please see “2024 Executive Compensation” in the CD&amp;A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357505</wp:posOffset>
            </wp:positionV>
            <wp:extent cx="483870" cy="222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2024 Outstanding Equity Awards at Fiscal Year-End Table</w:t>
      </w:r>
    </w:p>
    <w:p>
      <w:pPr>
        <w:spacing w:after="0" w:line="92"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following table sets forth information regarding outstanding equity awards for each named executive officer as of December 31, 2024.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bottom w:val="single" w:sz="8" w:color="405788"/>
            </w:tcBorders>
          </w:tcPr>
          <w:p>
            <w:pPr>
              <w:spacing w:after="0"/>
              <w:rPr>
                <w:sz w:val="12"/>
                <w:szCs w:val="12"/>
                <w:color w:val="auto"/>
              </w:rPr>
            </w:pPr>
          </w:p>
        </w:tc>
        <w:tc>
          <w:tcPr>
            <w:tcW w:w="132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Option Awards</w:t>
            </w:r>
          </w:p>
        </w:tc>
        <w:tc>
          <w:tcPr>
            <w:tcW w:w="620" w:type="dxa"/>
            <w:vAlign w:val="bottom"/>
            <w:tcBorders>
              <w:bottom w:val="single" w:sz="8" w:color="405788"/>
            </w:tcBorders>
          </w:tcPr>
          <w:p>
            <w:pPr>
              <w:spacing w:after="0"/>
              <w:rPr>
                <w:sz w:val="12"/>
                <w:szCs w:val="12"/>
                <w:color w:val="auto"/>
              </w:rPr>
            </w:pPr>
          </w:p>
        </w:tc>
        <w:tc>
          <w:tcPr>
            <w:tcW w:w="740" w:type="dxa"/>
            <w:vAlign w:val="bottom"/>
            <w:tcBorders>
              <w:bottom w:val="single" w:sz="8" w:color="405788"/>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405788"/>
            </w:tcBorders>
          </w:tcPr>
          <w:p>
            <w:pPr>
              <w:spacing w:after="0"/>
              <w:rPr>
                <w:sz w:val="12"/>
                <w:szCs w:val="12"/>
                <w:color w:val="auto"/>
              </w:rPr>
            </w:pPr>
          </w:p>
        </w:tc>
        <w:tc>
          <w:tcPr>
            <w:tcW w:w="1700" w:type="dxa"/>
            <w:vAlign w:val="bottom"/>
            <w:tcBorders>
              <w:bottom w:val="single" w:sz="8" w:color="405788"/>
            </w:tcBorders>
            <w:gridSpan w:val="2"/>
          </w:tcPr>
          <w:p>
            <w:pPr>
              <w:jc w:val="right"/>
              <w:ind w:right="362"/>
              <w:spacing w:after="0"/>
              <w:rPr>
                <w:sz w:val="20"/>
                <w:szCs w:val="20"/>
                <w:color w:val="auto"/>
              </w:rPr>
            </w:pPr>
            <w:r>
              <w:rPr>
                <w:rFonts w:ascii="Arial" w:cs="Arial" w:eastAsia="Arial" w:hAnsi="Arial"/>
                <w:sz w:val="12"/>
                <w:szCs w:val="12"/>
                <w:b w:val="1"/>
                <w:bCs w:val="1"/>
                <w:color w:val="auto"/>
              </w:rPr>
              <w:t>Stock Awards</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Equity</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Plan</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Plan</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Market or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Awards:</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Payout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Market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Number of</w:t>
            </w:r>
          </w:p>
        </w:tc>
        <w:tc>
          <w:tcPr>
            <w:tcW w:w="1320" w:type="dxa"/>
            <w:vAlign w:val="bottom"/>
            <w:vMerge w:val="restart"/>
          </w:tcPr>
          <w:p>
            <w:pPr>
              <w:jc w:val="right"/>
              <w:ind w:right="242"/>
              <w:spacing w:after="0"/>
              <w:rPr>
                <w:sz w:val="20"/>
                <w:szCs w:val="20"/>
                <w:color w:val="auto"/>
              </w:rPr>
            </w:pPr>
            <w:r>
              <w:rPr>
                <w:rFonts w:ascii="Arial" w:cs="Arial" w:eastAsia="Arial" w:hAnsi="Arial"/>
                <w:sz w:val="12"/>
                <w:szCs w:val="12"/>
                <w:b w:val="1"/>
                <w:bCs w:val="1"/>
                <w:color w:val="auto"/>
              </w:rPr>
              <w:t>Number of</w:t>
            </w: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Number of</w:t>
            </w:r>
          </w:p>
        </w:tc>
        <w:tc>
          <w:tcPr>
            <w:tcW w:w="90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Unearned</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Value of</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Securities</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Shares or</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Shares or</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Units or</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Units or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Underlying</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b w:val="1"/>
                <w:bCs w:val="1"/>
                <w:color w:val="auto"/>
              </w:rPr>
              <w:t>Underlying</w:t>
            </w: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Option</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Option</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Units of</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Units of</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Unexercised</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b w:val="1"/>
                <w:bCs w:val="1"/>
                <w:color w:val="auto"/>
              </w:rPr>
              <w:t>Unexercised</w:t>
            </w:r>
          </w:p>
        </w:tc>
        <w:tc>
          <w:tcPr>
            <w:tcW w:w="62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Stock That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Stock That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Rights That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Rights That</w:t>
            </w:r>
          </w:p>
        </w:tc>
        <w:tc>
          <w:tcPr>
            <w:tcW w:w="0" w:type="dxa"/>
            <w:vAlign w:val="bottom"/>
          </w:tcPr>
          <w:p>
            <w:pPr>
              <w:spacing w:after="0"/>
              <w:rPr>
                <w:sz w:val="1"/>
                <w:szCs w:val="1"/>
                <w:color w:val="auto"/>
              </w:rPr>
            </w:pPr>
          </w:p>
        </w:tc>
      </w:tr>
      <w:tr>
        <w:trPr>
          <w:trHeight w:val="125"/>
        </w:trPr>
        <w:tc>
          <w:tcPr>
            <w:tcW w:w="1540" w:type="dxa"/>
            <w:vAlign w:val="bottom"/>
            <w:vMerge w:val="restart"/>
          </w:tcPr>
          <w:p>
            <w:pPr>
              <w:ind w:left="700"/>
              <w:spacing w:after="0"/>
              <w:rPr>
                <w:sz w:val="20"/>
                <w:szCs w:val="20"/>
                <w:color w:val="auto"/>
              </w:rPr>
            </w:pPr>
            <w:r>
              <w:rPr>
                <w:rFonts w:ascii="Arial" w:cs="Arial" w:eastAsia="Arial" w:hAnsi="Arial"/>
                <w:sz w:val="12"/>
                <w:szCs w:val="12"/>
                <w:b w:val="1"/>
                <w:bCs w:val="1"/>
                <w:color w:val="auto"/>
              </w:rPr>
              <w:t>Name</w:t>
            </w:r>
          </w:p>
        </w:tc>
        <w:tc>
          <w:tcPr>
            <w:tcW w:w="1140" w:type="dxa"/>
            <w:vAlign w:val="bottom"/>
            <w:vMerge w:val="restart"/>
          </w:tcPr>
          <w:p>
            <w:pPr>
              <w:jc w:val="center"/>
              <w:ind w:left="162"/>
              <w:spacing w:after="0"/>
              <w:rPr>
                <w:sz w:val="20"/>
                <w:szCs w:val="20"/>
                <w:color w:val="auto"/>
              </w:rPr>
            </w:pPr>
            <w:r>
              <w:rPr>
                <w:rFonts w:ascii="Arial" w:cs="Arial" w:eastAsia="Arial" w:hAnsi="Arial"/>
                <w:sz w:val="12"/>
                <w:szCs w:val="12"/>
                <w:b w:val="1"/>
                <w:bCs w:val="1"/>
                <w:color w:val="auto"/>
                <w:w w:val="97"/>
              </w:rPr>
              <w:t>Grant Date</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Options (#)</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b w:val="1"/>
                <w:bCs w:val="1"/>
                <w:color w:val="auto"/>
              </w:rPr>
              <w:t>Options (#)</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w w:val="97"/>
              </w:rPr>
              <w:t>Exercise</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Expiration</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Have Not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Have Not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Have Not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Have Not</w:t>
            </w:r>
          </w:p>
        </w:tc>
        <w:tc>
          <w:tcPr>
            <w:tcW w:w="0" w:type="dxa"/>
            <w:vAlign w:val="bottom"/>
          </w:tcPr>
          <w:p>
            <w:pPr>
              <w:spacing w:after="0"/>
              <w:rPr>
                <w:sz w:val="1"/>
                <w:szCs w:val="1"/>
                <w:color w:val="auto"/>
              </w:rPr>
            </w:pPr>
          </w:p>
        </w:tc>
      </w:tr>
      <w:tr>
        <w:trPr>
          <w:trHeight w:val="148"/>
        </w:trPr>
        <w:tc>
          <w:tcPr>
            <w:tcW w:w="1540" w:type="dxa"/>
            <w:vAlign w:val="bottom"/>
            <w:tcBorders>
              <w:bottom w:val="single" w:sz="8" w:color="405788"/>
            </w:tcBorders>
            <w:vMerge w:val="continue"/>
          </w:tcPr>
          <w:p>
            <w:pPr>
              <w:spacing w:after="0"/>
              <w:rPr>
                <w:sz w:val="12"/>
                <w:szCs w:val="12"/>
                <w:color w:val="auto"/>
              </w:rPr>
            </w:pPr>
          </w:p>
        </w:tc>
        <w:tc>
          <w:tcPr>
            <w:tcW w:w="1140" w:type="dxa"/>
            <w:vAlign w:val="bottom"/>
            <w:tcBorders>
              <w:bottom w:val="single" w:sz="8" w:color="405788"/>
            </w:tcBorders>
            <w:vMerge w:val="continue"/>
          </w:tcPr>
          <w:p>
            <w:pPr>
              <w:spacing w:after="0"/>
              <w:rPr>
                <w:sz w:val="12"/>
                <w:szCs w:val="12"/>
                <w:color w:val="auto"/>
              </w:rPr>
            </w:pPr>
          </w:p>
        </w:tc>
        <w:tc>
          <w:tcPr>
            <w:tcW w:w="92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Exercisable</w:t>
            </w:r>
          </w:p>
        </w:tc>
        <w:tc>
          <w:tcPr>
            <w:tcW w:w="1320" w:type="dxa"/>
            <w:vAlign w:val="bottom"/>
            <w:tcBorders>
              <w:bottom w:val="single" w:sz="8" w:color="405788"/>
            </w:tcBorders>
          </w:tcPr>
          <w:p>
            <w:pPr>
              <w:jc w:val="right"/>
              <w:ind w:right="242"/>
              <w:spacing w:after="0" w:line="142" w:lineRule="exact"/>
              <w:rPr>
                <w:sz w:val="20"/>
                <w:szCs w:val="20"/>
                <w:color w:val="auto"/>
              </w:rPr>
            </w:pPr>
            <w:r>
              <w:rPr>
                <w:rFonts w:ascii="Arial" w:cs="Arial" w:eastAsia="Arial" w:hAnsi="Arial"/>
                <w:sz w:val="11"/>
                <w:szCs w:val="11"/>
                <w:b w:val="1"/>
                <w:bCs w:val="1"/>
                <w:color w:val="auto"/>
              </w:rPr>
              <w:t xml:space="preserve">Unexercisable </w:t>
            </w:r>
            <w:r>
              <w:rPr>
                <w:rFonts w:ascii="Arial" w:cs="Arial" w:eastAsia="Arial" w:hAnsi="Arial"/>
                <w:sz w:val="16"/>
                <w:szCs w:val="16"/>
                <w:b w:val="1"/>
                <w:bCs w:val="1"/>
                <w:color w:val="auto"/>
                <w:vertAlign w:val="superscript"/>
              </w:rPr>
              <w:t>1</w:t>
            </w:r>
          </w:p>
        </w:tc>
        <w:tc>
          <w:tcPr>
            <w:tcW w:w="620" w:type="dxa"/>
            <w:vAlign w:val="bottom"/>
            <w:tcBorders>
              <w:bottom w:val="single" w:sz="8" w:color="405788"/>
            </w:tcBorders>
          </w:tcPr>
          <w:p>
            <w:pPr>
              <w:jc w:val="right"/>
              <w:ind w:right="62"/>
              <w:spacing w:after="0"/>
              <w:rPr>
                <w:sz w:val="20"/>
                <w:szCs w:val="20"/>
                <w:color w:val="auto"/>
              </w:rPr>
            </w:pPr>
            <w:r>
              <w:rPr>
                <w:rFonts w:ascii="Arial" w:cs="Arial" w:eastAsia="Arial" w:hAnsi="Arial"/>
                <w:sz w:val="12"/>
                <w:szCs w:val="12"/>
                <w:b w:val="1"/>
                <w:bCs w:val="1"/>
                <w:color w:val="auto"/>
              </w:rPr>
              <w:t>Price ($)</w:t>
            </w:r>
          </w:p>
        </w:tc>
        <w:tc>
          <w:tcPr>
            <w:tcW w:w="900" w:type="dxa"/>
            <w:vAlign w:val="bottom"/>
            <w:tcBorders>
              <w:bottom w:val="single" w:sz="8" w:color="405788"/>
            </w:tcBorders>
            <w:gridSpan w:val="2"/>
          </w:tcPr>
          <w:p>
            <w:pPr>
              <w:jc w:val="right"/>
              <w:ind w:right="200"/>
              <w:spacing w:after="0"/>
              <w:rPr>
                <w:sz w:val="20"/>
                <w:szCs w:val="20"/>
                <w:color w:val="auto"/>
              </w:rPr>
            </w:pPr>
            <w:r>
              <w:rPr>
                <w:rFonts w:ascii="Arial" w:cs="Arial" w:eastAsia="Arial" w:hAnsi="Arial"/>
                <w:sz w:val="12"/>
                <w:szCs w:val="12"/>
                <w:b w:val="1"/>
                <w:bCs w:val="1"/>
                <w:color w:val="auto"/>
              </w:rPr>
              <w:t>Date</w:t>
            </w:r>
          </w:p>
        </w:tc>
        <w:tc>
          <w:tcPr>
            <w:tcW w:w="84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2</w:t>
            </w:r>
          </w:p>
        </w:tc>
        <w:tc>
          <w:tcPr>
            <w:tcW w:w="90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3</w:t>
            </w:r>
          </w:p>
        </w:tc>
        <w:tc>
          <w:tcPr>
            <w:tcW w:w="80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Vested (#)</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Todd Gleason</w:t>
            </w:r>
          </w:p>
        </w:tc>
        <w:tc>
          <w:tcPr>
            <w:tcW w:w="1140" w:type="dxa"/>
            <w:vAlign w:val="bottom"/>
          </w:tcPr>
          <w:p>
            <w:pPr>
              <w:jc w:val="center"/>
              <w:ind w:left="122"/>
              <w:spacing w:after="0" w:line="110" w:lineRule="exact"/>
              <w:rPr>
                <w:sz w:val="20"/>
                <w:szCs w:val="20"/>
                <w:color w:val="auto"/>
              </w:rPr>
            </w:pPr>
            <w:r>
              <w:rPr>
                <w:rFonts w:ascii="Arial" w:cs="Arial" w:eastAsia="Arial" w:hAnsi="Arial"/>
                <w:sz w:val="12"/>
                <w:szCs w:val="12"/>
                <w:color w:val="auto"/>
                <w:w w:val="94"/>
              </w:rPr>
              <w:t>03/15/24</w:t>
            </w:r>
          </w:p>
        </w:tc>
        <w:tc>
          <w:tcPr>
            <w:tcW w:w="92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10"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10"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76,337</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4</w:t>
            </w: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2,307,668</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03/15/24</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25,446</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21.32</w:t>
            </w:r>
          </w:p>
        </w:tc>
        <w:tc>
          <w:tcPr>
            <w:tcW w:w="740" w:type="dxa"/>
            <w:vAlign w:val="bottom"/>
          </w:tcPr>
          <w:p>
            <w:pPr>
              <w:jc w:val="right"/>
              <w:spacing w:after="0" w:line="125" w:lineRule="exact"/>
              <w:rPr>
                <w:sz w:val="20"/>
                <w:szCs w:val="20"/>
                <w:color w:val="auto"/>
              </w:rPr>
            </w:pPr>
            <w:r>
              <w:rPr>
                <w:rFonts w:ascii="Arial" w:cs="Arial" w:eastAsia="Arial" w:hAnsi="Arial"/>
                <w:sz w:val="12"/>
                <w:szCs w:val="12"/>
                <w:color w:val="auto"/>
              </w:rPr>
              <w:t>3/15/2034</w:t>
            </w:r>
          </w:p>
        </w:tc>
        <w:tc>
          <w:tcPr>
            <w:tcW w:w="160" w:type="dxa"/>
            <w:vAlign w:val="bottom"/>
          </w:tcPr>
          <w:p>
            <w:pPr>
              <w:spacing w:after="0"/>
              <w:rPr>
                <w:sz w:val="10"/>
                <w:szCs w:val="10"/>
                <w:color w:val="auto"/>
              </w:rPr>
            </w:pP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07/05/23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337,500</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5</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10,202,625</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03/31/23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16,083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486,189</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03/31/23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66,715</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6</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2,016,794</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03/07/22</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28,958</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875,400</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03/07/22</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202,705</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7</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6,127,772</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04/01/21</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9,192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277,874</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07/06/20</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316,902</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6.36</w:t>
            </w:r>
          </w:p>
        </w:tc>
        <w:tc>
          <w:tcPr>
            <w:tcW w:w="740" w:type="dxa"/>
            <w:vAlign w:val="bottom"/>
          </w:tcPr>
          <w:p>
            <w:pPr>
              <w:jc w:val="right"/>
              <w:spacing w:after="0" w:line="125" w:lineRule="exact"/>
              <w:rPr>
                <w:sz w:val="20"/>
                <w:szCs w:val="20"/>
                <w:color w:val="auto"/>
              </w:rPr>
            </w:pPr>
            <w:r>
              <w:rPr>
                <w:rFonts w:ascii="Arial" w:cs="Arial" w:eastAsia="Arial" w:hAnsi="Arial"/>
                <w:sz w:val="12"/>
                <w:szCs w:val="12"/>
                <w:color w:val="auto"/>
              </w:rPr>
              <w:t>7/6/2027</w:t>
            </w:r>
          </w:p>
        </w:tc>
        <w:tc>
          <w:tcPr>
            <w:tcW w:w="160" w:type="dxa"/>
            <w:vAlign w:val="bottom"/>
          </w:tcPr>
          <w:p>
            <w:pPr>
              <w:spacing w:after="0"/>
              <w:rPr>
                <w:sz w:val="10"/>
                <w:szCs w:val="10"/>
                <w:color w:val="auto"/>
              </w:rPr>
            </w:pP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40" w:type="dxa"/>
            <w:vAlign w:val="bottom"/>
            <w:tcBorders>
              <w:bottom w:val="single" w:sz="8" w:color="D9D9D9"/>
            </w:tcBorders>
          </w:tcPr>
          <w:p>
            <w:pPr>
              <w:spacing w:after="0"/>
              <w:rPr>
                <w:sz w:val="12"/>
                <w:szCs w:val="12"/>
                <w:color w:val="auto"/>
              </w:rPr>
            </w:pPr>
          </w:p>
        </w:tc>
        <w:tc>
          <w:tcPr>
            <w:tcW w:w="1140" w:type="dxa"/>
            <w:vAlign w:val="bottom"/>
            <w:tcBorders>
              <w:bottom w:val="single" w:sz="8" w:color="D9D9D9"/>
            </w:tcBorders>
          </w:tcPr>
          <w:p>
            <w:pPr>
              <w:jc w:val="center"/>
              <w:ind w:left="122"/>
              <w:spacing w:after="0"/>
              <w:rPr>
                <w:sz w:val="20"/>
                <w:szCs w:val="20"/>
                <w:color w:val="auto"/>
              </w:rPr>
            </w:pPr>
            <w:r>
              <w:rPr>
                <w:rFonts w:ascii="Arial" w:cs="Arial" w:eastAsia="Arial" w:hAnsi="Arial"/>
                <w:sz w:val="12"/>
                <w:szCs w:val="12"/>
                <w:color w:val="auto"/>
                <w:w w:val="94"/>
              </w:rPr>
              <w:t>07/06/20</w:t>
            </w:r>
          </w:p>
        </w:tc>
        <w:tc>
          <w:tcPr>
            <w:tcW w:w="92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898,204</w:t>
            </w:r>
          </w:p>
        </w:tc>
        <w:tc>
          <w:tcPr>
            <w:tcW w:w="1320" w:type="dxa"/>
            <w:vAlign w:val="bottom"/>
            <w:tcBorders>
              <w:bottom w:val="single" w:sz="8" w:color="D9D9D9"/>
            </w:tcBorders>
          </w:tcPr>
          <w:p>
            <w:pPr>
              <w:jc w:val="right"/>
              <w:ind w:right="24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D9D9D9"/>
            </w:tcBorders>
          </w:tcPr>
          <w:p>
            <w:pPr>
              <w:jc w:val="right"/>
              <w:ind w:right="62"/>
              <w:spacing w:after="0"/>
              <w:rPr>
                <w:sz w:val="20"/>
                <w:szCs w:val="20"/>
                <w:color w:val="auto"/>
              </w:rPr>
            </w:pPr>
            <w:r>
              <w:rPr>
                <w:rFonts w:ascii="Arial" w:cs="Arial" w:eastAsia="Arial" w:hAnsi="Arial"/>
                <w:sz w:val="12"/>
                <w:szCs w:val="12"/>
                <w:color w:val="auto"/>
              </w:rPr>
              <w:t>12.72</w:t>
            </w:r>
          </w:p>
        </w:tc>
        <w:tc>
          <w:tcPr>
            <w:tcW w:w="74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7/6/2027</w:t>
            </w:r>
          </w:p>
        </w:tc>
        <w:tc>
          <w:tcPr>
            <w:tcW w:w="160" w:type="dxa"/>
            <w:vAlign w:val="bottom"/>
            <w:tcBorders>
              <w:bottom w:val="single" w:sz="8" w:color="D9D9D9"/>
            </w:tcBorders>
          </w:tcPr>
          <w:p>
            <w:pPr>
              <w:spacing w:after="0"/>
              <w:rPr>
                <w:sz w:val="12"/>
                <w:szCs w:val="12"/>
                <w:color w:val="auto"/>
              </w:rPr>
            </w:pPr>
          </w:p>
        </w:tc>
        <w:tc>
          <w:tcPr>
            <w:tcW w:w="84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9D9D9"/>
            </w:tcBorders>
          </w:tcPr>
          <w:p>
            <w:pPr>
              <w:spacing w:after="0"/>
              <w:rPr>
                <w:sz w:val="12"/>
                <w:szCs w:val="12"/>
                <w:color w:val="auto"/>
              </w:rPr>
            </w:pP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Peter Johansson</w:t>
            </w:r>
          </w:p>
        </w:tc>
        <w:tc>
          <w:tcPr>
            <w:tcW w:w="1140" w:type="dxa"/>
            <w:vAlign w:val="bottom"/>
          </w:tcPr>
          <w:p>
            <w:pPr>
              <w:jc w:val="center"/>
              <w:ind w:left="122"/>
              <w:spacing w:after="0" w:line="110" w:lineRule="exact"/>
              <w:rPr>
                <w:sz w:val="20"/>
                <w:szCs w:val="20"/>
                <w:color w:val="auto"/>
              </w:rPr>
            </w:pPr>
            <w:r>
              <w:rPr>
                <w:rFonts w:ascii="Arial" w:cs="Arial" w:eastAsia="Arial" w:hAnsi="Arial"/>
                <w:sz w:val="12"/>
                <w:szCs w:val="12"/>
                <w:color w:val="auto"/>
                <w:w w:val="94"/>
              </w:rPr>
              <w:t>03/15/24</w:t>
            </w:r>
          </w:p>
        </w:tc>
        <w:tc>
          <w:tcPr>
            <w:tcW w:w="92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10"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10"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13,192</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4</w:t>
            </w: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398,794</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03/15/24</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13,192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398,794</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09/29/23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70,871</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5</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2,142,430</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03/31/23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8,042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243,110</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03/31/23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14,296</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6</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432,168</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08/15/22</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14,808</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447,646</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40" w:type="dxa"/>
            <w:vAlign w:val="bottom"/>
            <w:tcBorders>
              <w:bottom w:val="single" w:sz="8" w:color="D9D9D9"/>
            </w:tcBorders>
          </w:tcPr>
          <w:p>
            <w:pPr>
              <w:spacing w:after="0"/>
              <w:rPr>
                <w:sz w:val="12"/>
                <w:szCs w:val="12"/>
                <w:color w:val="auto"/>
              </w:rPr>
            </w:pPr>
          </w:p>
        </w:tc>
        <w:tc>
          <w:tcPr>
            <w:tcW w:w="1140" w:type="dxa"/>
            <w:vAlign w:val="bottom"/>
            <w:tcBorders>
              <w:bottom w:val="single" w:sz="8" w:color="D9D9D9"/>
            </w:tcBorders>
          </w:tcPr>
          <w:p>
            <w:pPr>
              <w:jc w:val="center"/>
              <w:ind w:left="122"/>
              <w:spacing w:after="0"/>
              <w:rPr>
                <w:sz w:val="20"/>
                <w:szCs w:val="20"/>
                <w:color w:val="auto"/>
              </w:rPr>
            </w:pPr>
            <w:r>
              <w:rPr>
                <w:rFonts w:ascii="Arial" w:cs="Arial" w:eastAsia="Arial" w:hAnsi="Arial"/>
                <w:sz w:val="12"/>
                <w:szCs w:val="12"/>
                <w:color w:val="auto"/>
                <w:w w:val="94"/>
              </w:rPr>
              <w:t>08/15/22</w:t>
            </w:r>
          </w:p>
        </w:tc>
        <w:tc>
          <w:tcPr>
            <w:tcW w:w="92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D9D9D9"/>
            </w:tcBorders>
          </w:tcPr>
          <w:p>
            <w:pPr>
              <w:jc w:val="right"/>
              <w:ind w:right="24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D9D9D9"/>
            </w:tcBorders>
          </w:tcPr>
          <w:p>
            <w:pPr>
              <w:jc w:val="right"/>
              <w:ind w:right="6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9D9D9"/>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22,212</w:t>
            </w:r>
          </w:p>
        </w:tc>
        <w:tc>
          <w:tcPr>
            <w:tcW w:w="160" w:type="dxa"/>
            <w:vAlign w:val="bottom"/>
            <w:tcBorders>
              <w:bottom w:val="single" w:sz="8" w:color="D9D9D9"/>
            </w:tcBorders>
          </w:tcPr>
          <w:p>
            <w:pPr>
              <w:jc w:val="right"/>
              <w:ind w:right="56"/>
              <w:spacing w:after="0"/>
              <w:rPr>
                <w:sz w:val="20"/>
                <w:szCs w:val="20"/>
                <w:color w:val="auto"/>
              </w:rPr>
            </w:pPr>
            <w:r>
              <w:rPr>
                <w:rFonts w:ascii="Arial" w:cs="Arial" w:eastAsia="Arial" w:hAnsi="Arial"/>
                <w:sz w:val="9"/>
                <w:szCs w:val="9"/>
                <w:color w:val="auto"/>
                <w:w w:val="78"/>
              </w:rPr>
              <w:t>7</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671,469</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Lynn Watkins-Asiyanbi</w:t>
            </w:r>
          </w:p>
        </w:tc>
        <w:tc>
          <w:tcPr>
            <w:tcW w:w="1140" w:type="dxa"/>
            <w:vAlign w:val="bottom"/>
          </w:tcPr>
          <w:p>
            <w:pPr>
              <w:jc w:val="center"/>
              <w:ind w:left="122"/>
              <w:spacing w:after="0" w:line="110" w:lineRule="exact"/>
              <w:rPr>
                <w:sz w:val="20"/>
                <w:szCs w:val="20"/>
                <w:color w:val="auto"/>
              </w:rPr>
            </w:pPr>
            <w:r>
              <w:rPr>
                <w:rFonts w:ascii="Arial" w:cs="Arial" w:eastAsia="Arial" w:hAnsi="Arial"/>
                <w:sz w:val="12"/>
                <w:szCs w:val="12"/>
                <w:color w:val="auto"/>
                <w:w w:val="94"/>
              </w:rPr>
              <w:t>03/15/24</w:t>
            </w:r>
          </w:p>
        </w:tc>
        <w:tc>
          <w:tcPr>
            <w:tcW w:w="92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10"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10"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11,727</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4</w:t>
            </w: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354,507</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03/15/24</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11,727</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354,507</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09/29/23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62,012</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5</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1,874,623</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03/31/23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7,037</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212,729</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03/31/23</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12,510</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6</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378,177</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08/15/22</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3,702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111,911</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22"/>
              <w:spacing w:after="0" w:line="125" w:lineRule="exact"/>
              <w:rPr>
                <w:sz w:val="20"/>
                <w:szCs w:val="20"/>
                <w:color w:val="auto"/>
              </w:rPr>
            </w:pPr>
            <w:r>
              <w:rPr>
                <w:rFonts w:ascii="Arial" w:cs="Arial" w:eastAsia="Arial" w:hAnsi="Arial"/>
                <w:sz w:val="12"/>
                <w:szCs w:val="12"/>
                <w:color w:val="auto"/>
                <w:w w:val="94"/>
              </w:rPr>
              <w:t>06/27/22</w:t>
            </w:r>
          </w:p>
        </w:tc>
        <w:tc>
          <w:tcPr>
            <w:tcW w:w="92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42"/>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10,604</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320,559</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1540" w:type="dxa"/>
            <w:vAlign w:val="bottom"/>
            <w:tcBorders>
              <w:bottom w:val="single" w:sz="8" w:color="405788"/>
            </w:tcBorders>
          </w:tcPr>
          <w:p>
            <w:pPr>
              <w:spacing w:after="0"/>
              <w:rPr>
                <w:sz w:val="12"/>
                <w:szCs w:val="12"/>
                <w:color w:val="auto"/>
              </w:rPr>
            </w:pPr>
          </w:p>
        </w:tc>
        <w:tc>
          <w:tcPr>
            <w:tcW w:w="1140" w:type="dxa"/>
            <w:vAlign w:val="bottom"/>
            <w:tcBorders>
              <w:bottom w:val="single" w:sz="8" w:color="405788"/>
            </w:tcBorders>
          </w:tcPr>
          <w:p>
            <w:pPr>
              <w:jc w:val="center"/>
              <w:ind w:left="122"/>
              <w:spacing w:after="0"/>
              <w:rPr>
                <w:sz w:val="20"/>
                <w:szCs w:val="20"/>
                <w:color w:val="auto"/>
              </w:rPr>
            </w:pPr>
            <w:r>
              <w:rPr>
                <w:rFonts w:ascii="Arial" w:cs="Arial" w:eastAsia="Arial" w:hAnsi="Arial"/>
                <w:sz w:val="12"/>
                <w:szCs w:val="12"/>
                <w:color w:val="auto"/>
                <w:w w:val="94"/>
              </w:rPr>
              <w:t>06/27/22</w:t>
            </w:r>
          </w:p>
        </w:tc>
        <w:tc>
          <w:tcPr>
            <w:tcW w:w="92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405788"/>
            </w:tcBorders>
          </w:tcPr>
          <w:p>
            <w:pPr>
              <w:jc w:val="right"/>
              <w:ind w:right="24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405788"/>
            </w:tcBorders>
          </w:tcPr>
          <w:p>
            <w:pPr>
              <w:jc w:val="right"/>
              <w:ind w:right="6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05788"/>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405788"/>
            </w:tcBorders>
          </w:tcPr>
          <w:p>
            <w:pPr>
              <w:jc w:val="right"/>
              <w:spacing w:after="0"/>
              <w:rPr>
                <w:sz w:val="20"/>
                <w:szCs w:val="20"/>
                <w:color w:val="auto"/>
              </w:rPr>
            </w:pPr>
            <w:r>
              <w:rPr>
                <w:rFonts w:ascii="Arial" w:cs="Arial" w:eastAsia="Arial" w:hAnsi="Arial"/>
                <w:sz w:val="12"/>
                <w:szCs w:val="12"/>
                <w:color w:val="auto"/>
              </w:rPr>
              <w:t>11,012</w:t>
            </w:r>
          </w:p>
        </w:tc>
        <w:tc>
          <w:tcPr>
            <w:tcW w:w="160" w:type="dxa"/>
            <w:vAlign w:val="bottom"/>
            <w:tcBorders>
              <w:bottom w:val="single" w:sz="8" w:color="405788"/>
            </w:tcBorders>
          </w:tcPr>
          <w:p>
            <w:pPr>
              <w:jc w:val="right"/>
              <w:ind w:right="56"/>
              <w:spacing w:after="0"/>
              <w:rPr>
                <w:sz w:val="20"/>
                <w:szCs w:val="20"/>
                <w:color w:val="auto"/>
              </w:rPr>
            </w:pPr>
            <w:r>
              <w:rPr>
                <w:rFonts w:ascii="Arial" w:cs="Arial" w:eastAsia="Arial" w:hAnsi="Arial"/>
                <w:sz w:val="9"/>
                <w:szCs w:val="9"/>
                <w:color w:val="auto"/>
                <w:w w:val="78"/>
              </w:rPr>
              <w:t>7</w:t>
            </w:r>
          </w:p>
        </w:tc>
        <w:tc>
          <w:tcPr>
            <w:tcW w:w="780" w:type="dxa"/>
            <w:vAlign w:val="bottom"/>
            <w:tcBorders>
              <w:bottom w:val="single" w:sz="8" w:color="405788"/>
            </w:tcBorders>
          </w:tcPr>
          <w:p>
            <w:pPr>
              <w:jc w:val="right"/>
              <w:spacing w:after="0"/>
              <w:rPr>
                <w:sz w:val="20"/>
                <w:szCs w:val="20"/>
                <w:color w:val="auto"/>
              </w:rPr>
            </w:pPr>
            <w:r>
              <w:rPr>
                <w:rFonts w:ascii="Arial" w:cs="Arial" w:eastAsia="Arial" w:hAnsi="Arial"/>
                <w:sz w:val="12"/>
                <w:szCs w:val="12"/>
                <w:color w:val="auto"/>
              </w:rPr>
              <w:t>332,893</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right="200" w:hanging="299"/>
        <w:spacing w:after="0" w:line="278"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This column shows the unvested options, which options generally vest in three equal annual installments on the first three anniversaries of the grant date.</w:t>
      </w:r>
    </w:p>
    <w:p>
      <w:pPr>
        <w:spacing w:after="0" w:line="50" w:lineRule="exact"/>
        <w:rPr>
          <w:rFonts w:ascii="Arial" w:cs="Arial" w:eastAsia="Arial" w:hAnsi="Arial"/>
          <w:sz w:val="15"/>
          <w:szCs w:val="15"/>
          <w:color w:val="auto"/>
        </w:rPr>
      </w:pPr>
    </w:p>
    <w:p>
      <w:pPr>
        <w:ind w:left="300" w:right="60" w:hanging="299"/>
        <w:spacing w:after="0" w:line="315" w:lineRule="auto"/>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RSU grants made prior to 2024, the awards generally vest in four equal annual installments on the first four anniversaries of the grant date. For RSU grants beginning in 2024, the awards generally vest in three equal annual installments on the first three anniversaries of the grant date.</w:t>
      </w:r>
    </w:p>
    <w:p>
      <w:pPr>
        <w:spacing w:after="0" w:line="27" w:lineRule="exact"/>
        <w:rPr>
          <w:rFonts w:ascii="Arial" w:cs="Arial" w:eastAsia="Arial" w:hAnsi="Arial"/>
          <w:sz w:val="14"/>
          <w:szCs w:val="14"/>
          <w:color w:val="auto"/>
        </w:rPr>
      </w:pPr>
    </w:p>
    <w:p>
      <w:pPr>
        <w:ind w:left="300" w:hanging="299"/>
        <w:spacing w:after="0"/>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the market value of the awards based on the closing share price of our common stock on December 31, 2024, of $30.23 per share.</w:t>
      </w:r>
    </w:p>
    <w:p>
      <w:pPr>
        <w:spacing w:after="0" w:line="102" w:lineRule="exact"/>
        <w:rPr>
          <w:rFonts w:ascii="Arial" w:cs="Arial" w:eastAsia="Arial" w:hAnsi="Arial"/>
          <w:sz w:val="15"/>
          <w:szCs w:val="15"/>
          <w:color w:val="auto"/>
        </w:rPr>
      </w:pPr>
    </w:p>
    <w:p>
      <w:pPr>
        <w:ind w:left="300" w:right="140" w:hanging="299"/>
        <w:spacing w:after="0" w:line="261"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These PRSUs generally vest on December 31, 2026, based on the extent to which the Relative TSR goal for the performance period beginning January 1, 2024, and ending on December 31, 2026, is met. See “Compensation Discussion and Analysis” above for more information about these awards.</w:t>
      </w:r>
    </w:p>
    <w:p>
      <w:pPr>
        <w:spacing w:after="0" w:line="62" w:lineRule="exact"/>
        <w:rPr>
          <w:rFonts w:ascii="Arial" w:cs="Arial" w:eastAsia="Arial" w:hAnsi="Arial"/>
          <w:sz w:val="15"/>
          <w:szCs w:val="15"/>
          <w:color w:val="auto"/>
        </w:rPr>
      </w:pPr>
    </w:p>
    <w:p>
      <w:pPr>
        <w:ind w:left="300" w:right="300" w:hanging="299"/>
        <w:spacing w:after="0" w:line="278"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These PRSUs generally vest on July 5, 2027 based on the extent to which the stock price goals for the performance period beginning July 5, 2023, and ending on July 5, 2027, is met.</w:t>
      </w:r>
    </w:p>
    <w:p>
      <w:pPr>
        <w:spacing w:after="0" w:line="50" w:lineRule="exact"/>
        <w:rPr>
          <w:rFonts w:ascii="Arial" w:cs="Arial" w:eastAsia="Arial" w:hAnsi="Arial"/>
          <w:sz w:val="15"/>
          <w:szCs w:val="15"/>
          <w:color w:val="auto"/>
        </w:rPr>
      </w:pPr>
    </w:p>
    <w:p>
      <w:pPr>
        <w:ind w:left="300" w:right="340" w:hanging="299"/>
        <w:spacing w:after="0" w:line="278"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These PRSUs generally vest on March 15, 2026, based on the extent to which the Relative TSR goals for the performance period beginning January 1, 2023, and ending on December 31, 2025, are met.</w:t>
      </w:r>
    </w:p>
    <w:p>
      <w:pPr>
        <w:spacing w:after="0" w:line="50" w:lineRule="exact"/>
        <w:rPr>
          <w:rFonts w:ascii="Arial" w:cs="Arial" w:eastAsia="Arial" w:hAnsi="Arial"/>
          <w:sz w:val="15"/>
          <w:szCs w:val="15"/>
          <w:color w:val="auto"/>
        </w:rPr>
      </w:pPr>
    </w:p>
    <w:p>
      <w:pPr>
        <w:ind w:left="300" w:right="160" w:hanging="299"/>
        <w:spacing w:after="0" w:line="278"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the number of PRSUs that were earned based on the achievement of performance goals as of December 31, 2024, but that do not vest until March 15, 2025.</w:t>
      </w:r>
    </w:p>
    <w:p>
      <w:pPr>
        <w:spacing w:after="0" w:line="200" w:lineRule="exact"/>
        <w:rPr>
          <w:sz w:val="20"/>
          <w:szCs w:val="20"/>
          <w:color w:val="auto"/>
        </w:rPr>
      </w:pPr>
    </w:p>
    <w:p>
      <w:pPr>
        <w:spacing w:after="0" w:line="301"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30</w:t>
      </w:r>
      <w:r>
        <w:rPr>
          <w:sz w:val="20"/>
          <w:szCs w:val="20"/>
          <w:color w:val="auto"/>
        </w:rPr>
        <w:tab/>
      </w:r>
      <w:r>
        <w:rPr>
          <w:sz w:val="1"/>
          <w:szCs w:val="1"/>
          <w:color w:val="auto"/>
        </w:rPr>
        <w:drawing>
          <wp:inline distT="0" distB="0" distL="0" distR="0">
            <wp:extent cx="476250" cy="2222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2024 Option Exercises and Stock Vested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40" w:type="dxa"/>
            <w:vAlign w:val="bottom"/>
          </w:tcPr>
          <w:p>
            <w:pPr>
              <w:spacing w:after="0"/>
              <w:rPr>
                <w:sz w:val="14"/>
                <w:szCs w:val="14"/>
                <w:color w:val="auto"/>
              </w:rPr>
            </w:pPr>
          </w:p>
        </w:tc>
        <w:tc>
          <w:tcPr>
            <w:tcW w:w="2840" w:type="dxa"/>
            <w:vAlign w:val="bottom"/>
            <w:gridSpan w:val="3"/>
          </w:tcPr>
          <w:p>
            <w:pPr>
              <w:ind w:left="860"/>
              <w:spacing w:after="0"/>
              <w:rPr>
                <w:sz w:val="20"/>
                <w:szCs w:val="20"/>
                <w:color w:val="auto"/>
              </w:rPr>
            </w:pPr>
            <w:r>
              <w:rPr>
                <w:rFonts w:ascii="Arial" w:cs="Arial" w:eastAsia="Arial" w:hAnsi="Arial"/>
                <w:sz w:val="13"/>
                <w:szCs w:val="13"/>
                <w:b w:val="1"/>
                <w:bCs w:val="1"/>
                <w:color w:val="auto"/>
              </w:rPr>
              <w:t>Option Awards</w:t>
            </w:r>
          </w:p>
        </w:tc>
        <w:tc>
          <w:tcPr>
            <w:tcW w:w="2740" w:type="dxa"/>
            <w:vAlign w:val="bottom"/>
            <w:gridSpan w:val="2"/>
          </w:tcPr>
          <w:p>
            <w:pPr>
              <w:jc w:val="right"/>
              <w:ind w:right="883"/>
              <w:spacing w:after="0"/>
              <w:rPr>
                <w:sz w:val="20"/>
                <w:szCs w:val="20"/>
                <w:color w:val="auto"/>
              </w:rPr>
            </w:pPr>
            <w:r>
              <w:rPr>
                <w:rFonts w:ascii="Arial" w:cs="Arial" w:eastAsia="Arial" w:hAnsi="Arial"/>
                <w:sz w:val="13"/>
                <w:szCs w:val="13"/>
                <w:b w:val="1"/>
                <w:bCs w:val="1"/>
                <w:color w:val="auto"/>
              </w:rPr>
              <w:t>Stock Awards</w:t>
            </w:r>
          </w:p>
        </w:tc>
      </w:tr>
      <w:tr>
        <w:trPr>
          <w:trHeight w:val="142"/>
        </w:trPr>
        <w:tc>
          <w:tcPr>
            <w:tcW w:w="4340" w:type="dxa"/>
            <w:vAlign w:val="bottom"/>
          </w:tcPr>
          <w:p>
            <w:pPr>
              <w:spacing w:after="0"/>
              <w:rPr>
                <w:sz w:val="12"/>
                <w:szCs w:val="12"/>
                <w:color w:val="auto"/>
              </w:rPr>
            </w:pPr>
          </w:p>
        </w:tc>
        <w:tc>
          <w:tcPr>
            <w:tcW w:w="1540" w:type="dxa"/>
            <w:vAlign w:val="bottom"/>
            <w:tcBorders>
              <w:top w:val="single" w:sz="8" w:color="405788"/>
            </w:tcBorders>
          </w:tcPr>
          <w:p>
            <w:pPr>
              <w:jc w:val="right"/>
              <w:ind w:right="86"/>
              <w:spacing w:after="0" w:line="143" w:lineRule="exact"/>
              <w:rPr>
                <w:sz w:val="20"/>
                <w:szCs w:val="20"/>
                <w:color w:val="auto"/>
              </w:rPr>
            </w:pPr>
            <w:r>
              <w:rPr>
                <w:rFonts w:ascii="Arial" w:cs="Arial" w:eastAsia="Arial" w:hAnsi="Arial"/>
                <w:sz w:val="13"/>
                <w:szCs w:val="13"/>
                <w:b w:val="1"/>
                <w:bCs w:val="1"/>
                <w:color w:val="auto"/>
              </w:rPr>
              <w:t>Number of</w:t>
            </w:r>
          </w:p>
        </w:tc>
        <w:tc>
          <w:tcPr>
            <w:tcW w:w="1140" w:type="dxa"/>
            <w:vAlign w:val="bottom"/>
            <w:tcBorders>
              <w:top w:val="single" w:sz="8" w:color="405788"/>
            </w:tcBorders>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Borders>
              <w:top w:val="single" w:sz="8" w:color="405788"/>
            </w:tcBorders>
          </w:tcPr>
          <w:p>
            <w:pPr>
              <w:jc w:val="right"/>
              <w:ind w:right="126"/>
              <w:spacing w:after="0" w:line="143" w:lineRule="exact"/>
              <w:rPr>
                <w:sz w:val="20"/>
                <w:szCs w:val="20"/>
                <w:color w:val="auto"/>
              </w:rPr>
            </w:pPr>
            <w:r>
              <w:rPr>
                <w:rFonts w:ascii="Arial" w:cs="Arial" w:eastAsia="Arial" w:hAnsi="Arial"/>
                <w:sz w:val="13"/>
                <w:szCs w:val="13"/>
                <w:b w:val="1"/>
                <w:bCs w:val="1"/>
                <w:color w:val="auto"/>
              </w:rPr>
              <w:t>Number of</w:t>
            </w:r>
          </w:p>
        </w:tc>
        <w:tc>
          <w:tcPr>
            <w:tcW w:w="1140" w:type="dxa"/>
            <w:vAlign w:val="bottom"/>
            <w:tcBorders>
              <w:top w:val="single" w:sz="8" w:color="405788"/>
            </w:tcBorders>
          </w:tcPr>
          <w:p>
            <w:pPr>
              <w:spacing w:after="0"/>
              <w:rPr>
                <w:sz w:val="12"/>
                <w:szCs w:val="12"/>
                <w:color w:val="auto"/>
              </w:rPr>
            </w:pPr>
          </w:p>
        </w:tc>
      </w:tr>
      <w:tr>
        <w:trPr>
          <w:trHeight w:val="133"/>
        </w:trPr>
        <w:tc>
          <w:tcPr>
            <w:tcW w:w="4340" w:type="dxa"/>
            <w:vAlign w:val="bottom"/>
          </w:tcPr>
          <w:p>
            <w:pPr>
              <w:spacing w:after="0"/>
              <w:rPr>
                <w:sz w:val="11"/>
                <w:szCs w:val="11"/>
                <w:color w:val="auto"/>
              </w:rPr>
            </w:pPr>
          </w:p>
        </w:tc>
        <w:tc>
          <w:tcPr>
            <w:tcW w:w="1540" w:type="dxa"/>
            <w:vAlign w:val="bottom"/>
          </w:tcPr>
          <w:p>
            <w:pPr>
              <w:jc w:val="right"/>
              <w:ind w:right="86"/>
              <w:spacing w:after="0" w:line="133" w:lineRule="exact"/>
              <w:rPr>
                <w:sz w:val="20"/>
                <w:szCs w:val="20"/>
                <w:color w:val="auto"/>
              </w:rPr>
            </w:pPr>
            <w:r>
              <w:rPr>
                <w:rFonts w:ascii="Arial" w:cs="Arial" w:eastAsia="Arial" w:hAnsi="Arial"/>
                <w:sz w:val="13"/>
                <w:szCs w:val="13"/>
                <w:b w:val="1"/>
                <w:bCs w:val="1"/>
                <w:color w:val="auto"/>
              </w:rPr>
              <w:t>Shares Acquired on</w:t>
            </w:r>
          </w:p>
        </w:tc>
        <w:tc>
          <w:tcPr>
            <w:tcW w:w="1300" w:type="dxa"/>
            <w:vAlign w:val="bottom"/>
            <w:gridSpan w:val="2"/>
          </w:tcPr>
          <w:p>
            <w:pPr>
              <w:jc w:val="right"/>
              <w:ind w:right="200"/>
              <w:spacing w:after="0" w:line="133" w:lineRule="exact"/>
              <w:rPr>
                <w:sz w:val="20"/>
                <w:szCs w:val="20"/>
                <w:color w:val="auto"/>
              </w:rPr>
            </w:pPr>
            <w:r>
              <w:rPr>
                <w:rFonts w:ascii="Arial" w:cs="Arial" w:eastAsia="Arial" w:hAnsi="Arial"/>
                <w:sz w:val="13"/>
                <w:szCs w:val="13"/>
                <w:b w:val="1"/>
                <w:bCs w:val="1"/>
                <w:color w:val="auto"/>
              </w:rPr>
              <w:t>Value Realized</w:t>
            </w:r>
          </w:p>
        </w:tc>
        <w:tc>
          <w:tcPr>
            <w:tcW w:w="1600" w:type="dxa"/>
            <w:vAlign w:val="bottom"/>
          </w:tcPr>
          <w:p>
            <w:pPr>
              <w:jc w:val="right"/>
              <w:ind w:right="126"/>
              <w:spacing w:after="0" w:line="133" w:lineRule="exact"/>
              <w:rPr>
                <w:sz w:val="20"/>
                <w:szCs w:val="20"/>
                <w:color w:val="auto"/>
              </w:rPr>
            </w:pPr>
            <w:r>
              <w:rPr>
                <w:rFonts w:ascii="Arial" w:cs="Arial" w:eastAsia="Arial" w:hAnsi="Arial"/>
                <w:sz w:val="13"/>
                <w:szCs w:val="13"/>
                <w:b w:val="1"/>
                <w:bCs w:val="1"/>
                <w:color w:val="auto"/>
              </w:rPr>
              <w:t>Shares Acquired on</w:t>
            </w:r>
          </w:p>
        </w:tc>
        <w:tc>
          <w:tcPr>
            <w:tcW w:w="1140" w:type="dxa"/>
            <w:vAlign w:val="bottom"/>
          </w:tcPr>
          <w:p>
            <w:pPr>
              <w:jc w:val="right"/>
              <w:ind w:right="43"/>
              <w:spacing w:after="0" w:line="133" w:lineRule="exact"/>
              <w:rPr>
                <w:sz w:val="20"/>
                <w:szCs w:val="20"/>
                <w:color w:val="auto"/>
              </w:rPr>
            </w:pPr>
            <w:r>
              <w:rPr>
                <w:rFonts w:ascii="Arial" w:cs="Arial" w:eastAsia="Arial" w:hAnsi="Arial"/>
                <w:sz w:val="13"/>
                <w:szCs w:val="13"/>
                <w:b w:val="1"/>
                <w:bCs w:val="1"/>
                <w:color w:val="auto"/>
              </w:rPr>
              <w:t>Value Realized</w:t>
            </w:r>
          </w:p>
        </w:tc>
      </w:tr>
      <w:tr>
        <w:trPr>
          <w:trHeight w:val="180"/>
        </w:trPr>
        <w:tc>
          <w:tcPr>
            <w:tcW w:w="4340" w:type="dxa"/>
            <w:vAlign w:val="bottom"/>
            <w:tcBorders>
              <w:bottom w:val="single" w:sz="8" w:color="405788"/>
            </w:tcBorders>
          </w:tcPr>
          <w:p>
            <w:pPr>
              <w:ind w:left="190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bottom w:val="single" w:sz="8" w:color="405788"/>
            </w:tcBorders>
          </w:tcPr>
          <w:p>
            <w:pPr>
              <w:jc w:val="right"/>
              <w:ind w:right="86"/>
              <w:spacing w:after="0"/>
              <w:rPr>
                <w:sz w:val="20"/>
                <w:szCs w:val="20"/>
                <w:color w:val="auto"/>
              </w:rPr>
            </w:pPr>
            <w:r>
              <w:rPr>
                <w:rFonts w:ascii="Arial" w:cs="Arial" w:eastAsia="Arial" w:hAnsi="Arial"/>
                <w:sz w:val="13"/>
                <w:szCs w:val="13"/>
                <w:b w:val="1"/>
                <w:bCs w:val="1"/>
                <w:color w:val="auto"/>
              </w:rPr>
              <w:t>Exercise (#)</w:t>
            </w:r>
          </w:p>
        </w:tc>
        <w:tc>
          <w:tcPr>
            <w:tcW w:w="1300" w:type="dxa"/>
            <w:vAlign w:val="bottom"/>
            <w:tcBorders>
              <w:bottom w:val="single" w:sz="8" w:color="405788"/>
            </w:tcBorders>
            <w:gridSpan w:val="2"/>
          </w:tcPr>
          <w:p>
            <w:pPr>
              <w:jc w:val="right"/>
              <w:ind w:right="200"/>
              <w:spacing w:after="0"/>
              <w:rPr>
                <w:sz w:val="20"/>
                <w:szCs w:val="20"/>
                <w:color w:val="auto"/>
              </w:rPr>
            </w:pPr>
            <w:r>
              <w:rPr>
                <w:rFonts w:ascii="Arial" w:cs="Arial" w:eastAsia="Arial" w:hAnsi="Arial"/>
                <w:sz w:val="13"/>
                <w:szCs w:val="13"/>
                <w:b w:val="1"/>
                <w:bCs w:val="1"/>
                <w:color w:val="auto"/>
              </w:rPr>
              <w:t>on Exercise ($)</w:t>
            </w:r>
          </w:p>
        </w:tc>
        <w:tc>
          <w:tcPr>
            <w:tcW w:w="1600" w:type="dxa"/>
            <w:vAlign w:val="bottom"/>
            <w:tcBorders>
              <w:bottom w:val="single" w:sz="8" w:color="405788"/>
            </w:tcBorders>
          </w:tcPr>
          <w:p>
            <w:pPr>
              <w:jc w:val="right"/>
              <w:ind w:right="46"/>
              <w:spacing w:after="0" w:line="175" w:lineRule="exact"/>
              <w:rPr>
                <w:sz w:val="20"/>
                <w:szCs w:val="20"/>
                <w:color w:val="auto"/>
              </w:rPr>
            </w:pPr>
            <w:r>
              <w:rPr>
                <w:rFonts w:ascii="Arial" w:cs="Arial" w:eastAsia="Arial" w:hAnsi="Arial"/>
                <w:sz w:val="13"/>
                <w:szCs w:val="13"/>
                <w:b w:val="1"/>
                <w:bCs w:val="1"/>
                <w:color w:val="auto"/>
              </w:rPr>
              <w:t xml:space="preserve">Vesting (#) </w:t>
            </w:r>
            <w:r>
              <w:rPr>
                <w:rFonts w:ascii="Arial" w:cs="Arial" w:eastAsia="Arial" w:hAnsi="Arial"/>
                <w:sz w:val="19"/>
                <w:szCs w:val="19"/>
                <w:b w:val="1"/>
                <w:bCs w:val="1"/>
                <w:color w:val="auto"/>
                <w:vertAlign w:val="superscript"/>
              </w:rPr>
              <w:t>1</w:t>
            </w:r>
          </w:p>
        </w:tc>
        <w:tc>
          <w:tcPr>
            <w:tcW w:w="1140" w:type="dxa"/>
            <w:vAlign w:val="bottom"/>
            <w:tcBorders>
              <w:bottom w:val="single" w:sz="8" w:color="405788"/>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on Vesting ($) </w:t>
            </w:r>
            <w:r>
              <w:rPr>
                <w:rFonts w:ascii="Arial" w:cs="Arial" w:eastAsia="Arial" w:hAnsi="Arial"/>
                <w:sz w:val="19"/>
                <w:szCs w:val="19"/>
                <w:b w:val="1"/>
                <w:bCs w:val="1"/>
                <w:color w:val="auto"/>
                <w:vertAlign w:val="superscript"/>
              </w:rPr>
              <w:t>2</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1540" w:type="dxa"/>
            <w:vAlign w:val="bottom"/>
            <w:tcBorders>
              <w:bottom w:val="single" w:sz="8" w:color="D9D9D9"/>
            </w:tcBorders>
          </w:tcPr>
          <w:p>
            <w:pPr>
              <w:jc w:val="right"/>
              <w:ind w:right="106"/>
              <w:spacing w:after="0" w:line="188"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D9D9D9"/>
            </w:tcBorders>
            <w:gridSpan w:val="2"/>
          </w:tcPr>
          <w:p>
            <w:pPr>
              <w:ind w:left="900"/>
              <w:spacing w:after="0" w:line="188"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D9D9D9"/>
            </w:tcBorders>
          </w:tcPr>
          <w:p>
            <w:pPr>
              <w:jc w:val="right"/>
              <w:ind w:right="146"/>
              <w:spacing w:after="0" w:line="188" w:lineRule="exact"/>
              <w:rPr>
                <w:sz w:val="20"/>
                <w:szCs w:val="20"/>
                <w:color w:val="auto"/>
              </w:rPr>
            </w:pPr>
            <w:r>
              <w:rPr>
                <w:rFonts w:ascii="Arial" w:cs="Arial" w:eastAsia="Arial" w:hAnsi="Arial"/>
                <w:sz w:val="17"/>
                <w:szCs w:val="17"/>
                <w:color w:val="auto"/>
              </w:rPr>
              <w:t>181,294</w:t>
            </w:r>
          </w:p>
        </w:tc>
        <w:tc>
          <w:tcPr>
            <w:tcW w:w="114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4,062,577</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1540" w:type="dxa"/>
            <w:vAlign w:val="bottom"/>
            <w:tcBorders>
              <w:bottom w:val="single" w:sz="8" w:color="D9D9D9"/>
            </w:tcBorders>
          </w:tcPr>
          <w:p>
            <w:pPr>
              <w:jc w:val="right"/>
              <w:ind w:right="106"/>
              <w:spacing w:after="0" w:line="188"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D9D9D9"/>
            </w:tcBorders>
            <w:gridSpan w:val="2"/>
          </w:tcPr>
          <w:p>
            <w:pPr>
              <w:ind w:left="900"/>
              <w:spacing w:after="0" w:line="188"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D9D9D9"/>
            </w:tcBorders>
          </w:tcPr>
          <w:p>
            <w:pPr>
              <w:jc w:val="right"/>
              <w:ind w:right="146"/>
              <w:spacing w:after="0" w:line="188" w:lineRule="exact"/>
              <w:rPr>
                <w:sz w:val="20"/>
                <w:szCs w:val="20"/>
                <w:color w:val="auto"/>
              </w:rPr>
            </w:pPr>
            <w:r>
              <w:rPr>
                <w:rFonts w:ascii="Arial" w:cs="Arial" w:eastAsia="Arial" w:hAnsi="Arial"/>
                <w:sz w:val="17"/>
                <w:szCs w:val="17"/>
                <w:color w:val="auto"/>
              </w:rPr>
              <w:t>10,084</w:t>
            </w:r>
          </w:p>
        </w:tc>
        <w:tc>
          <w:tcPr>
            <w:tcW w:w="114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270,486</w:t>
            </w:r>
          </w:p>
        </w:tc>
      </w:tr>
      <w:tr>
        <w:trPr>
          <w:trHeight w:val="187"/>
        </w:trPr>
        <w:tc>
          <w:tcPr>
            <w:tcW w:w="434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1540" w:type="dxa"/>
            <w:vAlign w:val="bottom"/>
            <w:tcBorders>
              <w:bottom w:val="single" w:sz="8" w:color="405788"/>
            </w:tcBorders>
          </w:tcPr>
          <w:p>
            <w:pPr>
              <w:jc w:val="right"/>
              <w:ind w:right="106"/>
              <w:spacing w:after="0" w:line="188"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405788"/>
            </w:tcBorders>
            <w:gridSpan w:val="2"/>
          </w:tcPr>
          <w:p>
            <w:pPr>
              <w:ind w:left="900"/>
              <w:spacing w:after="0" w:line="188"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405788"/>
            </w:tcBorders>
          </w:tcPr>
          <w:p>
            <w:pPr>
              <w:jc w:val="right"/>
              <w:ind w:right="146"/>
              <w:spacing w:after="0" w:line="188" w:lineRule="exact"/>
              <w:rPr>
                <w:sz w:val="20"/>
                <w:szCs w:val="20"/>
                <w:color w:val="auto"/>
              </w:rPr>
            </w:pPr>
            <w:r>
              <w:rPr>
                <w:rFonts w:ascii="Arial" w:cs="Arial" w:eastAsia="Arial" w:hAnsi="Arial"/>
                <w:sz w:val="17"/>
                <w:szCs w:val="17"/>
                <w:color w:val="auto"/>
              </w:rPr>
              <w:t>9,498</w:t>
            </w:r>
          </w:p>
        </w:tc>
        <w:tc>
          <w:tcPr>
            <w:tcW w:w="1140" w:type="dxa"/>
            <w:vAlign w:val="bottom"/>
            <w:tcBorders>
              <w:bottom w:val="single" w:sz="8" w:color="405788"/>
            </w:tcBorders>
          </w:tcPr>
          <w:p>
            <w:pPr>
              <w:jc w:val="right"/>
              <w:ind w:right="43"/>
              <w:spacing w:after="0" w:line="188" w:lineRule="exact"/>
              <w:rPr>
                <w:sz w:val="20"/>
                <w:szCs w:val="20"/>
                <w:color w:val="auto"/>
              </w:rPr>
            </w:pPr>
            <w:r>
              <w:rPr>
                <w:rFonts w:ascii="Arial" w:cs="Arial" w:eastAsia="Arial" w:hAnsi="Arial"/>
                <w:sz w:val="17"/>
                <w:szCs w:val="17"/>
                <w:color w:val="auto"/>
              </w:rPr>
              <w:t>250,395</w:t>
            </w:r>
          </w:p>
        </w:tc>
      </w:tr>
    </w:tbl>
    <w:p>
      <w:pPr>
        <w:spacing w:after="0" w:line="100" w:lineRule="exact"/>
        <w:rPr>
          <w:sz w:val="20"/>
          <w:szCs w:val="20"/>
          <w:color w:val="auto"/>
        </w:rPr>
      </w:pPr>
    </w:p>
    <w:p>
      <w:pPr>
        <w:ind w:left="300" w:right="120" w:hanging="299"/>
        <w:spacing w:after="0" w:line="278"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Represents total shares vested. A portion of these shares was withheld to satisfy tax withholding obligations, resulting in net shares received as follows: 111,863, 6,619, and 6,713 for Messrs. Gleason and Johansson and Ms. Watkins-Asiyanbi, respectively.</w:t>
      </w:r>
    </w:p>
    <w:p>
      <w:pPr>
        <w:spacing w:after="0" w:line="50" w:lineRule="exact"/>
        <w:rPr>
          <w:rFonts w:ascii="Arial" w:cs="Arial" w:eastAsia="Arial" w:hAnsi="Arial"/>
          <w:sz w:val="15"/>
          <w:szCs w:val="15"/>
          <w:color w:val="auto"/>
        </w:rPr>
      </w:pPr>
    </w:p>
    <w:p>
      <w:pPr>
        <w:ind w:left="300" w:right="340" w:hanging="299"/>
        <w:spacing w:after="0" w:line="278"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Amounts reflect the number of shares acquired on vesting valued at the closing price of our common stock on the business day immediately preceding the date of vesting.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Potential Payments Upon Termination or Change in Control</w:t>
      </w:r>
    </w:p>
    <w:p>
      <w:pPr>
        <w:spacing w:after="0" w:line="9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 xml:space="preserve">Our named executive officers are entitled to certain payments upon voluntary or involuntary termination, retirement, death or disability or change in control, including under the Severance Plan and the terms of our equity awards. The NEOs are also eligible for participation in our general disability and life insurance plans on the same terms as our other salaried employees plus, as noted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we provide the NEOs with additional term life insurance, which would provide for benefits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NEO’s disability or death, as applicable.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Plan provides for the following benefits:</w:t>
      </w:r>
    </w:p>
    <w:p>
      <w:pPr>
        <w:spacing w:after="0" w:line="92" w:lineRule="exact"/>
        <w:rPr>
          <w:sz w:val="20"/>
          <w:szCs w:val="20"/>
          <w:color w:val="auto"/>
        </w:rPr>
      </w:pPr>
    </w:p>
    <w:p>
      <w:pPr>
        <w:ind w:left="620" w:right="120" w:hanging="294"/>
        <w:spacing w:after="0" w:line="236" w:lineRule="auto"/>
        <w:tabs>
          <w:tab w:leader="none" w:pos="620" w:val="left"/>
        </w:tabs>
        <w:numPr>
          <w:ilvl w:val="0"/>
          <w:numId w:val="60"/>
        </w:numPr>
        <w:rPr>
          <w:rFonts w:ascii="Times New Roman" w:cs="Times New Roman" w:eastAsia="Times New Roman" w:hAnsi="Times New Roman"/>
          <w:sz w:val="17"/>
          <w:szCs w:val="17"/>
          <w:color w:val="3C578C"/>
        </w:rPr>
      </w:pPr>
      <w:r>
        <w:rPr>
          <w:rFonts w:ascii="Arial" w:cs="Arial" w:eastAsia="Arial" w:hAnsi="Arial"/>
          <w:sz w:val="17"/>
          <w:szCs w:val="17"/>
          <w:color w:val="auto"/>
        </w:rPr>
        <w:t>If the participant’s employment is terminated by the Company without cause, or by the participant for good reason, during the change in control period, then the participant is entitled to receive (1) a pro-rata target bonus for the year of termination, (2) a lump sum cash payment equal to the sum of the Participant’s base salary plus target bonus, multiplied by the applicable “severance multiplier”, (3) a lump sum payment of $20,000 to enable the Participant to obtain executive outplacement services, and (4) subsidized COBRA coverage for the period equal to 12 months multiplied by the Severance Multiplier (but capped at 18 months).</w:t>
      </w:r>
    </w:p>
    <w:p>
      <w:pPr>
        <w:spacing w:after="0" w:line="70" w:lineRule="exact"/>
        <w:rPr>
          <w:rFonts w:ascii="Times New Roman" w:cs="Times New Roman" w:eastAsia="Times New Roman" w:hAnsi="Times New Roman"/>
          <w:sz w:val="17"/>
          <w:szCs w:val="17"/>
          <w:color w:val="3C578C"/>
        </w:rPr>
      </w:pPr>
    </w:p>
    <w:p>
      <w:pPr>
        <w:ind w:left="620" w:right="20" w:hanging="294"/>
        <w:spacing w:after="0" w:line="239" w:lineRule="auto"/>
        <w:tabs>
          <w:tab w:leader="none" w:pos="620" w:val="left"/>
        </w:tabs>
        <w:numPr>
          <w:ilvl w:val="0"/>
          <w:numId w:val="60"/>
        </w:numPr>
        <w:rPr>
          <w:rFonts w:ascii="Times New Roman" w:cs="Times New Roman" w:eastAsia="Times New Roman" w:hAnsi="Times New Roman"/>
          <w:sz w:val="17"/>
          <w:szCs w:val="17"/>
          <w:color w:val="3C578C"/>
        </w:rPr>
      </w:pPr>
      <w:r>
        <w:rPr>
          <w:rFonts w:ascii="Arial" w:cs="Arial" w:eastAsia="Arial" w:hAnsi="Arial"/>
          <w:sz w:val="17"/>
          <w:szCs w:val="17"/>
          <w:color w:val="auto"/>
        </w:rPr>
        <w:t>If the participant’s employment is terminated by the Company without cause or by the participant for good reason outside the change in control period, then the participant is also entitled to receive the same benefits described in the bullet above, except that the lump sum cash payment described in (2) shall only equal the Participant’s base salary multiplied by the severance multiplier.</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“severance multiplier” is equal to 2.0 for the CEO, and 1.5 for the other executive officers.</w:t>
      </w:r>
    </w:p>
    <w:p>
      <w:pPr>
        <w:spacing w:after="0" w:line="9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Participation in the Severance Plan requires compliance with certain customary confidentiality, non-disparagement, non-competition, and non-solicitation provisions, and participants are required to execute a release of claims against the Company to receive the severance benefits (unless we waive such requirement).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Under the Severance Plan:</w:t>
      </w:r>
    </w:p>
    <w:p>
      <w:pPr>
        <w:spacing w:after="0" w:line="92" w:lineRule="exact"/>
        <w:rPr>
          <w:sz w:val="20"/>
          <w:szCs w:val="20"/>
          <w:color w:val="auto"/>
        </w:rPr>
      </w:pPr>
    </w:p>
    <w:p>
      <w:pPr>
        <w:ind w:left="620" w:right="140" w:hanging="294"/>
        <w:spacing w:after="0" w:line="266" w:lineRule="auto"/>
        <w:tabs>
          <w:tab w:leader="none" w:pos="620" w:val="left"/>
        </w:tabs>
        <w:numPr>
          <w:ilvl w:val="0"/>
          <w:numId w:val="61"/>
        </w:numPr>
        <w:rPr>
          <w:rFonts w:ascii="Times New Roman" w:cs="Times New Roman" w:eastAsia="Times New Roman" w:hAnsi="Times New Roman"/>
          <w:sz w:val="16"/>
          <w:szCs w:val="16"/>
          <w:color w:val="3C578C"/>
        </w:rPr>
      </w:pPr>
      <w:r>
        <w:rPr>
          <w:rFonts w:ascii="Arial" w:cs="Arial" w:eastAsia="Arial" w:hAnsi="Arial"/>
          <w:sz w:val="16"/>
          <w:szCs w:val="16"/>
          <w:color w:val="auto"/>
        </w:rPr>
        <w:t>“Good reason” means (1) a material diminution of the participant’s duties, authorities or responsibilities; (2) a material reduction in the participant’s base salary or incentive opportunity (other than broad-based reductions applicable to all executives); (3) certain relocations of the participant’s primary workplace; and (4) our material breach of the Severance Plan.</w:t>
      </w:r>
    </w:p>
    <w:p>
      <w:pPr>
        <w:spacing w:after="0" w:line="49" w:lineRule="exact"/>
        <w:rPr>
          <w:rFonts w:ascii="Times New Roman" w:cs="Times New Roman" w:eastAsia="Times New Roman" w:hAnsi="Times New Roman"/>
          <w:sz w:val="16"/>
          <w:szCs w:val="16"/>
          <w:color w:val="3C578C"/>
        </w:rPr>
      </w:pPr>
    </w:p>
    <w:p>
      <w:pPr>
        <w:ind w:left="620" w:right="20" w:hanging="294"/>
        <w:spacing w:after="0" w:line="253" w:lineRule="auto"/>
        <w:tabs>
          <w:tab w:leader="none" w:pos="620" w:val="left"/>
        </w:tabs>
        <w:numPr>
          <w:ilvl w:val="0"/>
          <w:numId w:val="61"/>
        </w:numPr>
        <w:rPr>
          <w:rFonts w:ascii="Times New Roman" w:cs="Times New Roman" w:eastAsia="Times New Roman" w:hAnsi="Times New Roman"/>
          <w:sz w:val="16"/>
          <w:szCs w:val="16"/>
          <w:color w:val="3C578C"/>
        </w:rPr>
      </w:pPr>
      <w:r>
        <w:rPr>
          <w:rFonts w:ascii="Arial" w:cs="Arial" w:eastAsia="Arial" w:hAnsi="Arial"/>
          <w:sz w:val="16"/>
          <w:szCs w:val="16"/>
          <w:color w:val="auto"/>
        </w:rPr>
        <w:t>“Termination without cause” means a termination of employment initiated by us other than due to the participant’s death, disability, or the occurrence of the following events: (1) the participant’s misappropriation of Company assets; (2) the participant’s conviction of a felony or commission of any act of moral turpitude, dishonesty, or fraud; (3) the participant’s failure to perform the lawful instructions of the participant’s superior; (4) the participant’s willful or gross misconduct which could reasonably be expected to be materially injurious to the Company; (5) the participant’s violation of a material Company policy; or (6) the participant’s material breach by the Participant of a material obligation under the Severance Plan.</w:t>
      </w:r>
    </w:p>
    <w:p>
      <w:pPr>
        <w:spacing w:after="0" w:line="60" w:lineRule="exact"/>
        <w:rPr>
          <w:rFonts w:ascii="Times New Roman" w:cs="Times New Roman" w:eastAsia="Times New Roman" w:hAnsi="Times New Roman"/>
          <w:sz w:val="16"/>
          <w:szCs w:val="16"/>
          <w:color w:val="3C578C"/>
        </w:rPr>
      </w:pPr>
    </w:p>
    <w:p>
      <w:pPr>
        <w:jc w:val="both"/>
        <w:ind w:left="620" w:right="160" w:hanging="294"/>
        <w:spacing w:after="0" w:line="244" w:lineRule="auto"/>
        <w:tabs>
          <w:tab w:leader="none" w:pos="620" w:val="left"/>
        </w:tabs>
        <w:numPr>
          <w:ilvl w:val="0"/>
          <w:numId w:val="61"/>
        </w:numPr>
        <w:rPr>
          <w:rFonts w:ascii="Times New Roman" w:cs="Times New Roman" w:eastAsia="Times New Roman" w:hAnsi="Times New Roman"/>
          <w:sz w:val="17"/>
          <w:szCs w:val="17"/>
          <w:color w:val="3C578C"/>
        </w:rPr>
      </w:pPr>
      <w:r>
        <w:rPr>
          <w:rFonts w:ascii="Arial" w:cs="Arial" w:eastAsia="Arial" w:hAnsi="Arial"/>
          <w:sz w:val="17"/>
          <w:szCs w:val="17"/>
          <w:color w:val="auto"/>
        </w:rPr>
        <w:t>A “change in control” is defined as the occurrence of any the following: any person becoming the beneficial owner of 50% or more of our outstanding common stock or voting securities; certain changes in the majority of our Board of Directors that are not approved by a super-majority of the incumbent directors; the consummation of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107950</wp:posOffset>
            </wp:positionV>
            <wp:extent cx="483870" cy="222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8"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left="620" w:right="20"/>
        <w:spacing w:after="0" w:line="258" w:lineRule="auto"/>
        <w:rPr>
          <w:sz w:val="20"/>
          <w:szCs w:val="20"/>
          <w:color w:val="auto"/>
        </w:rPr>
      </w:pPr>
      <w:r>
        <w:rPr>
          <w:rFonts w:ascii="Arial" w:cs="Arial" w:eastAsia="Arial" w:hAnsi="Arial"/>
          <w:sz w:val="17"/>
          <w:szCs w:val="17"/>
          <w:color w:val="auto"/>
        </w:rPr>
        <w:t>mergers or similar transactions or sales of all or substantially all of our assets; and approval by our stockholders of a complete liquidation or dissolution.</w:t>
      </w:r>
    </w:p>
    <w:p>
      <w:pPr>
        <w:spacing w:after="0" w:line="55" w:lineRule="exact"/>
        <w:rPr>
          <w:sz w:val="20"/>
          <w:szCs w:val="20"/>
          <w:color w:val="auto"/>
        </w:rPr>
      </w:pPr>
    </w:p>
    <w:p>
      <w:pPr>
        <w:ind w:right="280"/>
        <w:spacing w:after="0" w:line="237" w:lineRule="auto"/>
        <w:rPr>
          <w:sz w:val="20"/>
          <w:szCs w:val="20"/>
          <w:color w:val="auto"/>
        </w:rPr>
      </w:pPr>
      <w:r>
        <w:rPr>
          <w:rFonts w:ascii="Arial" w:cs="Arial" w:eastAsia="Arial" w:hAnsi="Arial"/>
          <w:sz w:val="17"/>
          <w:szCs w:val="17"/>
          <w:color w:val="auto"/>
        </w:rPr>
        <w:t>The tables below summarize the amounts that each continuing named executive officer would receive if his or her employment had terminated on December 31, 2024, the last business day of that year, under the various circumstances shown. The value of the accelerated vesting of the named executive officer’s equity awards is based on the closing price per share of our common stock on such date ($30.23). If a named executive officer’s employment was terminated for cause, no benefits would be payable upon such termination of employment, other than to the extent required by law.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58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i w:val="1"/>
                <w:iCs w:val="1"/>
                <w:color w:val="auto"/>
              </w:rPr>
              <w:t>Todd Gleason</w:t>
            </w:r>
          </w:p>
        </w:tc>
        <w:tc>
          <w:tcPr>
            <w:tcW w:w="2400" w:type="dxa"/>
            <w:vAlign w:val="bottom"/>
            <w:tcBorders>
              <w:bottom w:val="single" w:sz="8" w:color="405788"/>
            </w:tcBorders>
          </w:tcPr>
          <w:p>
            <w:pPr>
              <w:jc w:val="right"/>
              <w:ind w:right="11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17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3</w:t>
            </w:r>
          </w:p>
        </w:tc>
        <w:tc>
          <w:tcPr>
            <w:tcW w:w="240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199"/>
              <w:spacing w:after="0" w:line="188" w:lineRule="exact"/>
              <w:rPr>
                <w:sz w:val="20"/>
                <w:szCs w:val="20"/>
                <w:color w:val="auto"/>
              </w:rPr>
            </w:pPr>
            <w:r>
              <w:rPr>
                <w:rFonts w:ascii="Arial" w:cs="Arial" w:eastAsia="Arial" w:hAnsi="Arial"/>
                <w:sz w:val="17"/>
                <w:szCs w:val="17"/>
                <w:color w:val="auto"/>
              </w:rPr>
              <w:t>3,507,500</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2,538,750</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Accelerated Equity Awards:</w:t>
            </w:r>
          </w:p>
        </w:tc>
        <w:tc>
          <w:tcPr>
            <w:tcW w:w="2400" w:type="dxa"/>
            <w:vAlign w:val="bottom"/>
            <w:tcBorders>
              <w:bottom w:val="single" w:sz="8" w:color="D9D9D9"/>
            </w:tcBorders>
          </w:tcPr>
          <w:p>
            <w:pPr>
              <w:spacing w:after="0"/>
              <w:rPr>
                <w:sz w:val="16"/>
                <w:szCs w:val="16"/>
                <w:color w:val="auto"/>
              </w:rPr>
            </w:pPr>
          </w:p>
        </w:tc>
        <w:tc>
          <w:tcPr>
            <w:tcW w:w="2120" w:type="dxa"/>
            <w:vAlign w:val="bottom"/>
            <w:tcBorders>
              <w:bottom w:val="single" w:sz="8" w:color="D9D9D9"/>
            </w:tcBorders>
          </w:tcPr>
          <w:p>
            <w:pPr>
              <w:spacing w:after="0"/>
              <w:rPr>
                <w:sz w:val="16"/>
                <w:szCs w:val="16"/>
                <w:color w:val="auto"/>
              </w:rPr>
            </w:pPr>
          </w:p>
        </w:tc>
        <w:tc>
          <w:tcPr>
            <w:tcW w:w="2800" w:type="dxa"/>
            <w:vAlign w:val="bottom"/>
            <w:tcBorders>
              <w:bottom w:val="single" w:sz="8" w:color="D9D9D9"/>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40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1,639,464</w:t>
            </w:r>
          </w:p>
        </w:tc>
        <w:tc>
          <w:tcPr>
            <w:tcW w:w="2120" w:type="dxa"/>
            <w:vAlign w:val="bottom"/>
            <w:tcBorders>
              <w:bottom w:val="single" w:sz="8" w:color="D9D9D9"/>
            </w:tcBorders>
          </w:tcPr>
          <w:p>
            <w:pPr>
              <w:jc w:val="right"/>
              <w:ind w:right="199"/>
              <w:spacing w:after="0" w:line="188" w:lineRule="exact"/>
              <w:rPr>
                <w:sz w:val="20"/>
                <w:szCs w:val="20"/>
                <w:color w:val="auto"/>
              </w:rPr>
            </w:pPr>
            <w:r>
              <w:rPr>
                <w:rFonts w:ascii="Arial" w:cs="Arial" w:eastAsia="Arial" w:hAnsi="Arial"/>
                <w:sz w:val="17"/>
                <w:szCs w:val="17"/>
                <w:color w:val="auto"/>
              </w:rPr>
              <w:t>1,639,464</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1,639,464</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40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20,654,859</w:t>
            </w:r>
          </w:p>
        </w:tc>
        <w:tc>
          <w:tcPr>
            <w:tcW w:w="2120" w:type="dxa"/>
            <w:vAlign w:val="bottom"/>
            <w:tcBorders>
              <w:bottom w:val="single" w:sz="8" w:color="D9D9D9"/>
            </w:tcBorders>
          </w:tcPr>
          <w:p>
            <w:pPr>
              <w:jc w:val="right"/>
              <w:ind w:right="199"/>
              <w:spacing w:after="0" w:line="188" w:lineRule="exact"/>
              <w:rPr>
                <w:sz w:val="20"/>
                <w:szCs w:val="20"/>
                <w:color w:val="auto"/>
              </w:rPr>
            </w:pPr>
            <w:r>
              <w:rPr>
                <w:rFonts w:ascii="Arial" w:cs="Arial" w:eastAsia="Arial" w:hAnsi="Arial"/>
                <w:sz w:val="17"/>
                <w:szCs w:val="17"/>
                <w:color w:val="auto"/>
              </w:rPr>
              <w:t>20,654,859</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20,654,859</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Options</w:t>
            </w:r>
          </w:p>
        </w:tc>
        <w:tc>
          <w:tcPr>
            <w:tcW w:w="240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23,518,727</w:t>
            </w:r>
          </w:p>
        </w:tc>
        <w:tc>
          <w:tcPr>
            <w:tcW w:w="2120" w:type="dxa"/>
            <w:vAlign w:val="bottom"/>
            <w:tcBorders>
              <w:bottom w:val="single" w:sz="8" w:color="D9D9D9"/>
            </w:tcBorders>
          </w:tcPr>
          <w:p>
            <w:pPr>
              <w:jc w:val="right"/>
              <w:ind w:right="199"/>
              <w:spacing w:after="0" w:line="188" w:lineRule="exact"/>
              <w:rPr>
                <w:sz w:val="20"/>
                <w:szCs w:val="20"/>
                <w:color w:val="auto"/>
              </w:rPr>
            </w:pPr>
            <w:r>
              <w:rPr>
                <w:rFonts w:ascii="Arial" w:cs="Arial" w:eastAsia="Arial" w:hAnsi="Arial"/>
                <w:sz w:val="17"/>
                <w:szCs w:val="17"/>
                <w:color w:val="auto"/>
              </w:rPr>
              <w:t>23,518,727</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23,518,727</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40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199"/>
              <w:spacing w:after="0" w:line="188" w:lineRule="exact"/>
              <w:rPr>
                <w:sz w:val="20"/>
                <w:szCs w:val="20"/>
                <w:color w:val="auto"/>
              </w:rPr>
            </w:pPr>
            <w:r>
              <w:rPr>
                <w:rFonts w:ascii="Arial" w:cs="Arial" w:eastAsia="Arial" w:hAnsi="Arial"/>
                <w:sz w:val="17"/>
                <w:szCs w:val="17"/>
                <w:color w:val="auto"/>
              </w:rPr>
              <w:t>47,642</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47,642</w:t>
            </w:r>
          </w:p>
        </w:tc>
      </w:tr>
      <w:tr>
        <w:trPr>
          <w:trHeight w:val="187"/>
        </w:trPr>
        <w:tc>
          <w:tcPr>
            <w:tcW w:w="20" w:type="dxa"/>
            <w:vAlign w:val="bottom"/>
          </w:tcPr>
          <w:p>
            <w:pPr>
              <w:spacing w:after="0"/>
              <w:rPr>
                <w:sz w:val="16"/>
                <w:szCs w:val="16"/>
                <w:color w:val="auto"/>
              </w:rPr>
            </w:pPr>
          </w:p>
        </w:tc>
        <w:tc>
          <w:tcPr>
            <w:tcW w:w="25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w:t>
            </w:r>
          </w:p>
        </w:tc>
        <w:tc>
          <w:tcPr>
            <w:tcW w:w="2400" w:type="dxa"/>
            <w:vAlign w:val="bottom"/>
            <w:tcBorders>
              <w:bottom w:val="single" w:sz="8" w:color="405788"/>
            </w:tcBorders>
          </w:tcPr>
          <w:p>
            <w:pPr>
              <w:jc w:val="right"/>
              <w:ind w:right="139"/>
              <w:spacing w:after="0" w:line="188" w:lineRule="exact"/>
              <w:rPr>
                <w:sz w:val="20"/>
                <w:szCs w:val="20"/>
                <w:color w:val="auto"/>
              </w:rPr>
            </w:pPr>
            <w:r>
              <w:rPr>
                <w:rFonts w:ascii="Arial" w:cs="Arial" w:eastAsia="Arial" w:hAnsi="Arial"/>
                <w:sz w:val="17"/>
                <w:szCs w:val="17"/>
                <w:color w:val="auto"/>
              </w:rPr>
              <w:t>45,813,049</w:t>
            </w:r>
          </w:p>
        </w:tc>
        <w:tc>
          <w:tcPr>
            <w:tcW w:w="2120" w:type="dxa"/>
            <w:vAlign w:val="bottom"/>
            <w:tcBorders>
              <w:bottom w:val="single" w:sz="8" w:color="405788"/>
            </w:tcBorders>
          </w:tcPr>
          <w:p>
            <w:pPr>
              <w:jc w:val="right"/>
              <w:ind w:right="199"/>
              <w:spacing w:after="0" w:line="188" w:lineRule="exact"/>
              <w:rPr>
                <w:sz w:val="20"/>
                <w:szCs w:val="20"/>
                <w:color w:val="auto"/>
              </w:rPr>
            </w:pPr>
            <w:r>
              <w:rPr>
                <w:rFonts w:ascii="Arial" w:cs="Arial" w:eastAsia="Arial" w:hAnsi="Arial"/>
                <w:sz w:val="17"/>
                <w:szCs w:val="17"/>
                <w:color w:val="auto"/>
              </w:rPr>
              <w:t>49,368,192</w:t>
            </w:r>
          </w:p>
        </w:tc>
        <w:tc>
          <w:tcPr>
            <w:tcW w:w="28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48,399,442</w:t>
            </w:r>
          </w:p>
        </w:tc>
      </w:tr>
      <w:tr>
        <w:trPr>
          <w:trHeight w:val="372"/>
        </w:trPr>
        <w:tc>
          <w:tcPr>
            <w:tcW w:w="20" w:type="dxa"/>
            <w:vAlign w:val="bottom"/>
          </w:tcPr>
          <w:p>
            <w:pPr>
              <w:spacing w:after="0"/>
              <w:rPr>
                <w:sz w:val="24"/>
                <w:szCs w:val="24"/>
                <w:color w:val="auto"/>
              </w:rPr>
            </w:pPr>
          </w:p>
        </w:tc>
        <w:tc>
          <w:tcPr>
            <w:tcW w:w="258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i w:val="1"/>
                <w:iCs w:val="1"/>
                <w:color w:val="auto"/>
              </w:rPr>
              <w:t>Peter Johansson</w:t>
            </w:r>
          </w:p>
        </w:tc>
        <w:tc>
          <w:tcPr>
            <w:tcW w:w="2400" w:type="dxa"/>
            <w:vAlign w:val="bottom"/>
            <w:tcBorders>
              <w:bottom w:val="single" w:sz="8" w:color="405788"/>
            </w:tcBorders>
          </w:tcPr>
          <w:p>
            <w:pPr>
              <w:jc w:val="right"/>
              <w:ind w:right="27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39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4</w:t>
            </w:r>
          </w:p>
        </w:tc>
        <w:tc>
          <w:tcPr>
            <w:tcW w:w="2400" w:type="dxa"/>
            <w:vAlign w:val="bottom"/>
            <w:tcBorders>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1,370,000</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1,032,500</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Accelerated Equity Awards:</w:t>
            </w:r>
          </w:p>
        </w:tc>
        <w:tc>
          <w:tcPr>
            <w:tcW w:w="2400" w:type="dxa"/>
            <w:vAlign w:val="bottom"/>
            <w:tcBorders>
              <w:bottom w:val="single" w:sz="8" w:color="D9D9D9"/>
            </w:tcBorders>
          </w:tcPr>
          <w:p>
            <w:pPr>
              <w:spacing w:after="0"/>
              <w:rPr>
                <w:sz w:val="16"/>
                <w:szCs w:val="16"/>
                <w:color w:val="auto"/>
              </w:rPr>
            </w:pPr>
          </w:p>
        </w:tc>
        <w:tc>
          <w:tcPr>
            <w:tcW w:w="2120" w:type="dxa"/>
            <w:vAlign w:val="bottom"/>
            <w:tcBorders>
              <w:bottom w:val="single" w:sz="8" w:color="D9D9D9"/>
            </w:tcBorders>
          </w:tcPr>
          <w:p>
            <w:pPr>
              <w:spacing w:after="0"/>
              <w:rPr>
                <w:sz w:val="16"/>
                <w:szCs w:val="16"/>
                <w:color w:val="auto"/>
              </w:rPr>
            </w:pPr>
          </w:p>
        </w:tc>
        <w:tc>
          <w:tcPr>
            <w:tcW w:w="2800" w:type="dxa"/>
            <w:vAlign w:val="bottom"/>
            <w:tcBorders>
              <w:bottom w:val="single" w:sz="8" w:color="D9D9D9"/>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400" w:type="dxa"/>
            <w:vAlign w:val="bottom"/>
            <w:tcBorders>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1,089,550</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1,089,550</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1,089,550</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400" w:type="dxa"/>
            <w:vAlign w:val="bottom"/>
            <w:tcBorders>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3,644,861</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3,644,861</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3,644,861</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400" w:type="dxa"/>
            <w:vAlign w:val="bottom"/>
            <w:tcBorders>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32,277</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32,277</w:t>
            </w:r>
          </w:p>
        </w:tc>
      </w:tr>
      <w:tr>
        <w:trPr>
          <w:trHeight w:val="187"/>
        </w:trPr>
        <w:tc>
          <w:tcPr>
            <w:tcW w:w="20" w:type="dxa"/>
            <w:vAlign w:val="bottom"/>
          </w:tcPr>
          <w:p>
            <w:pPr>
              <w:spacing w:after="0"/>
              <w:rPr>
                <w:sz w:val="16"/>
                <w:szCs w:val="16"/>
                <w:color w:val="auto"/>
              </w:rPr>
            </w:pPr>
          </w:p>
        </w:tc>
        <w:tc>
          <w:tcPr>
            <w:tcW w:w="25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w:t>
            </w:r>
          </w:p>
        </w:tc>
        <w:tc>
          <w:tcPr>
            <w:tcW w:w="2400" w:type="dxa"/>
            <w:vAlign w:val="bottom"/>
            <w:tcBorders>
              <w:bottom w:val="single" w:sz="8" w:color="405788"/>
            </w:tcBorders>
          </w:tcPr>
          <w:p>
            <w:pPr>
              <w:jc w:val="right"/>
              <w:ind w:right="299"/>
              <w:spacing w:after="0" w:line="188" w:lineRule="exact"/>
              <w:rPr>
                <w:sz w:val="20"/>
                <w:szCs w:val="20"/>
                <w:color w:val="auto"/>
              </w:rPr>
            </w:pPr>
            <w:r>
              <w:rPr>
                <w:rFonts w:ascii="Arial" w:cs="Arial" w:eastAsia="Arial" w:hAnsi="Arial"/>
                <w:sz w:val="17"/>
                <w:szCs w:val="17"/>
                <w:color w:val="auto"/>
              </w:rPr>
              <w:t>4,734,411</w:t>
            </w:r>
          </w:p>
        </w:tc>
        <w:tc>
          <w:tcPr>
            <w:tcW w:w="2120" w:type="dxa"/>
            <w:vAlign w:val="bottom"/>
            <w:tcBorders>
              <w:bottom w:val="single" w:sz="8" w:color="405788"/>
            </w:tcBorders>
          </w:tcPr>
          <w:p>
            <w:pPr>
              <w:jc w:val="right"/>
              <w:ind w:right="399"/>
              <w:spacing w:after="0" w:line="188" w:lineRule="exact"/>
              <w:rPr>
                <w:sz w:val="20"/>
                <w:szCs w:val="20"/>
                <w:color w:val="auto"/>
              </w:rPr>
            </w:pPr>
            <w:r>
              <w:rPr>
                <w:rFonts w:ascii="Arial" w:cs="Arial" w:eastAsia="Arial" w:hAnsi="Arial"/>
                <w:sz w:val="17"/>
                <w:szCs w:val="17"/>
                <w:color w:val="auto"/>
              </w:rPr>
              <w:t>6,136,688</w:t>
            </w:r>
          </w:p>
        </w:tc>
        <w:tc>
          <w:tcPr>
            <w:tcW w:w="28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5,799,188</w:t>
            </w:r>
          </w:p>
        </w:tc>
      </w:tr>
      <w:tr>
        <w:trPr>
          <w:trHeight w:val="372"/>
        </w:trPr>
        <w:tc>
          <w:tcPr>
            <w:tcW w:w="2600" w:type="dxa"/>
            <w:vAlign w:val="bottom"/>
            <w:tcBorders>
              <w:bottom w:val="single" w:sz="8" w:color="405788"/>
            </w:tcBorders>
            <w:gridSpan w:val="2"/>
          </w:tcPr>
          <w:p>
            <w:pPr>
              <w:spacing w:after="0"/>
              <w:rPr>
                <w:sz w:val="20"/>
                <w:szCs w:val="20"/>
                <w:color w:val="auto"/>
              </w:rPr>
            </w:pPr>
            <w:r>
              <w:rPr>
                <w:rFonts w:ascii="Arial" w:cs="Arial" w:eastAsia="Arial" w:hAnsi="Arial"/>
                <w:sz w:val="15"/>
                <w:szCs w:val="15"/>
                <w:b w:val="1"/>
                <w:bCs w:val="1"/>
                <w:i w:val="1"/>
                <w:iCs w:val="1"/>
                <w:color w:val="auto"/>
              </w:rPr>
              <w:t>Lynn Watkins-Asiyanbi</w:t>
            </w:r>
          </w:p>
        </w:tc>
        <w:tc>
          <w:tcPr>
            <w:tcW w:w="2400" w:type="dxa"/>
            <w:vAlign w:val="bottom"/>
            <w:tcBorders>
              <w:bottom w:val="single" w:sz="8" w:color="405788"/>
            </w:tcBorders>
          </w:tcPr>
          <w:p>
            <w:pPr>
              <w:jc w:val="right"/>
              <w:ind w:right="27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39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6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5</w:t>
            </w:r>
          </w:p>
        </w:tc>
        <w:tc>
          <w:tcPr>
            <w:tcW w:w="2400" w:type="dxa"/>
            <w:vAlign w:val="bottom"/>
            <w:tcBorders>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419"/>
              <w:spacing w:after="0" w:line="188" w:lineRule="exact"/>
              <w:rPr>
                <w:sz w:val="20"/>
                <w:szCs w:val="20"/>
                <w:color w:val="auto"/>
              </w:rPr>
            </w:pPr>
            <w:r>
              <w:rPr>
                <w:rFonts w:ascii="Arial" w:cs="Arial" w:eastAsia="Arial" w:hAnsi="Arial"/>
                <w:sz w:val="17"/>
                <w:szCs w:val="17"/>
                <w:color w:val="auto"/>
              </w:rPr>
              <w:t>1,220,000</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920,000</w:t>
            </w:r>
          </w:p>
        </w:tc>
      </w:tr>
      <w:tr>
        <w:trPr>
          <w:trHeight w:val="192"/>
        </w:trPr>
        <w:tc>
          <w:tcPr>
            <w:tcW w:w="2600" w:type="dxa"/>
            <w:vAlign w:val="bottom"/>
            <w:gridSpan w:val="2"/>
          </w:tcPr>
          <w:p>
            <w:pPr>
              <w:spacing w:after="0" w:line="188" w:lineRule="exact"/>
              <w:rPr>
                <w:sz w:val="20"/>
                <w:szCs w:val="20"/>
                <w:color w:val="auto"/>
              </w:rPr>
            </w:pPr>
            <w:r>
              <w:rPr>
                <w:rFonts w:ascii="Arial" w:cs="Arial" w:eastAsia="Arial" w:hAnsi="Arial"/>
                <w:sz w:val="17"/>
                <w:szCs w:val="17"/>
                <w:color w:val="auto"/>
              </w:rPr>
              <w:t>Accelerated Equity Awards:</w:t>
            </w:r>
          </w:p>
        </w:tc>
        <w:tc>
          <w:tcPr>
            <w:tcW w:w="24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top w:val="single" w:sz="8" w:color="D9D9D9"/>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400" w:type="dxa"/>
            <w:vAlign w:val="bottom"/>
            <w:tcBorders>
              <w:top w:val="single" w:sz="8" w:color="D9D9D9"/>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999,706</w:t>
            </w:r>
          </w:p>
        </w:tc>
        <w:tc>
          <w:tcPr>
            <w:tcW w:w="2120" w:type="dxa"/>
            <w:vAlign w:val="bottom"/>
            <w:tcBorders>
              <w:top w:val="single" w:sz="8" w:color="D9D9D9"/>
              <w:bottom w:val="single" w:sz="8" w:color="D9D9D9"/>
            </w:tcBorders>
          </w:tcPr>
          <w:p>
            <w:pPr>
              <w:jc w:val="right"/>
              <w:ind w:right="419"/>
              <w:spacing w:after="0" w:line="188" w:lineRule="exact"/>
              <w:rPr>
                <w:sz w:val="20"/>
                <w:szCs w:val="20"/>
                <w:color w:val="auto"/>
              </w:rPr>
            </w:pPr>
            <w:r>
              <w:rPr>
                <w:rFonts w:ascii="Arial" w:cs="Arial" w:eastAsia="Arial" w:hAnsi="Arial"/>
                <w:sz w:val="17"/>
                <w:szCs w:val="17"/>
                <w:color w:val="auto"/>
              </w:rPr>
              <w:t>999,706</w:t>
            </w:r>
          </w:p>
        </w:tc>
        <w:tc>
          <w:tcPr>
            <w:tcW w:w="2800" w:type="dxa"/>
            <w:vAlign w:val="bottom"/>
            <w:tcBorders>
              <w:top w:val="single" w:sz="8" w:color="D9D9D9"/>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999,706</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400" w:type="dxa"/>
            <w:vAlign w:val="bottom"/>
            <w:tcBorders>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2,940,200</w:t>
            </w:r>
          </w:p>
        </w:tc>
        <w:tc>
          <w:tcPr>
            <w:tcW w:w="2120" w:type="dxa"/>
            <w:vAlign w:val="bottom"/>
            <w:tcBorders>
              <w:bottom w:val="single" w:sz="8" w:color="D9D9D9"/>
            </w:tcBorders>
          </w:tcPr>
          <w:p>
            <w:pPr>
              <w:jc w:val="right"/>
              <w:ind w:right="419"/>
              <w:spacing w:after="0" w:line="188" w:lineRule="exact"/>
              <w:rPr>
                <w:sz w:val="20"/>
                <w:szCs w:val="20"/>
                <w:color w:val="auto"/>
              </w:rPr>
            </w:pPr>
            <w:r>
              <w:rPr>
                <w:rFonts w:ascii="Arial" w:cs="Arial" w:eastAsia="Arial" w:hAnsi="Arial"/>
                <w:sz w:val="17"/>
                <w:szCs w:val="17"/>
                <w:color w:val="auto"/>
              </w:rPr>
              <w:t>2,940,200</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2,940,200</w:t>
            </w:r>
          </w:p>
        </w:tc>
      </w:tr>
      <w:tr>
        <w:trPr>
          <w:trHeight w:val="192"/>
        </w:trPr>
        <w:tc>
          <w:tcPr>
            <w:tcW w:w="20" w:type="dxa"/>
            <w:vAlign w:val="bottom"/>
            <w:tcBorders>
              <w:bottom w:val="single" w:sz="8" w:color="D9D9D9"/>
            </w:tcBorders>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400" w:type="dxa"/>
            <w:vAlign w:val="bottom"/>
            <w:tcBorders>
              <w:bottom w:val="single" w:sz="8" w:color="D9D9D9"/>
            </w:tcBorders>
          </w:tcPr>
          <w:p>
            <w:pPr>
              <w:jc w:val="right"/>
              <w:ind w:right="29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419"/>
              <w:spacing w:after="0" w:line="188" w:lineRule="exact"/>
              <w:rPr>
                <w:sz w:val="20"/>
                <w:szCs w:val="20"/>
                <w:color w:val="auto"/>
              </w:rPr>
            </w:pPr>
            <w:r>
              <w:rPr>
                <w:rFonts w:ascii="Arial" w:cs="Arial" w:eastAsia="Arial" w:hAnsi="Arial"/>
                <w:sz w:val="17"/>
                <w:szCs w:val="17"/>
                <w:color w:val="auto"/>
              </w:rPr>
              <w:t>29,344</w:t>
            </w:r>
          </w:p>
        </w:tc>
        <w:tc>
          <w:tcPr>
            <w:tcW w:w="28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29,344</w:t>
            </w:r>
          </w:p>
        </w:tc>
      </w:tr>
      <w:tr>
        <w:trPr>
          <w:trHeight w:val="187"/>
        </w:trPr>
        <w:tc>
          <w:tcPr>
            <w:tcW w:w="260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b w:val="1"/>
                <w:bCs w:val="1"/>
                <w:color w:val="auto"/>
              </w:rPr>
              <w:t>Total</w:t>
            </w:r>
          </w:p>
        </w:tc>
        <w:tc>
          <w:tcPr>
            <w:tcW w:w="2400" w:type="dxa"/>
            <w:vAlign w:val="bottom"/>
            <w:tcBorders>
              <w:bottom w:val="single" w:sz="8" w:color="405788"/>
            </w:tcBorders>
          </w:tcPr>
          <w:p>
            <w:pPr>
              <w:jc w:val="right"/>
              <w:ind w:right="299"/>
              <w:spacing w:after="0" w:line="188" w:lineRule="exact"/>
              <w:rPr>
                <w:sz w:val="20"/>
                <w:szCs w:val="20"/>
                <w:color w:val="auto"/>
              </w:rPr>
            </w:pPr>
            <w:r>
              <w:rPr>
                <w:rFonts w:ascii="Arial" w:cs="Arial" w:eastAsia="Arial" w:hAnsi="Arial"/>
                <w:sz w:val="17"/>
                <w:szCs w:val="17"/>
                <w:color w:val="auto"/>
              </w:rPr>
              <w:t>3,939,906</w:t>
            </w:r>
          </w:p>
        </w:tc>
        <w:tc>
          <w:tcPr>
            <w:tcW w:w="2120" w:type="dxa"/>
            <w:vAlign w:val="bottom"/>
            <w:tcBorders>
              <w:bottom w:val="single" w:sz="8" w:color="405788"/>
            </w:tcBorders>
          </w:tcPr>
          <w:p>
            <w:pPr>
              <w:jc w:val="right"/>
              <w:ind w:right="419"/>
              <w:spacing w:after="0" w:line="188" w:lineRule="exact"/>
              <w:rPr>
                <w:sz w:val="20"/>
                <w:szCs w:val="20"/>
                <w:color w:val="auto"/>
              </w:rPr>
            </w:pPr>
            <w:r>
              <w:rPr>
                <w:rFonts w:ascii="Arial" w:cs="Arial" w:eastAsia="Arial" w:hAnsi="Arial"/>
                <w:sz w:val="17"/>
                <w:szCs w:val="17"/>
                <w:color w:val="auto"/>
              </w:rPr>
              <w:t>5,189,250</w:t>
            </w:r>
          </w:p>
        </w:tc>
        <w:tc>
          <w:tcPr>
            <w:tcW w:w="28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4,889,250</w:t>
            </w:r>
          </w:p>
        </w:tc>
      </w:tr>
    </w:tbl>
    <w:p>
      <w:pPr>
        <w:spacing w:after="0" w:line="100" w:lineRule="exact"/>
        <w:rPr>
          <w:sz w:val="20"/>
          <w:szCs w:val="20"/>
          <w:color w:val="auto"/>
        </w:rPr>
      </w:pPr>
    </w:p>
    <w:p>
      <w:pPr>
        <w:ind w:left="300" w:right="40" w:hanging="299"/>
        <w:spacing w:after="0" w:line="255"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accelerated vesting of all or part of outstanding RSUs and PRSUs, and stock option awards, is at the discretion of our Compensation Committee in the event of a termination as a result the NEO’s death or disability or an involuntary termination by us without cause or by the executive for good reason. For the purpose of this disclosure, we have assumed that all outstanding RSUs, PRSUs, and stock option awards will be accelerated in such circumstances.</w:t>
      </w:r>
    </w:p>
    <w:p>
      <w:pPr>
        <w:spacing w:after="0" w:line="66" w:lineRule="exact"/>
        <w:rPr>
          <w:rFonts w:ascii="Arial" w:cs="Arial" w:eastAsia="Arial" w:hAnsi="Arial"/>
          <w:sz w:val="15"/>
          <w:szCs w:val="15"/>
          <w:color w:val="auto"/>
        </w:rPr>
      </w:pPr>
    </w:p>
    <w:p>
      <w:pPr>
        <w:ind w:left="300" w:right="40" w:hanging="299"/>
        <w:spacing w:after="0" w:line="246"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accelerated vesting of all or part of outstanding RSUs and PRSUs, and stock option awards, upon a change in control is generally subject to the discretion of our Compensation Committee, except as described in this footnote. Mr. Gleason’s inducement RSUs and stock option awards granted in 2020 and the special retention PRSUs granted to the NEOs in 2023 would vest in the event of a change in control, unless a replacement award is provided in accordance with the applicable award agreement. If such a replacement award is provided, and the NEO is terminated by us without cause (as defined in the applicable award agreement) or by the NEO for good reason (as defined in the applicable award agreement), in each case within a period of two years after the change in control, 100% of the replacement award will become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78" w:lineRule="exact"/>
        <w:rPr>
          <w:rFonts w:ascii="Arial" w:cs="Arial" w:eastAsia="Arial" w:hAnsi="Arial"/>
          <w:sz w:val="15"/>
          <w:szCs w:val="15"/>
          <w:color w:val="auto"/>
        </w:rPr>
      </w:pPr>
    </w:p>
    <w:p>
      <w:pPr>
        <w:ind w:left="300" w:right="20" w:hanging="299"/>
        <w:spacing w:after="0" w:line="250"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Under the terms of the Severance Plan, if Mr. Gleason’s employment is terminated by the Company without cause or by Mr. Gleason for good reason during the two-year period following a change in control, he will receive, in addition to certain accrued benefits, a lump sum cash payment equal to the sum of (i) a pro-rata target bonus for the year of termination ($968,750), (ii) 2.0x the sum of his base salary plus target bonus ($2,518,750), plus (iii) $20,000 in lieu of executive outplacement services. No cash amount would be paid solely upon a change in control. If Mr. Gleason’s employment is terminated without cause or for good reason other than during the two-year period following a change in control, then he will receive a lump sum cash payment equal to</w:t>
      </w:r>
    </w:p>
    <w:p>
      <w:pPr>
        <w:spacing w:after="0" w:line="235"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32</w:t>
      </w:r>
      <w:r>
        <w:rPr>
          <w:sz w:val="20"/>
          <w:szCs w:val="20"/>
          <w:color w:val="auto"/>
        </w:rPr>
        <w:tab/>
      </w:r>
      <w:r>
        <w:rPr>
          <w:sz w:val="1"/>
          <w:szCs w:val="1"/>
          <w:color w:val="auto"/>
        </w:rPr>
        <w:drawing>
          <wp:inline distT="0" distB="0" distL="0" distR="0">
            <wp:extent cx="476250" cy="22225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5" w:lineRule="exact"/>
        <w:rPr>
          <w:sz w:val="20"/>
          <w:szCs w:val="20"/>
          <w:color w:val="auto"/>
        </w:rPr>
      </w:pPr>
    </w:p>
    <w:p>
      <w:pPr>
        <w:ind w:left="300" w:right="360"/>
        <w:spacing w:after="0" w:line="278" w:lineRule="auto"/>
        <w:rPr>
          <w:sz w:val="20"/>
          <w:szCs w:val="20"/>
          <w:color w:val="auto"/>
        </w:rPr>
      </w:pPr>
      <w:r>
        <w:rPr>
          <w:rFonts w:ascii="Arial" w:cs="Arial" w:eastAsia="Arial" w:hAnsi="Arial"/>
          <w:sz w:val="15"/>
          <w:szCs w:val="15"/>
          <w:color w:val="auto"/>
        </w:rPr>
        <w:t>the sum of (i) a pro-rata target bonus for the year of termination ($968,750), (ii) 2.0x his base salary ($1,550,000), plus (iii) $20,000 in lieu of executive outplacement services.</w:t>
      </w:r>
    </w:p>
    <w:p>
      <w:pPr>
        <w:spacing w:after="0" w:line="50" w:lineRule="exact"/>
        <w:rPr>
          <w:sz w:val="20"/>
          <w:szCs w:val="20"/>
          <w:color w:val="auto"/>
        </w:rPr>
      </w:pPr>
    </w:p>
    <w:p>
      <w:pPr>
        <w:ind w:left="300" w:right="40" w:hanging="299"/>
        <w:spacing w:after="0" w:line="249"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Under the terms of the Severance Plan, if Mr. Johansson’s employment is terminated by the Company without cause or by Mr. Johansson for good reason during the two-year period following a change in control, he will receive, in addition to certain accrued benefits, a lump sum cash payment equal to the sum of (i) a pro-rata target bonus for the year of termination ($337,500), (ii) 1.5x the sum of his base salary plus target bonus ($1,012,500), plus (iii) $20,000 in lieu of executive outplacement services. No cash amount would be paid solely upon a change in control. If Mr. Johansson’s employment is terminated without cause or for good reason other than during the two-year period following a change in control, then he will receive a lump sum cash payment equal to the sum of (i) a pro-rata target bonus for the year of termination ($337,500), (ii) 1.5x his base salary ($675,000), plus (iii) $20,000 in lieu of executive outplacement services.</w:t>
      </w:r>
    </w:p>
    <w:p>
      <w:pPr>
        <w:spacing w:after="0" w:line="72" w:lineRule="exact"/>
        <w:rPr>
          <w:rFonts w:ascii="Arial" w:cs="Arial" w:eastAsia="Arial" w:hAnsi="Arial"/>
          <w:sz w:val="15"/>
          <w:szCs w:val="15"/>
          <w:color w:val="auto"/>
        </w:rPr>
      </w:pPr>
    </w:p>
    <w:p>
      <w:pPr>
        <w:ind w:left="300" w:right="40" w:hanging="299"/>
        <w:spacing w:after="0" w:line="249"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Under the terms of the Severance Plan, if Ms. Watkins-Asiyanbi’s employment is terminated by the Company without cause or by Ms. Watkins-Asiyanbi for good reason during the two-year period following a change in control, she will receive, in addition to certain accrued benefits, a lump sum cash payment equal to the sum of (i) a pro-rata target bonus for the year of termination ($300,000), (ii) 1.5x the sum of her base salary plus target bonus ($900,000), plus (iii) $20,000 in lieu of executive outplacement services. No cash amount would be paid solely upon a change in control. If Ms. Watkins-Asiyanbi’s employment is terminated without cause or for good reason other than during the two-year period following a change in control, then she will receive a lump sum cash payment equal to the sum of (i) a pro-rata target bonus for the year of termination ($300,000), (ii) 1.5x her base salary ($600,000), plus (iii) $20,000 in lieu of executive outplacement services.</w:t>
      </w:r>
    </w:p>
    <w:p>
      <w:pPr>
        <w:spacing w:after="0" w:line="172" w:lineRule="exact"/>
        <w:rPr>
          <w:rFonts w:ascii="Arial" w:cs="Arial" w:eastAsia="Arial" w:hAnsi="Arial"/>
          <w:sz w:val="15"/>
          <w:szCs w:val="15"/>
          <w:color w:val="auto"/>
        </w:rPr>
      </w:pPr>
    </w:p>
    <w:p>
      <w:pPr>
        <w:ind w:left="300" w:right="340" w:hanging="299"/>
        <w:spacing w:after="0" w:line="278"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the value of the portion of the COBRA premium that the Company would cover for 18 months following termination of the NEO’s employment without cause or for good reason if the NEO elects COBRA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460375</wp:posOffset>
            </wp:positionV>
            <wp:extent cx="483870" cy="222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Chief Executive Officer Pay Ratio</w:t>
      </w:r>
    </w:p>
    <w:p>
      <w:pPr>
        <w:spacing w:after="0" w:line="9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2024, the ratio of the annual total compensation of Mr. Gleason, our CEO (“CEO Compensation”), to the median of the annual total compensation of all our employees and those of our consolidated subsidiaries (other than our CEO) (“Median Annual Compensation”) was approximately 44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(Item 402(u) of Regulation S-K), using the data and assumptions described below. We refer to the employee who received the Median Annual Compensation as the “Median Employee.”</w:t>
      </w:r>
    </w:p>
    <w:p>
      <w:pPr>
        <w:spacing w:after="0" w:line="6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For purposes of this pay ratio disclosure, CEO Compensation was determined to be $3,051,771, which represents the total 2024 compensation reported for Mr. Gleason, as set forth above in the 2024 Summary Compensation Table. For purposes of this pay ratio disclosure, Median Annual Compensation was determined to be $69,218 and was calculated using the same methodology we used for our named executive officers in the 2024 Summary Compensation Table.</w:t>
      </w:r>
    </w:p>
    <w:p>
      <w:pPr>
        <w:spacing w:after="0" w:line="7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identified our Median Employee in 2024 using our global employee population as described below, as of December 31, 2024 (the “Determination Date”). In total, our workforce consisted of 1,263 U.S. and non-U.S. employees, representing all full-time, part-time, seasonal, and temporary employees for us and our consolidated subsidiaries as of our Determination Date (except as described below and other than our CEO). This number does not include any independent contractors or “leased” workers, as permitted by the applicable SEC rules. This number excludes 45 non-U.S. employees (consisting of 45 employees in South Korea, or collectively approximately 3% of our total workforce of 1,308 employees), which we excluded from consideration under the de minimis exemption in the SEC rules. The total number of our U.S. and non-U.S. employees irrespective of the de minimis exemption was 757 and 557, respectively, and the total number of our U.S. and non-U.S. employees used for our de minimis calculation was 757 and 506, respectively. As permitted by the applicable SEC rules, we also excluded from the employees used to identify our Median Employee approximately 204 new employees who became our employees during 2024 as a result of our acquisitions of EnviroCare International, LLC, WK Germany KG, GmbH, WK Asia-Pacific Pte. Ltd., and Verantis Environmental Solutions Group.</w:t>
      </w:r>
    </w:p>
    <w:p>
      <w:pPr>
        <w:spacing w:after="0" w:line="6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To identify the Median Employee, we measured cash compensation (as described below) for the period beginning on January 1, 2024, and ending on December 31, 2024. The cash compensation measurement was calculated by totaling, for each employee, the following cash compensation elements: salary, wages, commissions, bonuses, and certain cash perquisites (such as moving allowance and automobile allowances). For each full-time employee hired during the defined period, as well as all non-U.S. employees, base salary was annualized to reflect a full year of earnings. This cash compensation represents the consistently applied compensation measure that we used for our pay ratio determination. Specifically excluded from the consistently applied compensation measure were equity awards and company contributions to 401(k) plans. All non-U.S. employee compensation was converted to U.S. dollars using the exchange rate as of December 31, 2024. Further, we did not utilize any statistical sampling or cost-of-living adjustments for purposes of this pay ratio disclosure.</w:t>
      </w:r>
    </w:p>
    <w:p>
      <w:pPr>
        <w:spacing w:after="0" w:line="7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As part of our pay ratio analysis, we identified two employees whose compensation was equal or otherwise closest to the median cash compensation level and chose as the Median Employee the employee whose compensation was in our view most representative of our workforce and whose compensation could be most consistently calculated using the Summary Compensation Table methodology. We then calculated the Median Annual Compensation for this employee using the same methodology we used for our named executive officers in the 2024 Summary Compensation Table.</w:t>
      </w:r>
    </w:p>
    <w:p>
      <w:pPr>
        <w:spacing w:after="0" w:line="200" w:lineRule="exact"/>
        <w:rPr>
          <w:sz w:val="20"/>
          <w:szCs w:val="20"/>
          <w:color w:val="auto"/>
        </w:rPr>
      </w:pPr>
    </w:p>
    <w:p>
      <w:pPr>
        <w:spacing w:after="0" w:line="328"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34</w:t>
      </w:r>
      <w:r>
        <w:rPr>
          <w:sz w:val="20"/>
          <w:szCs w:val="20"/>
          <w:color w:val="auto"/>
        </w:rPr>
        <w:tab/>
      </w:r>
      <w:r>
        <w:rPr>
          <w:sz w:val="1"/>
          <w:szCs w:val="1"/>
          <w:color w:val="auto"/>
        </w:rPr>
        <w:drawing>
          <wp:inline distT="0" distB="0" distL="0" distR="0">
            <wp:extent cx="476250" cy="2222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Pay Versus Performance</w:t>
      </w:r>
    </w:p>
    <w:p>
      <w:pPr>
        <w:spacing w:after="0" w:line="9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As required by Item 402(v) of Regulation S-K, we are providing the following information regarding the relationship between executive compensation and our financial performance for each of the last two completed calendar years. In determining the compensation actually paid (“CAP”) to our NEOs, we are required to make various adjustments to amounts that have been previously reported in the Summary Compensation Table (“SCT”) in previous years, as the SEC’s valuation methods for this section differ from those required in the SCT.</w:t>
      </w:r>
    </w:p>
    <w:p>
      <w:pPr>
        <w:spacing w:after="0" w:line="72"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The table below summarizes compensation values both previously reported in our SCT, as well as the adjusted values required in this section for fiscal years 2021 through 2024. Note that for our NEOs other than our principal executive officer (the “PEO”), compensation is reported as an average.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40" w:type="dxa"/>
            <w:vAlign w:val="bottom"/>
          </w:tcPr>
          <w:p>
            <w:pPr>
              <w:spacing w:after="0"/>
              <w:rPr>
                <w:sz w:val="12"/>
                <w:szCs w:val="12"/>
                <w:color w:val="auto"/>
              </w:rPr>
            </w:pPr>
          </w:p>
        </w:tc>
        <w:tc>
          <w:tcPr>
            <w:tcW w:w="116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PEO</w:t>
            </w:r>
          </w:p>
        </w:tc>
        <w:tc>
          <w:tcPr>
            <w:tcW w:w="920" w:type="dxa"/>
            <w:vAlign w:val="bottom"/>
            <w:tcBorders>
              <w:bottom w:val="single" w:sz="8" w:color="405788"/>
            </w:tcBorders>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Borders>
              <w:bottom w:val="single" w:sz="8" w:color="405788"/>
            </w:tcBorders>
            <w:gridSpan w:val="2"/>
          </w:tcPr>
          <w:p>
            <w:pPr>
              <w:jc w:val="right"/>
              <w:ind w:right="762"/>
              <w:spacing w:after="0"/>
              <w:rPr>
                <w:sz w:val="20"/>
                <w:szCs w:val="20"/>
                <w:color w:val="auto"/>
              </w:rPr>
            </w:pPr>
            <w:r>
              <w:rPr>
                <w:rFonts w:ascii="Arial" w:cs="Arial" w:eastAsia="Arial" w:hAnsi="Arial"/>
                <w:sz w:val="12"/>
                <w:szCs w:val="12"/>
                <w:b w:val="1"/>
                <w:bCs w:val="1"/>
                <w:color w:val="auto"/>
              </w:rPr>
              <w:t>Non-PEO NEOs</w:t>
            </w:r>
          </w:p>
        </w:tc>
        <w:tc>
          <w:tcPr>
            <w:tcW w:w="120" w:type="dxa"/>
            <w:vAlign w:val="bottom"/>
          </w:tcPr>
          <w:p>
            <w:pPr>
              <w:spacing w:after="0"/>
              <w:rPr>
                <w:sz w:val="12"/>
                <w:szCs w:val="12"/>
                <w:color w:val="auto"/>
              </w:rPr>
            </w:pPr>
          </w:p>
        </w:tc>
        <w:tc>
          <w:tcPr>
            <w:tcW w:w="1240" w:type="dxa"/>
            <w:vAlign w:val="bottom"/>
            <w:tcBorders>
              <w:bottom w:val="single" w:sz="8" w:color="405788"/>
            </w:tcBorders>
          </w:tcPr>
          <w:p>
            <w:pPr>
              <w:spacing w:after="0"/>
              <w:rPr>
                <w:sz w:val="12"/>
                <w:szCs w:val="12"/>
                <w:color w:val="auto"/>
              </w:rPr>
            </w:pPr>
          </w:p>
        </w:tc>
        <w:tc>
          <w:tcPr>
            <w:tcW w:w="2020" w:type="dxa"/>
            <w:vAlign w:val="bottom"/>
            <w:tcBorders>
              <w:bottom w:val="single" w:sz="8" w:color="405788"/>
            </w:tcBorders>
            <w:gridSpan w:val="2"/>
          </w:tcPr>
          <w:p>
            <w:pPr>
              <w:jc w:val="right"/>
              <w:ind w:right="762"/>
              <w:spacing w:after="0"/>
              <w:rPr>
                <w:sz w:val="20"/>
                <w:szCs w:val="20"/>
                <w:color w:val="auto"/>
              </w:rPr>
            </w:pPr>
            <w:r>
              <w:rPr>
                <w:rFonts w:ascii="Arial" w:cs="Arial" w:eastAsia="Arial" w:hAnsi="Arial"/>
                <w:sz w:val="12"/>
                <w:szCs w:val="12"/>
                <w:b w:val="1"/>
                <w:bCs w:val="1"/>
                <w:color w:val="auto"/>
              </w:rPr>
              <w:t>Performance</w:t>
            </w:r>
          </w:p>
        </w:tc>
        <w:tc>
          <w:tcPr>
            <w:tcW w:w="880" w:type="dxa"/>
            <w:vAlign w:val="bottom"/>
            <w:tcBorders>
              <w:bottom w:val="single" w:sz="8" w:color="405788"/>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right"/>
              <w:ind w:right="82"/>
              <w:spacing w:after="0" w:line="107" w:lineRule="exact"/>
              <w:rPr>
                <w:sz w:val="20"/>
                <w:szCs w:val="20"/>
                <w:color w:val="auto"/>
              </w:rPr>
            </w:pPr>
            <w:r>
              <w:rPr>
                <w:rFonts w:ascii="Arial" w:cs="Arial" w:eastAsia="Arial" w:hAnsi="Arial"/>
                <w:sz w:val="12"/>
                <w:szCs w:val="12"/>
                <w:b w:val="1"/>
                <w:bCs w:val="1"/>
                <w:color w:val="auto"/>
              </w:rPr>
              <w:t>Average</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Average</w:t>
            </w:r>
          </w:p>
        </w:tc>
        <w:tc>
          <w:tcPr>
            <w:tcW w:w="1240" w:type="dxa"/>
            <w:vAlign w:val="bottom"/>
          </w:tcPr>
          <w:p>
            <w:pPr>
              <w:jc w:val="right"/>
              <w:ind w:right="62"/>
              <w:spacing w:after="0" w:line="107" w:lineRule="exact"/>
              <w:rPr>
                <w:sz w:val="20"/>
                <w:szCs w:val="20"/>
                <w:color w:val="auto"/>
              </w:rPr>
            </w:pPr>
            <w:r>
              <w:rPr>
                <w:rFonts w:ascii="Arial" w:cs="Arial" w:eastAsia="Arial" w:hAnsi="Arial"/>
                <w:sz w:val="12"/>
                <w:szCs w:val="12"/>
                <w:b w:val="1"/>
                <w:bCs w:val="1"/>
                <w:color w:val="auto"/>
              </w:rPr>
              <w:t>Value of Initial</w:t>
            </w:r>
          </w:p>
        </w:tc>
        <w:tc>
          <w:tcPr>
            <w:tcW w:w="1040" w:type="dxa"/>
            <w:vAlign w:val="bottom"/>
          </w:tcPr>
          <w:p>
            <w:pPr>
              <w:jc w:val="right"/>
              <w:ind w:right="122"/>
              <w:spacing w:after="0" w:line="107" w:lineRule="exact"/>
              <w:rPr>
                <w:sz w:val="20"/>
                <w:szCs w:val="20"/>
                <w:color w:val="auto"/>
              </w:rPr>
            </w:pPr>
            <w:r>
              <w:rPr>
                <w:rFonts w:ascii="Arial" w:cs="Arial" w:eastAsia="Arial" w:hAnsi="Arial"/>
                <w:sz w:val="12"/>
                <w:szCs w:val="12"/>
                <w:b w:val="1"/>
                <w:bCs w:val="1"/>
                <w:color w:val="auto"/>
              </w:rPr>
              <w:t>Value of Initial</w:t>
            </w:r>
          </w:p>
        </w:tc>
        <w:tc>
          <w:tcPr>
            <w:tcW w:w="980" w:type="dxa"/>
            <w:vAlign w:val="bottom"/>
          </w:tcPr>
          <w:p>
            <w:pPr>
              <w:spacing w:after="0"/>
              <w:rPr>
                <w:sz w:val="9"/>
                <w:szCs w:val="9"/>
                <w:color w:val="auto"/>
              </w:rPr>
            </w:pPr>
          </w:p>
        </w:tc>
        <w:tc>
          <w:tcPr>
            <w:tcW w:w="880" w:type="dxa"/>
            <w:vAlign w:val="bottom"/>
          </w:tcPr>
          <w:p>
            <w:pPr>
              <w:jc w:val="right"/>
              <w:ind w:right="22"/>
              <w:spacing w:after="0" w:line="107" w:lineRule="exact"/>
              <w:rPr>
                <w:sz w:val="20"/>
                <w:szCs w:val="20"/>
                <w:color w:val="auto"/>
              </w:rPr>
            </w:pPr>
            <w:r>
              <w:rPr>
                <w:rFonts w:ascii="Arial" w:cs="Arial" w:eastAsia="Arial" w:hAnsi="Arial"/>
                <w:sz w:val="12"/>
                <w:szCs w:val="12"/>
                <w:b w:val="1"/>
                <w:bCs w:val="1"/>
                <w:color w:val="auto"/>
              </w:rPr>
              <w:t>(Company</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1160" w:type="dxa"/>
            <w:vAlign w:val="bottom"/>
            <w:vMerge w:val="restart"/>
          </w:tcPr>
          <w:p>
            <w:pPr>
              <w:jc w:val="right"/>
              <w:ind w:right="202"/>
              <w:spacing w:after="0"/>
              <w:rPr>
                <w:sz w:val="20"/>
                <w:szCs w:val="20"/>
                <w:color w:val="auto"/>
              </w:rPr>
            </w:pPr>
            <w:r>
              <w:rPr>
                <w:rFonts w:ascii="Arial" w:cs="Arial" w:eastAsia="Arial" w:hAnsi="Arial"/>
                <w:sz w:val="12"/>
                <w:szCs w:val="12"/>
                <w:b w:val="1"/>
                <w:bCs w:val="1"/>
                <w:color w:val="auto"/>
              </w:rPr>
              <w:t>Summary</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Summary</w:t>
            </w:r>
          </w:p>
        </w:tc>
        <w:tc>
          <w:tcPr>
            <w:tcW w:w="1340" w:type="dxa"/>
            <w:vAlign w:val="bottom"/>
            <w:gridSpan w:val="2"/>
            <w:vMerge w:val="continue"/>
          </w:tcPr>
          <w:p>
            <w:pPr>
              <w:spacing w:after="0"/>
              <w:rPr>
                <w:sz w:val="10"/>
                <w:szCs w:val="10"/>
                <w:color w:val="auto"/>
              </w:rPr>
            </w:pPr>
          </w:p>
        </w:tc>
        <w:tc>
          <w:tcPr>
            <w:tcW w:w="124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Fixed $100</w:t>
            </w:r>
          </w:p>
        </w:tc>
        <w:tc>
          <w:tcPr>
            <w:tcW w:w="1040" w:type="dxa"/>
            <w:vAlign w:val="bottom"/>
          </w:tcPr>
          <w:p>
            <w:pPr>
              <w:jc w:val="right"/>
              <w:ind w:right="122"/>
              <w:spacing w:after="0" w:line="125" w:lineRule="exact"/>
              <w:rPr>
                <w:sz w:val="20"/>
                <w:szCs w:val="20"/>
                <w:color w:val="auto"/>
              </w:rPr>
            </w:pPr>
            <w:r>
              <w:rPr>
                <w:rFonts w:ascii="Arial" w:cs="Arial" w:eastAsia="Arial" w:hAnsi="Arial"/>
                <w:sz w:val="12"/>
                <w:szCs w:val="12"/>
                <w:b w:val="1"/>
                <w:bCs w:val="1"/>
                <w:color w:val="auto"/>
              </w:rPr>
              <w:t>Fixed $100</w:t>
            </w:r>
          </w:p>
        </w:tc>
        <w:tc>
          <w:tcPr>
            <w:tcW w:w="980" w:type="dxa"/>
            <w:vAlign w:val="bottom"/>
          </w:tcPr>
          <w:p>
            <w:pPr>
              <w:spacing w:after="0"/>
              <w:rPr>
                <w:sz w:val="10"/>
                <w:szCs w:val="10"/>
                <w:color w:val="auto"/>
              </w:rPr>
            </w:pPr>
          </w:p>
        </w:tc>
        <w:tc>
          <w:tcPr>
            <w:tcW w:w="88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Selected</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Compensation</w:t>
            </w: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Compensation</w:t>
            </w:r>
          </w:p>
        </w:tc>
        <w:tc>
          <w:tcPr>
            <w:tcW w:w="1340" w:type="dxa"/>
            <w:vAlign w:val="bottom"/>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Compensation</w:t>
            </w:r>
          </w:p>
        </w:tc>
        <w:tc>
          <w:tcPr>
            <w:tcW w:w="124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Investment</w:t>
            </w:r>
          </w:p>
        </w:tc>
        <w:tc>
          <w:tcPr>
            <w:tcW w:w="1040" w:type="dxa"/>
            <w:vAlign w:val="bottom"/>
          </w:tcPr>
          <w:p>
            <w:pPr>
              <w:jc w:val="right"/>
              <w:ind w:right="122"/>
              <w:spacing w:after="0" w:line="125" w:lineRule="exact"/>
              <w:rPr>
                <w:sz w:val="20"/>
                <w:szCs w:val="20"/>
                <w:color w:val="auto"/>
              </w:rPr>
            </w:pPr>
            <w:r>
              <w:rPr>
                <w:rFonts w:ascii="Arial" w:cs="Arial" w:eastAsia="Arial" w:hAnsi="Arial"/>
                <w:sz w:val="12"/>
                <w:szCs w:val="12"/>
                <w:b w:val="1"/>
                <w:bCs w:val="1"/>
                <w:color w:val="auto"/>
              </w:rPr>
              <w:t>Investment</w:t>
            </w:r>
          </w:p>
        </w:tc>
        <w:tc>
          <w:tcPr>
            <w:tcW w:w="980" w:type="dxa"/>
            <w:vAlign w:val="bottom"/>
          </w:tcPr>
          <w:p>
            <w:pPr>
              <w:spacing w:after="0"/>
              <w:rPr>
                <w:sz w:val="10"/>
                <w:szCs w:val="10"/>
                <w:color w:val="auto"/>
              </w:rPr>
            </w:pPr>
          </w:p>
        </w:tc>
        <w:tc>
          <w:tcPr>
            <w:tcW w:w="88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Measure)</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1160" w:type="dxa"/>
            <w:vAlign w:val="bottom"/>
          </w:tcPr>
          <w:p>
            <w:pPr>
              <w:jc w:val="right"/>
              <w:ind w:right="202"/>
              <w:spacing w:after="0" w:line="125" w:lineRule="exact"/>
              <w:rPr>
                <w:sz w:val="20"/>
                <w:szCs w:val="20"/>
                <w:color w:val="auto"/>
              </w:rPr>
            </w:pPr>
            <w:r>
              <w:rPr>
                <w:rFonts w:ascii="Arial" w:cs="Arial" w:eastAsia="Arial" w:hAnsi="Arial"/>
                <w:sz w:val="12"/>
                <w:szCs w:val="12"/>
                <w:b w:val="1"/>
                <w:bCs w:val="1"/>
                <w:color w:val="auto"/>
              </w:rPr>
              <w:t>Compensation</w:t>
            </w:r>
          </w:p>
        </w:tc>
        <w:tc>
          <w:tcPr>
            <w:tcW w:w="1060" w:type="dxa"/>
            <w:vAlign w:val="bottom"/>
            <w:gridSpan w:val="2"/>
            <w:vMerge w:val="continue"/>
          </w:tcPr>
          <w:p>
            <w:pPr>
              <w:spacing w:after="0"/>
              <w:rPr>
                <w:sz w:val="10"/>
                <w:szCs w:val="10"/>
                <w:color w:val="auto"/>
              </w:rPr>
            </w:pP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Table Total for</w:t>
            </w:r>
          </w:p>
        </w:tc>
        <w:tc>
          <w:tcPr>
            <w:tcW w:w="1340" w:type="dxa"/>
            <w:vAlign w:val="bottom"/>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Actually Paid to</w:t>
            </w:r>
          </w:p>
        </w:tc>
        <w:tc>
          <w:tcPr>
            <w:tcW w:w="124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w w:val="98"/>
              </w:rPr>
              <w:t>Based on Company</w:t>
            </w:r>
          </w:p>
        </w:tc>
        <w:tc>
          <w:tcPr>
            <w:tcW w:w="1040" w:type="dxa"/>
            <w:vAlign w:val="bottom"/>
          </w:tcPr>
          <w:p>
            <w:pPr>
              <w:jc w:val="right"/>
              <w:ind w:right="122"/>
              <w:spacing w:after="0" w:line="125" w:lineRule="exact"/>
              <w:rPr>
                <w:sz w:val="20"/>
                <w:szCs w:val="20"/>
                <w:color w:val="auto"/>
              </w:rPr>
            </w:pPr>
            <w:r>
              <w:rPr>
                <w:rFonts w:ascii="Arial" w:cs="Arial" w:eastAsia="Arial" w:hAnsi="Arial"/>
                <w:sz w:val="12"/>
                <w:szCs w:val="12"/>
                <w:b w:val="1"/>
                <w:bCs w:val="1"/>
                <w:color w:val="auto"/>
              </w:rPr>
              <w:t>Based on</w:t>
            </w:r>
          </w:p>
        </w:tc>
        <w:tc>
          <w:tcPr>
            <w:tcW w:w="98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Net Income</w:t>
            </w:r>
          </w:p>
        </w:tc>
        <w:tc>
          <w:tcPr>
            <w:tcW w:w="88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1160" w:type="dxa"/>
            <w:vAlign w:val="bottom"/>
          </w:tcPr>
          <w:p>
            <w:pPr>
              <w:jc w:val="right"/>
              <w:ind w:right="202"/>
              <w:spacing w:after="0" w:line="125" w:lineRule="exact"/>
              <w:rPr>
                <w:sz w:val="20"/>
                <w:szCs w:val="20"/>
                <w:color w:val="auto"/>
              </w:rPr>
            </w:pPr>
            <w:r>
              <w:rPr>
                <w:rFonts w:ascii="Arial" w:cs="Arial" w:eastAsia="Arial" w:hAnsi="Arial"/>
                <w:sz w:val="12"/>
                <w:szCs w:val="12"/>
                <w:b w:val="1"/>
                <w:bCs w:val="1"/>
                <w:color w:val="auto"/>
              </w:rPr>
              <w:t>Table Total for</w:t>
            </w:r>
          </w:p>
        </w:tc>
        <w:tc>
          <w:tcPr>
            <w:tcW w:w="1060" w:type="dxa"/>
            <w:vAlign w:val="bottom"/>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w w:val="95"/>
              </w:rPr>
              <w:t>Actually Paid to</w:t>
            </w: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Non-PEO Named</w:t>
            </w:r>
          </w:p>
        </w:tc>
        <w:tc>
          <w:tcPr>
            <w:tcW w:w="1340" w:type="dxa"/>
            <w:vAlign w:val="bottom"/>
            <w:gridSpan w:val="2"/>
          </w:tcPr>
          <w:p>
            <w:pPr>
              <w:jc w:val="right"/>
              <w:ind w:right="160"/>
              <w:spacing w:after="0" w:line="125" w:lineRule="exact"/>
              <w:rPr>
                <w:sz w:val="20"/>
                <w:szCs w:val="20"/>
                <w:color w:val="auto"/>
              </w:rPr>
            </w:pPr>
            <w:r>
              <w:rPr>
                <w:rFonts w:ascii="Arial" w:cs="Arial" w:eastAsia="Arial" w:hAnsi="Arial"/>
                <w:sz w:val="12"/>
                <w:szCs w:val="12"/>
                <w:b w:val="1"/>
                <w:bCs w:val="1"/>
                <w:color w:val="auto"/>
              </w:rPr>
              <w:t>Non-PEO Named</w:t>
            </w:r>
          </w:p>
        </w:tc>
        <w:tc>
          <w:tcPr>
            <w:tcW w:w="124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Total Shareholder</w:t>
            </w:r>
          </w:p>
        </w:tc>
        <w:tc>
          <w:tcPr>
            <w:tcW w:w="1040" w:type="dxa"/>
            <w:vAlign w:val="bottom"/>
          </w:tcPr>
          <w:p>
            <w:pPr>
              <w:jc w:val="right"/>
              <w:ind w:right="122"/>
              <w:spacing w:after="0" w:line="125" w:lineRule="exact"/>
              <w:rPr>
                <w:sz w:val="20"/>
                <w:szCs w:val="20"/>
                <w:color w:val="auto"/>
              </w:rPr>
            </w:pPr>
            <w:r>
              <w:rPr>
                <w:rFonts w:ascii="Arial" w:cs="Arial" w:eastAsia="Arial" w:hAnsi="Arial"/>
                <w:sz w:val="12"/>
                <w:szCs w:val="12"/>
                <w:b w:val="1"/>
                <w:bCs w:val="1"/>
                <w:color w:val="auto"/>
              </w:rPr>
              <w:t>Peer Group</w:t>
            </w:r>
          </w:p>
        </w:tc>
        <w:tc>
          <w:tcPr>
            <w:tcW w:w="980" w:type="dxa"/>
            <w:vAlign w:val="bottom"/>
            <w:vMerge w:val="continue"/>
          </w:tcPr>
          <w:p>
            <w:pPr>
              <w:spacing w:after="0"/>
              <w:rPr>
                <w:sz w:val="10"/>
                <w:szCs w:val="10"/>
                <w:color w:val="auto"/>
              </w:rPr>
            </w:pPr>
          </w:p>
        </w:tc>
        <w:tc>
          <w:tcPr>
            <w:tcW w:w="88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EBITDA</w:t>
            </w:r>
          </w:p>
        </w:tc>
        <w:tc>
          <w:tcPr>
            <w:tcW w:w="0" w:type="dxa"/>
            <w:vAlign w:val="bottom"/>
          </w:tcPr>
          <w:p>
            <w:pPr>
              <w:spacing w:after="0"/>
              <w:rPr>
                <w:sz w:val="1"/>
                <w:szCs w:val="1"/>
                <w:color w:val="auto"/>
              </w:rPr>
            </w:pPr>
          </w:p>
        </w:tc>
      </w:tr>
      <w:tr>
        <w:trPr>
          <w:trHeight w:val="125"/>
        </w:trPr>
        <w:tc>
          <w:tcPr>
            <w:tcW w:w="9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Year</w:t>
            </w:r>
          </w:p>
        </w:tc>
        <w:tc>
          <w:tcPr>
            <w:tcW w:w="1160" w:type="dxa"/>
            <w:vAlign w:val="bottom"/>
          </w:tcPr>
          <w:p>
            <w:pPr>
              <w:jc w:val="right"/>
              <w:ind w:right="202"/>
              <w:spacing w:after="0" w:line="125" w:lineRule="exact"/>
              <w:rPr>
                <w:sz w:val="20"/>
                <w:szCs w:val="20"/>
                <w:color w:val="auto"/>
              </w:rPr>
            </w:pPr>
            <w:r>
              <w:rPr>
                <w:rFonts w:ascii="Arial" w:cs="Arial" w:eastAsia="Arial" w:hAnsi="Arial"/>
                <w:sz w:val="12"/>
                <w:szCs w:val="12"/>
                <w:b w:val="1"/>
                <w:bCs w:val="1"/>
                <w:color w:val="auto"/>
              </w:rPr>
              <w:t>PEO</w:t>
            </w:r>
          </w:p>
        </w:tc>
        <w:tc>
          <w:tcPr>
            <w:tcW w:w="1060" w:type="dxa"/>
            <w:vAlign w:val="bottom"/>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PEO</w:t>
            </w: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Executive Officers</w:t>
            </w:r>
          </w:p>
        </w:tc>
        <w:tc>
          <w:tcPr>
            <w:tcW w:w="1340" w:type="dxa"/>
            <w:vAlign w:val="bottom"/>
            <w:gridSpan w:val="2"/>
          </w:tcPr>
          <w:p>
            <w:pPr>
              <w:jc w:val="right"/>
              <w:ind w:right="160"/>
              <w:spacing w:after="0" w:line="125" w:lineRule="exact"/>
              <w:rPr>
                <w:sz w:val="20"/>
                <w:szCs w:val="20"/>
                <w:color w:val="auto"/>
              </w:rPr>
            </w:pPr>
            <w:r>
              <w:rPr>
                <w:rFonts w:ascii="Arial" w:cs="Arial" w:eastAsia="Arial" w:hAnsi="Arial"/>
                <w:sz w:val="12"/>
                <w:szCs w:val="12"/>
                <w:b w:val="1"/>
                <w:bCs w:val="1"/>
                <w:color w:val="auto"/>
              </w:rPr>
              <w:t>Executive Officers</w:t>
            </w:r>
          </w:p>
        </w:tc>
        <w:tc>
          <w:tcPr>
            <w:tcW w:w="124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Return</w:t>
            </w:r>
          </w:p>
        </w:tc>
        <w:tc>
          <w:tcPr>
            <w:tcW w:w="1040" w:type="dxa"/>
            <w:vAlign w:val="bottom"/>
          </w:tcPr>
          <w:p>
            <w:pPr>
              <w:jc w:val="right"/>
              <w:ind w:right="122"/>
              <w:spacing w:after="0" w:line="125" w:lineRule="exact"/>
              <w:rPr>
                <w:sz w:val="20"/>
                <w:szCs w:val="20"/>
                <w:color w:val="auto"/>
              </w:rPr>
            </w:pPr>
            <w:r>
              <w:rPr>
                <w:rFonts w:ascii="Arial" w:cs="Arial" w:eastAsia="Arial" w:hAnsi="Arial"/>
                <w:sz w:val="12"/>
                <w:szCs w:val="12"/>
                <w:b w:val="1"/>
                <w:bCs w:val="1"/>
                <w:color w:val="auto"/>
              </w:rPr>
              <w:t>TSR</w:t>
            </w:r>
          </w:p>
        </w:tc>
        <w:tc>
          <w:tcPr>
            <w:tcW w:w="980" w:type="dxa"/>
            <w:vAlign w:val="bottom"/>
          </w:tcPr>
          <w:p>
            <w:pPr>
              <w:jc w:val="right"/>
              <w:ind w:right="142"/>
              <w:spacing w:after="0" w:line="125" w:lineRule="exact"/>
              <w:rPr>
                <w:sz w:val="20"/>
                <w:szCs w:val="20"/>
                <w:color w:val="auto"/>
              </w:rPr>
            </w:pPr>
            <w:r>
              <w:rPr>
                <w:rFonts w:ascii="Arial" w:cs="Arial" w:eastAsia="Arial" w:hAnsi="Arial"/>
                <w:sz w:val="12"/>
                <w:szCs w:val="12"/>
                <w:b w:val="1"/>
                <w:bCs w:val="1"/>
                <w:color w:val="auto"/>
              </w:rPr>
              <w:t>(in millions)</w:t>
            </w:r>
          </w:p>
        </w:tc>
        <w:tc>
          <w:tcPr>
            <w:tcW w:w="88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148"/>
        </w:trPr>
        <w:tc>
          <w:tcPr>
            <w:tcW w:w="940" w:type="dxa"/>
            <w:vAlign w:val="bottom"/>
            <w:tcBorders>
              <w:bottom w:val="single" w:sz="8" w:color="405788"/>
            </w:tcBorders>
            <w:vMerge w:val="continue"/>
          </w:tcPr>
          <w:p>
            <w:pPr>
              <w:spacing w:after="0"/>
              <w:rPr>
                <w:sz w:val="12"/>
                <w:szCs w:val="12"/>
                <w:color w:val="auto"/>
              </w:rPr>
            </w:pPr>
          </w:p>
        </w:tc>
        <w:tc>
          <w:tcPr>
            <w:tcW w:w="1160" w:type="dxa"/>
            <w:vAlign w:val="bottom"/>
            <w:tcBorders>
              <w:bottom w:val="single" w:sz="8" w:color="405788"/>
            </w:tcBorders>
          </w:tcPr>
          <w:p>
            <w:pPr>
              <w:jc w:val="right"/>
              <w:ind w:right="1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1</w:t>
            </w:r>
          </w:p>
        </w:tc>
        <w:tc>
          <w:tcPr>
            <w:tcW w:w="92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405788"/>
            </w:tcBorders>
          </w:tcPr>
          <w:p>
            <w:pPr>
              <w:spacing w:after="0"/>
              <w:rPr>
                <w:sz w:val="12"/>
                <w:szCs w:val="12"/>
                <w:color w:val="auto"/>
              </w:rPr>
            </w:pPr>
          </w:p>
        </w:tc>
        <w:tc>
          <w:tcPr>
            <w:tcW w:w="128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122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405788"/>
            </w:tcBorders>
          </w:tcPr>
          <w:p>
            <w:pPr>
              <w:spacing w:after="0"/>
              <w:rPr>
                <w:sz w:val="12"/>
                <w:szCs w:val="12"/>
                <w:color w:val="auto"/>
              </w:rPr>
            </w:pPr>
          </w:p>
        </w:tc>
        <w:tc>
          <w:tcPr>
            <w:tcW w:w="1240" w:type="dxa"/>
            <w:vAlign w:val="bottom"/>
            <w:tcBorders>
              <w:bottom w:val="single" w:sz="8" w:color="405788"/>
            </w:tcBorders>
          </w:tcPr>
          <w:p>
            <w:pPr>
              <w:jc w:val="right"/>
              <w:ind w:right="2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2</w:t>
            </w:r>
          </w:p>
        </w:tc>
        <w:tc>
          <w:tcPr>
            <w:tcW w:w="104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3</w:t>
            </w:r>
          </w:p>
        </w:tc>
        <w:tc>
          <w:tcPr>
            <w:tcW w:w="980" w:type="dxa"/>
            <w:vAlign w:val="bottom"/>
            <w:tcBorders>
              <w:bottom w:val="single" w:sz="8" w:color="405788"/>
            </w:tcBorders>
          </w:tcPr>
          <w:p>
            <w:pPr>
              <w:jc w:val="right"/>
              <w:ind w:right="10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880" w:type="dxa"/>
            <w:vAlign w:val="bottom"/>
            <w:tcBorders>
              <w:bottom w:val="single" w:sz="8" w:color="405788"/>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130"/>
        </w:trPr>
        <w:tc>
          <w:tcPr>
            <w:tcW w:w="940" w:type="dxa"/>
            <w:vAlign w:val="bottom"/>
            <w:tcBorders>
              <w:bottom w:val="single" w:sz="8" w:color="D9D9D9"/>
            </w:tcBorders>
          </w:tcPr>
          <w:p>
            <w:pPr>
              <w:ind w:left="280"/>
              <w:spacing w:after="0" w:line="125" w:lineRule="exact"/>
              <w:rPr>
                <w:sz w:val="20"/>
                <w:szCs w:val="20"/>
                <w:color w:val="auto"/>
              </w:rPr>
            </w:pPr>
            <w:r>
              <w:rPr>
                <w:rFonts w:ascii="Arial" w:cs="Arial" w:eastAsia="Arial" w:hAnsi="Arial"/>
                <w:sz w:val="12"/>
                <w:szCs w:val="12"/>
                <w:color w:val="auto"/>
              </w:rPr>
              <w:t>2024</w:t>
            </w:r>
          </w:p>
        </w:tc>
        <w:tc>
          <w:tcPr>
            <w:tcW w:w="1160" w:type="dxa"/>
            <w:vAlign w:val="bottom"/>
            <w:tcBorders>
              <w:bottom w:val="single" w:sz="8" w:color="D9D9D9"/>
            </w:tcBorders>
          </w:tcPr>
          <w:p>
            <w:pPr>
              <w:jc w:val="right"/>
              <w:ind w:right="202"/>
              <w:spacing w:after="0" w:line="125" w:lineRule="exact"/>
              <w:rPr>
                <w:sz w:val="20"/>
                <w:szCs w:val="20"/>
                <w:color w:val="auto"/>
              </w:rPr>
            </w:pPr>
            <w:r>
              <w:rPr>
                <w:rFonts w:ascii="Arial" w:cs="Arial" w:eastAsia="Arial" w:hAnsi="Arial"/>
                <w:sz w:val="12"/>
                <w:szCs w:val="12"/>
                <w:color w:val="auto"/>
              </w:rPr>
              <w:t>3,051,771</w:t>
            </w:r>
          </w:p>
        </w:tc>
        <w:tc>
          <w:tcPr>
            <w:tcW w:w="920" w:type="dxa"/>
            <w:vAlign w:val="bottom"/>
            <w:tcBorders>
              <w:bottom w:val="single" w:sz="8" w:color="D9D9D9"/>
            </w:tcBorders>
          </w:tcPr>
          <w:p>
            <w:pPr>
              <w:jc w:val="right"/>
              <w:spacing w:after="0" w:line="125" w:lineRule="exact"/>
              <w:rPr>
                <w:sz w:val="20"/>
                <w:szCs w:val="20"/>
                <w:color w:val="auto"/>
              </w:rPr>
            </w:pPr>
            <w:r>
              <w:rPr>
                <w:rFonts w:ascii="Arial" w:cs="Arial" w:eastAsia="Arial" w:hAnsi="Arial"/>
                <w:sz w:val="12"/>
                <w:szCs w:val="12"/>
                <w:color w:val="auto"/>
              </w:rPr>
              <w:t>13,502,646</w:t>
            </w:r>
          </w:p>
        </w:tc>
        <w:tc>
          <w:tcPr>
            <w:tcW w:w="140" w:type="dxa"/>
            <w:vAlign w:val="bottom"/>
            <w:tcBorders>
              <w:bottom w:val="single" w:sz="8" w:color="D9D9D9"/>
            </w:tcBorders>
          </w:tcPr>
          <w:p>
            <w:pPr>
              <w:spacing w:after="0"/>
              <w:rPr>
                <w:sz w:val="11"/>
                <w:szCs w:val="11"/>
                <w:color w:val="auto"/>
              </w:rPr>
            </w:pPr>
          </w:p>
        </w:tc>
        <w:tc>
          <w:tcPr>
            <w:tcW w:w="128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1,103,836</w:t>
            </w:r>
          </w:p>
        </w:tc>
        <w:tc>
          <w:tcPr>
            <w:tcW w:w="1220" w:type="dxa"/>
            <w:vAlign w:val="bottom"/>
            <w:tcBorders>
              <w:bottom w:val="single" w:sz="8" w:color="D9D9D9"/>
            </w:tcBorders>
          </w:tcPr>
          <w:p>
            <w:pPr>
              <w:jc w:val="right"/>
              <w:spacing w:after="0" w:line="125" w:lineRule="exact"/>
              <w:rPr>
                <w:sz w:val="20"/>
                <w:szCs w:val="20"/>
                <w:color w:val="auto"/>
              </w:rPr>
            </w:pPr>
            <w:r>
              <w:rPr>
                <w:rFonts w:ascii="Arial" w:cs="Arial" w:eastAsia="Arial" w:hAnsi="Arial"/>
                <w:sz w:val="12"/>
                <w:szCs w:val="12"/>
                <w:color w:val="auto"/>
              </w:rPr>
              <w:t>3,226,151</w:t>
            </w:r>
          </w:p>
        </w:tc>
        <w:tc>
          <w:tcPr>
            <w:tcW w:w="120" w:type="dxa"/>
            <w:vAlign w:val="bottom"/>
            <w:tcBorders>
              <w:bottom w:val="single" w:sz="8" w:color="D9D9D9"/>
            </w:tcBorders>
          </w:tcPr>
          <w:p>
            <w:pPr>
              <w:spacing w:after="0"/>
              <w:rPr>
                <w:sz w:val="11"/>
                <w:szCs w:val="11"/>
                <w:color w:val="auto"/>
              </w:rPr>
            </w:pPr>
          </w:p>
        </w:tc>
        <w:tc>
          <w:tcPr>
            <w:tcW w:w="124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434.34</w:t>
            </w:r>
          </w:p>
        </w:tc>
        <w:tc>
          <w:tcPr>
            <w:tcW w:w="1040" w:type="dxa"/>
            <w:vAlign w:val="bottom"/>
            <w:tcBorders>
              <w:bottom w:val="single" w:sz="8" w:color="D9D9D9"/>
            </w:tcBorders>
          </w:tcPr>
          <w:p>
            <w:pPr>
              <w:jc w:val="right"/>
              <w:ind w:right="122"/>
              <w:spacing w:after="0" w:line="125" w:lineRule="exact"/>
              <w:rPr>
                <w:sz w:val="20"/>
                <w:szCs w:val="20"/>
                <w:color w:val="auto"/>
              </w:rPr>
            </w:pPr>
            <w:r>
              <w:rPr>
                <w:rFonts w:ascii="Arial" w:cs="Arial" w:eastAsia="Arial" w:hAnsi="Arial"/>
                <w:sz w:val="12"/>
                <w:szCs w:val="12"/>
                <w:color w:val="auto"/>
              </w:rPr>
              <w:t>164.00</w:t>
            </w:r>
          </w:p>
        </w:tc>
        <w:tc>
          <w:tcPr>
            <w:tcW w:w="980" w:type="dxa"/>
            <w:vAlign w:val="bottom"/>
            <w:tcBorders>
              <w:bottom w:val="single" w:sz="8" w:color="D9D9D9"/>
            </w:tcBorders>
          </w:tcPr>
          <w:p>
            <w:pPr>
              <w:jc w:val="right"/>
              <w:ind w:right="142"/>
              <w:spacing w:after="0" w:line="125" w:lineRule="exact"/>
              <w:rPr>
                <w:sz w:val="20"/>
                <w:szCs w:val="20"/>
                <w:color w:val="auto"/>
              </w:rPr>
            </w:pPr>
            <w:r>
              <w:rPr>
                <w:rFonts w:ascii="Arial" w:cs="Arial" w:eastAsia="Arial" w:hAnsi="Arial"/>
                <w:sz w:val="12"/>
                <w:szCs w:val="12"/>
                <w:color w:val="auto"/>
              </w:rPr>
              <w:t>13.0</w:t>
            </w:r>
          </w:p>
        </w:tc>
        <w:tc>
          <w:tcPr>
            <w:tcW w:w="8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130"/>
        </w:trPr>
        <w:tc>
          <w:tcPr>
            <w:tcW w:w="940" w:type="dxa"/>
            <w:vAlign w:val="bottom"/>
            <w:tcBorders>
              <w:bottom w:val="single" w:sz="8" w:color="D9D9D9"/>
            </w:tcBorders>
          </w:tcPr>
          <w:p>
            <w:pPr>
              <w:ind w:left="280"/>
              <w:spacing w:after="0" w:line="125" w:lineRule="exact"/>
              <w:rPr>
                <w:sz w:val="20"/>
                <w:szCs w:val="20"/>
                <w:color w:val="auto"/>
              </w:rPr>
            </w:pPr>
            <w:r>
              <w:rPr>
                <w:rFonts w:ascii="Arial" w:cs="Arial" w:eastAsia="Arial" w:hAnsi="Arial"/>
                <w:sz w:val="12"/>
                <w:szCs w:val="12"/>
                <w:color w:val="auto"/>
              </w:rPr>
              <w:t>2023</w:t>
            </w:r>
          </w:p>
        </w:tc>
        <w:tc>
          <w:tcPr>
            <w:tcW w:w="1160" w:type="dxa"/>
            <w:vAlign w:val="bottom"/>
            <w:tcBorders>
              <w:bottom w:val="single" w:sz="8" w:color="D9D9D9"/>
            </w:tcBorders>
          </w:tcPr>
          <w:p>
            <w:pPr>
              <w:jc w:val="right"/>
              <w:ind w:right="202"/>
              <w:spacing w:after="0" w:line="125" w:lineRule="exact"/>
              <w:rPr>
                <w:sz w:val="20"/>
                <w:szCs w:val="20"/>
                <w:color w:val="auto"/>
              </w:rPr>
            </w:pPr>
            <w:r>
              <w:rPr>
                <w:rFonts w:ascii="Arial" w:cs="Arial" w:eastAsia="Arial" w:hAnsi="Arial"/>
                <w:sz w:val="12"/>
                <w:szCs w:val="12"/>
                <w:color w:val="auto"/>
              </w:rPr>
              <w:t>5,579,467</w:t>
            </w:r>
          </w:p>
        </w:tc>
        <w:tc>
          <w:tcPr>
            <w:tcW w:w="920" w:type="dxa"/>
            <w:vAlign w:val="bottom"/>
            <w:tcBorders>
              <w:bottom w:val="single" w:sz="8" w:color="D9D9D9"/>
            </w:tcBorders>
          </w:tcPr>
          <w:p>
            <w:pPr>
              <w:jc w:val="right"/>
              <w:spacing w:after="0" w:line="125" w:lineRule="exact"/>
              <w:rPr>
                <w:sz w:val="20"/>
                <w:szCs w:val="20"/>
                <w:color w:val="auto"/>
              </w:rPr>
            </w:pPr>
            <w:r>
              <w:rPr>
                <w:rFonts w:ascii="Arial" w:cs="Arial" w:eastAsia="Arial" w:hAnsi="Arial"/>
                <w:sz w:val="12"/>
                <w:szCs w:val="12"/>
                <w:color w:val="auto"/>
              </w:rPr>
              <w:t>16,588,667</w:t>
            </w:r>
          </w:p>
        </w:tc>
        <w:tc>
          <w:tcPr>
            <w:tcW w:w="140" w:type="dxa"/>
            <w:vAlign w:val="bottom"/>
            <w:tcBorders>
              <w:bottom w:val="single" w:sz="8" w:color="D9D9D9"/>
            </w:tcBorders>
          </w:tcPr>
          <w:p>
            <w:pPr>
              <w:spacing w:after="0"/>
              <w:rPr>
                <w:sz w:val="11"/>
                <w:szCs w:val="11"/>
                <w:color w:val="auto"/>
              </w:rPr>
            </w:pPr>
          </w:p>
        </w:tc>
        <w:tc>
          <w:tcPr>
            <w:tcW w:w="128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1,802,228</w:t>
            </w:r>
          </w:p>
        </w:tc>
        <w:tc>
          <w:tcPr>
            <w:tcW w:w="1220" w:type="dxa"/>
            <w:vAlign w:val="bottom"/>
            <w:tcBorders>
              <w:bottom w:val="single" w:sz="8" w:color="D9D9D9"/>
            </w:tcBorders>
          </w:tcPr>
          <w:p>
            <w:pPr>
              <w:jc w:val="right"/>
              <w:spacing w:after="0" w:line="125" w:lineRule="exact"/>
              <w:rPr>
                <w:sz w:val="20"/>
                <w:szCs w:val="20"/>
                <w:color w:val="auto"/>
              </w:rPr>
            </w:pPr>
            <w:r>
              <w:rPr>
                <w:rFonts w:ascii="Arial" w:cs="Arial" w:eastAsia="Arial" w:hAnsi="Arial"/>
                <w:sz w:val="12"/>
                <w:szCs w:val="12"/>
                <w:color w:val="auto"/>
              </w:rPr>
              <w:t>3,152,819</w:t>
            </w:r>
          </w:p>
        </w:tc>
        <w:tc>
          <w:tcPr>
            <w:tcW w:w="120" w:type="dxa"/>
            <w:vAlign w:val="bottom"/>
            <w:tcBorders>
              <w:bottom w:val="single" w:sz="8" w:color="D9D9D9"/>
            </w:tcBorders>
          </w:tcPr>
          <w:p>
            <w:pPr>
              <w:spacing w:after="0"/>
              <w:rPr>
                <w:sz w:val="11"/>
                <w:szCs w:val="11"/>
                <w:color w:val="auto"/>
              </w:rPr>
            </w:pPr>
          </w:p>
        </w:tc>
        <w:tc>
          <w:tcPr>
            <w:tcW w:w="124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291.38</w:t>
            </w:r>
          </w:p>
        </w:tc>
        <w:tc>
          <w:tcPr>
            <w:tcW w:w="1040" w:type="dxa"/>
            <w:vAlign w:val="bottom"/>
            <w:tcBorders>
              <w:bottom w:val="single" w:sz="8" w:color="D9D9D9"/>
            </w:tcBorders>
          </w:tcPr>
          <w:p>
            <w:pPr>
              <w:jc w:val="right"/>
              <w:ind w:right="122"/>
              <w:spacing w:after="0" w:line="125" w:lineRule="exact"/>
              <w:rPr>
                <w:sz w:val="20"/>
                <w:szCs w:val="20"/>
                <w:color w:val="auto"/>
              </w:rPr>
            </w:pPr>
            <w:r>
              <w:rPr>
                <w:rFonts w:ascii="Arial" w:cs="Arial" w:eastAsia="Arial" w:hAnsi="Arial"/>
                <w:sz w:val="12"/>
                <w:szCs w:val="12"/>
                <w:color w:val="auto"/>
              </w:rPr>
              <w:t>141.04</w:t>
            </w:r>
          </w:p>
        </w:tc>
        <w:tc>
          <w:tcPr>
            <w:tcW w:w="980" w:type="dxa"/>
            <w:vAlign w:val="bottom"/>
            <w:tcBorders>
              <w:bottom w:val="single" w:sz="8" w:color="D9D9D9"/>
            </w:tcBorders>
          </w:tcPr>
          <w:p>
            <w:pPr>
              <w:jc w:val="right"/>
              <w:ind w:right="142"/>
              <w:spacing w:after="0" w:line="125" w:lineRule="exact"/>
              <w:rPr>
                <w:sz w:val="20"/>
                <w:szCs w:val="20"/>
                <w:color w:val="auto"/>
              </w:rPr>
            </w:pPr>
            <w:r>
              <w:rPr>
                <w:rFonts w:ascii="Arial" w:cs="Arial" w:eastAsia="Arial" w:hAnsi="Arial"/>
                <w:sz w:val="12"/>
                <w:szCs w:val="12"/>
                <w:color w:val="auto"/>
              </w:rPr>
              <w:t>12.9</w:t>
            </w:r>
          </w:p>
        </w:tc>
        <w:tc>
          <w:tcPr>
            <w:tcW w:w="8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57.7</w:t>
            </w:r>
          </w:p>
        </w:tc>
        <w:tc>
          <w:tcPr>
            <w:tcW w:w="0" w:type="dxa"/>
            <w:vAlign w:val="bottom"/>
          </w:tcPr>
          <w:p>
            <w:pPr>
              <w:spacing w:after="0"/>
              <w:rPr>
                <w:sz w:val="1"/>
                <w:szCs w:val="1"/>
                <w:color w:val="auto"/>
              </w:rPr>
            </w:pPr>
          </w:p>
        </w:tc>
      </w:tr>
      <w:tr>
        <w:trPr>
          <w:trHeight w:val="130"/>
        </w:trPr>
        <w:tc>
          <w:tcPr>
            <w:tcW w:w="940" w:type="dxa"/>
            <w:vAlign w:val="bottom"/>
            <w:tcBorders>
              <w:bottom w:val="single" w:sz="8" w:color="D9D9D9"/>
            </w:tcBorders>
          </w:tcPr>
          <w:p>
            <w:pPr>
              <w:ind w:left="280"/>
              <w:spacing w:after="0" w:line="125" w:lineRule="exact"/>
              <w:rPr>
                <w:sz w:val="20"/>
                <w:szCs w:val="20"/>
                <w:color w:val="auto"/>
              </w:rPr>
            </w:pPr>
            <w:r>
              <w:rPr>
                <w:rFonts w:ascii="Arial" w:cs="Arial" w:eastAsia="Arial" w:hAnsi="Arial"/>
                <w:sz w:val="12"/>
                <w:szCs w:val="12"/>
                <w:color w:val="auto"/>
              </w:rPr>
              <w:t>2022</w:t>
            </w:r>
          </w:p>
        </w:tc>
        <w:tc>
          <w:tcPr>
            <w:tcW w:w="1160" w:type="dxa"/>
            <w:vAlign w:val="bottom"/>
            <w:tcBorders>
              <w:bottom w:val="single" w:sz="8" w:color="D9D9D9"/>
            </w:tcBorders>
          </w:tcPr>
          <w:p>
            <w:pPr>
              <w:jc w:val="right"/>
              <w:ind w:right="202"/>
              <w:spacing w:after="0" w:line="125" w:lineRule="exact"/>
              <w:rPr>
                <w:sz w:val="20"/>
                <w:szCs w:val="20"/>
                <w:color w:val="auto"/>
              </w:rPr>
            </w:pPr>
            <w:r>
              <w:rPr>
                <w:rFonts w:ascii="Arial" w:cs="Arial" w:eastAsia="Arial" w:hAnsi="Arial"/>
                <w:sz w:val="12"/>
                <w:szCs w:val="12"/>
                <w:color w:val="auto"/>
              </w:rPr>
              <w:t>2,534,194</w:t>
            </w:r>
          </w:p>
        </w:tc>
        <w:tc>
          <w:tcPr>
            <w:tcW w:w="920" w:type="dxa"/>
            <w:vAlign w:val="bottom"/>
            <w:tcBorders>
              <w:bottom w:val="single" w:sz="8" w:color="D9D9D9"/>
            </w:tcBorders>
          </w:tcPr>
          <w:p>
            <w:pPr>
              <w:jc w:val="right"/>
              <w:spacing w:after="0" w:line="125" w:lineRule="exact"/>
              <w:rPr>
                <w:sz w:val="20"/>
                <w:szCs w:val="20"/>
                <w:color w:val="auto"/>
              </w:rPr>
            </w:pPr>
            <w:r>
              <w:rPr>
                <w:rFonts w:ascii="Arial" w:cs="Arial" w:eastAsia="Arial" w:hAnsi="Arial"/>
                <w:sz w:val="12"/>
                <w:szCs w:val="12"/>
                <w:color w:val="auto"/>
              </w:rPr>
              <w:t>7,815,771</w:t>
            </w:r>
          </w:p>
        </w:tc>
        <w:tc>
          <w:tcPr>
            <w:tcW w:w="140" w:type="dxa"/>
            <w:vAlign w:val="bottom"/>
            <w:tcBorders>
              <w:bottom w:val="single" w:sz="8" w:color="D9D9D9"/>
            </w:tcBorders>
          </w:tcPr>
          <w:p>
            <w:pPr>
              <w:spacing w:after="0"/>
              <w:rPr>
                <w:sz w:val="11"/>
                <w:szCs w:val="11"/>
                <w:color w:val="auto"/>
              </w:rPr>
            </w:pPr>
          </w:p>
        </w:tc>
        <w:tc>
          <w:tcPr>
            <w:tcW w:w="128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1,102,814</w:t>
            </w:r>
          </w:p>
        </w:tc>
        <w:tc>
          <w:tcPr>
            <w:tcW w:w="1220" w:type="dxa"/>
            <w:vAlign w:val="bottom"/>
            <w:tcBorders>
              <w:bottom w:val="single" w:sz="8" w:color="D9D9D9"/>
            </w:tcBorders>
          </w:tcPr>
          <w:p>
            <w:pPr>
              <w:jc w:val="right"/>
              <w:spacing w:after="0" w:line="125" w:lineRule="exact"/>
              <w:rPr>
                <w:sz w:val="20"/>
                <w:szCs w:val="20"/>
                <w:color w:val="auto"/>
              </w:rPr>
            </w:pPr>
            <w:r>
              <w:rPr>
                <w:rFonts w:ascii="Arial" w:cs="Arial" w:eastAsia="Arial" w:hAnsi="Arial"/>
                <w:sz w:val="12"/>
                <w:szCs w:val="12"/>
                <w:color w:val="auto"/>
              </w:rPr>
              <w:t>1,355,688</w:t>
            </w:r>
          </w:p>
        </w:tc>
        <w:tc>
          <w:tcPr>
            <w:tcW w:w="120" w:type="dxa"/>
            <w:vAlign w:val="bottom"/>
            <w:tcBorders>
              <w:bottom w:val="single" w:sz="8" w:color="D9D9D9"/>
            </w:tcBorders>
          </w:tcPr>
          <w:p>
            <w:pPr>
              <w:spacing w:after="0"/>
              <w:rPr>
                <w:sz w:val="11"/>
                <w:szCs w:val="11"/>
                <w:color w:val="auto"/>
              </w:rPr>
            </w:pPr>
          </w:p>
        </w:tc>
        <w:tc>
          <w:tcPr>
            <w:tcW w:w="124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167.82</w:t>
            </w:r>
          </w:p>
        </w:tc>
        <w:tc>
          <w:tcPr>
            <w:tcW w:w="1040" w:type="dxa"/>
            <w:vAlign w:val="bottom"/>
            <w:tcBorders>
              <w:bottom w:val="single" w:sz="8" w:color="D9D9D9"/>
            </w:tcBorders>
          </w:tcPr>
          <w:p>
            <w:pPr>
              <w:jc w:val="right"/>
              <w:ind w:right="122"/>
              <w:spacing w:after="0" w:line="125" w:lineRule="exact"/>
              <w:rPr>
                <w:sz w:val="20"/>
                <w:szCs w:val="20"/>
                <w:color w:val="auto"/>
              </w:rPr>
            </w:pPr>
            <w:r>
              <w:rPr>
                <w:rFonts w:ascii="Arial" w:cs="Arial" w:eastAsia="Arial" w:hAnsi="Arial"/>
                <w:sz w:val="12"/>
                <w:szCs w:val="12"/>
                <w:color w:val="auto"/>
              </w:rPr>
              <w:t>109.47</w:t>
            </w:r>
          </w:p>
        </w:tc>
        <w:tc>
          <w:tcPr>
            <w:tcW w:w="980" w:type="dxa"/>
            <w:vAlign w:val="bottom"/>
            <w:tcBorders>
              <w:bottom w:val="single" w:sz="8" w:color="D9D9D9"/>
            </w:tcBorders>
          </w:tcPr>
          <w:p>
            <w:pPr>
              <w:jc w:val="right"/>
              <w:ind w:right="142"/>
              <w:spacing w:after="0" w:line="125" w:lineRule="exact"/>
              <w:rPr>
                <w:sz w:val="20"/>
                <w:szCs w:val="20"/>
                <w:color w:val="auto"/>
              </w:rPr>
            </w:pPr>
            <w:r>
              <w:rPr>
                <w:rFonts w:ascii="Arial" w:cs="Arial" w:eastAsia="Arial" w:hAnsi="Arial"/>
                <w:sz w:val="12"/>
                <w:szCs w:val="12"/>
                <w:color w:val="auto"/>
              </w:rPr>
              <w:t>17.4</w:t>
            </w:r>
          </w:p>
        </w:tc>
        <w:tc>
          <w:tcPr>
            <w:tcW w:w="8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42.2</w:t>
            </w:r>
          </w:p>
        </w:tc>
        <w:tc>
          <w:tcPr>
            <w:tcW w:w="0" w:type="dxa"/>
            <w:vAlign w:val="bottom"/>
          </w:tcPr>
          <w:p>
            <w:pPr>
              <w:spacing w:after="0"/>
              <w:rPr>
                <w:sz w:val="1"/>
                <w:szCs w:val="1"/>
                <w:color w:val="auto"/>
              </w:rPr>
            </w:pPr>
          </w:p>
        </w:tc>
      </w:tr>
      <w:tr>
        <w:trPr>
          <w:trHeight w:val="125"/>
        </w:trPr>
        <w:tc>
          <w:tcPr>
            <w:tcW w:w="940" w:type="dxa"/>
            <w:vAlign w:val="bottom"/>
            <w:tcBorders>
              <w:bottom w:val="single" w:sz="8" w:color="405788"/>
            </w:tcBorders>
          </w:tcPr>
          <w:p>
            <w:pPr>
              <w:ind w:left="280"/>
              <w:spacing w:after="0" w:line="125" w:lineRule="exact"/>
              <w:rPr>
                <w:sz w:val="20"/>
                <w:szCs w:val="20"/>
                <w:color w:val="auto"/>
              </w:rPr>
            </w:pPr>
            <w:r>
              <w:rPr>
                <w:rFonts w:ascii="Arial" w:cs="Arial" w:eastAsia="Arial" w:hAnsi="Arial"/>
                <w:sz w:val="12"/>
                <w:szCs w:val="12"/>
                <w:color w:val="auto"/>
              </w:rPr>
              <w:t>2021</w:t>
            </w:r>
          </w:p>
        </w:tc>
        <w:tc>
          <w:tcPr>
            <w:tcW w:w="1160" w:type="dxa"/>
            <w:vAlign w:val="bottom"/>
            <w:tcBorders>
              <w:bottom w:val="single" w:sz="8" w:color="405788"/>
            </w:tcBorders>
          </w:tcPr>
          <w:p>
            <w:pPr>
              <w:jc w:val="right"/>
              <w:ind w:right="202"/>
              <w:spacing w:after="0" w:line="125" w:lineRule="exact"/>
              <w:rPr>
                <w:sz w:val="20"/>
                <w:szCs w:val="20"/>
                <w:color w:val="auto"/>
              </w:rPr>
            </w:pPr>
            <w:r>
              <w:rPr>
                <w:rFonts w:ascii="Arial" w:cs="Arial" w:eastAsia="Arial" w:hAnsi="Arial"/>
                <w:sz w:val="12"/>
                <w:szCs w:val="12"/>
                <w:color w:val="auto"/>
              </w:rPr>
              <w:t>1,979,299</w:t>
            </w:r>
          </w:p>
        </w:tc>
        <w:tc>
          <w:tcPr>
            <w:tcW w:w="920" w:type="dxa"/>
            <w:vAlign w:val="bottom"/>
            <w:tcBorders>
              <w:bottom w:val="single" w:sz="8" w:color="405788"/>
            </w:tcBorders>
          </w:tcPr>
          <w:p>
            <w:pPr>
              <w:jc w:val="right"/>
              <w:spacing w:after="0" w:line="125" w:lineRule="exact"/>
              <w:rPr>
                <w:sz w:val="20"/>
                <w:szCs w:val="20"/>
                <w:color w:val="auto"/>
              </w:rPr>
            </w:pPr>
            <w:r>
              <w:rPr>
                <w:rFonts w:ascii="Arial" w:cs="Arial" w:eastAsia="Arial" w:hAnsi="Arial"/>
                <w:sz w:val="12"/>
                <w:szCs w:val="12"/>
                <w:color w:val="auto"/>
              </w:rPr>
              <w:t>813,537</w:t>
            </w:r>
          </w:p>
        </w:tc>
        <w:tc>
          <w:tcPr>
            <w:tcW w:w="140" w:type="dxa"/>
            <w:vAlign w:val="bottom"/>
            <w:tcBorders>
              <w:bottom w:val="single" w:sz="8" w:color="405788"/>
            </w:tcBorders>
          </w:tcPr>
          <w:p>
            <w:pPr>
              <w:spacing w:after="0"/>
              <w:rPr>
                <w:sz w:val="10"/>
                <w:szCs w:val="10"/>
                <w:color w:val="auto"/>
              </w:rPr>
            </w:pPr>
          </w:p>
        </w:tc>
        <w:tc>
          <w:tcPr>
            <w:tcW w:w="1280" w:type="dxa"/>
            <w:vAlign w:val="bottom"/>
            <w:tcBorders>
              <w:bottom w:val="single" w:sz="8" w:color="405788"/>
            </w:tcBorders>
          </w:tcPr>
          <w:p>
            <w:pPr>
              <w:jc w:val="right"/>
              <w:ind w:right="82"/>
              <w:spacing w:after="0" w:line="125" w:lineRule="exact"/>
              <w:rPr>
                <w:sz w:val="20"/>
                <w:szCs w:val="20"/>
                <w:color w:val="auto"/>
              </w:rPr>
            </w:pPr>
            <w:r>
              <w:rPr>
                <w:rFonts w:ascii="Arial" w:cs="Arial" w:eastAsia="Arial" w:hAnsi="Arial"/>
                <w:sz w:val="12"/>
                <w:szCs w:val="12"/>
                <w:color w:val="auto"/>
              </w:rPr>
              <w:t>863,982</w:t>
            </w:r>
          </w:p>
        </w:tc>
        <w:tc>
          <w:tcPr>
            <w:tcW w:w="1220" w:type="dxa"/>
            <w:vAlign w:val="bottom"/>
            <w:tcBorders>
              <w:bottom w:val="single" w:sz="8" w:color="405788"/>
            </w:tcBorders>
          </w:tcPr>
          <w:p>
            <w:pPr>
              <w:jc w:val="right"/>
              <w:ind w:right="2"/>
              <w:spacing w:after="0" w:line="125" w:lineRule="exact"/>
              <w:rPr>
                <w:sz w:val="20"/>
                <w:szCs w:val="20"/>
                <w:color w:val="auto"/>
              </w:rPr>
            </w:pPr>
            <w:r>
              <w:rPr>
                <w:rFonts w:ascii="Arial" w:cs="Arial" w:eastAsia="Arial" w:hAnsi="Arial"/>
                <w:sz w:val="12"/>
                <w:szCs w:val="12"/>
                <w:color w:val="auto"/>
              </w:rPr>
              <w:t>623,623</w:t>
            </w:r>
          </w:p>
        </w:tc>
        <w:tc>
          <w:tcPr>
            <w:tcW w:w="120" w:type="dxa"/>
            <w:vAlign w:val="bottom"/>
            <w:tcBorders>
              <w:bottom w:val="single" w:sz="8" w:color="405788"/>
            </w:tcBorders>
          </w:tcPr>
          <w:p>
            <w:pPr>
              <w:spacing w:after="0"/>
              <w:rPr>
                <w:sz w:val="10"/>
                <w:szCs w:val="10"/>
                <w:color w:val="auto"/>
              </w:rPr>
            </w:pPr>
          </w:p>
        </w:tc>
        <w:tc>
          <w:tcPr>
            <w:tcW w:w="124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89.51</w:t>
            </w:r>
          </w:p>
        </w:tc>
        <w:tc>
          <w:tcPr>
            <w:tcW w:w="1040" w:type="dxa"/>
            <w:vAlign w:val="bottom"/>
            <w:tcBorders>
              <w:bottom w:val="single" w:sz="8" w:color="405788"/>
            </w:tcBorders>
          </w:tcPr>
          <w:p>
            <w:pPr>
              <w:jc w:val="right"/>
              <w:ind w:right="122"/>
              <w:spacing w:after="0" w:line="125" w:lineRule="exact"/>
              <w:rPr>
                <w:sz w:val="20"/>
                <w:szCs w:val="20"/>
                <w:color w:val="auto"/>
              </w:rPr>
            </w:pPr>
            <w:r>
              <w:rPr>
                <w:rFonts w:ascii="Arial" w:cs="Arial" w:eastAsia="Arial" w:hAnsi="Arial"/>
                <w:sz w:val="12"/>
                <w:szCs w:val="12"/>
                <w:color w:val="auto"/>
              </w:rPr>
              <w:t>120.29</w:t>
            </w:r>
          </w:p>
        </w:tc>
        <w:tc>
          <w:tcPr>
            <w:tcW w:w="980" w:type="dxa"/>
            <w:vAlign w:val="bottom"/>
            <w:tcBorders>
              <w:bottom w:val="single" w:sz="8" w:color="405788"/>
            </w:tcBorders>
          </w:tcPr>
          <w:p>
            <w:pPr>
              <w:jc w:val="right"/>
              <w:ind w:right="142"/>
              <w:spacing w:after="0" w:line="125" w:lineRule="exact"/>
              <w:rPr>
                <w:sz w:val="20"/>
                <w:szCs w:val="20"/>
                <w:color w:val="auto"/>
              </w:rPr>
            </w:pPr>
            <w:r>
              <w:rPr>
                <w:rFonts w:ascii="Arial" w:cs="Arial" w:eastAsia="Arial" w:hAnsi="Arial"/>
                <w:sz w:val="12"/>
                <w:szCs w:val="12"/>
                <w:color w:val="auto"/>
              </w:rPr>
              <w:t>1.4</w:t>
            </w:r>
          </w:p>
        </w:tc>
        <w:tc>
          <w:tcPr>
            <w:tcW w:w="880" w:type="dxa"/>
            <w:vAlign w:val="bottom"/>
            <w:tcBorders>
              <w:bottom w:val="single" w:sz="8" w:color="405788"/>
            </w:tcBorders>
          </w:tcPr>
          <w:p>
            <w:pPr>
              <w:jc w:val="right"/>
              <w:ind w:right="22"/>
              <w:spacing w:after="0" w:line="125" w:lineRule="exact"/>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9"/>
        <w:spacing w:after="0"/>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Mr. Gleason was our PEO for each of the fiscal years from 2021 through 2024.</w:t>
      </w:r>
    </w:p>
    <w:p>
      <w:pPr>
        <w:spacing w:after="0" w:line="102" w:lineRule="exact"/>
        <w:rPr>
          <w:rFonts w:ascii="Arial" w:cs="Arial" w:eastAsia="Arial" w:hAnsi="Arial"/>
          <w:sz w:val="15"/>
          <w:szCs w:val="15"/>
          <w:color w:val="auto"/>
        </w:rPr>
      </w:pPr>
    </w:p>
    <w:p>
      <w:pPr>
        <w:ind w:left="300" w:right="220" w:hanging="299"/>
        <w:spacing w:after="0" w:line="278" w:lineRule="auto"/>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amount shown in the table reflects the cumulative change as of the end of the periods presented of an investment of $100 in our common stock as of December 31, 2020.</w:t>
      </w:r>
    </w:p>
    <w:p>
      <w:pPr>
        <w:spacing w:after="0" w:line="50" w:lineRule="exact"/>
        <w:rPr>
          <w:rFonts w:ascii="Arial" w:cs="Arial" w:eastAsia="Arial" w:hAnsi="Arial"/>
          <w:sz w:val="15"/>
          <w:szCs w:val="15"/>
          <w:color w:val="auto"/>
        </w:rPr>
      </w:pPr>
    </w:p>
    <w:p>
      <w:pPr>
        <w:ind w:left="300" w:right="140" w:hanging="299"/>
        <w:spacing w:after="0" w:line="278" w:lineRule="auto"/>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amount shown in the table reflects the cumulative change as of the periods presented of an investment of $100 in the Standard and Poor’s 600 Small Cap Industrial Machinery Index as of December 31, 2020.</w:t>
      </w:r>
    </w:p>
    <w:p>
      <w:pPr>
        <w:spacing w:after="0" w:line="50" w:lineRule="exact"/>
        <w:rPr>
          <w:rFonts w:ascii="Arial" w:cs="Arial" w:eastAsia="Arial" w:hAnsi="Arial"/>
          <w:sz w:val="15"/>
          <w:szCs w:val="15"/>
          <w:color w:val="auto"/>
        </w:rPr>
      </w:pPr>
    </w:p>
    <w:p>
      <w:pPr>
        <w:ind w:left="300" w:right="100" w:hanging="299"/>
        <w:spacing w:after="0" w:line="249" w:lineRule="auto"/>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dollar amounts reported in the “Net Income” column represent the amount of net income reflected in our consolidated audited financial statements for the applicable year. The dollar amounts reported in the “(Company Selected Measure) Adjusted EBITDA” column represent our Adjusted EBITDA for the applicable year. Adjusted EBITDA for purposes of our annual incentive program can be calculated from our audited financial statements as follows: Net income adjusted for the effects of amortization and earnout expenses, acquisition and integration expenses, restructuring expenses, asbestos litigation expense, depreciation, non-cash stock compensation expense, other expense, interest expense, income tax expense, and noncontrolling interest. Please refer to Appendix 1 to this Proxy Statement for reconciliation information relating to the non-GAAP measures presented herein.</w:t>
      </w:r>
    </w:p>
    <w:p>
      <w:pPr>
        <w:spacing w:after="0" w:line="6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amounts disclosed in the table above as Compensation Actually Paid to our PEO reflect the adjustments listed in the tables below to the amounts reported in the Summary Compensation Table for our PEO:</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60" w:type="dxa"/>
            <w:vAlign w:val="bottom"/>
          </w:tcPr>
          <w:p>
            <w:pPr>
              <w:jc w:val="right"/>
              <w:ind w:right="82"/>
              <w:spacing w:after="0"/>
              <w:rPr>
                <w:sz w:val="20"/>
                <w:szCs w:val="20"/>
                <w:color w:val="auto"/>
              </w:rPr>
            </w:pPr>
            <w:r>
              <w:rPr>
                <w:rFonts w:ascii="Arial" w:cs="Arial" w:eastAsia="Arial" w:hAnsi="Arial"/>
                <w:sz w:val="12"/>
                <w:szCs w:val="12"/>
                <w:b w:val="1"/>
                <w:bCs w:val="1"/>
                <w:color w:val="auto"/>
              </w:rPr>
              <w:t>Add: Change in</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Add: Change in</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fair value as of</w:t>
            </w: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vesting date,</w:t>
            </w: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fair value as of</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compared to prior</w:t>
            </w: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Add: Fair value</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fiscal year-end, of</w:t>
            </w: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compared to prior</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awards granted</w:t>
            </w: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as of fiscal year-end</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2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Less: Fair Value</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Less: Amount</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of awards granted</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of awards granted</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for which all vesting</w:t>
            </w:r>
          </w:p>
        </w:tc>
        <w:tc>
          <w:tcPr>
            <w:tcW w:w="12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during the fiscal year</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conditions were</w:t>
            </w:r>
          </w:p>
        </w:tc>
        <w:tc>
          <w:tcPr>
            <w:tcW w:w="126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of Stock</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reported under</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satisfied at</w:t>
            </w:r>
          </w:p>
        </w:tc>
        <w:tc>
          <w:tcPr>
            <w:tcW w:w="126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and Option Awards</w:t>
            </w:r>
          </w:p>
        </w:tc>
        <w:tc>
          <w:tcPr>
            <w:tcW w:w="10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"Stock Awards"</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fiscal year-end</w:t>
            </w:r>
          </w:p>
        </w:tc>
        <w:tc>
          <w:tcPr>
            <w:tcW w:w="12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Forfeited during</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Year</w:t>
            </w:r>
          </w:p>
        </w:tc>
        <w:tc>
          <w:tcPr>
            <w:tcW w:w="110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column in the SCT</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or during the fiscal year</w:t>
            </w:r>
          </w:p>
        </w:tc>
        <w:tc>
          <w:tcPr>
            <w:tcW w:w="12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Covered Year</w:t>
            </w:r>
          </w:p>
        </w:tc>
        <w:tc>
          <w:tcPr>
            <w:tcW w:w="100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Actually Paid</w:t>
            </w:r>
          </w:p>
        </w:tc>
        <w:tc>
          <w:tcPr>
            <w:tcW w:w="0" w:type="dxa"/>
            <w:vAlign w:val="bottom"/>
          </w:tcPr>
          <w:p>
            <w:pPr>
              <w:spacing w:after="0"/>
              <w:rPr>
                <w:sz w:val="1"/>
                <w:szCs w:val="1"/>
                <w:color w:val="auto"/>
              </w:rPr>
            </w:pPr>
          </w:p>
        </w:tc>
      </w:tr>
      <w:tr>
        <w:trPr>
          <w:trHeight w:val="148"/>
        </w:trPr>
        <w:tc>
          <w:tcPr>
            <w:tcW w:w="620" w:type="dxa"/>
            <w:vAlign w:val="bottom"/>
            <w:tcBorders>
              <w:bottom w:val="single" w:sz="8" w:color="405788"/>
            </w:tcBorders>
            <w:vMerge w:val="continue"/>
          </w:tcPr>
          <w:p>
            <w:pPr>
              <w:spacing w:after="0"/>
              <w:rPr>
                <w:sz w:val="12"/>
                <w:szCs w:val="12"/>
                <w:color w:val="auto"/>
              </w:rPr>
            </w:pPr>
          </w:p>
        </w:tc>
        <w:tc>
          <w:tcPr>
            <w:tcW w:w="11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1340" w:type="dxa"/>
            <w:vAlign w:val="bottom"/>
            <w:tcBorders>
              <w:bottom w:val="single" w:sz="8" w:color="405788"/>
            </w:tcBorders>
          </w:tcPr>
          <w:p>
            <w:pPr>
              <w:jc w:val="right"/>
              <w:ind w:right="4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520" w:type="dxa"/>
            <w:vAlign w:val="bottom"/>
            <w:tcBorders>
              <w:bottom w:val="single" w:sz="8" w:color="405788"/>
            </w:tcBorders>
          </w:tcPr>
          <w:p>
            <w:pPr>
              <w:jc w:val="right"/>
              <w:ind w:right="4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6</w:t>
            </w:r>
          </w:p>
        </w:tc>
        <w:tc>
          <w:tcPr>
            <w:tcW w:w="152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6</w:t>
            </w:r>
          </w:p>
        </w:tc>
        <w:tc>
          <w:tcPr>
            <w:tcW w:w="1560" w:type="dxa"/>
            <w:vAlign w:val="bottom"/>
            <w:tcBorders>
              <w:bottom w:val="single" w:sz="8" w:color="405788"/>
            </w:tcBorders>
          </w:tcPr>
          <w:p>
            <w:pPr>
              <w:jc w:val="right"/>
              <w:ind w:right="4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6</w:t>
            </w:r>
          </w:p>
        </w:tc>
        <w:tc>
          <w:tcPr>
            <w:tcW w:w="1260" w:type="dxa"/>
            <w:vAlign w:val="bottom"/>
            <w:tcBorders>
              <w:bottom w:val="single" w:sz="8" w:color="405788"/>
            </w:tcBorders>
          </w:tcPr>
          <w:p>
            <w:pPr>
              <w:jc w:val="right"/>
              <w:ind w:right="42"/>
              <w:spacing w:after="0"/>
              <w:rPr>
                <w:sz w:val="20"/>
                <w:szCs w:val="20"/>
                <w:color w:val="auto"/>
              </w:rPr>
            </w:pPr>
            <w:r>
              <w:rPr>
                <w:rFonts w:ascii="Arial" w:cs="Arial" w:eastAsia="Arial" w:hAnsi="Arial"/>
                <w:sz w:val="12"/>
                <w:szCs w:val="12"/>
                <w:b w:val="1"/>
                <w:bCs w:val="1"/>
                <w:color w:val="auto"/>
              </w:rPr>
              <w:t>($)</w:t>
            </w:r>
          </w:p>
        </w:tc>
        <w:tc>
          <w:tcPr>
            <w:tcW w:w="1000" w:type="dxa"/>
            <w:vAlign w:val="bottom"/>
            <w:tcBorders>
              <w:bottom w:val="single" w:sz="8" w:color="405788"/>
            </w:tcBorders>
          </w:tcPr>
          <w:p>
            <w:pPr>
              <w:jc w:val="right"/>
              <w:ind w:right="6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620" w:type="dxa"/>
            <w:vAlign w:val="bottom"/>
            <w:tcBorders>
              <w:bottom w:val="single" w:sz="8" w:color="D9D9D9"/>
            </w:tcBorders>
          </w:tcPr>
          <w:p>
            <w:pPr>
              <w:ind w:left="200"/>
              <w:spacing w:after="0" w:line="125" w:lineRule="exact"/>
              <w:rPr>
                <w:sz w:val="20"/>
                <w:szCs w:val="20"/>
                <w:color w:val="auto"/>
              </w:rPr>
            </w:pPr>
            <w:r>
              <w:rPr>
                <w:rFonts w:ascii="Arial" w:cs="Arial" w:eastAsia="Arial" w:hAnsi="Arial"/>
                <w:sz w:val="12"/>
                <w:szCs w:val="12"/>
                <w:color w:val="auto"/>
              </w:rPr>
              <w:t>2024</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3,051,771</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(1,627,505)</w:t>
            </w:r>
          </w:p>
        </w:tc>
        <w:tc>
          <w:tcPr>
            <w:tcW w:w="152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2,381,551</w:t>
            </w:r>
          </w:p>
        </w:tc>
        <w:tc>
          <w:tcPr>
            <w:tcW w:w="152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9,078,368</w:t>
            </w:r>
          </w:p>
        </w:tc>
        <w:tc>
          <w:tcPr>
            <w:tcW w:w="156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618,461</w:t>
            </w:r>
          </w:p>
        </w:tc>
        <w:tc>
          <w:tcPr>
            <w:tcW w:w="126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13,502,646</w:t>
            </w:r>
          </w:p>
        </w:tc>
        <w:tc>
          <w:tcPr>
            <w:tcW w:w="0" w:type="dxa"/>
            <w:vAlign w:val="bottom"/>
          </w:tcPr>
          <w:p>
            <w:pPr>
              <w:spacing w:after="0"/>
              <w:rPr>
                <w:sz w:val="1"/>
                <w:szCs w:val="1"/>
                <w:color w:val="auto"/>
              </w:rPr>
            </w:pPr>
          </w:p>
        </w:tc>
      </w:tr>
      <w:tr>
        <w:trPr>
          <w:trHeight w:val="130"/>
        </w:trPr>
        <w:tc>
          <w:tcPr>
            <w:tcW w:w="620" w:type="dxa"/>
            <w:vAlign w:val="bottom"/>
            <w:tcBorders>
              <w:bottom w:val="single" w:sz="8" w:color="D9D9D9"/>
            </w:tcBorders>
          </w:tcPr>
          <w:p>
            <w:pPr>
              <w:ind w:left="200"/>
              <w:spacing w:after="0" w:line="125" w:lineRule="exact"/>
              <w:rPr>
                <w:sz w:val="20"/>
                <w:szCs w:val="20"/>
                <w:color w:val="auto"/>
              </w:rPr>
            </w:pPr>
            <w:r>
              <w:rPr>
                <w:rFonts w:ascii="Arial" w:cs="Arial" w:eastAsia="Arial" w:hAnsi="Arial"/>
                <w:sz w:val="12"/>
                <w:szCs w:val="12"/>
                <w:color w:val="auto"/>
              </w:rPr>
              <w:t>2023</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5,579,467</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(3,981,256)</w:t>
            </w:r>
          </w:p>
        </w:tc>
        <w:tc>
          <w:tcPr>
            <w:tcW w:w="152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9,263,076</w:t>
            </w:r>
          </w:p>
        </w:tc>
        <w:tc>
          <w:tcPr>
            <w:tcW w:w="152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5,683,024</w:t>
            </w:r>
          </w:p>
        </w:tc>
        <w:tc>
          <w:tcPr>
            <w:tcW w:w="156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44,356</w:t>
            </w:r>
          </w:p>
        </w:tc>
        <w:tc>
          <w:tcPr>
            <w:tcW w:w="126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16,588,667</w:t>
            </w:r>
          </w:p>
        </w:tc>
        <w:tc>
          <w:tcPr>
            <w:tcW w:w="0" w:type="dxa"/>
            <w:vAlign w:val="bottom"/>
          </w:tcPr>
          <w:p>
            <w:pPr>
              <w:spacing w:after="0"/>
              <w:rPr>
                <w:sz w:val="1"/>
                <w:szCs w:val="1"/>
                <w:color w:val="auto"/>
              </w:rPr>
            </w:pPr>
          </w:p>
        </w:tc>
      </w:tr>
      <w:tr>
        <w:trPr>
          <w:trHeight w:val="130"/>
        </w:trPr>
        <w:tc>
          <w:tcPr>
            <w:tcW w:w="620" w:type="dxa"/>
            <w:vAlign w:val="bottom"/>
            <w:tcBorders>
              <w:bottom w:val="single" w:sz="8" w:color="D9D9D9"/>
            </w:tcBorders>
          </w:tcPr>
          <w:p>
            <w:pPr>
              <w:ind w:left="200"/>
              <w:spacing w:after="0" w:line="125" w:lineRule="exact"/>
              <w:rPr>
                <w:sz w:val="20"/>
                <w:szCs w:val="20"/>
                <w:color w:val="auto"/>
              </w:rPr>
            </w:pPr>
            <w:r>
              <w:rPr>
                <w:rFonts w:ascii="Arial" w:cs="Arial" w:eastAsia="Arial" w:hAnsi="Arial"/>
                <w:sz w:val="12"/>
                <w:szCs w:val="12"/>
                <w:color w:val="auto"/>
              </w:rPr>
              <w:t>2022</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2,534,194</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(1,059,469)</w:t>
            </w:r>
          </w:p>
        </w:tc>
        <w:tc>
          <w:tcPr>
            <w:tcW w:w="152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2,998,546</w:t>
            </w:r>
          </w:p>
        </w:tc>
        <w:tc>
          <w:tcPr>
            <w:tcW w:w="152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3,466,653</w:t>
            </w:r>
          </w:p>
        </w:tc>
        <w:tc>
          <w:tcPr>
            <w:tcW w:w="156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(124,153)</w:t>
            </w:r>
          </w:p>
        </w:tc>
        <w:tc>
          <w:tcPr>
            <w:tcW w:w="126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7,815,771</w:t>
            </w:r>
          </w:p>
        </w:tc>
        <w:tc>
          <w:tcPr>
            <w:tcW w:w="0" w:type="dxa"/>
            <w:vAlign w:val="bottom"/>
          </w:tcPr>
          <w:p>
            <w:pPr>
              <w:spacing w:after="0"/>
              <w:rPr>
                <w:sz w:val="1"/>
                <w:szCs w:val="1"/>
                <w:color w:val="auto"/>
              </w:rPr>
            </w:pPr>
          </w:p>
        </w:tc>
      </w:tr>
      <w:tr>
        <w:trPr>
          <w:trHeight w:val="125"/>
        </w:trPr>
        <w:tc>
          <w:tcPr>
            <w:tcW w:w="620" w:type="dxa"/>
            <w:vAlign w:val="bottom"/>
            <w:tcBorders>
              <w:bottom w:val="single" w:sz="8" w:color="405788"/>
            </w:tcBorders>
          </w:tcPr>
          <w:p>
            <w:pPr>
              <w:ind w:left="200"/>
              <w:spacing w:after="0" w:line="125" w:lineRule="exact"/>
              <w:rPr>
                <w:sz w:val="20"/>
                <w:szCs w:val="20"/>
                <w:color w:val="auto"/>
              </w:rPr>
            </w:pPr>
            <w:r>
              <w:rPr>
                <w:rFonts w:ascii="Arial" w:cs="Arial" w:eastAsia="Arial" w:hAnsi="Arial"/>
                <w:sz w:val="12"/>
                <w:szCs w:val="12"/>
                <w:color w:val="auto"/>
              </w:rPr>
              <w:t>2021</w:t>
            </w:r>
          </w:p>
        </w:tc>
        <w:tc>
          <w:tcPr>
            <w:tcW w:w="110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1,979,299</w:t>
            </w:r>
          </w:p>
        </w:tc>
        <w:tc>
          <w:tcPr>
            <w:tcW w:w="134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(1,126,112)</w:t>
            </w:r>
          </w:p>
        </w:tc>
        <w:tc>
          <w:tcPr>
            <w:tcW w:w="1520" w:type="dxa"/>
            <w:vAlign w:val="bottom"/>
            <w:tcBorders>
              <w:bottom w:val="single" w:sz="8" w:color="405788"/>
            </w:tcBorders>
          </w:tcPr>
          <w:p>
            <w:pPr>
              <w:jc w:val="right"/>
              <w:ind w:right="82"/>
              <w:spacing w:after="0" w:line="125" w:lineRule="exact"/>
              <w:rPr>
                <w:sz w:val="20"/>
                <w:szCs w:val="20"/>
                <w:color w:val="auto"/>
              </w:rPr>
            </w:pPr>
            <w:r>
              <w:rPr>
                <w:rFonts w:ascii="Arial" w:cs="Arial" w:eastAsia="Arial" w:hAnsi="Arial"/>
                <w:sz w:val="12"/>
                <w:szCs w:val="12"/>
                <w:color w:val="auto"/>
              </w:rPr>
              <w:t>740,325</w:t>
            </w:r>
          </w:p>
        </w:tc>
        <w:tc>
          <w:tcPr>
            <w:tcW w:w="152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(582,097)</w:t>
            </w:r>
          </w:p>
        </w:tc>
        <w:tc>
          <w:tcPr>
            <w:tcW w:w="156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(197,878)</w:t>
            </w:r>
          </w:p>
        </w:tc>
        <w:tc>
          <w:tcPr>
            <w:tcW w:w="126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405788"/>
            </w:tcBorders>
          </w:tcPr>
          <w:p>
            <w:pPr>
              <w:jc w:val="right"/>
              <w:ind w:right="22"/>
              <w:spacing w:after="0" w:line="125" w:lineRule="exact"/>
              <w:rPr>
                <w:sz w:val="20"/>
                <w:szCs w:val="20"/>
                <w:color w:val="auto"/>
              </w:rPr>
            </w:pPr>
            <w:r>
              <w:rPr>
                <w:rFonts w:ascii="Arial" w:cs="Arial" w:eastAsia="Arial" w:hAnsi="Arial"/>
                <w:sz w:val="12"/>
                <w:szCs w:val="12"/>
                <w:color w:val="auto"/>
              </w:rPr>
              <w:t>813,537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356870</wp:posOffset>
            </wp:positionV>
            <wp:extent cx="483870" cy="2222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 the 2024 and 2023 fiscal years, our Non-PEO NEOs were: Mr. Johansson and Ms. Watkins-Asiyanbi. For the 2022 fiscal year, our</w:t>
      </w:r>
    </w:p>
    <w:p>
      <w:pPr>
        <w:spacing w:after="0" w:line="1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Non-PEO NEOs were: Mr. Ramesh Nuggihalli, Mr. Johansson, and Mr. Matthew Eckl. For the 2021 fiscal year, our Non-PEO NEOs were: Mr. Nuggihalli and Mr. Eckl. The amounts disclosed in the table above as average Compensation Actually Paid to our Non-PEO NEOs reflect the adjustments listed in the tables below to the average amounts reported in the Summary Compensation Table for Non-PEO NEOs: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60" w:type="dxa"/>
            <w:vAlign w:val="bottom"/>
          </w:tcPr>
          <w:p>
            <w:pPr>
              <w:jc w:val="right"/>
              <w:ind w:right="82"/>
              <w:spacing w:after="0"/>
              <w:rPr>
                <w:sz w:val="20"/>
                <w:szCs w:val="20"/>
                <w:color w:val="auto"/>
              </w:rPr>
            </w:pPr>
            <w:r>
              <w:rPr>
                <w:rFonts w:ascii="Arial" w:cs="Arial" w:eastAsia="Arial" w:hAnsi="Arial"/>
                <w:sz w:val="12"/>
                <w:szCs w:val="12"/>
                <w:b w:val="1"/>
                <w:bCs w:val="1"/>
                <w:color w:val="auto"/>
              </w:rPr>
              <w:t>Add: Change in</w:t>
            </w: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Add: Change in</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fair value as of</w:t>
            </w: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vesting date,</w:t>
            </w: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fair value as of</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compared to prior</w:t>
            </w: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Add: Fair value</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fiscal year-end, of</w:t>
            </w: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compared to prior</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awards granted</w:t>
            </w: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as of fiscal year-end</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2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Less: Fair Value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Less: Amount</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of awards granted</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of awards granted</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for which all vesting</w:t>
            </w:r>
          </w:p>
        </w:tc>
        <w:tc>
          <w:tcPr>
            <w:tcW w:w="12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during the fiscal year</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conditions were</w:t>
            </w:r>
          </w:p>
        </w:tc>
        <w:tc>
          <w:tcPr>
            <w:tcW w:w="12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of Stock</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reported under</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satisfied at</w:t>
            </w:r>
          </w:p>
        </w:tc>
        <w:tc>
          <w:tcPr>
            <w:tcW w:w="12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and Option Awards</w:t>
            </w:r>
          </w:p>
        </w:tc>
        <w:tc>
          <w:tcPr>
            <w:tcW w:w="9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"Stock Awards"</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fiscal year-end</w:t>
            </w:r>
          </w:p>
        </w:tc>
        <w:tc>
          <w:tcPr>
            <w:tcW w:w="128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Forfeited during</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Year</w:t>
            </w:r>
          </w:p>
        </w:tc>
        <w:tc>
          <w:tcPr>
            <w:tcW w:w="110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column in the SCT</w:t>
            </w:r>
          </w:p>
        </w:tc>
        <w:tc>
          <w:tcPr>
            <w:tcW w:w="152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2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or during the fiscal year</w:t>
            </w:r>
          </w:p>
        </w:tc>
        <w:tc>
          <w:tcPr>
            <w:tcW w:w="128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the Covered Year</w:t>
            </w:r>
          </w:p>
        </w:tc>
        <w:tc>
          <w:tcPr>
            <w:tcW w:w="98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Actually Paid</w:t>
            </w:r>
          </w:p>
        </w:tc>
        <w:tc>
          <w:tcPr>
            <w:tcW w:w="0" w:type="dxa"/>
            <w:vAlign w:val="bottom"/>
          </w:tcPr>
          <w:p>
            <w:pPr>
              <w:spacing w:after="0"/>
              <w:rPr>
                <w:sz w:val="1"/>
                <w:szCs w:val="1"/>
                <w:color w:val="auto"/>
              </w:rPr>
            </w:pPr>
          </w:p>
        </w:tc>
      </w:tr>
      <w:tr>
        <w:trPr>
          <w:trHeight w:val="148"/>
        </w:trPr>
        <w:tc>
          <w:tcPr>
            <w:tcW w:w="620" w:type="dxa"/>
            <w:vAlign w:val="bottom"/>
            <w:tcBorders>
              <w:bottom w:val="single" w:sz="8" w:color="405788"/>
            </w:tcBorders>
            <w:vMerge w:val="continue"/>
          </w:tcPr>
          <w:p>
            <w:pPr>
              <w:spacing w:after="0"/>
              <w:rPr>
                <w:sz w:val="12"/>
                <w:szCs w:val="12"/>
                <w:color w:val="auto"/>
              </w:rPr>
            </w:pPr>
          </w:p>
        </w:tc>
        <w:tc>
          <w:tcPr>
            <w:tcW w:w="11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1340" w:type="dxa"/>
            <w:vAlign w:val="bottom"/>
            <w:tcBorders>
              <w:bottom w:val="single" w:sz="8" w:color="405788"/>
            </w:tcBorders>
          </w:tcPr>
          <w:p>
            <w:pPr>
              <w:jc w:val="right"/>
              <w:ind w:right="4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520" w:type="dxa"/>
            <w:vAlign w:val="bottom"/>
            <w:tcBorders>
              <w:bottom w:val="single" w:sz="8" w:color="405788"/>
            </w:tcBorders>
          </w:tcPr>
          <w:p>
            <w:pPr>
              <w:jc w:val="right"/>
              <w:ind w:right="4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6</w:t>
            </w:r>
          </w:p>
        </w:tc>
        <w:tc>
          <w:tcPr>
            <w:tcW w:w="152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6</w:t>
            </w:r>
          </w:p>
        </w:tc>
        <w:tc>
          <w:tcPr>
            <w:tcW w:w="1560" w:type="dxa"/>
            <w:vAlign w:val="bottom"/>
            <w:tcBorders>
              <w:bottom w:val="single" w:sz="8" w:color="405788"/>
            </w:tcBorders>
          </w:tcPr>
          <w:p>
            <w:pPr>
              <w:jc w:val="right"/>
              <w:ind w:right="4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6</w:t>
            </w:r>
          </w:p>
        </w:tc>
        <w:tc>
          <w:tcPr>
            <w:tcW w:w="1280" w:type="dxa"/>
            <w:vAlign w:val="bottom"/>
            <w:tcBorders>
              <w:bottom w:val="single" w:sz="8" w:color="405788"/>
            </w:tcBorders>
          </w:tcPr>
          <w:p>
            <w:pPr>
              <w:jc w:val="right"/>
              <w:ind w:right="102"/>
              <w:spacing w:after="0"/>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405788"/>
            </w:tcBorders>
          </w:tcPr>
          <w:p>
            <w:pPr>
              <w:jc w:val="right"/>
              <w:ind w:right="6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620" w:type="dxa"/>
            <w:vAlign w:val="bottom"/>
            <w:tcBorders>
              <w:bottom w:val="single" w:sz="8" w:color="D9D9D9"/>
            </w:tcBorders>
          </w:tcPr>
          <w:p>
            <w:pPr>
              <w:ind w:left="200"/>
              <w:spacing w:after="0" w:line="125" w:lineRule="exact"/>
              <w:rPr>
                <w:sz w:val="20"/>
                <w:szCs w:val="20"/>
                <w:color w:val="auto"/>
              </w:rPr>
            </w:pPr>
            <w:r>
              <w:rPr>
                <w:rFonts w:ascii="Arial" w:cs="Arial" w:eastAsia="Arial" w:hAnsi="Arial"/>
                <w:sz w:val="12"/>
                <w:szCs w:val="12"/>
                <w:color w:val="auto"/>
              </w:rPr>
              <w:t>2024</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1,103,836</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(531,273)</w:t>
            </w:r>
          </w:p>
        </w:tc>
        <w:tc>
          <w:tcPr>
            <w:tcW w:w="152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690,879</w:t>
            </w:r>
          </w:p>
        </w:tc>
        <w:tc>
          <w:tcPr>
            <w:tcW w:w="152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1,900,830</w:t>
            </w:r>
          </w:p>
        </w:tc>
        <w:tc>
          <w:tcPr>
            <w:tcW w:w="156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61,879</w:t>
            </w:r>
          </w:p>
        </w:tc>
        <w:tc>
          <w:tcPr>
            <w:tcW w:w="12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3,226,151</w:t>
            </w:r>
          </w:p>
        </w:tc>
        <w:tc>
          <w:tcPr>
            <w:tcW w:w="0" w:type="dxa"/>
            <w:vAlign w:val="bottom"/>
          </w:tcPr>
          <w:p>
            <w:pPr>
              <w:spacing w:after="0"/>
              <w:rPr>
                <w:sz w:val="1"/>
                <w:szCs w:val="1"/>
                <w:color w:val="auto"/>
              </w:rPr>
            </w:pPr>
          </w:p>
        </w:tc>
      </w:tr>
      <w:tr>
        <w:trPr>
          <w:trHeight w:val="130"/>
        </w:trPr>
        <w:tc>
          <w:tcPr>
            <w:tcW w:w="620" w:type="dxa"/>
            <w:vAlign w:val="bottom"/>
            <w:tcBorders>
              <w:bottom w:val="single" w:sz="8" w:color="D9D9D9"/>
            </w:tcBorders>
          </w:tcPr>
          <w:p>
            <w:pPr>
              <w:ind w:left="200"/>
              <w:spacing w:after="0" w:line="125" w:lineRule="exact"/>
              <w:rPr>
                <w:sz w:val="20"/>
                <w:szCs w:val="20"/>
                <w:color w:val="auto"/>
              </w:rPr>
            </w:pPr>
            <w:r>
              <w:rPr>
                <w:rFonts w:ascii="Arial" w:cs="Arial" w:eastAsia="Arial" w:hAnsi="Arial"/>
                <w:sz w:val="12"/>
                <w:szCs w:val="12"/>
                <w:color w:val="auto"/>
              </w:rPr>
              <w:t>2023</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1,802,228</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(988,631)</w:t>
            </w:r>
          </w:p>
        </w:tc>
        <w:tc>
          <w:tcPr>
            <w:tcW w:w="152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1,947,542</w:t>
            </w:r>
          </w:p>
        </w:tc>
        <w:tc>
          <w:tcPr>
            <w:tcW w:w="152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381,466</w:t>
            </w:r>
          </w:p>
        </w:tc>
        <w:tc>
          <w:tcPr>
            <w:tcW w:w="156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10,214</w:t>
            </w:r>
          </w:p>
        </w:tc>
        <w:tc>
          <w:tcPr>
            <w:tcW w:w="12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3,152,819</w:t>
            </w:r>
          </w:p>
        </w:tc>
        <w:tc>
          <w:tcPr>
            <w:tcW w:w="0" w:type="dxa"/>
            <w:vAlign w:val="bottom"/>
          </w:tcPr>
          <w:p>
            <w:pPr>
              <w:spacing w:after="0"/>
              <w:rPr>
                <w:sz w:val="1"/>
                <w:szCs w:val="1"/>
                <w:color w:val="auto"/>
              </w:rPr>
            </w:pPr>
          </w:p>
        </w:tc>
      </w:tr>
      <w:tr>
        <w:trPr>
          <w:trHeight w:val="130"/>
        </w:trPr>
        <w:tc>
          <w:tcPr>
            <w:tcW w:w="620" w:type="dxa"/>
            <w:vAlign w:val="bottom"/>
            <w:tcBorders>
              <w:bottom w:val="single" w:sz="8" w:color="D9D9D9"/>
            </w:tcBorders>
          </w:tcPr>
          <w:p>
            <w:pPr>
              <w:ind w:left="200"/>
              <w:spacing w:after="0" w:line="125" w:lineRule="exact"/>
              <w:rPr>
                <w:sz w:val="20"/>
                <w:szCs w:val="20"/>
                <w:color w:val="auto"/>
              </w:rPr>
            </w:pPr>
            <w:r>
              <w:rPr>
                <w:rFonts w:ascii="Arial" w:cs="Arial" w:eastAsia="Arial" w:hAnsi="Arial"/>
                <w:sz w:val="12"/>
                <w:szCs w:val="12"/>
                <w:color w:val="auto"/>
              </w:rPr>
              <w:t>2022</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1,102,814</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(341,129)</w:t>
            </w:r>
          </w:p>
        </w:tc>
        <w:tc>
          <w:tcPr>
            <w:tcW w:w="152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478,730</w:t>
            </w:r>
          </w:p>
        </w:tc>
        <w:tc>
          <w:tcPr>
            <w:tcW w:w="152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115,513</w:t>
            </w:r>
          </w:p>
        </w:tc>
        <w:tc>
          <w:tcPr>
            <w:tcW w:w="1560" w:type="dxa"/>
            <w:vAlign w:val="bottom"/>
            <w:tcBorders>
              <w:bottom w:val="single" w:sz="8" w:color="D9D9D9"/>
            </w:tcBorders>
          </w:tcPr>
          <w:p>
            <w:pPr>
              <w:jc w:val="right"/>
              <w:ind w:right="82"/>
              <w:spacing w:after="0" w:line="125" w:lineRule="exact"/>
              <w:rPr>
                <w:sz w:val="20"/>
                <w:szCs w:val="20"/>
                <w:color w:val="auto"/>
              </w:rPr>
            </w:pPr>
            <w:r>
              <w:rPr>
                <w:rFonts w:ascii="Arial" w:cs="Arial" w:eastAsia="Arial" w:hAnsi="Arial"/>
                <w:sz w:val="12"/>
                <w:szCs w:val="12"/>
                <w:color w:val="auto"/>
              </w:rPr>
              <w:t>52,860</w:t>
            </w:r>
          </w:p>
        </w:tc>
        <w:tc>
          <w:tcPr>
            <w:tcW w:w="12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(53,100)</w:t>
            </w:r>
          </w:p>
        </w:tc>
        <w:tc>
          <w:tcPr>
            <w:tcW w:w="9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1,355,688</w:t>
            </w:r>
          </w:p>
        </w:tc>
        <w:tc>
          <w:tcPr>
            <w:tcW w:w="0" w:type="dxa"/>
            <w:vAlign w:val="bottom"/>
          </w:tcPr>
          <w:p>
            <w:pPr>
              <w:spacing w:after="0"/>
              <w:rPr>
                <w:sz w:val="1"/>
                <w:szCs w:val="1"/>
                <w:color w:val="auto"/>
              </w:rPr>
            </w:pPr>
          </w:p>
        </w:tc>
      </w:tr>
      <w:tr>
        <w:trPr>
          <w:trHeight w:val="125"/>
        </w:trPr>
        <w:tc>
          <w:tcPr>
            <w:tcW w:w="620" w:type="dxa"/>
            <w:vAlign w:val="bottom"/>
            <w:tcBorders>
              <w:bottom w:val="single" w:sz="8" w:color="405788"/>
            </w:tcBorders>
          </w:tcPr>
          <w:p>
            <w:pPr>
              <w:ind w:left="200"/>
              <w:spacing w:after="0" w:line="125" w:lineRule="exact"/>
              <w:rPr>
                <w:sz w:val="20"/>
                <w:szCs w:val="20"/>
                <w:color w:val="auto"/>
              </w:rPr>
            </w:pPr>
            <w:r>
              <w:rPr>
                <w:rFonts w:ascii="Arial" w:cs="Arial" w:eastAsia="Arial" w:hAnsi="Arial"/>
                <w:sz w:val="12"/>
                <w:szCs w:val="12"/>
                <w:color w:val="auto"/>
              </w:rPr>
              <w:t>2021</w:t>
            </w:r>
          </w:p>
        </w:tc>
        <w:tc>
          <w:tcPr>
            <w:tcW w:w="110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863,982</w:t>
            </w:r>
          </w:p>
        </w:tc>
        <w:tc>
          <w:tcPr>
            <w:tcW w:w="134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(399,563)</w:t>
            </w:r>
          </w:p>
        </w:tc>
        <w:tc>
          <w:tcPr>
            <w:tcW w:w="1520" w:type="dxa"/>
            <w:vAlign w:val="bottom"/>
            <w:tcBorders>
              <w:bottom w:val="single" w:sz="8" w:color="405788"/>
            </w:tcBorders>
          </w:tcPr>
          <w:p>
            <w:pPr>
              <w:jc w:val="right"/>
              <w:ind w:right="82"/>
              <w:spacing w:after="0" w:line="125" w:lineRule="exact"/>
              <w:rPr>
                <w:sz w:val="20"/>
                <w:szCs w:val="20"/>
                <w:color w:val="auto"/>
              </w:rPr>
            </w:pPr>
            <w:r>
              <w:rPr>
                <w:rFonts w:ascii="Arial" w:cs="Arial" w:eastAsia="Arial" w:hAnsi="Arial"/>
                <w:sz w:val="12"/>
                <w:szCs w:val="12"/>
                <w:color w:val="auto"/>
              </w:rPr>
              <w:t>281,301</w:t>
            </w:r>
          </w:p>
        </w:tc>
        <w:tc>
          <w:tcPr>
            <w:tcW w:w="152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(73,385)</w:t>
            </w:r>
          </w:p>
        </w:tc>
        <w:tc>
          <w:tcPr>
            <w:tcW w:w="1560" w:type="dxa"/>
            <w:vAlign w:val="bottom"/>
            <w:tcBorders>
              <w:bottom w:val="single" w:sz="8" w:color="405788"/>
            </w:tcBorders>
          </w:tcPr>
          <w:p>
            <w:pPr>
              <w:jc w:val="right"/>
              <w:ind w:right="82"/>
              <w:spacing w:after="0" w:line="125" w:lineRule="exact"/>
              <w:rPr>
                <w:sz w:val="20"/>
                <w:szCs w:val="20"/>
                <w:color w:val="auto"/>
              </w:rPr>
            </w:pPr>
            <w:r>
              <w:rPr>
                <w:rFonts w:ascii="Arial" w:cs="Arial" w:eastAsia="Arial" w:hAnsi="Arial"/>
                <w:sz w:val="12"/>
                <w:szCs w:val="12"/>
                <w:color w:val="auto"/>
              </w:rPr>
              <w:t>11,374</w:t>
            </w:r>
          </w:p>
        </w:tc>
        <w:tc>
          <w:tcPr>
            <w:tcW w:w="1280" w:type="dxa"/>
            <w:vAlign w:val="bottom"/>
            <w:tcBorders>
              <w:bottom w:val="single" w:sz="8" w:color="405788"/>
            </w:tcBorders>
          </w:tcPr>
          <w:p>
            <w:pPr>
              <w:jc w:val="right"/>
              <w:ind w:right="22"/>
              <w:spacing w:after="0" w:line="125" w:lineRule="exact"/>
              <w:rPr>
                <w:sz w:val="20"/>
                <w:szCs w:val="20"/>
                <w:color w:val="auto"/>
              </w:rPr>
            </w:pPr>
            <w:r>
              <w:rPr>
                <w:rFonts w:ascii="Arial" w:cs="Arial" w:eastAsia="Arial" w:hAnsi="Arial"/>
                <w:sz w:val="12"/>
                <w:szCs w:val="12"/>
                <w:color w:val="auto"/>
              </w:rPr>
              <w:t>(60,086)</w:t>
            </w:r>
          </w:p>
        </w:tc>
        <w:tc>
          <w:tcPr>
            <w:tcW w:w="980" w:type="dxa"/>
            <w:vAlign w:val="bottom"/>
            <w:tcBorders>
              <w:bottom w:val="single" w:sz="8" w:color="405788"/>
            </w:tcBorders>
          </w:tcPr>
          <w:p>
            <w:pPr>
              <w:jc w:val="right"/>
              <w:ind w:right="22"/>
              <w:spacing w:after="0" w:line="125" w:lineRule="exact"/>
              <w:rPr>
                <w:sz w:val="20"/>
                <w:szCs w:val="20"/>
                <w:color w:val="auto"/>
              </w:rPr>
            </w:pPr>
            <w:r>
              <w:rPr>
                <w:rFonts w:ascii="Arial" w:cs="Arial" w:eastAsia="Arial" w:hAnsi="Arial"/>
                <w:sz w:val="12"/>
                <w:szCs w:val="12"/>
                <w:color w:val="auto"/>
              </w:rPr>
              <w:t>623,623</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right="220" w:hanging="299"/>
        <w:spacing w:after="0" w:line="278" w:lineRule="auto"/>
        <w:tabs>
          <w:tab w:leader="none" w:pos="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Reflects SCT reported change in “Stock Awards” column from the SCT and fair values of stock and option awards forfeited during the covered year. The valuation assumptions used to calculate fair values did not materially differ from those disclosed at the time of grant.</w:t>
      </w:r>
    </w:p>
    <w:p>
      <w:pPr>
        <w:spacing w:after="0" w:line="150" w:lineRule="exact"/>
        <w:rPr>
          <w:rFonts w:ascii="Arial" w:cs="Arial" w:eastAsia="Arial" w:hAnsi="Arial"/>
          <w:sz w:val="15"/>
          <w:szCs w:val="15"/>
          <w:color w:val="auto"/>
        </w:rPr>
      </w:pPr>
    </w:p>
    <w:p>
      <w:pPr>
        <w:ind w:left="300" w:right="120" w:hanging="299"/>
        <w:spacing w:after="0" w:line="261" w:lineRule="auto"/>
        <w:tabs>
          <w:tab w:leader="none" w:pos="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As of the end of the fiscal year-end, reflects the fair values awards granted during the fiscal year that are outstanding and unvested, the change in fair value compared to prior fiscal year-end of awards granted in any prior fiscal year that are outstanding, and the change in value as of the vesting date compared to prior fiscal year-end of awards granted in any prior fiscal year for which all vesting conditions were satisfied.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the Information Presented in the Pay Versus Performance Table</w:t>
      </w:r>
    </w:p>
    <w:p>
      <w:pPr>
        <w:spacing w:after="0" w:line="9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following chart sets forth the relationship between Compensation Actually Paid to our PEO, the average of Compensation Actually Paid to our Non-PEO NEOs, the Company’s TSR, and the Peer Group TSR over the period covering fiscal years from 2021 through 2024. A large component of our executive compensation is equity-based to align compensation with performance, but also includes other appropriate incentives such as cash bonuses that are designed to incentivize our executives to achieve annual corporate goals. We believe the equity-based compensation strongly aligns our PEO and Non-PEO NEOs’ interests with those of our stockholders to maximize long-term value and encourages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-6985</wp:posOffset>
            </wp:positionV>
            <wp:extent cx="4460240" cy="2420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460240"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36</w:t>
      </w:r>
      <w:r>
        <w:rPr>
          <w:sz w:val="20"/>
          <w:szCs w:val="20"/>
          <w:color w:val="auto"/>
        </w:rPr>
        <w:tab/>
      </w:r>
      <w:r>
        <w:rPr>
          <w:sz w:val="1"/>
          <w:szCs w:val="1"/>
          <w:color w:val="auto"/>
        </w:rPr>
        <w:drawing>
          <wp:inline distT="0" distB="0" distL="0" distR="0">
            <wp:extent cx="476250" cy="2222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jc w:val="both"/>
        <w:ind w:right="540"/>
        <w:spacing w:after="0" w:line="244" w:lineRule="auto"/>
        <w:rPr>
          <w:sz w:val="20"/>
          <w:szCs w:val="20"/>
          <w:color w:val="auto"/>
        </w:rPr>
      </w:pPr>
      <w:r>
        <w:rPr>
          <w:rFonts w:ascii="Arial" w:cs="Arial" w:eastAsia="Arial" w:hAnsi="Arial"/>
          <w:sz w:val="17"/>
          <w:szCs w:val="17"/>
          <w:color w:val="auto"/>
        </w:rPr>
        <w:t>The following chart shows the relationship between Compensation Actually Paid to our PEO, the average of the Compensation Actually Paid to our Non-PEO NEOs, our net income, and our adjusted EBITDA over the period covering fiscal years from 2021 through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52705</wp:posOffset>
            </wp:positionV>
            <wp:extent cx="4460240" cy="2261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60240" cy="226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Tabular List of Performance Measures</w:t>
      </w:r>
    </w:p>
    <w:p>
      <w:pPr>
        <w:spacing w:after="0" w:line="9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following is a list of financial performance measures that the Company considers to be its most important financial performance measures to link compensation actually paid to its NEOs for the most recently completed fiscal year to performance of the Company.</w:t>
      </w:r>
    </w:p>
    <w:p>
      <w:pPr>
        <w:spacing w:after="0" w:line="32" w:lineRule="exact"/>
        <w:rPr>
          <w:sz w:val="20"/>
          <w:szCs w:val="20"/>
          <w:color w:val="auto"/>
        </w:rPr>
      </w:pPr>
    </w:p>
    <w:p>
      <w:pPr>
        <w:ind w:left="620" w:hanging="294"/>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Adjusted EBITDA</w:t>
      </w:r>
    </w:p>
    <w:p>
      <w:pPr>
        <w:spacing w:after="0" w:line="7" w:lineRule="exact"/>
        <w:rPr>
          <w:rFonts w:ascii="Arial" w:cs="Arial" w:eastAsia="Arial" w:hAnsi="Arial"/>
          <w:sz w:val="17"/>
          <w:szCs w:val="17"/>
          <w:color w:val="auto"/>
        </w:rPr>
      </w:pPr>
    </w:p>
    <w:p>
      <w:pPr>
        <w:ind w:left="620" w:hanging="294"/>
        <w:spacing w:after="0" w:line="230" w:lineRule="auto"/>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Revenue</w:t>
      </w:r>
    </w:p>
    <w:p>
      <w:pPr>
        <w:ind w:left="620" w:hanging="294"/>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TSR</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346710</wp:posOffset>
            </wp:positionV>
            <wp:extent cx="483870" cy="2222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ectPr>
          <w:pgSz w:w="11900" w:h="16838" w:orient="portrait"/>
          <w:cols w:equalWidth="0" w:num="1">
            <w:col w:w="9900"/>
          </w:cols>
          <w:pgMar w:left="980" w:top="485" w:right="10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301105" cy="13652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1105" cy="1365250"/>
                    </a:xfrm>
                    <a:prstGeom prst="rect">
                      <a:avLst/>
                    </a:prstGeom>
                    <a:noFill/>
                  </pic:spPr>
                </pic:pic>
              </a:graphicData>
            </a:graphic>
          </wp:anchor>
        </w:drawing>
      </w:r>
    </w:p>
    <w:p>
      <w:pPr>
        <w:spacing w:after="0" w:line="55" w:lineRule="exact"/>
        <w:rPr>
          <w:sz w:val="20"/>
          <w:szCs w:val="20"/>
          <w:color w:val="auto"/>
        </w:rPr>
      </w:pPr>
    </w:p>
    <w:p>
      <w:pPr>
        <w:ind w:left="120"/>
        <w:spacing w:after="0" w:line="257" w:lineRule="auto"/>
        <w:rPr>
          <w:sz w:val="20"/>
          <w:szCs w:val="20"/>
          <w:color w:val="auto"/>
        </w:rPr>
      </w:pPr>
      <w:r>
        <w:rPr>
          <w:rFonts w:ascii="Arial" w:cs="Arial" w:eastAsia="Arial" w:hAnsi="Arial"/>
          <w:sz w:val="33"/>
          <w:szCs w:val="33"/>
          <w:color w:val="3C578C"/>
        </w:rPr>
        <w:t>ADVISORY VOTE ON THE FREQUENCY OF FUTURE ADVISORY VOTES TO APPROVE NAMED EXECUTIVE OFFICER COMPENSATION</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3C578C"/>
        </w:rPr>
        <w:t xml:space="preserve">The Board recommends every </w:t>
      </w:r>
      <w:r>
        <w:rPr>
          <w:rFonts w:ascii="Arial" w:cs="Arial" w:eastAsia="Arial" w:hAnsi="Arial"/>
          <w:sz w:val="19"/>
          <w:szCs w:val="19"/>
          <w:b w:val="1"/>
          <w:bCs w:val="1"/>
          <w:color w:val="A1B657"/>
        </w:rPr>
        <w:t>ONE YEAR</w:t>
      </w:r>
      <w:r>
        <w:rPr>
          <w:rFonts w:ascii="Arial" w:cs="Arial" w:eastAsia="Arial" w:hAnsi="Arial"/>
          <w:sz w:val="19"/>
          <w:szCs w:val="19"/>
          <w:b w:val="1"/>
          <w:bCs w:val="1"/>
          <w:color w:val="3C578C"/>
        </w:rPr>
        <w:t xml:space="preserve"> as the frequency of future advisory votes to approve named executive officer compensation.</w:t>
      </w:r>
    </w:p>
    <w:p>
      <w:pPr>
        <w:spacing w:after="0" w:line="139" w:lineRule="exact"/>
        <w:rPr>
          <w:sz w:val="20"/>
          <w:szCs w:val="20"/>
          <w:color w:val="auto"/>
        </w:rPr>
      </w:pPr>
    </w:p>
    <w:p>
      <w:pPr>
        <w:sectPr>
          <w:pgSz w:w="11900" w:h="16838" w:orient="portrait"/>
          <w:cols w:equalWidth="0" w:num="2">
            <w:col w:w="6920" w:space="680"/>
            <w:col w:w="2300"/>
          </w:cols>
          <w:pgMar w:left="980" w:top="485" w:right="1019" w:bottom="1440" w:gutter="0" w:footer="0" w:header="0"/>
          <w:type w:val="continuous"/>
        </w:sectPr>
      </w:pPr>
    </w:p>
    <w:p>
      <w:pPr>
        <w:ind w:right="200"/>
        <w:spacing w:after="0" w:line="244" w:lineRule="auto"/>
        <w:rPr>
          <w:sz w:val="20"/>
          <w:szCs w:val="20"/>
          <w:color w:val="auto"/>
        </w:rPr>
      </w:pPr>
      <w:r>
        <w:rPr>
          <w:rFonts w:ascii="Arial" w:cs="Arial" w:eastAsia="Arial" w:hAnsi="Arial"/>
          <w:sz w:val="17"/>
          <w:szCs w:val="17"/>
          <w:color w:val="auto"/>
        </w:rPr>
        <w:t>We are also seeking your advisory (non-binding) vote on the frequency of future advisory stockholder votes to approve the compensation paid to our named executive officers. Stockholders may indicate whether they prefer future advisory votes to approve named executive officer compensation every one, two, or three years, or they may abstain with respect to this proposal.</w:t>
      </w:r>
    </w:p>
    <w:p>
      <w:pPr>
        <w:spacing w:after="0" w:line="16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have included a Say-on-Pay vote every year since 2013, and our Board has determined that it is appropriate to continue with an annual advisory vote to approve named executive officer compensation. Our Board believes that an advisory vote to approve named executive officer compensation every year will allow our stockholders to provide us with their direct input on our compensation philosophy, policies and practices as disclosed in the Proxy Statement. Setting a one-year period for holding this stockholder vote will enhance stockholder communication by providing a clear, simple means for us to obtain information more frequently on investor sentiment about our named executive officer compensation philosophy. It will also facilitate more timely responses to stockholder concerns.</w:t>
      </w:r>
    </w:p>
    <w:p>
      <w:pPr>
        <w:spacing w:after="0" w:line="17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When voting on this Proposal 3, you will have the option to recommend holding future advisory votes to approve the compensation of our named executive officers every one, two, or three years or to abstain entirely from voting on the matter. The frequency (one, two or three years) that receives the highest number of votes cast by stockholders will be the frequency of future advisory votes to approve named executive officer compensation that has been recommended by the stockholders. Abstentions and broker non-votes are not treated as votes cast, so they will have no effect on the outcome of the vote. Although the vote is non-binding, our Board will consider the outcome of this vote when deciding when to call for the next advisory vote to approve named executive officer compensation. However, because this vote is advisory only and non-binding, our Board may nevertheless decide that it is in the best interests of our stockholders and our Company to hold an advisory vote to approve named executive officer compensation more or less frequently than the most popular option recommended by our stockholders.</w:t>
      </w:r>
    </w:p>
    <w:p>
      <w:pPr>
        <w:spacing w:after="0" w:line="172"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We will hold the next advisory vote on the frequency of future advisory votes to approve named executive officer compensation in 2031.</w:t>
      </w:r>
    </w:p>
    <w:p>
      <w:pPr>
        <w:spacing w:after="0" w:line="155"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color w:val="auto"/>
        </w:rPr>
        <w:t>Our Board recommends that you vote for every “ONE YEAR” as the frequency of future advisory votes to approve named executive officer compensation.</w:t>
      </w:r>
    </w:p>
    <w:p>
      <w:pPr>
        <w:spacing w:after="0" w:line="200" w:lineRule="exact"/>
        <w:rPr>
          <w:sz w:val="20"/>
          <w:szCs w:val="20"/>
          <w:color w:val="auto"/>
        </w:rPr>
      </w:pPr>
    </w:p>
    <w:p>
      <w:pPr>
        <w:spacing w:after="0" w:line="28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38</w:t>
      </w:r>
      <w:r>
        <w:rPr>
          <w:sz w:val="20"/>
          <w:szCs w:val="20"/>
          <w:color w:val="auto"/>
        </w:rPr>
        <w:tab/>
      </w:r>
      <w:r>
        <w:rPr>
          <w:sz w:val="1"/>
          <w:szCs w:val="1"/>
          <w:color w:val="auto"/>
        </w:rPr>
        <w:drawing>
          <wp:inline distT="0" distB="0" distL="0" distR="0">
            <wp:extent cx="476250" cy="2222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ectPr>
          <w:pgSz w:w="11900" w:h="16838" w:orient="portrait"/>
          <w:cols w:equalWidth="0" w:num="1">
            <w:col w:w="9920"/>
          </w:cols>
          <w:pgMar w:left="980" w:top="485"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301105" cy="1508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1105" cy="1508125"/>
                    </a:xfrm>
                    <a:prstGeom prst="rect">
                      <a:avLst/>
                    </a:prstGeom>
                    <a:noFill/>
                  </pic:spPr>
                </pic:pic>
              </a:graphicData>
            </a:graphic>
          </wp:anchor>
        </w:drawing>
      </w:r>
    </w:p>
    <w:p>
      <w:pPr>
        <w:spacing w:after="0" w:line="55" w:lineRule="exact"/>
        <w:rPr>
          <w:sz w:val="20"/>
          <w:szCs w:val="20"/>
          <w:color w:val="auto"/>
        </w:rPr>
      </w:pPr>
    </w:p>
    <w:p>
      <w:pPr>
        <w:ind w:left="120" w:right="120"/>
        <w:spacing w:after="0" w:line="264" w:lineRule="auto"/>
        <w:rPr>
          <w:sz w:val="20"/>
          <w:szCs w:val="20"/>
          <w:color w:val="auto"/>
        </w:rPr>
      </w:pPr>
      <w:r>
        <w:rPr>
          <w:rFonts w:ascii="Arial" w:cs="Arial" w:eastAsia="Arial" w:hAnsi="Arial"/>
          <w:sz w:val="33"/>
          <w:szCs w:val="33"/>
          <w:color w:val="3C578C"/>
        </w:rPr>
        <w:t>RATIFICATION OF THE APPOINTMENT OF INDEPENDENT REGISTERED PUBLIC ACCOUNTING FIRM</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3C578C"/>
        </w:rPr>
        <w:t xml:space="preserve">The Board recommends a vote </w:t>
      </w:r>
      <w:r>
        <w:rPr>
          <w:rFonts w:ascii="Arial" w:cs="Arial" w:eastAsia="Arial" w:hAnsi="Arial"/>
          <w:sz w:val="20"/>
          <w:szCs w:val="20"/>
          <w:b w:val="1"/>
          <w:bCs w:val="1"/>
          <w:color w:val="A1B657"/>
        </w:rPr>
        <w:t>FOR</w:t>
      </w:r>
      <w:r>
        <w:rPr>
          <w:rFonts w:ascii="Arial" w:cs="Arial" w:eastAsia="Arial" w:hAnsi="Arial"/>
          <w:sz w:val="20"/>
          <w:szCs w:val="20"/>
          <w:b w:val="1"/>
          <w:bCs w:val="1"/>
          <w:color w:val="3C578C"/>
        </w:rPr>
        <w:t xml:space="preserve"> the ratification of the appointment of Deloitte as our independent registered public accounting firm for 2025.</w:t>
      </w:r>
    </w:p>
    <w:p>
      <w:pPr>
        <w:spacing w:after="0" w:line="152" w:lineRule="exact"/>
        <w:rPr>
          <w:sz w:val="20"/>
          <w:szCs w:val="20"/>
          <w:color w:val="auto"/>
        </w:rPr>
      </w:pPr>
    </w:p>
    <w:p>
      <w:pPr>
        <w:sectPr>
          <w:pgSz w:w="11900" w:h="16838" w:orient="portrait"/>
          <w:cols w:equalWidth="0" w:num="2">
            <w:col w:w="6880" w:space="720"/>
            <w:col w:w="2320"/>
          </w:cols>
          <w:pgMar w:left="980" w:top="485" w:right="999" w:bottom="1440" w:gutter="0" w:footer="0" w:header="0"/>
          <w:type w:val="continuous"/>
        </w:sectPr>
      </w:pPr>
    </w:p>
    <w:p>
      <w:pPr>
        <w:ind w:right="20"/>
        <w:spacing w:after="0" w:line="244" w:lineRule="auto"/>
        <w:rPr>
          <w:sz w:val="20"/>
          <w:szCs w:val="20"/>
          <w:color w:val="auto"/>
        </w:rPr>
      </w:pPr>
      <w:r>
        <w:rPr>
          <w:rFonts w:ascii="Arial" w:cs="Arial" w:eastAsia="Arial" w:hAnsi="Arial"/>
          <w:sz w:val="17"/>
          <w:szCs w:val="17"/>
          <w:color w:val="auto"/>
        </w:rPr>
        <w:t>At the recommendation of the Audit Committee, our Board has ratified the appointment of Deloitte &amp; Touche LLP (“Deloitte”) as our independent registered public accounting firm for the fiscal year ending December 31, 2025. A representative of Deloitte is expected to be present and available to respond to appropriate questions at the Annual Meeting.</w:t>
      </w:r>
    </w:p>
    <w:p>
      <w:pPr>
        <w:spacing w:after="0" w:line="66"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Our Audit Committee approves any engagement of Deloitte and has the ultimate authority and responsibility to select, evaluate and, where appropriate, replace the independent registered public accounting firm and nominate an independent registered public accounting firm for stockholder approval.</w:t>
      </w:r>
    </w:p>
    <w:p>
      <w:pPr>
        <w:spacing w:after="0" w:line="6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Although we are not required to seek stockholder approval of the appointment of Deloitte,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Deloitte, the Audit Committee, in its discretion, may still appoint a different independent registered public accounting firm if it believes that such a change would be in the best interests of the Company and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179"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This proposal requires an affirmative vote of the majority of shares represented at the Annual Meeting in person or by proxy for approval.</w:t>
      </w:r>
    </w:p>
    <w:p>
      <w:pPr>
        <w:spacing w:after="0" w:line="142" w:lineRule="exact"/>
        <w:rPr>
          <w:sz w:val="20"/>
          <w:szCs w:val="20"/>
          <w:color w:val="auto"/>
        </w:rPr>
      </w:pPr>
    </w:p>
    <w:p>
      <w:pPr>
        <w:ind w:right="580"/>
        <w:spacing w:after="0" w:line="271" w:lineRule="auto"/>
        <w:rPr>
          <w:sz w:val="20"/>
          <w:szCs w:val="20"/>
          <w:color w:val="auto"/>
        </w:rPr>
      </w:pPr>
      <w:r>
        <w:rPr>
          <w:rFonts w:ascii="Arial" w:cs="Arial" w:eastAsia="Arial" w:hAnsi="Arial"/>
          <w:sz w:val="17"/>
          <w:szCs w:val="17"/>
          <w:b w:val="1"/>
          <w:bCs w:val="1"/>
          <w:color w:val="auto"/>
        </w:rPr>
        <w:t>Our Board recommends a vote “FOR” the ratification of the appointment of Deloitte &amp; Touche LLP as our independent registered public accounting firm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396875</wp:posOffset>
            </wp:positionV>
            <wp:extent cx="483870" cy="2222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AUDIT MATTERS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Change in Auditors</w:t>
      </w:r>
    </w:p>
    <w:p>
      <w:pPr>
        <w:spacing w:after="0" w:line="92" w:lineRule="exact"/>
        <w:rPr>
          <w:sz w:val="20"/>
          <w:szCs w:val="20"/>
          <w:color w:val="auto"/>
        </w:rPr>
      </w:pPr>
    </w:p>
    <w:p>
      <w:pPr>
        <w:jc w:val="both"/>
        <w:ind w:right="200"/>
        <w:spacing w:after="0" w:line="244" w:lineRule="auto"/>
        <w:rPr>
          <w:sz w:val="20"/>
          <w:szCs w:val="20"/>
          <w:color w:val="auto"/>
        </w:rPr>
      </w:pPr>
      <w:r>
        <w:rPr>
          <w:rFonts w:ascii="Arial" w:cs="Arial" w:eastAsia="Arial" w:hAnsi="Arial"/>
          <w:sz w:val="17"/>
          <w:szCs w:val="17"/>
          <w:color w:val="auto"/>
        </w:rPr>
        <w:t>On February 28, 2025, the Audit Committee selected Deloitte to serve as our new independent registered public accounting firm for the fiscal year ending December 31, 2025, and notified BDO USA, P.C. (“BDO”) of its dismissal as our independent registered public accounting firm, effective as of February 28, 2025.</w:t>
      </w:r>
    </w:p>
    <w:p>
      <w:pPr>
        <w:spacing w:after="0" w:line="6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BDO’s reports on our consolidated financial statements for each of the fiscal years ended December 31, 2024 and December 31, 2023 did not contain any adverse opinion or a disclaimer of opinion, nor were they qualified or modified as to uncertainty, audit scope, or accounting principles.</w:t>
      </w:r>
    </w:p>
    <w:p>
      <w:pPr>
        <w:spacing w:after="0" w:line="6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During each of the fiscal years ended December 31, 2024 and December 31, 2023, and the subsequent interim period through the date of dismissal, there were no “disagreements,” as that term is defined in Item 304(a)(1)(iv) of Regulation S-K, between us and BDO on any matter of accounting principles or practices, financial statement disclosure or auditing scope or procedure, which disagreements, if not resolved to the satisfaction of BDO, would have caused BDO to make reference to the subject matter of the disagreement in its reports on our consolidated financial statements for such years.</w:t>
      </w:r>
    </w:p>
    <w:p>
      <w:pPr>
        <w:spacing w:after="0" w:line="7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There were no “reportable events,” as that term is defined in Item 304(a)(1)(v) of Regulation S-K, during either of the fiscal years ended December 31, 2024 or December 31, 2023, and the subsequent interim period through the date of dismissal, except that we identified material weaknesses in our internal control over financial reporting as disclosed in Item 9A, Controls and Procedures, of our Annual Report on Form 10-K for the fiscal year ended December 31, 2023, as described below.</w:t>
      </w:r>
    </w:p>
    <w:p>
      <w:pPr>
        <w:spacing w:after="0" w:line="7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disclosed in our Annual Report on Form 10-K for the fiscal year ended December 31, 2023, we previously identified material weaknesses in our internal control over financial reporting based on the criteria set forth in Internal Control - Integrated Framework (2013) issued by the Committee of Sponsoring Organizations, including material weaknesses in our control environment with regard to management’s review of each of revenue recognition for contracts and balance sheet reconciliations, as of December 31, 2023. As subsequently disclosed in our Quarterly Report on Form 10-Q for the fiscal quarter ended June 30, 2024, with the oversight of the Audit Committee, we implemented controls in accordance with our remediation plans to address these material weaknesses. Based on our completed remediation actions, we remediated (i) the material weakness in our control environment with regard to management’s review of revenue recognition for contracts as of June 30, 2024 and (ii) the material weakness in our control environment with regard to management’s review of balance sheet reconciliations as of March 31, 2024. Accordingly, these material weaknesses were remediated as of the date of dismissal.</w:t>
      </w:r>
    </w:p>
    <w:p>
      <w:pPr>
        <w:spacing w:after="0" w:line="6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We previously disclosed the change in our independent auditors in our Current Report on Form 8-K filed with the SEC on March 6, 2025. A copy of BDO’s related letter, dated March 6, 2025, was filed as Exhibit 16.1 to such Current Report on Form 8-K.</w:t>
      </w:r>
    </w:p>
    <w:p>
      <w:pPr>
        <w:spacing w:after="0" w:line="55"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On March 5, 2025, upon approval by the Audit Committee, we engaged Deloitte to serve as our new independent registered public accounting firm for the fiscal year ending December 31, 2025.</w:t>
      </w:r>
    </w:p>
    <w:p>
      <w:pPr>
        <w:spacing w:after="0" w:line="5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During each of the fiscal years ended December 31, 2024 and December 31, 2023, and the subsequent interim period through March 5, 2025, neither we nor anyone acting on our behalf has consulted with Deloitte regarding (i) the application of accounting principles to a specified transaction, either completed or proposed, or the type of audit opinion that might be rendered on our consolidated financial statements, and neither a written report, nor oral advice, was provided to us that Deloitte concluded was an important factor considered by us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Audit Committee Report</w:t>
      </w:r>
    </w:p>
    <w:p>
      <w:pPr>
        <w:spacing w:after="0" w:line="9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Audit Committee has reviewed and discussed our Company’s audited consolidated financial statements for the fiscal year ended December 31, 2024, with our management and discussed with BDO, our then-serving independent registered public accounting firm, those matters required to be discussed by the applicable requirements of the Public Company Accounting Oversight Board (the “PCAOB”) and the Securities and Exchange Commission.</w:t>
      </w:r>
    </w:p>
    <w:p>
      <w:pPr>
        <w:spacing w:after="0" w:line="23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40</w:t>
      </w:r>
      <w:r>
        <w:rPr>
          <w:sz w:val="20"/>
          <w:szCs w:val="20"/>
          <w:color w:val="auto"/>
        </w:rPr>
        <w:tab/>
      </w:r>
      <w:r>
        <w:rPr>
          <w:sz w:val="1"/>
          <w:szCs w:val="1"/>
          <w:color w:val="auto"/>
        </w:rPr>
        <w:drawing>
          <wp:inline distT="0" distB="0" distL="0" distR="0">
            <wp:extent cx="476250" cy="2222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spacing w:after="0" w:line="66"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Based on these reviews and discussions, the Audit Committee recommended to our Board that our audited consolidated financial statements be included in our Annual Report on Form 10-K for the fiscal year ended December 31, 2024, for filing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This report is submitted on behalf of the members of the Audit Committee: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Richard F. Wallman, Chair</w:t>
      </w:r>
    </w:p>
    <w:p>
      <w:pPr>
        <w:spacing w:after="0"/>
        <w:rPr>
          <w:sz w:val="20"/>
          <w:szCs w:val="20"/>
          <w:color w:val="auto"/>
        </w:rPr>
      </w:pPr>
      <w:r>
        <w:rPr>
          <w:rFonts w:ascii="Arial" w:cs="Arial" w:eastAsia="Arial" w:hAnsi="Arial"/>
          <w:sz w:val="17"/>
          <w:szCs w:val="17"/>
          <w:color w:val="auto"/>
        </w:rPr>
        <w:t>Claudio A. Mannarino</w:t>
      </w:r>
    </w:p>
    <w:p>
      <w:pPr>
        <w:spacing w:after="0"/>
        <w:rPr>
          <w:sz w:val="20"/>
          <w:szCs w:val="20"/>
          <w:color w:val="auto"/>
        </w:rPr>
      </w:pPr>
      <w:r>
        <w:rPr>
          <w:rFonts w:ascii="Arial" w:cs="Arial" w:eastAsia="Arial" w:hAnsi="Arial"/>
          <w:sz w:val="17"/>
          <w:szCs w:val="17"/>
          <w:color w:val="auto"/>
        </w:rPr>
        <w:t>Munish Nanda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Independent Registered Public Accounting Firm Fees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fees for services provided to us by BDO for the fiscal years ended December 31:</w:t>
      </w:r>
    </w:p>
    <w:p>
      <w:pPr>
        <w:spacing w:after="0" w:line="114"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540" w:type="dxa"/>
            <w:vAlign w:val="bottom"/>
            <w:tcBorders>
              <w:bottom w:val="single" w:sz="8" w:color="405788"/>
            </w:tcBorders>
          </w:tcPr>
          <w:p>
            <w:pPr>
              <w:spacing w:after="0"/>
              <w:rPr>
                <w:sz w:val="14"/>
                <w:szCs w:val="14"/>
                <w:color w:val="auto"/>
              </w:rPr>
            </w:pPr>
          </w:p>
        </w:tc>
        <w:tc>
          <w:tcPr>
            <w:tcW w:w="2300" w:type="dxa"/>
            <w:vAlign w:val="bottom"/>
            <w:tcBorders>
              <w:bottom w:val="single" w:sz="8" w:color="405788"/>
            </w:tcBorders>
          </w:tcPr>
          <w:p>
            <w:pPr>
              <w:spacing w:after="0"/>
              <w:rPr>
                <w:sz w:val="14"/>
                <w:szCs w:val="14"/>
                <w:color w:val="auto"/>
              </w:rPr>
            </w:pPr>
          </w:p>
        </w:tc>
        <w:tc>
          <w:tcPr>
            <w:tcW w:w="940" w:type="dxa"/>
            <w:vAlign w:val="bottom"/>
            <w:tcBorders>
              <w:bottom w:val="single" w:sz="8" w:color="405788"/>
            </w:tcBorders>
          </w:tcPr>
          <w:p>
            <w:pPr>
              <w:jc w:val="right"/>
              <w:ind w:right="19"/>
              <w:spacing w:after="0"/>
              <w:rPr>
                <w:sz w:val="20"/>
                <w:szCs w:val="20"/>
                <w:color w:val="auto"/>
              </w:rPr>
            </w:pPr>
            <w:r>
              <w:rPr>
                <w:rFonts w:ascii="Arial" w:cs="Arial" w:eastAsia="Arial" w:hAnsi="Arial"/>
                <w:sz w:val="13"/>
                <w:szCs w:val="13"/>
                <w:b w:val="1"/>
                <w:bCs w:val="1"/>
                <w:color w:val="auto"/>
              </w:rPr>
              <w:t>2024</w:t>
            </w:r>
          </w:p>
        </w:tc>
        <w:tc>
          <w:tcPr>
            <w:tcW w:w="260" w:type="dxa"/>
            <w:vAlign w:val="bottom"/>
            <w:tcBorders>
              <w:bottom w:val="single" w:sz="8" w:color="405788"/>
            </w:tcBorders>
          </w:tcPr>
          <w:p>
            <w:pPr>
              <w:spacing w:after="0"/>
              <w:rPr>
                <w:sz w:val="14"/>
                <w:szCs w:val="14"/>
                <w:color w:val="auto"/>
              </w:rPr>
            </w:pPr>
          </w:p>
        </w:tc>
        <w:tc>
          <w:tcPr>
            <w:tcW w:w="88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2023</w:t>
            </w:r>
          </w:p>
        </w:tc>
      </w:tr>
      <w:tr>
        <w:trPr>
          <w:trHeight w:val="192"/>
        </w:trPr>
        <w:tc>
          <w:tcPr>
            <w:tcW w:w="20" w:type="dxa"/>
            <w:vAlign w:val="bottom"/>
            <w:tcBorders>
              <w:bottom w:val="single" w:sz="8" w:color="D9D9D9"/>
            </w:tcBorders>
          </w:tcPr>
          <w:p>
            <w:pPr>
              <w:spacing w:after="0"/>
              <w:rPr>
                <w:sz w:val="16"/>
                <w:szCs w:val="16"/>
                <w:color w:val="auto"/>
              </w:rPr>
            </w:pPr>
          </w:p>
        </w:tc>
        <w:tc>
          <w:tcPr>
            <w:tcW w:w="35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Audit Fees</w:t>
            </w:r>
          </w:p>
        </w:tc>
        <w:tc>
          <w:tcPr>
            <w:tcW w:w="23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D9D9D9"/>
            </w:tcBorders>
          </w:tcPr>
          <w:p>
            <w:pPr>
              <w:jc w:val="right"/>
              <w:ind w:right="39"/>
              <w:spacing w:after="0" w:line="188" w:lineRule="exact"/>
              <w:rPr>
                <w:sz w:val="20"/>
                <w:szCs w:val="20"/>
                <w:color w:val="auto"/>
              </w:rPr>
            </w:pPr>
            <w:r>
              <w:rPr>
                <w:rFonts w:ascii="Arial" w:cs="Arial" w:eastAsia="Arial" w:hAnsi="Arial"/>
                <w:sz w:val="17"/>
                <w:szCs w:val="17"/>
                <w:color w:val="auto"/>
              </w:rPr>
              <w:t>1,505,129</w:t>
            </w:r>
          </w:p>
        </w:tc>
        <w:tc>
          <w:tcPr>
            <w:tcW w:w="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1,486,950</w:t>
            </w:r>
          </w:p>
        </w:tc>
      </w:tr>
      <w:tr>
        <w:trPr>
          <w:trHeight w:val="192"/>
        </w:trPr>
        <w:tc>
          <w:tcPr>
            <w:tcW w:w="356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Audit-Related Fees</w:t>
            </w:r>
          </w:p>
        </w:tc>
        <w:tc>
          <w:tcPr>
            <w:tcW w:w="2300" w:type="dxa"/>
            <w:vAlign w:val="bottom"/>
            <w:tcBorders>
              <w:bottom w:val="single" w:sz="8" w:color="D9D9D9"/>
            </w:tcBorders>
          </w:tcPr>
          <w:p>
            <w:pPr>
              <w:spacing w:after="0"/>
              <w:rPr>
                <w:sz w:val="16"/>
                <w:szCs w:val="16"/>
                <w:color w:val="auto"/>
              </w:rPr>
            </w:pPr>
          </w:p>
        </w:tc>
        <w:tc>
          <w:tcPr>
            <w:tcW w:w="940" w:type="dxa"/>
            <w:vAlign w:val="bottom"/>
            <w:tcBorders>
              <w:bottom w:val="single" w:sz="8" w:color="D9D9D9"/>
            </w:tcBorders>
          </w:tcPr>
          <w:p>
            <w:pPr>
              <w:jc w:val="right"/>
              <w:ind w:right="39"/>
              <w:spacing w:after="0" w:line="188"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D9D9D9"/>
            </w:tcBorders>
          </w:tcPr>
          <w:p>
            <w:pPr>
              <w:spacing w:after="0"/>
              <w:rPr>
                <w:sz w:val="16"/>
                <w:szCs w:val="16"/>
                <w:color w:val="auto"/>
              </w:rPr>
            </w:pPr>
          </w:p>
        </w:tc>
        <w:tc>
          <w:tcPr>
            <w:tcW w:w="8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56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Tax Fees</w:t>
            </w:r>
          </w:p>
        </w:tc>
        <w:tc>
          <w:tcPr>
            <w:tcW w:w="2300" w:type="dxa"/>
            <w:vAlign w:val="bottom"/>
            <w:tcBorders>
              <w:bottom w:val="single" w:sz="8" w:color="D9D9D9"/>
            </w:tcBorders>
          </w:tcPr>
          <w:p>
            <w:pPr>
              <w:spacing w:after="0"/>
              <w:rPr>
                <w:sz w:val="16"/>
                <w:szCs w:val="16"/>
                <w:color w:val="auto"/>
              </w:rPr>
            </w:pPr>
          </w:p>
        </w:tc>
        <w:tc>
          <w:tcPr>
            <w:tcW w:w="940" w:type="dxa"/>
            <w:vAlign w:val="bottom"/>
            <w:tcBorders>
              <w:bottom w:val="single" w:sz="8" w:color="D9D9D9"/>
            </w:tcBorders>
          </w:tcPr>
          <w:p>
            <w:pPr>
              <w:jc w:val="right"/>
              <w:ind w:right="39"/>
              <w:spacing w:after="0" w:line="188"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D9D9D9"/>
            </w:tcBorders>
          </w:tcPr>
          <w:p>
            <w:pPr>
              <w:spacing w:after="0"/>
              <w:rPr>
                <w:sz w:val="16"/>
                <w:szCs w:val="16"/>
                <w:color w:val="auto"/>
              </w:rPr>
            </w:pPr>
          </w:p>
        </w:tc>
        <w:tc>
          <w:tcPr>
            <w:tcW w:w="8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56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All Other Fees</w:t>
            </w:r>
          </w:p>
        </w:tc>
        <w:tc>
          <w:tcPr>
            <w:tcW w:w="2300" w:type="dxa"/>
            <w:vAlign w:val="bottom"/>
            <w:tcBorders>
              <w:bottom w:val="single" w:sz="8" w:color="D9D9D9"/>
            </w:tcBorders>
          </w:tcPr>
          <w:p>
            <w:pPr>
              <w:spacing w:after="0"/>
              <w:rPr>
                <w:sz w:val="16"/>
                <w:szCs w:val="16"/>
                <w:color w:val="auto"/>
              </w:rPr>
            </w:pPr>
          </w:p>
        </w:tc>
        <w:tc>
          <w:tcPr>
            <w:tcW w:w="940" w:type="dxa"/>
            <w:vAlign w:val="bottom"/>
            <w:tcBorders>
              <w:bottom w:val="single" w:sz="8" w:color="D9D9D9"/>
            </w:tcBorders>
          </w:tcPr>
          <w:p>
            <w:pPr>
              <w:jc w:val="right"/>
              <w:ind w:right="39"/>
              <w:spacing w:after="0" w:line="188"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D9D9D9"/>
            </w:tcBorders>
          </w:tcPr>
          <w:p>
            <w:pPr>
              <w:spacing w:after="0"/>
              <w:rPr>
                <w:sz w:val="16"/>
                <w:szCs w:val="16"/>
                <w:color w:val="auto"/>
              </w:rPr>
            </w:pPr>
          </w:p>
        </w:tc>
        <w:tc>
          <w:tcPr>
            <w:tcW w:w="8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7"/>
        </w:trPr>
        <w:tc>
          <w:tcPr>
            <w:tcW w:w="356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b w:val="1"/>
                <w:bCs w:val="1"/>
                <w:color w:val="auto"/>
              </w:rPr>
              <w:t>Total</w:t>
            </w:r>
          </w:p>
        </w:tc>
        <w:tc>
          <w:tcPr>
            <w:tcW w:w="23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405788"/>
            </w:tcBorders>
          </w:tcPr>
          <w:p>
            <w:pPr>
              <w:jc w:val="right"/>
              <w:ind w:right="39"/>
              <w:spacing w:after="0" w:line="188" w:lineRule="exact"/>
              <w:rPr>
                <w:sz w:val="20"/>
                <w:szCs w:val="20"/>
                <w:color w:val="auto"/>
              </w:rPr>
            </w:pPr>
            <w:r>
              <w:rPr>
                <w:rFonts w:ascii="Arial" w:cs="Arial" w:eastAsia="Arial" w:hAnsi="Arial"/>
                <w:sz w:val="17"/>
                <w:szCs w:val="17"/>
                <w:color w:val="auto"/>
              </w:rPr>
              <w:t>1,505,129</w:t>
            </w:r>
          </w:p>
        </w:tc>
        <w:tc>
          <w:tcPr>
            <w:tcW w:w="2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1,486,950</w:t>
            </w:r>
          </w:p>
        </w:tc>
      </w:tr>
    </w:tbl>
    <w:p>
      <w:pPr>
        <w:spacing w:after="0" w:line="9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following is a description of the nature of the services comprising the fees disclosed in the table above for each of the three categories of services. The Audit Committee considered whether providing non-audit services was compatible with maintaining BDO’s independence.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Fees</w:t>
      </w:r>
    </w:p>
    <w:p>
      <w:pPr>
        <w:spacing w:after="0" w:line="90"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 Pre-Approval Policy</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were pre-approved by the Audit Committee or the Audit Committee Chair and none of the fees for such services were under the de minimis exception to pre-approval provided in the applicable rules rendered established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357505</wp:posOffset>
            </wp:positionV>
            <wp:extent cx="483870" cy="2222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MANAGEMENT OWNERSHIP</w:t>
      </w:r>
    </w:p>
    <w:p>
      <w:pPr>
        <w:spacing w:after="0" w:line="9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following table shows the beneficial ownership of our common stock as of March 25, 2025, by (i) each of our directors, (ii) each of our named executive officers, and (iii) all directors and executive officers as a group. Beneficial ownership includes the right to acquire shares within 60 days of March 25, 2025, including upon the exercise of an option or vesting of an RSU; however, such shares are not deemed to be outstanding for the purpose of computing the percentage owned by any other person. Except as noted below, each person exercises sole voting and investment power with respect to the shares listed.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380" w:type="dxa"/>
            <w:vAlign w:val="bottom"/>
          </w:tcPr>
          <w:p>
            <w:pPr>
              <w:spacing w:after="0"/>
              <w:rPr>
                <w:sz w:val="13"/>
                <w:szCs w:val="13"/>
                <w:color w:val="auto"/>
              </w:rPr>
            </w:pPr>
          </w:p>
        </w:tc>
        <w:tc>
          <w:tcPr>
            <w:tcW w:w="2500" w:type="dxa"/>
            <w:vAlign w:val="bottom"/>
          </w:tcPr>
          <w:p>
            <w:pPr>
              <w:jc w:val="right"/>
              <w:ind w:right="140"/>
              <w:spacing w:after="0"/>
              <w:rPr>
                <w:sz w:val="20"/>
                <w:szCs w:val="20"/>
                <w:color w:val="auto"/>
              </w:rPr>
            </w:pPr>
            <w:r>
              <w:rPr>
                <w:rFonts w:ascii="Arial" w:cs="Arial" w:eastAsia="Arial" w:hAnsi="Arial"/>
                <w:sz w:val="13"/>
                <w:szCs w:val="13"/>
                <w:b w:val="1"/>
                <w:bCs w:val="1"/>
                <w:color w:val="auto"/>
              </w:rPr>
              <w:t>Number of Shares of</w:t>
            </w:r>
          </w:p>
        </w:tc>
        <w:tc>
          <w:tcPr>
            <w:tcW w:w="2040" w:type="dxa"/>
            <w:vAlign w:val="bottom"/>
          </w:tcPr>
          <w:p>
            <w:pPr>
              <w:spacing w:after="0"/>
              <w:rPr>
                <w:sz w:val="13"/>
                <w:szCs w:val="13"/>
                <w:color w:val="auto"/>
              </w:rPr>
            </w:pPr>
          </w:p>
        </w:tc>
      </w:tr>
      <w:tr>
        <w:trPr>
          <w:trHeight w:val="133"/>
        </w:trPr>
        <w:tc>
          <w:tcPr>
            <w:tcW w:w="5380" w:type="dxa"/>
            <w:vAlign w:val="bottom"/>
          </w:tcPr>
          <w:p>
            <w:pPr>
              <w:spacing w:after="0"/>
              <w:rPr>
                <w:sz w:val="11"/>
                <w:szCs w:val="11"/>
                <w:color w:val="auto"/>
              </w:rPr>
            </w:pPr>
          </w:p>
        </w:tc>
        <w:tc>
          <w:tcPr>
            <w:tcW w:w="2500" w:type="dxa"/>
            <w:vAlign w:val="bottom"/>
          </w:tcPr>
          <w:p>
            <w:pPr>
              <w:jc w:val="right"/>
              <w:ind w:right="140"/>
              <w:spacing w:after="0" w:line="133" w:lineRule="exact"/>
              <w:rPr>
                <w:sz w:val="20"/>
                <w:szCs w:val="20"/>
                <w:color w:val="auto"/>
              </w:rPr>
            </w:pPr>
            <w:r>
              <w:rPr>
                <w:rFonts w:ascii="Arial" w:cs="Arial" w:eastAsia="Arial" w:hAnsi="Arial"/>
                <w:sz w:val="13"/>
                <w:szCs w:val="13"/>
                <w:b w:val="1"/>
                <w:bCs w:val="1"/>
                <w:color w:val="auto"/>
              </w:rPr>
              <w:t>Common Stock</w:t>
            </w:r>
          </w:p>
        </w:tc>
        <w:tc>
          <w:tcPr>
            <w:tcW w:w="2040" w:type="dxa"/>
            <w:vAlign w:val="bottom"/>
          </w:tcPr>
          <w:p>
            <w:pPr>
              <w:jc w:val="right"/>
              <w:ind w:right="139"/>
              <w:spacing w:after="0" w:line="133" w:lineRule="exact"/>
              <w:rPr>
                <w:sz w:val="20"/>
                <w:szCs w:val="20"/>
                <w:color w:val="auto"/>
              </w:rPr>
            </w:pPr>
            <w:r>
              <w:rPr>
                <w:rFonts w:ascii="Arial" w:cs="Arial" w:eastAsia="Arial" w:hAnsi="Arial"/>
                <w:sz w:val="13"/>
                <w:szCs w:val="13"/>
                <w:b w:val="1"/>
                <w:bCs w:val="1"/>
                <w:color w:val="auto"/>
              </w:rPr>
              <w:t>Percent of Total Common</w:t>
            </w:r>
          </w:p>
        </w:tc>
      </w:tr>
      <w:tr>
        <w:trPr>
          <w:trHeight w:val="180"/>
        </w:trPr>
        <w:tc>
          <w:tcPr>
            <w:tcW w:w="53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2500" w:type="dxa"/>
            <w:vAlign w:val="bottom"/>
            <w:tcBorders>
              <w:bottom w:val="single" w:sz="8" w:color="405788"/>
            </w:tcBorders>
          </w:tcPr>
          <w:p>
            <w:pPr>
              <w:jc w:val="right"/>
              <w:ind w:right="140"/>
              <w:spacing w:after="0" w:line="175" w:lineRule="exact"/>
              <w:rPr>
                <w:sz w:val="20"/>
                <w:szCs w:val="20"/>
                <w:color w:val="auto"/>
              </w:rPr>
            </w:pPr>
            <w:r>
              <w:rPr>
                <w:rFonts w:ascii="Arial" w:cs="Arial" w:eastAsia="Arial" w:hAnsi="Arial"/>
                <w:sz w:val="13"/>
                <w:szCs w:val="13"/>
                <w:b w:val="1"/>
                <w:bCs w:val="1"/>
                <w:color w:val="auto"/>
              </w:rPr>
              <w:t xml:space="preserve">Beneficially Owned </w:t>
            </w:r>
            <w:r>
              <w:rPr>
                <w:rFonts w:ascii="Arial" w:cs="Arial" w:eastAsia="Arial" w:hAnsi="Arial"/>
                <w:sz w:val="19"/>
                <w:szCs w:val="19"/>
                <w:b w:val="1"/>
                <w:bCs w:val="1"/>
                <w:color w:val="auto"/>
                <w:vertAlign w:val="superscript"/>
              </w:rPr>
              <w:t>2</w:t>
            </w:r>
          </w:p>
        </w:tc>
        <w:tc>
          <w:tcPr>
            <w:tcW w:w="2040" w:type="dxa"/>
            <w:vAlign w:val="bottom"/>
            <w:tcBorders>
              <w:bottom w:val="single" w:sz="8" w:color="405788"/>
            </w:tcBorders>
          </w:tcPr>
          <w:p>
            <w:pPr>
              <w:jc w:val="right"/>
              <w:ind w:right="139"/>
              <w:spacing w:after="0" w:line="175" w:lineRule="exact"/>
              <w:rPr>
                <w:sz w:val="20"/>
                <w:szCs w:val="20"/>
                <w:color w:val="auto"/>
              </w:rPr>
            </w:pPr>
            <w:r>
              <w:rPr>
                <w:rFonts w:ascii="Arial" w:cs="Arial" w:eastAsia="Arial" w:hAnsi="Arial"/>
                <w:sz w:val="13"/>
                <w:szCs w:val="13"/>
                <w:b w:val="1"/>
                <w:bCs w:val="1"/>
                <w:color w:val="auto"/>
              </w:rPr>
              <w:t xml:space="preserve">Stock Outstanding </w:t>
            </w:r>
            <w:r>
              <w:rPr>
                <w:rFonts w:ascii="Arial" w:cs="Arial" w:eastAsia="Arial" w:hAnsi="Arial"/>
                <w:sz w:val="19"/>
                <w:szCs w:val="19"/>
                <w:b w:val="1"/>
                <w:bCs w:val="1"/>
                <w:color w:val="auto"/>
                <w:vertAlign w:val="superscript"/>
              </w:rPr>
              <w:t>1</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All Executive Officers and Directors as a group (10 persons)</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6,477,102</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18.4 %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Jason DeZwirek </w:t>
            </w:r>
            <w:r>
              <w:rPr>
                <w:rFonts w:ascii="Arial" w:cs="Arial" w:eastAsia="Arial" w:hAnsi="Arial"/>
                <w:sz w:val="21"/>
                <w:szCs w:val="21"/>
                <w:color w:val="auto"/>
                <w:vertAlign w:val="superscript"/>
              </w:rPr>
              <w:t>3</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4,298,111</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12.2 %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Todd Gleason </w:t>
            </w:r>
            <w:r>
              <w:rPr>
                <w:rFonts w:ascii="Arial" w:cs="Arial" w:eastAsia="Arial" w:hAnsi="Arial"/>
                <w:sz w:val="21"/>
                <w:szCs w:val="21"/>
                <w:color w:val="auto"/>
                <w:vertAlign w:val="superscript"/>
              </w:rPr>
              <w:t>4</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1,536,863</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4.4 %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Richard F. Wallman </w:t>
            </w:r>
            <w:r>
              <w:rPr>
                <w:rFonts w:ascii="Arial" w:cs="Arial" w:eastAsia="Arial" w:hAnsi="Arial"/>
                <w:sz w:val="21"/>
                <w:szCs w:val="21"/>
                <w:color w:val="auto"/>
                <w:vertAlign w:val="superscript"/>
              </w:rPr>
              <w:t>5</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283,117</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97,295</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93,903</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66,949</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36,135</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26,238</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Robert E. Knowling, Jr. </w:t>
            </w:r>
            <w:r>
              <w:rPr>
                <w:rFonts w:ascii="Arial" w:cs="Arial" w:eastAsia="Arial" w:hAnsi="Arial"/>
                <w:sz w:val="21"/>
                <w:szCs w:val="21"/>
                <w:color w:val="auto"/>
                <w:vertAlign w:val="superscript"/>
              </w:rPr>
              <w:t>6</w:t>
            </w:r>
          </w:p>
        </w:tc>
        <w:tc>
          <w:tcPr>
            <w:tcW w:w="2500" w:type="dxa"/>
            <w:vAlign w:val="bottom"/>
            <w:tcBorders>
              <w:bottom w:val="single" w:sz="8" w:color="D9D9D9"/>
            </w:tcBorders>
          </w:tcPr>
          <w:p>
            <w:pPr>
              <w:jc w:val="right"/>
              <w:ind w:right="160"/>
              <w:spacing w:after="0" w:line="188" w:lineRule="exact"/>
              <w:rPr>
                <w:sz w:val="20"/>
                <w:szCs w:val="20"/>
                <w:color w:val="auto"/>
              </w:rPr>
            </w:pPr>
            <w:r>
              <w:rPr>
                <w:rFonts w:ascii="Arial" w:cs="Arial" w:eastAsia="Arial" w:hAnsi="Arial"/>
                <w:sz w:val="17"/>
                <w:szCs w:val="17"/>
                <w:color w:val="auto"/>
              </w:rPr>
              <w:t>24,873</w:t>
            </w:r>
          </w:p>
        </w:tc>
        <w:tc>
          <w:tcPr>
            <w:tcW w:w="2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87"/>
        </w:trPr>
        <w:tc>
          <w:tcPr>
            <w:tcW w:w="53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Laurie A. Siegel</w:t>
            </w:r>
          </w:p>
        </w:tc>
        <w:tc>
          <w:tcPr>
            <w:tcW w:w="2500" w:type="dxa"/>
            <w:vAlign w:val="bottom"/>
            <w:tcBorders>
              <w:bottom w:val="single" w:sz="8" w:color="405788"/>
            </w:tcBorders>
          </w:tcPr>
          <w:p>
            <w:pPr>
              <w:jc w:val="right"/>
              <w:ind w:right="160"/>
              <w:spacing w:after="0" w:line="188" w:lineRule="exact"/>
              <w:rPr>
                <w:sz w:val="20"/>
                <w:szCs w:val="20"/>
                <w:color w:val="auto"/>
              </w:rPr>
            </w:pPr>
            <w:r>
              <w:rPr>
                <w:rFonts w:ascii="Arial" w:cs="Arial" w:eastAsia="Arial" w:hAnsi="Arial"/>
                <w:sz w:val="17"/>
                <w:szCs w:val="17"/>
                <w:color w:val="auto"/>
              </w:rPr>
              <w:t>13,618</w:t>
            </w:r>
          </w:p>
        </w:tc>
        <w:tc>
          <w:tcPr>
            <w:tcW w:w="20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 %</w:t>
            </w:r>
          </w:p>
        </w:tc>
      </w:tr>
    </w:tbl>
    <w:p>
      <w:pPr>
        <w:spacing w:after="0" w:line="105" w:lineRule="exact"/>
        <w:rPr>
          <w:sz w:val="20"/>
          <w:szCs w:val="20"/>
          <w:color w:val="auto"/>
        </w:rPr>
      </w:pPr>
    </w:p>
    <w:p>
      <w:pPr>
        <w:ind w:left="300" w:hanging="299"/>
        <w:spacing w:after="0"/>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100" w:lineRule="exact"/>
        <w:rPr>
          <w:sz w:val="20"/>
          <w:szCs w:val="20"/>
          <w:color w:val="auto"/>
        </w:rPr>
      </w:pPr>
    </w:p>
    <w:p>
      <w:pPr>
        <w:ind w:left="300" w:hanging="299"/>
        <w:spacing w:after="0"/>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on 35,217,001 shares of common stock outstanding as of March 25, 2025.</w:t>
      </w:r>
    </w:p>
    <w:p>
      <w:pPr>
        <w:spacing w:after="0" w:line="100" w:lineRule="exact"/>
        <w:rPr>
          <w:rFonts w:ascii="Arial" w:cs="Arial" w:eastAsia="Arial" w:hAnsi="Arial"/>
          <w:sz w:val="13"/>
          <w:szCs w:val="13"/>
          <w:color w:val="auto"/>
        </w:rPr>
      </w:pPr>
    </w:p>
    <w:p>
      <w:pPr>
        <w:ind w:left="300" w:right="60" w:hanging="299"/>
        <w:spacing w:after="0" w:line="281"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reported in this column include RSUs that vest before May 24, 2025, and shares that could be acquired upon options that are exercisable before May 24, 2025, as shown in this table below:</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163"/>
        </w:trPr>
        <w:tc>
          <w:tcPr>
            <w:tcW w:w="434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3160" w:type="dxa"/>
            <w:vAlign w:val="bottom"/>
            <w:tcBorders>
              <w:bottom w:val="single" w:sz="8" w:color="405788"/>
            </w:tcBorders>
          </w:tcPr>
          <w:p>
            <w:pPr>
              <w:jc w:val="right"/>
              <w:ind w:right="38"/>
              <w:spacing w:after="0"/>
              <w:rPr>
                <w:sz w:val="20"/>
                <w:szCs w:val="20"/>
                <w:color w:val="auto"/>
              </w:rPr>
            </w:pPr>
            <w:r>
              <w:rPr>
                <w:rFonts w:ascii="Arial" w:cs="Arial" w:eastAsia="Arial" w:hAnsi="Arial"/>
                <w:sz w:val="13"/>
                <w:szCs w:val="13"/>
                <w:b w:val="1"/>
                <w:bCs w:val="1"/>
                <w:color w:val="auto"/>
              </w:rPr>
              <w:t>RSUs</w:t>
            </w:r>
          </w:p>
        </w:tc>
        <w:tc>
          <w:tcPr>
            <w:tcW w:w="1080" w:type="dxa"/>
            <w:vAlign w:val="bottom"/>
            <w:tcBorders>
              <w:bottom w:val="single" w:sz="8" w:color="405788"/>
            </w:tcBorders>
          </w:tcPr>
          <w:p>
            <w:pPr>
              <w:ind w:left="120"/>
              <w:spacing w:after="0"/>
              <w:rPr>
                <w:sz w:val="20"/>
                <w:szCs w:val="20"/>
                <w:color w:val="auto"/>
              </w:rPr>
            </w:pPr>
            <w:r>
              <w:rPr>
                <w:rFonts w:ascii="Arial" w:cs="Arial" w:eastAsia="Arial" w:hAnsi="Arial"/>
                <w:sz w:val="13"/>
                <w:szCs w:val="13"/>
                <w:b w:val="1"/>
                <w:bCs w:val="1"/>
                <w:color w:val="auto"/>
              </w:rPr>
              <w:t>Option Shares</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14,553</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9,466</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8,833</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Robert E. Knowling, Jr. </w:t>
            </w:r>
            <w:r>
              <w:rPr>
                <w:rFonts w:ascii="Arial" w:cs="Arial" w:eastAsia="Arial" w:hAnsi="Arial"/>
                <w:sz w:val="21"/>
                <w:szCs w:val="21"/>
                <w:color w:val="auto"/>
                <w:vertAlign w:val="superscript"/>
              </w:rPr>
              <w:t>6</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5,712</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5,712</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Claudio A. Mannarino </w:t>
            </w:r>
            <w:r>
              <w:rPr>
                <w:rFonts w:ascii="Arial" w:cs="Arial" w:eastAsia="Arial" w:hAnsi="Arial"/>
                <w:sz w:val="21"/>
                <w:szCs w:val="21"/>
                <w:color w:val="auto"/>
                <w:vertAlign w:val="superscript"/>
              </w:rPr>
              <w:t>7</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5,712</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5,712</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Laurie A. Siegel</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5,712</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92"/>
        </w:trPr>
        <w:tc>
          <w:tcPr>
            <w:tcW w:w="43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160" w:type="dxa"/>
            <w:vAlign w:val="bottom"/>
            <w:tcBorders>
              <w:bottom w:val="single" w:sz="8" w:color="D9D9D9"/>
            </w:tcBorders>
          </w:tcPr>
          <w:p>
            <w:pPr>
              <w:jc w:val="right"/>
              <w:ind w:right="58"/>
              <w:spacing w:after="0" w:line="188" w:lineRule="exact"/>
              <w:rPr>
                <w:sz w:val="20"/>
                <w:szCs w:val="20"/>
                <w:color w:val="auto"/>
              </w:rPr>
            </w:pPr>
            <w:r>
              <w:rPr>
                <w:rFonts w:ascii="Arial" w:cs="Arial" w:eastAsia="Arial" w:hAnsi="Arial"/>
                <w:sz w:val="17"/>
                <w:szCs w:val="17"/>
                <w:color w:val="auto"/>
              </w:rPr>
              <w:t>2,680</w:t>
            </w:r>
          </w:p>
        </w:tc>
        <w:tc>
          <w:tcPr>
            <w:tcW w:w="1080" w:type="dxa"/>
            <w:vAlign w:val="bottom"/>
            <w:tcBorders>
              <w:bottom w:val="single" w:sz="8" w:color="D9D9D9"/>
            </w:tcBorders>
          </w:tcPr>
          <w:p>
            <w:pPr>
              <w:ind w:left="860"/>
              <w:spacing w:after="0" w:line="188" w:lineRule="exact"/>
              <w:rPr>
                <w:sz w:val="20"/>
                <w:szCs w:val="20"/>
                <w:color w:val="auto"/>
              </w:rPr>
            </w:pPr>
            <w:r>
              <w:rPr>
                <w:rFonts w:ascii="Arial" w:cs="Arial" w:eastAsia="Arial" w:hAnsi="Arial"/>
                <w:sz w:val="17"/>
                <w:szCs w:val="17"/>
                <w:color w:val="auto"/>
              </w:rPr>
              <w:t>—</w:t>
            </w:r>
          </w:p>
        </w:tc>
      </w:tr>
      <w:tr>
        <w:trPr>
          <w:trHeight w:val="187"/>
        </w:trPr>
        <w:tc>
          <w:tcPr>
            <w:tcW w:w="434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160" w:type="dxa"/>
            <w:vAlign w:val="bottom"/>
            <w:tcBorders>
              <w:bottom w:val="single" w:sz="8" w:color="405788"/>
            </w:tcBorders>
          </w:tcPr>
          <w:p>
            <w:pPr>
              <w:jc w:val="right"/>
              <w:ind w:right="58"/>
              <w:spacing w:after="0" w:line="188" w:lineRule="exact"/>
              <w:rPr>
                <w:sz w:val="20"/>
                <w:szCs w:val="20"/>
                <w:color w:val="auto"/>
              </w:rPr>
            </w:pPr>
            <w:r>
              <w:rPr>
                <w:rFonts w:ascii="Arial" w:cs="Arial" w:eastAsia="Arial" w:hAnsi="Arial"/>
                <w:sz w:val="17"/>
                <w:szCs w:val="17"/>
                <w:color w:val="auto"/>
              </w:rPr>
              <w:t>2,345</w:t>
            </w:r>
          </w:p>
        </w:tc>
        <w:tc>
          <w:tcPr>
            <w:tcW w:w="1080" w:type="dxa"/>
            <w:vAlign w:val="bottom"/>
            <w:tcBorders>
              <w:bottom w:val="single" w:sz="8" w:color="405788"/>
            </w:tcBorders>
          </w:tcPr>
          <w:p>
            <w:pPr>
              <w:ind w:left="860"/>
              <w:spacing w:after="0" w:line="188" w:lineRule="exact"/>
              <w:rPr>
                <w:sz w:val="20"/>
                <w:szCs w:val="20"/>
                <w:color w:val="auto"/>
              </w:rPr>
            </w:pPr>
            <w:r>
              <w:rPr>
                <w:rFonts w:ascii="Arial" w:cs="Arial" w:eastAsia="Arial" w:hAnsi="Arial"/>
                <w:sz w:val="17"/>
                <w:szCs w:val="17"/>
                <w:color w:val="auto"/>
              </w:rPr>
              <w:t>—</w:t>
            </w:r>
          </w:p>
        </w:tc>
      </w:tr>
    </w:tbl>
    <w:p>
      <w:pPr>
        <w:spacing w:after="0" w:line="105" w:lineRule="exact"/>
        <w:rPr>
          <w:sz w:val="20"/>
          <w:szCs w:val="20"/>
          <w:color w:val="auto"/>
        </w:rPr>
      </w:pPr>
    </w:p>
    <w:p>
      <w:pPr>
        <w:ind w:left="300" w:right="100" w:hanging="299"/>
        <w:spacing w:after="0" w:line="260" w:lineRule="auto"/>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This information was obtained from a Schedule 13D/A filed with the SEC on September 11, 2015, and is supplemented by a Form 4 filed with the SEC on May 22, 2024 by Mr. DeZwirek. Mr. DeZwirek is deemed to control Icarus and has sole voting and dispositive power over the shares of common stock owned by Icarus. Shares shown as beneficially owned by Mr. DeZwirek include the shares owned by Icarus.</w:t>
      </w:r>
    </w:p>
    <w:p>
      <w:pPr>
        <w:spacing w:after="0" w:line="64" w:lineRule="exact"/>
        <w:rPr>
          <w:rFonts w:ascii="Arial" w:cs="Arial" w:eastAsia="Arial" w:hAnsi="Arial"/>
          <w:sz w:val="13"/>
          <w:szCs w:val="13"/>
          <w:color w:val="auto"/>
        </w:rPr>
      </w:pPr>
    </w:p>
    <w:p>
      <w:pPr>
        <w:ind w:left="300" w:right="60"/>
        <w:spacing w:after="0" w:line="260" w:lineRule="auto"/>
        <w:rPr>
          <w:rFonts w:ascii="Arial" w:cs="Arial" w:eastAsia="Arial" w:hAnsi="Arial"/>
          <w:sz w:val="13"/>
          <w:szCs w:val="13"/>
          <w:color w:val="auto"/>
        </w:rPr>
      </w:pPr>
      <w:r>
        <w:rPr>
          <w:rFonts w:ascii="Arial" w:cs="Arial" w:eastAsia="Arial" w:hAnsi="Arial"/>
          <w:sz w:val="13"/>
          <w:szCs w:val="13"/>
          <w:color w:val="auto"/>
        </w:rPr>
        <w:t>Additionally, in June 2024, Mr. DeZwirek transferred 300,000 shares from his individual ownership to 0to100. Shares shown as beneficially owned by Mr. DeZwirek now include shares owned by 0to100, in addition to those owned by Icarus. Mr. DeZwirek is deemed to control 0to100 and has sole voting and dispositive power over the shares of common stock owned by 0to100.</w:t>
      </w:r>
    </w:p>
    <w:p>
      <w:pPr>
        <w:spacing w:after="0" w:line="64" w:lineRule="exact"/>
        <w:rPr>
          <w:rFonts w:ascii="Arial" w:cs="Arial" w:eastAsia="Arial" w:hAnsi="Arial"/>
          <w:sz w:val="13"/>
          <w:szCs w:val="13"/>
          <w:color w:val="auto"/>
        </w:rPr>
      </w:pPr>
    </w:p>
    <w:p>
      <w:pPr>
        <w:ind w:left="300" w:hanging="299"/>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Gleason shares voting power with respect to 1,776 shares of common stock.</w:t>
      </w:r>
    </w:p>
    <w:p>
      <w:pPr>
        <w:spacing w:after="0" w:line="100" w:lineRule="exact"/>
        <w:rPr>
          <w:rFonts w:ascii="Arial" w:cs="Arial" w:eastAsia="Arial" w:hAnsi="Arial"/>
          <w:sz w:val="13"/>
          <w:szCs w:val="13"/>
          <w:color w:val="auto"/>
        </w:rPr>
      </w:pPr>
    </w:p>
    <w:p>
      <w:pPr>
        <w:ind w:left="300" w:hanging="299"/>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Wallman shares voting power with respect to 76,000 shares of common stock.</w:t>
      </w:r>
    </w:p>
    <w:p>
      <w:pPr>
        <w:spacing w:after="0" w:line="100" w:lineRule="exact"/>
        <w:rPr>
          <w:rFonts w:ascii="Arial" w:cs="Arial" w:eastAsia="Arial" w:hAnsi="Arial"/>
          <w:sz w:val="13"/>
          <w:szCs w:val="13"/>
          <w:color w:val="auto"/>
        </w:rPr>
      </w:pPr>
    </w:p>
    <w:p>
      <w:pPr>
        <w:ind w:left="300" w:right="180" w:hanging="299"/>
        <w:spacing w:after="0" w:line="281" w:lineRule="auto"/>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Mr. Knowling, this includes 8,299 RSUs that vested on June 6, 2024 and 5,712 RSUs that will vest on May 20, 2025 deferred under the Company’s Deferred Compensation Plan for Non-Employee Directors, as the director retains a present right to acquire these shares.</w:t>
      </w:r>
    </w:p>
    <w:p>
      <w:pPr>
        <w:spacing w:after="0" w:line="49" w:lineRule="exact"/>
        <w:rPr>
          <w:rFonts w:ascii="Arial" w:cs="Arial" w:eastAsia="Arial" w:hAnsi="Arial"/>
          <w:sz w:val="13"/>
          <w:szCs w:val="13"/>
          <w:color w:val="auto"/>
        </w:rPr>
      </w:pPr>
    </w:p>
    <w:p>
      <w:pPr>
        <w:ind w:left="300" w:right="480" w:hanging="299"/>
        <w:spacing w:after="0" w:line="281" w:lineRule="auto"/>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Mr. Mannarino, this includes 2,856 RSUs that will vest on May 20, 2025 deferred under the Company’s Deferred Compensation Plan for Non-Employee Directors, as the director retains a present right to acquire these shares.</w:t>
      </w:r>
    </w:p>
    <w:p>
      <w:pPr>
        <w:spacing w:after="0" w:line="246"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42</w:t>
      </w:r>
      <w:r>
        <w:rPr>
          <w:sz w:val="20"/>
          <w:szCs w:val="20"/>
          <w:color w:val="auto"/>
        </w:rPr>
        <w:tab/>
      </w:r>
      <w:r>
        <w:rPr>
          <w:sz w:val="1"/>
          <w:szCs w:val="1"/>
          <w:color w:val="auto"/>
        </w:rPr>
        <w:drawing>
          <wp:inline distT="0" distB="0" distL="0" distR="0">
            <wp:extent cx="476250" cy="2222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OTHER SECURITY OWNERSHIP</w:t>
      </w:r>
    </w:p>
    <w:p>
      <w:pPr>
        <w:spacing w:after="0" w:line="9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table below lists the persons known by us to beneficially own more than five percent of our Common Stock, as of March 25, 2025 (or such other date as is indicated), based on our review of the reports regarding beneficial ownership filed with the SEC in accordance with Sections 13(d) and 13(g) of the Exchange Act of 1934: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2940" w:type="dxa"/>
            <w:vAlign w:val="bottom"/>
          </w:tcPr>
          <w:p>
            <w:pPr>
              <w:jc w:val="right"/>
              <w:ind w:right="101"/>
              <w:spacing w:after="0"/>
              <w:rPr>
                <w:sz w:val="20"/>
                <w:szCs w:val="20"/>
                <w:color w:val="auto"/>
              </w:rPr>
            </w:pPr>
            <w:r>
              <w:rPr>
                <w:rFonts w:ascii="Arial" w:cs="Arial" w:eastAsia="Arial" w:hAnsi="Arial"/>
                <w:sz w:val="13"/>
                <w:szCs w:val="13"/>
                <w:b w:val="1"/>
                <w:bCs w:val="1"/>
                <w:color w:val="auto"/>
              </w:rPr>
              <w:t>Amount and Nature of</w:t>
            </w:r>
          </w:p>
        </w:tc>
        <w:tc>
          <w:tcPr>
            <w:tcW w:w="1020" w:type="dxa"/>
            <w:vAlign w:val="bottom"/>
          </w:tcPr>
          <w:p>
            <w:pPr>
              <w:jc w:val="right"/>
              <w:ind w:right="121"/>
              <w:spacing w:after="0"/>
              <w:rPr>
                <w:sz w:val="20"/>
                <w:szCs w:val="20"/>
                <w:color w:val="auto"/>
              </w:rPr>
            </w:pPr>
            <w:r>
              <w:rPr>
                <w:rFonts w:ascii="Arial" w:cs="Arial" w:eastAsia="Arial" w:hAnsi="Arial"/>
                <w:sz w:val="13"/>
                <w:szCs w:val="13"/>
                <w:b w:val="1"/>
                <w:bCs w:val="1"/>
                <w:color w:val="auto"/>
              </w:rPr>
              <w:t>Percent of</w:t>
            </w:r>
          </w:p>
        </w:tc>
      </w:tr>
      <w:tr>
        <w:trPr>
          <w:trHeight w:val="180"/>
        </w:trPr>
        <w:tc>
          <w:tcPr>
            <w:tcW w:w="59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2940" w:type="dxa"/>
            <w:vAlign w:val="bottom"/>
            <w:tcBorders>
              <w:bottom w:val="single" w:sz="8" w:color="405788"/>
            </w:tcBorders>
          </w:tcPr>
          <w:p>
            <w:pPr>
              <w:jc w:val="right"/>
              <w:ind w:right="101"/>
              <w:spacing w:after="0"/>
              <w:rPr>
                <w:sz w:val="20"/>
                <w:szCs w:val="20"/>
                <w:color w:val="auto"/>
              </w:rPr>
            </w:pPr>
            <w:r>
              <w:rPr>
                <w:rFonts w:ascii="Arial" w:cs="Arial" w:eastAsia="Arial" w:hAnsi="Arial"/>
                <w:sz w:val="13"/>
                <w:szCs w:val="13"/>
                <w:b w:val="1"/>
                <w:bCs w:val="1"/>
                <w:color w:val="auto"/>
              </w:rPr>
              <w:t>Beneficial Ownership</w:t>
            </w:r>
          </w:p>
        </w:tc>
        <w:tc>
          <w:tcPr>
            <w:tcW w:w="1020" w:type="dxa"/>
            <w:vAlign w:val="bottom"/>
            <w:tcBorders>
              <w:bottom w:val="single" w:sz="8" w:color="405788"/>
            </w:tcBorders>
          </w:tcPr>
          <w:p>
            <w:pPr>
              <w:jc w:val="right"/>
              <w:ind w:right="121"/>
              <w:spacing w:after="0" w:line="175" w:lineRule="exact"/>
              <w:rPr>
                <w:sz w:val="20"/>
                <w:szCs w:val="20"/>
                <w:color w:val="auto"/>
              </w:rPr>
            </w:pPr>
            <w:r>
              <w:rPr>
                <w:rFonts w:ascii="Arial" w:cs="Arial" w:eastAsia="Arial" w:hAnsi="Arial"/>
                <w:sz w:val="13"/>
                <w:szCs w:val="13"/>
                <w:b w:val="1"/>
                <w:bCs w:val="1"/>
                <w:color w:val="auto"/>
              </w:rPr>
              <w:t xml:space="preserve">Class </w:t>
            </w:r>
            <w:r>
              <w:rPr>
                <w:rFonts w:ascii="Arial" w:cs="Arial" w:eastAsia="Arial" w:hAnsi="Arial"/>
                <w:sz w:val="19"/>
                <w:szCs w:val="19"/>
                <w:b w:val="1"/>
                <w:bCs w:val="1"/>
                <w:color w:val="auto"/>
                <w:vertAlign w:val="superscript"/>
              </w:rPr>
              <w:t>1</w:t>
            </w:r>
          </w:p>
        </w:tc>
      </w:tr>
      <w:tr>
        <w:trPr>
          <w:trHeight w:val="171"/>
        </w:trPr>
        <w:tc>
          <w:tcPr>
            <w:tcW w:w="5960" w:type="dxa"/>
            <w:vAlign w:val="bottom"/>
          </w:tcPr>
          <w:p>
            <w:pPr>
              <w:spacing w:after="0" w:line="171" w:lineRule="exact"/>
              <w:rPr>
                <w:sz w:val="20"/>
                <w:szCs w:val="20"/>
                <w:color w:val="auto"/>
              </w:rPr>
            </w:pPr>
            <w:r>
              <w:rPr>
                <w:rFonts w:ascii="Arial" w:cs="Arial" w:eastAsia="Arial" w:hAnsi="Arial"/>
                <w:sz w:val="14"/>
                <w:szCs w:val="14"/>
                <w:color w:val="auto"/>
              </w:rPr>
              <w:t>Icarus Investment Corp.</w:t>
            </w:r>
            <w:r>
              <w:rPr>
                <w:rFonts w:ascii="Arial" w:cs="Arial" w:eastAsia="Arial" w:hAnsi="Arial"/>
                <w:sz w:val="19"/>
                <w:szCs w:val="19"/>
                <w:color w:val="auto"/>
                <w:vertAlign w:val="superscript"/>
              </w:rPr>
              <w:t>2</w:t>
            </w: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596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127 Davenport Road Toronto, Ontario M5R 1H8</w:t>
            </w:r>
          </w:p>
        </w:tc>
        <w:tc>
          <w:tcPr>
            <w:tcW w:w="2940" w:type="dxa"/>
            <w:vAlign w:val="bottom"/>
            <w:tcBorders>
              <w:bottom w:val="single" w:sz="8" w:color="D9D9D9"/>
            </w:tcBorders>
          </w:tcPr>
          <w:p>
            <w:pPr>
              <w:jc w:val="right"/>
              <w:ind w:right="121"/>
              <w:spacing w:after="0"/>
              <w:rPr>
                <w:sz w:val="20"/>
                <w:szCs w:val="20"/>
                <w:color w:val="auto"/>
              </w:rPr>
            </w:pPr>
            <w:r>
              <w:rPr>
                <w:rFonts w:ascii="Arial" w:cs="Arial" w:eastAsia="Arial" w:hAnsi="Arial"/>
                <w:sz w:val="17"/>
                <w:szCs w:val="17"/>
                <w:color w:val="auto"/>
              </w:rPr>
              <w:t>2,770,546</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7.9 %</w:t>
            </w:r>
          </w:p>
        </w:tc>
      </w:tr>
      <w:tr>
        <w:trPr>
          <w:trHeight w:val="171"/>
        </w:trPr>
        <w:tc>
          <w:tcPr>
            <w:tcW w:w="5960" w:type="dxa"/>
            <w:vAlign w:val="bottom"/>
          </w:tcPr>
          <w:p>
            <w:pPr>
              <w:spacing w:after="0" w:line="171" w:lineRule="exact"/>
              <w:rPr>
                <w:sz w:val="20"/>
                <w:szCs w:val="20"/>
                <w:color w:val="auto"/>
              </w:rPr>
            </w:pPr>
            <w:r>
              <w:rPr>
                <w:rFonts w:ascii="Arial" w:cs="Arial" w:eastAsia="Arial" w:hAnsi="Arial"/>
                <w:sz w:val="14"/>
                <w:szCs w:val="14"/>
                <w:color w:val="auto"/>
              </w:rPr>
              <w:t xml:space="preserve">BlackRock, Inc. </w:t>
            </w:r>
            <w:r>
              <w:rPr>
                <w:rFonts w:ascii="Arial" w:cs="Arial" w:eastAsia="Arial" w:hAnsi="Arial"/>
                <w:sz w:val="19"/>
                <w:szCs w:val="19"/>
                <w:color w:val="auto"/>
                <w:vertAlign w:val="superscript"/>
              </w:rPr>
              <w:t>3</w:t>
            </w: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596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50 Hudson Yards New York, New York 10001</w:t>
            </w:r>
          </w:p>
        </w:tc>
        <w:tc>
          <w:tcPr>
            <w:tcW w:w="2940" w:type="dxa"/>
            <w:vAlign w:val="bottom"/>
            <w:tcBorders>
              <w:bottom w:val="single" w:sz="8" w:color="D9D9D9"/>
            </w:tcBorders>
          </w:tcPr>
          <w:p>
            <w:pPr>
              <w:jc w:val="right"/>
              <w:ind w:right="121"/>
              <w:spacing w:after="0"/>
              <w:rPr>
                <w:sz w:val="20"/>
                <w:szCs w:val="20"/>
                <w:color w:val="auto"/>
              </w:rPr>
            </w:pPr>
            <w:r>
              <w:rPr>
                <w:rFonts w:ascii="Arial" w:cs="Arial" w:eastAsia="Arial" w:hAnsi="Arial"/>
                <w:sz w:val="17"/>
                <w:szCs w:val="17"/>
                <w:color w:val="auto"/>
              </w:rPr>
              <w:t>2,579,295</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7.3 %</w:t>
            </w:r>
          </w:p>
        </w:tc>
      </w:tr>
      <w:tr>
        <w:trPr>
          <w:trHeight w:val="171"/>
        </w:trPr>
        <w:tc>
          <w:tcPr>
            <w:tcW w:w="5960" w:type="dxa"/>
            <w:vAlign w:val="bottom"/>
          </w:tcPr>
          <w:p>
            <w:pPr>
              <w:spacing w:after="0" w:line="171" w:lineRule="exact"/>
              <w:rPr>
                <w:sz w:val="20"/>
                <w:szCs w:val="20"/>
                <w:color w:val="auto"/>
              </w:rPr>
            </w:pPr>
            <w:r>
              <w:rPr>
                <w:rFonts w:ascii="Arial" w:cs="Arial" w:eastAsia="Arial" w:hAnsi="Arial"/>
                <w:sz w:val="14"/>
                <w:szCs w:val="14"/>
                <w:color w:val="auto"/>
              </w:rPr>
              <w:t xml:space="preserve">FMR, LLC </w:t>
            </w:r>
            <w:r>
              <w:rPr>
                <w:rFonts w:ascii="Arial" w:cs="Arial" w:eastAsia="Arial" w:hAnsi="Arial"/>
                <w:sz w:val="19"/>
                <w:szCs w:val="19"/>
                <w:color w:val="auto"/>
                <w:vertAlign w:val="superscript"/>
              </w:rPr>
              <w:t>4</w:t>
            </w: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596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245 Summer Street, Boston, Massachusetts 02210</w:t>
            </w:r>
          </w:p>
        </w:tc>
        <w:tc>
          <w:tcPr>
            <w:tcW w:w="2940" w:type="dxa"/>
            <w:vAlign w:val="bottom"/>
            <w:tcBorders>
              <w:bottom w:val="single" w:sz="8" w:color="D9D9D9"/>
            </w:tcBorders>
          </w:tcPr>
          <w:p>
            <w:pPr>
              <w:jc w:val="right"/>
              <w:ind w:right="121"/>
              <w:spacing w:after="0"/>
              <w:rPr>
                <w:sz w:val="20"/>
                <w:szCs w:val="20"/>
                <w:color w:val="auto"/>
              </w:rPr>
            </w:pPr>
            <w:r>
              <w:rPr>
                <w:rFonts w:ascii="Arial" w:cs="Arial" w:eastAsia="Arial" w:hAnsi="Arial"/>
                <w:sz w:val="17"/>
                <w:szCs w:val="17"/>
                <w:color w:val="auto"/>
              </w:rPr>
              <w:t>1,797,020</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5.1 %</w:t>
            </w:r>
          </w:p>
        </w:tc>
      </w:tr>
      <w:tr>
        <w:trPr>
          <w:trHeight w:val="171"/>
        </w:trPr>
        <w:tc>
          <w:tcPr>
            <w:tcW w:w="5960" w:type="dxa"/>
            <w:vAlign w:val="bottom"/>
          </w:tcPr>
          <w:p>
            <w:pPr>
              <w:spacing w:after="0" w:line="171" w:lineRule="exact"/>
              <w:rPr>
                <w:sz w:val="20"/>
                <w:szCs w:val="20"/>
                <w:color w:val="auto"/>
              </w:rPr>
            </w:pPr>
            <w:r>
              <w:rPr>
                <w:rFonts w:ascii="Arial" w:cs="Arial" w:eastAsia="Arial" w:hAnsi="Arial"/>
                <w:sz w:val="14"/>
                <w:szCs w:val="14"/>
                <w:color w:val="auto"/>
              </w:rPr>
              <w:t xml:space="preserve">Dimensional Fund Advisors LP </w:t>
            </w:r>
            <w:r>
              <w:rPr>
                <w:rFonts w:ascii="Arial" w:cs="Arial" w:eastAsia="Arial" w:hAnsi="Arial"/>
                <w:sz w:val="19"/>
                <w:szCs w:val="19"/>
                <w:color w:val="auto"/>
                <w:vertAlign w:val="superscript"/>
              </w:rPr>
              <w:t>5</w:t>
            </w: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596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Building One 6300 Bee Cave Road Austin, Texas, 78746</w:t>
            </w:r>
          </w:p>
        </w:tc>
        <w:tc>
          <w:tcPr>
            <w:tcW w:w="2940" w:type="dxa"/>
            <w:vAlign w:val="bottom"/>
            <w:tcBorders>
              <w:bottom w:val="single" w:sz="8" w:color="D9D9D9"/>
            </w:tcBorders>
          </w:tcPr>
          <w:p>
            <w:pPr>
              <w:jc w:val="right"/>
              <w:ind w:right="121"/>
              <w:spacing w:after="0"/>
              <w:rPr>
                <w:sz w:val="20"/>
                <w:szCs w:val="20"/>
                <w:color w:val="auto"/>
              </w:rPr>
            </w:pPr>
            <w:r>
              <w:rPr>
                <w:rFonts w:ascii="Arial" w:cs="Arial" w:eastAsia="Arial" w:hAnsi="Arial"/>
                <w:sz w:val="17"/>
                <w:szCs w:val="17"/>
                <w:color w:val="auto"/>
              </w:rPr>
              <w:t>1,777,502</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5.0 %</w:t>
            </w:r>
          </w:p>
        </w:tc>
      </w:tr>
      <w:tr>
        <w:trPr>
          <w:trHeight w:val="171"/>
        </w:trPr>
        <w:tc>
          <w:tcPr>
            <w:tcW w:w="5960" w:type="dxa"/>
            <w:vAlign w:val="bottom"/>
          </w:tcPr>
          <w:p>
            <w:pPr>
              <w:spacing w:after="0" w:line="171" w:lineRule="exact"/>
              <w:rPr>
                <w:sz w:val="20"/>
                <w:szCs w:val="20"/>
                <w:color w:val="auto"/>
              </w:rPr>
            </w:pPr>
            <w:r>
              <w:rPr>
                <w:rFonts w:ascii="Arial" w:cs="Arial" w:eastAsia="Arial" w:hAnsi="Arial"/>
                <w:sz w:val="14"/>
                <w:szCs w:val="14"/>
                <w:color w:val="auto"/>
              </w:rPr>
              <w:t xml:space="preserve">Capital International Investors </w:t>
            </w:r>
            <w:r>
              <w:rPr>
                <w:rFonts w:ascii="Arial" w:cs="Arial" w:eastAsia="Arial" w:hAnsi="Arial"/>
                <w:sz w:val="19"/>
                <w:szCs w:val="19"/>
                <w:color w:val="auto"/>
                <w:vertAlign w:val="superscript"/>
              </w:rPr>
              <w:t>6</w:t>
            </w: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5960" w:type="dxa"/>
            <w:vAlign w:val="bottom"/>
            <w:tcBorders>
              <w:bottom w:val="single" w:sz="8" w:color="405788"/>
            </w:tcBorders>
          </w:tcPr>
          <w:p>
            <w:pPr>
              <w:spacing w:after="0"/>
              <w:rPr>
                <w:sz w:val="20"/>
                <w:szCs w:val="20"/>
                <w:color w:val="auto"/>
              </w:rPr>
            </w:pPr>
            <w:r>
              <w:rPr>
                <w:rFonts w:ascii="Arial" w:cs="Arial" w:eastAsia="Arial" w:hAnsi="Arial"/>
                <w:sz w:val="17"/>
                <w:szCs w:val="17"/>
                <w:color w:val="auto"/>
              </w:rPr>
              <w:t>333 South Hope Street, 55th Fl, Los Angeles, California 90071</w:t>
            </w:r>
          </w:p>
        </w:tc>
        <w:tc>
          <w:tcPr>
            <w:tcW w:w="2940" w:type="dxa"/>
            <w:vAlign w:val="bottom"/>
            <w:tcBorders>
              <w:bottom w:val="single" w:sz="8" w:color="405788"/>
            </w:tcBorders>
          </w:tcPr>
          <w:p>
            <w:pPr>
              <w:jc w:val="right"/>
              <w:ind w:right="121"/>
              <w:spacing w:after="0"/>
              <w:rPr>
                <w:sz w:val="20"/>
                <w:szCs w:val="20"/>
                <w:color w:val="auto"/>
              </w:rPr>
            </w:pPr>
            <w:r>
              <w:rPr>
                <w:rFonts w:ascii="Arial" w:cs="Arial" w:eastAsia="Arial" w:hAnsi="Arial"/>
                <w:sz w:val="17"/>
                <w:szCs w:val="17"/>
                <w:color w:val="auto"/>
              </w:rPr>
              <w:t>1,758,858</w:t>
            </w:r>
          </w:p>
        </w:tc>
        <w:tc>
          <w:tcPr>
            <w:tcW w:w="1020" w:type="dxa"/>
            <w:vAlign w:val="bottom"/>
            <w:tcBorders>
              <w:bottom w:val="single" w:sz="8" w:color="405788"/>
            </w:tcBorders>
          </w:tcPr>
          <w:p>
            <w:pPr>
              <w:jc w:val="right"/>
              <w:spacing w:after="0"/>
              <w:rPr>
                <w:sz w:val="20"/>
                <w:szCs w:val="20"/>
                <w:color w:val="auto"/>
              </w:rPr>
            </w:pPr>
            <w:r>
              <w:rPr>
                <w:rFonts w:ascii="Arial" w:cs="Arial" w:eastAsia="Arial" w:hAnsi="Arial"/>
                <w:sz w:val="17"/>
                <w:szCs w:val="17"/>
                <w:color w:val="auto"/>
              </w:rPr>
              <w:t>5.0 %</w:t>
            </w:r>
          </w:p>
        </w:tc>
      </w:tr>
    </w:tbl>
    <w:p>
      <w:pPr>
        <w:spacing w:after="0" w:line="105" w:lineRule="exact"/>
        <w:rPr>
          <w:sz w:val="20"/>
          <w:szCs w:val="20"/>
          <w:color w:val="auto"/>
        </w:rPr>
      </w:pPr>
    </w:p>
    <w:p>
      <w:pPr>
        <w:ind w:left="300" w:right="40" w:hanging="299"/>
        <w:spacing w:after="0" w:line="281"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Percentages included in this column have been calculated pursuant to Rule 13d-3(d)(1) under the Securities Exchange Act of 1934 based on the number of shares of our common stock outstanding on March 25, 2025.</w:t>
      </w:r>
    </w:p>
    <w:p>
      <w:pPr>
        <w:spacing w:after="0" w:line="49" w:lineRule="exact"/>
        <w:rPr>
          <w:rFonts w:ascii="Arial" w:cs="Arial" w:eastAsia="Arial" w:hAnsi="Arial"/>
          <w:sz w:val="13"/>
          <w:szCs w:val="13"/>
          <w:color w:val="auto"/>
        </w:rPr>
      </w:pPr>
    </w:p>
    <w:p>
      <w:pPr>
        <w:ind w:left="300" w:right="100" w:hanging="299"/>
        <w:spacing w:after="0" w:line="260"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information was obtained from a Schedule 13D/A filed with the SEC on September 11, 2015, and is supplemented by a Form 4 filed with the SEC on May 22, 2024, by Jason DeZwirek. Jason DeZwirek is deemed to control Icarus and has sole voting and dispositive power over the shares of common stock owned by Icarus. Shares shown as beneficially owned by Mr. DeZwirek include the shares owned by Icarus.</w:t>
      </w:r>
    </w:p>
    <w:p>
      <w:pPr>
        <w:spacing w:after="0" w:line="64" w:lineRule="exact"/>
        <w:rPr>
          <w:rFonts w:ascii="Arial" w:cs="Arial" w:eastAsia="Arial" w:hAnsi="Arial"/>
          <w:sz w:val="13"/>
          <w:szCs w:val="13"/>
          <w:color w:val="auto"/>
        </w:rPr>
      </w:pPr>
    </w:p>
    <w:p>
      <w:pPr>
        <w:ind w:left="300" w:right="180" w:hanging="299"/>
        <w:spacing w:after="0" w:line="281"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a Schedule 13G filed with the SEC on January 26, 2024, as of December 31, 2023, BlackRock, Inc. beneficially owned and has sole dispositive power over all of these shares and has sole voting power over 2,503,381 shares.</w:t>
      </w:r>
    </w:p>
    <w:p>
      <w:pPr>
        <w:spacing w:after="0" w:line="49" w:lineRule="exact"/>
        <w:rPr>
          <w:rFonts w:ascii="Arial" w:cs="Arial" w:eastAsia="Arial" w:hAnsi="Arial"/>
          <w:sz w:val="13"/>
          <w:szCs w:val="13"/>
          <w:color w:val="auto"/>
        </w:rPr>
      </w:pPr>
    </w:p>
    <w:p>
      <w:pPr>
        <w:ind w:left="300" w:hanging="299"/>
        <w:spacing w:after="0" w:line="254"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a Schedule 13G filed with the SEC on February 12, 2025, as of December 31, 2024, all shares are beneficially owned by FMR LLC, a parent holding company, and on behalf of its wholly owned subsidiaries (i) FIAM LLC IA; (ii) Fidelity Management &amp; Research Company LLC IA; (iii) Fidelity Management Trust Company BK; and (iv) Strategic Advisers LLC IA and by Abigail P. Johnson, who is a Director, the Chairman and the Chief Executive Officer of FMR LLC. FMR LLC has sole voting power over 1,787,917 shares and Abigail P. Johnson has sole dispositive power over all shares.</w:t>
      </w:r>
    </w:p>
    <w:p>
      <w:pPr>
        <w:spacing w:after="0" w:line="67" w:lineRule="exact"/>
        <w:rPr>
          <w:rFonts w:ascii="Arial" w:cs="Arial" w:eastAsia="Arial" w:hAnsi="Arial"/>
          <w:sz w:val="13"/>
          <w:szCs w:val="13"/>
          <w:color w:val="auto"/>
        </w:rPr>
      </w:pPr>
    </w:p>
    <w:p>
      <w:pPr>
        <w:ind w:left="300" w:right="40" w:hanging="299"/>
        <w:spacing w:after="0" w:line="260"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a Schedule 13G/A filed with the SEC on October 31, 2024, as of September 30, 2024, Dimensional Fund Advisors LP beneficially owned and has sole dispositive power over all of these shares and has sole voting power over 1,737,414 shares. Dimensional Fund Advisors LP disclaims beneficial ownership of all of these shares.</w:t>
      </w:r>
    </w:p>
    <w:p>
      <w:pPr>
        <w:spacing w:after="0" w:line="64" w:lineRule="exact"/>
        <w:rPr>
          <w:rFonts w:ascii="Arial" w:cs="Arial" w:eastAsia="Arial" w:hAnsi="Arial"/>
          <w:sz w:val="13"/>
          <w:szCs w:val="13"/>
          <w:color w:val="auto"/>
        </w:rPr>
      </w:pPr>
    </w:p>
    <w:p>
      <w:pPr>
        <w:ind w:left="300" w:right="220" w:hanging="299"/>
        <w:spacing w:after="0" w:line="281"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a Schedule 13G filed with the SEC on November 13, 2024, as of September 30, 2024, Capital International Investors beneficially owned and has sole voting and dispositive power over all of these shares. Capital International Investors disclaims beneficial ownership of all of these shares.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DELINQUENT SECTION 16(A) REPORTS</w:t>
      </w:r>
    </w:p>
    <w:p>
      <w:pPr>
        <w:spacing w:after="0" w:line="1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Section 16(a) of the Exchange Act requires our directors and executive officers and persons beneficially owning more than 10% of a class of our equity securities to file certain reports of beneficial ownership and changes in beneficial ownership with the SEC. Based solely on our review of Section 16(a) reports and any written representation made to us, the Company believes that all such required filings for the fiscal year ended December 31, 2024 were made in a timely manner, except that a Form 4 on behalf of Mr. Johansson reporting three transactions was filed late on December 12, 2024, a Form 4 on behalf of Ms. Watkins-Asiyanbi reporting five transactions was filed late on December 12, 2024, and a Form 4 on behalf of Mr. Kiril Kovachev reporting one transaction was filed late on December 12, 2024, in each case due to administrative error.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COMMITTEE INTERLOCKS AND INSIDER PARTICIPATION</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None of the members of our Compensation Committee is an officer or employee of the Company. None of our executive officers currently serves, or in the past year has served, as a member of the board of directors or compensation committee of any entity that has one or more executive officers serving on our Board or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361950</wp:posOffset>
            </wp:positionV>
            <wp:extent cx="483870" cy="222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INFORMATION FOR OUR 2026 ANNUAL MEETING</w:t>
      </w:r>
    </w:p>
    <w:p>
      <w:pPr>
        <w:spacing w:after="0" w:line="92" w:lineRule="exact"/>
        <w:rPr>
          <w:sz w:val="20"/>
          <w:szCs w:val="20"/>
          <w:color w:val="auto"/>
        </w:rPr>
      </w:pPr>
    </w:p>
    <w:p>
      <w:pPr>
        <w:jc w:val="both"/>
        <w:ind w:right="420"/>
        <w:spacing w:after="0" w:line="244" w:lineRule="auto"/>
        <w:rPr>
          <w:sz w:val="20"/>
          <w:szCs w:val="20"/>
          <w:color w:val="auto"/>
        </w:rPr>
      </w:pPr>
      <w:r>
        <w:rPr>
          <w:rFonts w:ascii="Arial" w:cs="Arial" w:eastAsia="Arial" w:hAnsi="Arial"/>
          <w:sz w:val="17"/>
          <w:szCs w:val="17"/>
          <w:color w:val="auto"/>
        </w:rPr>
        <w:t>Stockholders who wish to submit a proposal to be considered at our 2026 Annual Meeting of Stockholders, must comply with the following procedures. Any communication to be made to us as described below should be addressed to the Corporate Secretary, CECO Environmental Corp., 5080 Spectrum Drive, Suite 800E, Addison, Texas 75001.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Proxy Statement Proposals</w:t>
      </w:r>
    </w:p>
    <w:p>
      <w:pPr>
        <w:spacing w:after="0" w:line="90"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If you intend to present proposals for inclusion in our Proxy Statement for our 2026 Annual Meeting, you must give us written notice of your intent, and your proposal must comply with SEC regulations under Rule 14a-8. Our Corporate Secretary must receive your notice no later than December 11, 2025.</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Matters for Annual Meeting Agenda</w:t>
      </w:r>
    </w:p>
    <w:p>
      <w:pPr>
        <w:spacing w:after="0" w:line="9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you intend to bring a matter before the 2026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January 20, 2026, and no later than February 19, 2026.</w:t>
      </w:r>
    </w:p>
    <w:p>
      <w:pPr>
        <w:spacing w:after="0" w:line="72" w:lineRule="exact"/>
        <w:rPr>
          <w:sz w:val="20"/>
          <w:szCs w:val="20"/>
          <w:color w:val="auto"/>
        </w:rPr>
      </w:pPr>
    </w:p>
    <w:p>
      <w:pPr>
        <w:ind w:right="80"/>
        <w:spacing w:after="0" w:line="219" w:lineRule="auto"/>
        <w:rPr>
          <w:sz w:val="20"/>
          <w:szCs w:val="20"/>
          <w:color w:val="auto"/>
        </w:rPr>
      </w:pPr>
      <w:r>
        <w:rPr>
          <w:rFonts w:ascii="Arial" w:cs="Arial" w:eastAsia="Arial" w:hAnsi="Arial"/>
          <w:sz w:val="17"/>
          <w:szCs w:val="17"/>
          <w:color w:val="auto"/>
        </w:rPr>
        <w:t>If, however, the date of the 2026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prior to such annual meeting and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after public announcement of the date of such meeting. If the Company does not receive such notice within the timeframe described above, the notice will be considered untimely, and the proposal may not be brought.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Candidate Nominations</w:t>
      </w:r>
    </w:p>
    <w:p>
      <w:pPr>
        <w:spacing w:after="0" w:line="9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spacing w:after="0" w:line="71"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Our Bylaws also provide certain requirements as to the form and content of a stockholder’s notice. These provisions may preclude stockholders from making nominations for directors at the Annual Meeting of Stockholders. A stockholder’s notice must set forth, among other things, as to a nomination the stockholder proposes to bring before the meeting:</w:t>
      </w:r>
    </w:p>
    <w:p>
      <w:pPr>
        <w:spacing w:after="0" w:line="66" w:lineRule="exact"/>
        <w:rPr>
          <w:sz w:val="20"/>
          <w:szCs w:val="20"/>
          <w:color w:val="auto"/>
        </w:rPr>
      </w:pPr>
    </w:p>
    <w:p>
      <w:pPr>
        <w:ind w:left="620" w:right="440" w:hanging="294"/>
        <w:spacing w:after="0" w:line="257"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the name and address of the stockholder and the beneficial owner, if any, on whose behalf the proposal or nomination is made;</w:t>
      </w:r>
    </w:p>
    <w:p>
      <w:pPr>
        <w:spacing w:after="0" w:line="55" w:lineRule="exact"/>
        <w:rPr>
          <w:rFonts w:ascii="Times New Roman" w:cs="Times New Roman" w:eastAsia="Times New Roman" w:hAnsi="Times New Roman"/>
          <w:sz w:val="17"/>
          <w:szCs w:val="17"/>
          <w:color w:val="3C578C"/>
        </w:rPr>
      </w:pPr>
    </w:p>
    <w:p>
      <w:pPr>
        <w:ind w:left="620" w:right="80" w:hanging="294"/>
        <w:spacing w:after="0" w:line="257"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the class, series and number of shares that are owned of record or beneficially by the stockholder nominating the nominee or nominees;</w:t>
      </w:r>
    </w:p>
    <w:p>
      <w:pPr>
        <w:spacing w:after="0" w:line="55" w:lineRule="exact"/>
        <w:rPr>
          <w:rFonts w:ascii="Times New Roman" w:cs="Times New Roman" w:eastAsia="Times New Roman" w:hAnsi="Times New Roman"/>
          <w:sz w:val="17"/>
          <w:szCs w:val="17"/>
          <w:color w:val="3C578C"/>
        </w:rPr>
      </w:pPr>
    </w:p>
    <w:p>
      <w:pPr>
        <w:ind w:left="620" w:right="240" w:hanging="294"/>
        <w:spacing w:after="0" w:line="244"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a representation that the stockholder giving the notice is a holder of record of shares of our voting stock entitled to vote at such annual meeting and intends to appear in person or by proxy at the annual meeting to nominate the person or persons specified in the notice;</w:t>
      </w:r>
    </w:p>
    <w:p>
      <w:pPr>
        <w:spacing w:after="0" w:line="65" w:lineRule="exact"/>
        <w:rPr>
          <w:rFonts w:ascii="Times New Roman" w:cs="Times New Roman" w:eastAsia="Times New Roman" w:hAnsi="Times New Roman"/>
          <w:sz w:val="17"/>
          <w:szCs w:val="17"/>
          <w:color w:val="3C578C"/>
        </w:rPr>
      </w:pPr>
    </w:p>
    <w:p>
      <w:pPr>
        <w:ind w:left="620" w:right="240" w:hanging="294"/>
        <w:spacing w:after="0" w:line="257"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such stockholder or beneficial owner intends to deliver a Proxy Statement and forms of proxy to holders of at least the percentage of shares of our voting stock required to nominate such nominee or nominees;</w:t>
      </w:r>
    </w:p>
    <w:p>
      <w:pPr>
        <w:spacing w:after="0" w:line="5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any derivative interest in our Company’s securities (as such term is defined in our Bylaws);</w:t>
      </w:r>
    </w:p>
    <w:p>
      <w:pPr>
        <w:spacing w:after="0" w:line="103" w:lineRule="exact"/>
        <w:rPr>
          <w:rFonts w:ascii="Times New Roman" w:cs="Times New Roman" w:eastAsia="Times New Roman" w:hAnsi="Times New Roman"/>
          <w:sz w:val="17"/>
          <w:szCs w:val="17"/>
          <w:color w:val="3C578C"/>
        </w:rPr>
      </w:pPr>
    </w:p>
    <w:p>
      <w:pPr>
        <w:ind w:left="620" w:right="180" w:hanging="294"/>
        <w:spacing w:after="0" w:line="257"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any voting arrangements pursuant to which such stockholder has the right to vote any shares of the Company, or which has the effect of increasing or decreasing such stockholder’s voting power;</w:t>
      </w:r>
    </w:p>
    <w:p>
      <w:pPr>
        <w:spacing w:after="0" w:line="55" w:lineRule="exact"/>
        <w:rPr>
          <w:rFonts w:ascii="Times New Roman" w:cs="Times New Roman" w:eastAsia="Times New Roman" w:hAnsi="Times New Roman"/>
          <w:sz w:val="17"/>
          <w:szCs w:val="17"/>
          <w:color w:val="3C578C"/>
        </w:rPr>
      </w:pPr>
    </w:p>
    <w:p>
      <w:pPr>
        <w:ind w:left="620" w:right="260" w:hanging="294"/>
        <w:spacing w:after="0" w:line="257"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any contract or arrangement pursuant to which such stockholder is a party that provides any party, directly or indirectly, the opportunity to profit from any decrease in the price or value of our stock;</w:t>
      </w:r>
    </w:p>
    <w:p>
      <w:pPr>
        <w:spacing w:after="0" w:line="55" w:lineRule="exact"/>
        <w:rPr>
          <w:rFonts w:ascii="Times New Roman" w:cs="Times New Roman" w:eastAsia="Times New Roman" w:hAnsi="Times New Roman"/>
          <w:sz w:val="17"/>
          <w:szCs w:val="17"/>
          <w:color w:val="3C578C"/>
        </w:rPr>
      </w:pPr>
    </w:p>
    <w:p>
      <w:pPr>
        <w:ind w:left="620" w:right="420" w:hanging="294"/>
        <w:spacing w:after="0" w:line="257"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any material pending or threatened legal proceeding involving our Company, any of its affiliates or any of our directors or officers;</w:t>
      </w:r>
    </w:p>
    <w:p>
      <w:pPr>
        <w:spacing w:after="0" w:line="22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44</w:t>
      </w:r>
      <w:r>
        <w:rPr>
          <w:sz w:val="20"/>
          <w:szCs w:val="20"/>
          <w:color w:val="auto"/>
        </w:rPr>
        <w:tab/>
      </w:r>
      <w:r>
        <w:rPr>
          <w:sz w:val="1"/>
          <w:szCs w:val="1"/>
          <w:color w:val="auto"/>
        </w:rPr>
        <w:drawing>
          <wp:inline distT="0" distB="0" distL="0" distR="0">
            <wp:extent cx="476250" cy="2222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left="620" w:right="80" w:hanging="294"/>
        <w:spacing w:after="0" w:line="244" w:lineRule="auto"/>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any rights to certain dividends on shares of Company stock that are separated or separable from the underlying shares of the Company and any entitlement to certain performance-related fees resulting from an increase or decrease in the value of shares of Company stock or derivative interests; and</w:t>
      </w:r>
    </w:p>
    <w:p>
      <w:pPr>
        <w:spacing w:after="0" w:line="65" w:lineRule="exact"/>
        <w:rPr>
          <w:rFonts w:ascii="Times New Roman" w:cs="Times New Roman" w:eastAsia="Times New Roman" w:hAnsi="Times New Roman"/>
          <w:sz w:val="17"/>
          <w:szCs w:val="17"/>
          <w:color w:val="3C578C"/>
        </w:rPr>
      </w:pPr>
    </w:p>
    <w:p>
      <w:pPr>
        <w:ind w:left="620" w:right="220" w:hanging="294"/>
        <w:spacing w:after="0" w:line="239" w:lineRule="auto"/>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any equity interests, including any convertible, derivate or short interests, in any competitor of the Company; and 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Proxy Rules</w:t>
      </w:r>
    </w:p>
    <w:p>
      <w:pPr>
        <w:spacing w:after="0" w:line="9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In addition to satisfying the requirements under our Bylaws, stockholders who intend to solicit proxies in support of director nominees other than the Company’s nominees must comply with Rule 14a-19 under the Exchange Act.</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By Order of the Board of Directors</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508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50870" cy="762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7"/>
          <w:szCs w:val="17"/>
          <w:color w:val="auto"/>
        </w:rPr>
        <w:t>Jason DeZwirek</w:t>
      </w:r>
    </w:p>
    <w:p>
      <w:pPr>
        <w:ind w:left="4960"/>
        <w:spacing w:after="0"/>
        <w:rPr>
          <w:sz w:val="20"/>
          <w:szCs w:val="20"/>
          <w:color w:val="auto"/>
        </w:rPr>
      </w:pPr>
      <w:r>
        <w:rPr>
          <w:rFonts w:ascii="Arial" w:cs="Arial" w:eastAsia="Arial" w:hAnsi="Arial"/>
          <w:sz w:val="17"/>
          <w:szCs w:val="17"/>
          <w:color w:val="auto"/>
        </w:rPr>
        <w:t>Chairman of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553085</wp:posOffset>
            </wp:positionV>
            <wp:extent cx="483870" cy="2222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QUESTIONS AND ANSWERS ABOUT OUR 2025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is Soliciting My Vote?</w:t>
      </w:r>
    </w:p>
    <w:p>
      <w:pPr>
        <w:spacing w:after="0" w:line="19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The Board of Directors (the “Board”) of CECO Environmental Corp.(“CECO” or the “Company”, “we”, “us” or “our”) is soliciting proxies to be voted at the Annual Meeting to be held solely through virtual participation via webcast at </w:t>
      </w:r>
      <w:r>
        <w:rPr>
          <w:rFonts w:ascii="Arial" w:cs="Arial" w:eastAsia="Arial" w:hAnsi="Arial"/>
          <w:sz w:val="17"/>
          <w:szCs w:val="17"/>
          <w:u w:val="single" w:color="auto"/>
          <w:color w:val="auto"/>
        </w:rPr>
        <w:t>www.virtualshareholdermeeting.com/CECO2025</w:t>
      </w:r>
      <w:r>
        <w:rPr>
          <w:rFonts w:ascii="Arial" w:cs="Arial" w:eastAsia="Arial" w:hAnsi="Arial"/>
          <w:sz w:val="17"/>
          <w:szCs w:val="17"/>
          <w:color w:val="auto"/>
        </w:rPr>
        <w:t xml:space="preserve"> at 8:00 a.m., Central Time, on May 20, 2025, or any postponement or adjournment thereof.</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Why Did I Receive a Notice of Internet Availability of Proxy Materials?</w:t>
      </w:r>
    </w:p>
    <w:p>
      <w:pPr>
        <w:spacing w:after="0" w:line="90"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have sent you a Notice of Internet Availability of Proxy Materials (“Notice”) because our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6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mailed the Notice and released our proxy materials on or about April 10, 2025, to all stockholders of record as of March 25, 2025, the Record Date, who are entitled to vote in connection with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Will I Receive Other Proxy Materials by Mail?</w:t>
      </w:r>
    </w:p>
    <w:p>
      <w:pPr>
        <w:spacing w:after="0" w:line="90" w:lineRule="exact"/>
        <w:rPr>
          <w:sz w:val="20"/>
          <w:szCs w:val="20"/>
          <w:color w:val="auto"/>
        </w:rPr>
      </w:pPr>
    </w:p>
    <w:p>
      <w:pPr>
        <w:jc w:val="both"/>
        <w:ind w:right="320"/>
        <w:spacing w:after="0" w:line="244" w:lineRule="auto"/>
        <w:rPr>
          <w:sz w:val="20"/>
          <w:szCs w:val="20"/>
          <w:color w:val="auto"/>
        </w:rPr>
      </w:pPr>
      <w:r>
        <w:rPr>
          <w:rFonts w:ascii="Arial" w:cs="Arial" w:eastAsia="Arial" w:hAnsi="Arial"/>
          <w:sz w:val="17"/>
          <w:szCs w:val="17"/>
          <w:color w:val="auto"/>
        </w:rPr>
        <w:t xml:space="preserve">No, you will not receive any proxy materials, other than the Notice, by mail unless you request a paper copy of proxy materials. To request that a full set of the proxy materials be sent to your specified postal address, please go to </w:t>
      </w:r>
      <w:r>
        <w:rPr>
          <w:rFonts w:ascii="Arial" w:cs="Arial" w:eastAsia="Arial" w:hAnsi="Arial"/>
          <w:sz w:val="17"/>
          <w:szCs w:val="17"/>
          <w:i w:val="1"/>
          <w:iCs w:val="1"/>
          <w:u w:val="single" w:color="auto"/>
          <w:color w:val="auto"/>
        </w:rPr>
        <w:t>www.ProxyVote.com</w:t>
      </w:r>
      <w:r>
        <w:rPr>
          <w:rFonts w:ascii="Arial" w:cs="Arial" w:eastAsia="Arial" w:hAnsi="Arial"/>
          <w:sz w:val="17"/>
          <w:szCs w:val="17"/>
          <w:color w:val="auto"/>
        </w:rPr>
        <w:t xml:space="preserve">, call 1-800-579-1639 or send an email to </w:t>
      </w:r>
      <w:r>
        <w:rPr>
          <w:rFonts w:ascii="Arial" w:cs="Arial" w:eastAsia="Arial" w:hAnsi="Arial"/>
          <w:sz w:val="17"/>
          <w:szCs w:val="17"/>
          <w:i w:val="1"/>
          <w:iCs w:val="1"/>
          <w:u w:val="single" w:color="auto"/>
          <w:color w:val="auto"/>
        </w:rPr>
        <w:t>sendmaterial@proxyvote.com</w:t>
      </w:r>
      <w:r>
        <w:rPr>
          <w:rFonts w:ascii="Arial" w:cs="Arial" w:eastAsia="Arial" w:hAnsi="Arial"/>
          <w:sz w:val="17"/>
          <w:szCs w:val="17"/>
          <w:color w:val="auto"/>
        </w:rPr>
        <w:t xml:space="preserve"> prior to May 6, 2025.</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Bears the Cost of Solicitation?</w:t>
      </w:r>
    </w:p>
    <w:p>
      <w:pPr>
        <w:spacing w:after="0" w:line="90" w:lineRule="exact"/>
        <w:rPr>
          <w:sz w:val="20"/>
          <w:szCs w:val="20"/>
          <w:color w:val="auto"/>
        </w:rPr>
      </w:pPr>
    </w:p>
    <w:p>
      <w:pPr>
        <w:ind w:right="100"/>
        <w:spacing w:after="0" w:line="222" w:lineRule="auto"/>
        <w:rPr>
          <w:sz w:val="20"/>
          <w:szCs w:val="20"/>
          <w:color w:val="auto"/>
        </w:rPr>
      </w:pPr>
      <w:r>
        <w:rPr>
          <w:rFonts w:ascii="Arial" w:cs="Arial" w:eastAsia="Arial" w:hAnsi="Arial"/>
          <w:sz w:val="17"/>
          <w:szCs w:val="17"/>
          <w:color w:val="auto"/>
        </w:rPr>
        <w:t>The Company is soliciting your votes for this Annual Meeting. The cost of solicitation of the proxies will be borne by us. The Company has retained Sodali &amp; Co, 333 Ludlow Street, 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South Tower, Stamford, Connecticut 06902 (Individuals may call toll-free (800) 662-5200; Banks and brokers may call (203) 658-9400 and both may email CECO.info@investor.sodali.com), to assist us in the solicitation of proxies for a fee not to exceed $10,000 plus expenses.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Can Vote?</w:t>
      </w:r>
    </w:p>
    <w:p>
      <w:pPr>
        <w:spacing w:after="0" w:line="90" w:lineRule="exact"/>
        <w:rPr>
          <w:sz w:val="20"/>
          <w:szCs w:val="20"/>
          <w:color w:val="auto"/>
        </w:rPr>
      </w:pPr>
    </w:p>
    <w:p>
      <w:pPr>
        <w:jc w:val="both"/>
        <w:ind w:right="60"/>
        <w:spacing w:after="0" w:line="239" w:lineRule="auto"/>
        <w:rPr>
          <w:sz w:val="20"/>
          <w:szCs w:val="20"/>
          <w:color w:val="auto"/>
        </w:rPr>
      </w:pPr>
      <w:r>
        <w:rPr>
          <w:rFonts w:ascii="Arial" w:cs="Arial" w:eastAsia="Arial" w:hAnsi="Arial"/>
          <w:sz w:val="17"/>
          <w:szCs w:val="17"/>
          <w:color w:val="auto"/>
        </w:rPr>
        <w:t>Only stockholders of record at the close of business on March 25, 2024, which we refer to as the record date, are entitled to notice of, and to attend and vote at, the Annual Meeting. As of the record date, there were 35,217,001 outstanding shares of our common stock. Each share of our common stock outstanding on the record date will be entitled to cast one vote upon each matter submitted to a vote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is a Stockholder of Record?</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 stockholder of record (or record holder or registered holder) means that your shares are registered in your name directly on the books of our registrar and transfer agent Broadridge Financial Services, Inc. If you are a stockholder of record, we have provided these proxy materials directly to you.</w:t>
      </w:r>
    </w:p>
    <w:p>
      <w:pPr>
        <w:spacing w:after="0" w:line="66" w:lineRule="exact"/>
        <w:rPr>
          <w:sz w:val="20"/>
          <w:szCs w:val="20"/>
          <w:color w:val="auto"/>
        </w:rPr>
      </w:pPr>
    </w:p>
    <w:p>
      <w:pPr>
        <w:jc w:val="both"/>
        <w:ind w:right="80"/>
        <w:spacing w:after="0" w:line="267" w:lineRule="auto"/>
        <w:rPr>
          <w:sz w:val="20"/>
          <w:szCs w:val="20"/>
          <w:color w:val="auto"/>
        </w:rPr>
      </w:pPr>
      <w:r>
        <w:rPr>
          <w:rFonts w:ascii="Arial" w:cs="Arial" w:eastAsia="Arial" w:hAnsi="Arial"/>
          <w:sz w:val="16"/>
          <w:szCs w:val="16"/>
          <w:color w:val="auto"/>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You Can Vote and What You are Voting on</w:t>
      </w:r>
    </w:p>
    <w:p>
      <w:pPr>
        <w:spacing w:after="0" w:line="9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If you are a registered stockholder, there are several ways for you to vote. You may attend the Annual Meeting via the internet and vote during the Annual Meeting. You may also vote by internet before the date of the Annual Meeting, by proxy or by telephone using one of the methods described on the Notice and in the proxy card. We recommend you vote by mail, internet or telephone even if you plan to attend the Annual Meeting. If you vote by internet or telephone, please</w:t>
      </w:r>
    </w:p>
    <w:p>
      <w:pPr>
        <w:spacing w:after="0" w:line="14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46</w:t>
      </w:r>
      <w:r>
        <w:rPr>
          <w:sz w:val="20"/>
          <w:szCs w:val="20"/>
          <w:color w:val="auto"/>
        </w:rPr>
        <w:tab/>
      </w:r>
      <w:r>
        <w:rPr>
          <w:sz w:val="1"/>
          <w:szCs w:val="1"/>
          <w:color w:val="auto"/>
        </w:rPr>
        <w:drawing>
          <wp:inline distT="0" distB="0" distL="0" distR="0">
            <wp:extent cx="476250" cy="2222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do not return the proxy card. If voting by mail, please complete, sign and date your proxy card enclosed with these proxy materials. If desired, you can change your vote at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Whether you hold your shares directly as the stockholder of record or beneficially in street name, you may vote without attending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in one of the following manners:</w:t>
      </w:r>
    </w:p>
    <w:p>
      <w:pPr>
        <w:spacing w:after="0" w:line="76" w:lineRule="exact"/>
        <w:rPr>
          <w:sz w:val="20"/>
          <w:szCs w:val="20"/>
          <w:color w:val="auto"/>
        </w:rPr>
      </w:pPr>
    </w:p>
    <w:p>
      <w:pPr>
        <w:ind w:left="600" w:right="180"/>
        <w:spacing w:after="0" w:line="258" w:lineRule="auto"/>
        <w:rPr>
          <w:sz w:val="20"/>
          <w:szCs w:val="20"/>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b w:val="1"/>
          <w:bCs w:val="1"/>
          <w:color w:val="auto"/>
        </w:rPr>
        <w:t xml:space="preserve"> </w:t>
      </w:r>
      <w:r>
        <w:rPr>
          <w:rFonts w:ascii="Arial" w:cs="Arial" w:eastAsia="Arial" w:hAnsi="Arial"/>
          <w:sz w:val="17"/>
          <w:szCs w:val="17"/>
          <w:color w:val="auto"/>
        </w:rPr>
        <w:t>and follow the instructions. You will need the 16-digit control number included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proxy card or voting instruction form;</w:t>
      </w:r>
    </w:p>
    <w:p>
      <w:pPr>
        <w:spacing w:after="0" w:line="55" w:lineRule="exact"/>
        <w:rPr>
          <w:sz w:val="20"/>
          <w:szCs w:val="20"/>
          <w:color w:val="auto"/>
        </w:rPr>
      </w:pPr>
    </w:p>
    <w:p>
      <w:pPr>
        <w:ind w:left="600" w:right="60"/>
        <w:spacing w:after="0" w:line="258"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Dial 1-800-579-1639. You will need the control number included on the Notice, proxy card or voting instruction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form; or</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Complete, date and sign your proxy card or voting instruction form and mail it.</w:t>
      </w:r>
    </w:p>
    <w:p>
      <w:pPr>
        <w:spacing w:after="0" w:line="192"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Internet and telephone voting for stockholders is available 24 hours a day, and will close at 11:59 p.m., Eastern Time, on May 19, 2025.</w:t>
      </w:r>
    </w:p>
    <w:p>
      <w:pPr>
        <w:spacing w:after="0" w:line="5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persons named as proxies have informed the Company of their intention, if no contrary instructions are given, to vote the shares represented by such proxies as follows:</w:t>
      </w:r>
    </w:p>
    <w:p>
      <w:pPr>
        <w:spacing w:after="0" w:line="55" w:lineRule="exact"/>
        <w:rPr>
          <w:sz w:val="20"/>
          <w:szCs w:val="20"/>
          <w:color w:val="auto"/>
        </w:rPr>
      </w:pPr>
    </w:p>
    <w:p>
      <w:pPr>
        <w:ind w:left="620" w:hanging="294"/>
        <w:spacing w:after="0"/>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election of each director nominee (Proposal 1);</w:t>
      </w:r>
    </w:p>
    <w:p>
      <w:pPr>
        <w:spacing w:after="0" w:line="103"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approval, on an advisory basis, of the compensation of our named executive officers (Proposal 2);</w:t>
      </w:r>
    </w:p>
    <w:p>
      <w:pPr>
        <w:spacing w:after="0" w:line="103" w:lineRule="exact"/>
        <w:rPr>
          <w:rFonts w:ascii="Times New Roman" w:cs="Times New Roman" w:eastAsia="Times New Roman" w:hAnsi="Times New Roman"/>
          <w:sz w:val="17"/>
          <w:szCs w:val="17"/>
          <w:color w:val="3C578C"/>
        </w:rPr>
      </w:pPr>
    </w:p>
    <w:p>
      <w:pPr>
        <w:ind w:left="620" w:right="160" w:hanging="294"/>
        <w:spacing w:after="0" w:line="257" w:lineRule="auto"/>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For every ONE YEAR as the frequency of future advisory votes to approve named executive officer compensation (Proposal 3);</w:t>
      </w:r>
    </w:p>
    <w:p>
      <w:pPr>
        <w:spacing w:after="0" w:line="55" w:lineRule="exact"/>
        <w:rPr>
          <w:rFonts w:ascii="Times New Roman" w:cs="Times New Roman" w:eastAsia="Times New Roman" w:hAnsi="Times New Roman"/>
          <w:sz w:val="17"/>
          <w:szCs w:val="17"/>
          <w:color w:val="3C578C"/>
        </w:rPr>
      </w:pPr>
    </w:p>
    <w:p>
      <w:pPr>
        <w:ind w:left="620" w:right="400" w:hanging="294"/>
        <w:spacing w:after="0" w:line="257" w:lineRule="auto"/>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ratification of the appointment of Deloitte &amp; Touche LLP as our independent registered public accounting firm for 2024 (Proposal 4); and</w:t>
      </w:r>
    </w:p>
    <w:p>
      <w:pPr>
        <w:spacing w:after="0" w:line="5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In accordance with their judgment on any other matters which may properly come before the Annual Meeting.</w:t>
      </w:r>
    </w:p>
    <w:p>
      <w:pPr>
        <w:spacing w:after="0" w:line="204"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The Board does not know of any other business to be brought before the Annual Meeting other than as indicated in the Notice of Annual Meeting of Stockholders. If other matters are properly presented at the Annual Meeting, the persons named as proxies may vote on such matters in their discretion. In addition, the persons named as proxies may vote your shares to adjourn the Annual Meeting and will be authorized to vote your shares at any adjournments or postponements of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Many Votes do I Have?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On each matter to be voted upon, you have one vote for each share of common stock you own as of March 25, 2025.</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Does it Mean if I Receive More Than One Notice?</w:t>
      </w:r>
    </w:p>
    <w:p>
      <w:pPr>
        <w:spacing w:after="0" w:line="9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Revocability of Proxies</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during the Annual Meeting, another proxy dated as of a later date. Furthermore, you may revoke a proxy by attending the Annual Meeting and voting in person, which will automatically cancel any proxy previously given. Unless you revoke your proxy at the Annual Meeting, your revocation must be received by 11:59 p.m. Eastern Time on May 19, 2025.</w:t>
      </w:r>
    </w:p>
    <w:p>
      <w:pPr>
        <w:spacing w:after="0" w:line="7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Attendance at the Annual Meeting, however, will not automatically revoke any proxy that you have given previously unless you request a ballot and vote during the Annual Meeting. If you hold shares through a bank, broker or other intermediary, you must contact the bank, broker or other intermediary to revoke any prior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234950</wp:posOffset>
            </wp:positionV>
            <wp:extent cx="483870" cy="2222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do I participate in, and ask questions during the Annual Meeting?</w:t>
      </w:r>
    </w:p>
    <w:p>
      <w:pPr>
        <w:spacing w:after="0" w:line="9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 xml:space="preserve">If you would like to submit a question during the Annual Meeting, you may log in to </w:t>
      </w:r>
      <w:r>
        <w:rPr>
          <w:rFonts w:ascii="Arial" w:cs="Arial" w:eastAsia="Arial" w:hAnsi="Arial"/>
          <w:sz w:val="16"/>
          <w:szCs w:val="16"/>
          <w:i w:val="1"/>
          <w:iCs w:val="1"/>
          <w:color w:val="auto"/>
        </w:rPr>
        <w:t>www.virtualshareholdermeeting.com/CECO2025</w:t>
      </w:r>
      <w:r>
        <w:rPr>
          <w:rFonts w:ascii="Arial" w:cs="Arial" w:eastAsia="Arial" w:hAnsi="Arial"/>
          <w:sz w:val="16"/>
          <w:szCs w:val="16"/>
          <w:color w:val="auto"/>
        </w:rPr>
        <w:t xml:space="preserve"> using your control number, type your question into the “Ask a Question” field, and click “Submit.”</w:t>
      </w:r>
    </w:p>
    <w:p>
      <w:pPr>
        <w:spacing w:after="0" w:line="13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66" w:lineRule="exact"/>
        <w:rPr>
          <w:sz w:val="20"/>
          <w:szCs w:val="20"/>
          <w:color w:val="auto"/>
        </w:rPr>
      </w:pPr>
    </w:p>
    <w:p>
      <w:pPr>
        <w:ind w:left="620" w:hanging="294"/>
        <w:spacing w:after="0"/>
        <w:tabs>
          <w:tab w:leader="none" w:pos="620" w:val="left"/>
        </w:tabs>
        <w:numPr>
          <w:ilvl w:val="0"/>
          <w:numId w:val="74"/>
        </w:numPr>
        <w:rPr>
          <w:rFonts w:ascii="Times New Roman" w:cs="Times New Roman" w:eastAsia="Times New Roman" w:hAnsi="Times New Roman"/>
          <w:sz w:val="17"/>
          <w:szCs w:val="17"/>
          <w:color w:val="3C578C"/>
        </w:rPr>
      </w:pPr>
      <w:r>
        <w:rPr>
          <w:rFonts w:ascii="Arial" w:cs="Arial" w:eastAsia="Arial" w:hAnsi="Arial"/>
          <w:sz w:val="17"/>
          <w:szCs w:val="17"/>
          <w:color w:val="auto"/>
        </w:rPr>
        <w:t>You may submit questions and comments electronically through the meeting portal during the Annual Meeting.</w:t>
      </w:r>
    </w:p>
    <w:p>
      <w:pPr>
        <w:spacing w:after="0" w:line="103" w:lineRule="exact"/>
        <w:rPr>
          <w:rFonts w:ascii="Times New Roman" w:cs="Times New Roman" w:eastAsia="Times New Roman" w:hAnsi="Times New Roman"/>
          <w:sz w:val="17"/>
          <w:szCs w:val="17"/>
          <w:color w:val="3C578C"/>
        </w:rPr>
      </w:pPr>
    </w:p>
    <w:p>
      <w:pPr>
        <w:ind w:left="620" w:right="220" w:hanging="294"/>
        <w:spacing w:after="0" w:line="257" w:lineRule="auto"/>
        <w:tabs>
          <w:tab w:leader="none" w:pos="620" w:val="left"/>
        </w:tabs>
        <w:numPr>
          <w:ilvl w:val="0"/>
          <w:numId w:val="74"/>
        </w:numPr>
        <w:rPr>
          <w:rFonts w:ascii="Times New Roman" w:cs="Times New Roman" w:eastAsia="Times New Roman" w:hAnsi="Times New Roman"/>
          <w:sz w:val="17"/>
          <w:szCs w:val="17"/>
          <w:color w:val="3C578C"/>
        </w:rPr>
      </w:pPr>
      <w:r>
        <w:rPr>
          <w:rFonts w:ascii="Arial" w:cs="Arial" w:eastAsia="Arial" w:hAnsi="Arial"/>
          <w:sz w:val="17"/>
          <w:szCs w:val="17"/>
          <w:color w:val="auto"/>
        </w:rPr>
        <w:t>Only stockholders of record as of the Record Date for the Annual Meeting and their proxy holders may submit questions or comments.</w:t>
      </w:r>
    </w:p>
    <w:p>
      <w:pPr>
        <w:spacing w:after="0" w:line="55" w:lineRule="exact"/>
        <w:rPr>
          <w:rFonts w:ascii="Times New Roman" w:cs="Times New Roman" w:eastAsia="Times New Roman" w:hAnsi="Times New Roman"/>
          <w:sz w:val="17"/>
          <w:szCs w:val="17"/>
          <w:color w:val="3C578C"/>
        </w:rPr>
      </w:pPr>
    </w:p>
    <w:p>
      <w:pPr>
        <w:ind w:left="620" w:right="180" w:hanging="294"/>
        <w:spacing w:after="0" w:line="244" w:lineRule="auto"/>
        <w:tabs>
          <w:tab w:leader="none" w:pos="620" w:val="left"/>
        </w:tabs>
        <w:numPr>
          <w:ilvl w:val="0"/>
          <w:numId w:val="74"/>
        </w:numPr>
        <w:rPr>
          <w:rFonts w:ascii="Times New Roman" w:cs="Times New Roman" w:eastAsia="Times New Roman" w:hAnsi="Times New Roman"/>
          <w:sz w:val="17"/>
          <w:szCs w:val="17"/>
          <w:color w:val="3C578C"/>
        </w:rPr>
      </w:pPr>
      <w:r>
        <w:rPr>
          <w:rFonts w:ascii="Arial" w:cs="Arial" w:eastAsia="Arial" w:hAnsi="Arial"/>
          <w:sz w:val="17"/>
          <w:szCs w:val="17"/>
          <w:color w:val="auto"/>
        </w:rPr>
        <w:t>Questions pertinent to the Annual Meeting and related to our business will be answered during the webcast, subject to time constraints. Any such questions that cannot be answered live due to time constraints will be posted and answered on our website, https://cecoenviro.com as soon as practical after the Annual Meeting.</w:t>
      </w:r>
    </w:p>
    <w:p>
      <w:pPr>
        <w:spacing w:after="0" w:line="65" w:lineRule="exact"/>
        <w:rPr>
          <w:rFonts w:ascii="Times New Roman" w:cs="Times New Roman" w:eastAsia="Times New Roman" w:hAnsi="Times New Roman"/>
          <w:sz w:val="17"/>
          <w:szCs w:val="17"/>
          <w:color w:val="3C578C"/>
        </w:rPr>
      </w:pPr>
    </w:p>
    <w:p>
      <w:pPr>
        <w:ind w:left="620" w:right="440" w:hanging="294"/>
        <w:spacing w:after="0" w:line="244" w:lineRule="auto"/>
        <w:tabs>
          <w:tab w:leader="none" w:pos="620" w:val="left"/>
        </w:tabs>
        <w:numPr>
          <w:ilvl w:val="0"/>
          <w:numId w:val="74"/>
        </w:numPr>
        <w:rPr>
          <w:rFonts w:ascii="Times New Roman" w:cs="Times New Roman" w:eastAsia="Times New Roman" w:hAnsi="Times New Roman"/>
          <w:sz w:val="17"/>
          <w:szCs w:val="17"/>
          <w:color w:val="3C578C"/>
        </w:rPr>
      </w:pPr>
      <w:r>
        <w:rPr>
          <w:rFonts w:ascii="Arial" w:cs="Arial" w:eastAsia="Arial" w:hAnsi="Arial"/>
          <w:sz w:val="17"/>
          <w:szCs w:val="17"/>
          <w:color w:val="auto"/>
        </w:rPr>
        <w:t>Questions may be omitted if they are, among other things, irrelevant to our business, related to pending or threatened litigation, disorderly, repetitious of statements already made, or in furtherance of the speaker’s own personal, political or business interests.</w:t>
      </w:r>
    </w:p>
    <w:p>
      <w:pPr>
        <w:spacing w:after="0" w:line="6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4"/>
        </w:numPr>
        <w:rPr>
          <w:rFonts w:ascii="Times New Roman" w:cs="Times New Roman" w:eastAsia="Times New Roman" w:hAnsi="Times New Roman"/>
          <w:sz w:val="17"/>
          <w:szCs w:val="17"/>
          <w:color w:val="3C578C"/>
        </w:rPr>
      </w:pPr>
      <w:r>
        <w:rPr>
          <w:rFonts w:ascii="Arial" w:cs="Arial" w:eastAsia="Arial" w:hAnsi="Arial"/>
          <w:sz w:val="17"/>
          <w:szCs w:val="17"/>
          <w:color w:val="auto"/>
        </w:rPr>
        <w:t>No audio or video recordings of the Annual Meeting are permitted.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are Votes Counted and how are Abstentions and Broker Non-Votes Treated?</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Votes will be counted by the inspector of election appointed for the meeting, who will separately count votes “For” (Proposals 1, 2 and 4), “Against” (Proposals 1, 2 and 4), broker non-votes (Proposals 1, 2 and 3) and “Abstain” (Proposals 1, 2, 3 and 4).</w:t>
      </w:r>
    </w:p>
    <w:p>
      <w:pPr>
        <w:spacing w:after="0" w:line="155"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Abstentions will be counted towards the vote total for Proposals 1, 2 and 4 and will have the same effect as “Against” votes. Broker non-votes will have the same effect as a vote against each director in Proposal 1 and against Proposal 2.</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Required</w:t>
      </w:r>
    </w:p>
    <w:p>
      <w:pPr>
        <w:spacing w:after="0" w:line="9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order for business to be conducted, a quorum must be represented at the Annual Meeting. The holders of a majority of the outstanding shares of common stock, present at the Annual Meeting or represented by proxy, shall constitute a quorum at the Annual Meeting. Shares represented by a proxy marked “abstain” or a proxy as to which there is a “broker non-vote” will be considered present at the meeting for purposes of determining a quorum.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Required Vote to Elect Directors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Directors will each be elected by an affirmative vote of the majority of shares represented at the Annual Meeting in person or by proxy.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Required Votes to Pass Other Proposals</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Proposal 2 (to approve, on an advisory basis, the compensation paid to our named executive officers) and Proposal 4 (to ratify the appointment of Deloitte &amp; Touche LLP as our independent registered public accounting firm for 2025) each require the affirmative vote of the majority of shares represented at the Annual Meeting in person or by proxy for approval.</w:t>
      </w:r>
    </w:p>
    <w:p>
      <w:pPr>
        <w:spacing w:after="0" w:line="66"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For Proposal 3 (to recommend the frequency of future advisory votes to approve named executive officer compensation), the frequency that receives the most votes cast will be deemed to be the frequency of future advisory votes to approve named executive officer compensation that has been recommended by our stockholders. Abstentions are not treated as votes cast.</w:t>
      </w:r>
    </w:p>
    <w:p>
      <w:pPr>
        <w:spacing w:after="0" w:line="6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votes for Proposal 2, Proposal 3 and Proposal 4 are advisory in nature and are not binding on our Company; however, our Board will consider the outcomes of these votes in future deliberations.</w:t>
      </w:r>
    </w:p>
    <w:p>
      <w:pPr>
        <w:spacing w:after="0" w:line="32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48</w:t>
      </w:r>
      <w:r>
        <w:rPr>
          <w:sz w:val="20"/>
          <w:szCs w:val="20"/>
          <w:color w:val="auto"/>
        </w:rPr>
        <w:tab/>
      </w:r>
      <w:r>
        <w:rPr>
          <w:sz w:val="1"/>
          <w:szCs w:val="1"/>
          <w:color w:val="auto"/>
        </w:rPr>
        <w:drawing>
          <wp:inline distT="0" distB="0" distL="0" distR="0">
            <wp:extent cx="476250" cy="2222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60"/>
          </w:cols>
          <w:pgMar w:left="980" w:top="485" w:right="105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 Non-Votes</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Only Proposal 4 (ratification of the selection of Deloitte &amp; Touche LLP as our independent registered public accounting firm for 2025) is a routine proposal. Proposal 1 (election of directors), Proposal 2 (to approve, on an advisory basis, the compensation of our named executive officers) and Proposal 3 (to recommend the frequency of future advisory votes to approve named executive officer compensation) will be considered “non-routine,” and banks, brokers and certain other nominees that hold your shares in street name will not have the authority to vote on these proposals if you do not provide them with voting instructions. Any broker non-votes will have the same effect as a vote against each director in Proposal 1 and against Proposal 2.</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Please provide voting instructions to the bank, broker or other nominee that holds your shares by carefully following their instructions.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Where Can I Find the Voting Results?</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Preliminary voting results will be announced at the Annual Meeting. In addition, final voting results will be published in a Current Report on Form 8-K that we expect to file within four business days after the Annual Meeting. The report will be available on our website at </w:t>
      </w:r>
      <w:r>
        <w:rPr>
          <w:rFonts w:ascii="Arial" w:cs="Arial" w:eastAsia="Arial" w:hAnsi="Arial"/>
          <w:sz w:val="17"/>
          <w:szCs w:val="17"/>
          <w:i w:val="1"/>
          <w:iCs w:val="1"/>
          <w:color w:val="auto"/>
        </w:rPr>
        <w:t>www.cecoenviro.com</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Householding Information</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stockholders would like to receive only a single set of our disclosure documents, the stockholders should follow these instructions;</w:t>
      </w:r>
    </w:p>
    <w:p>
      <w:pPr>
        <w:spacing w:after="0" w:line="61" w:lineRule="exact"/>
        <w:rPr>
          <w:sz w:val="20"/>
          <w:szCs w:val="20"/>
          <w:color w:val="auto"/>
        </w:rPr>
      </w:pPr>
    </w:p>
    <w:p>
      <w:pPr>
        <w:ind w:left="620" w:right="120" w:hanging="294"/>
        <w:spacing w:after="0" w:line="288" w:lineRule="auto"/>
        <w:tabs>
          <w:tab w:leader="none" w:pos="620" w:val="left"/>
        </w:tabs>
        <w:numPr>
          <w:ilvl w:val="0"/>
          <w:numId w:val="75"/>
        </w:numPr>
        <w:rPr>
          <w:rFonts w:ascii="Times New Roman" w:cs="Times New Roman" w:eastAsia="Times New Roman" w:hAnsi="Times New Roman"/>
          <w:sz w:val="16"/>
          <w:szCs w:val="16"/>
          <w:color w:val="3C578C"/>
        </w:rPr>
      </w:pPr>
      <w:r>
        <w:rPr>
          <w:rFonts w:ascii="Arial" w:cs="Arial" w:eastAsia="Arial" w:hAnsi="Arial"/>
          <w:sz w:val="16"/>
          <w:szCs w:val="16"/>
          <w:color w:val="auto"/>
        </w:rPr>
        <w:t>If the shares are registered in the name of the stockholder, the stockholder should contact Corporate Secretary at 5080 Spectrum Drive, Suite 800E, Addison, Texas 75001, or via telephone at (214) 357-6181, to inform us of his or her request; or</w:t>
      </w:r>
    </w:p>
    <w:p>
      <w:pPr>
        <w:spacing w:after="0" w:line="32" w:lineRule="exact"/>
        <w:rPr>
          <w:rFonts w:ascii="Times New Roman" w:cs="Times New Roman" w:eastAsia="Times New Roman" w:hAnsi="Times New Roman"/>
          <w:sz w:val="16"/>
          <w:szCs w:val="16"/>
          <w:color w:val="3C578C"/>
        </w:rPr>
      </w:pPr>
    </w:p>
    <w:p>
      <w:pPr>
        <w:ind w:left="620" w:right="180" w:hanging="294"/>
        <w:spacing w:after="0" w:line="257" w:lineRule="auto"/>
        <w:tabs>
          <w:tab w:leader="none" w:pos="620" w:val="left"/>
        </w:tabs>
        <w:numPr>
          <w:ilvl w:val="0"/>
          <w:numId w:val="75"/>
        </w:numPr>
        <w:rPr>
          <w:rFonts w:ascii="Times New Roman" w:cs="Times New Roman" w:eastAsia="Times New Roman" w:hAnsi="Times New Roman"/>
          <w:sz w:val="17"/>
          <w:szCs w:val="17"/>
          <w:color w:val="3C578C"/>
        </w:rPr>
      </w:pPr>
      <w:r>
        <w:rPr>
          <w:rFonts w:ascii="Arial" w:cs="Arial" w:eastAsia="Arial" w:hAnsi="Arial"/>
          <w:sz w:val="17"/>
          <w:szCs w:val="17"/>
          <w:color w:val="auto"/>
        </w:rPr>
        <w:t>If a broker, bank, broker-dealer, custodian or other similar organization holds the shares, the stockholder should contact that representative directly.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Information</w:t>
      </w:r>
    </w:p>
    <w:p>
      <w:pPr>
        <w:spacing w:after="0" w:line="9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If no instructions are indicated on a duly executed and returned proxy, the shares represented by the proxy will be voted FOR the election of the eight director nominees proposed by our Board, FOR the approval, on an advisory basis, of the compensation paid to our named executive officers, for every ONE YEAR as the frequency of future advisory votes to approve named executive officer compensation, FOR the ratification of the appointment of Deloitte &amp; Touche LLP as our independent registered public accounting firm for 2025, and in accordance with the judgment of the persons named in the proxy as to such other matters as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230505</wp:posOffset>
            </wp:positionV>
            <wp:extent cx="483870" cy="2222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900"/>
        <w:spacing w:after="0"/>
        <w:tabs>
          <w:tab w:leader="none" w:pos="972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422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30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7"/>
                <w:szCs w:val="17"/>
                <w:color w:val="D9D9D9"/>
                <w:w w:val="95"/>
              </w:rPr>
              <w:t>CECO ENVIRONMENTAL</w:t>
            </w:r>
          </w:p>
        </w:tc>
        <w:tc>
          <w:tcPr>
            <w:tcW w:w="0" w:type="dxa"/>
            <w:vAlign w:val="bottom"/>
          </w:tcPr>
          <w:p>
            <w:pPr>
              <w:spacing w:after="0"/>
              <w:rPr>
                <w:sz w:val="1"/>
                <w:szCs w:val="1"/>
                <w:color w:val="auto"/>
              </w:rPr>
            </w:pPr>
          </w:p>
        </w:tc>
      </w:tr>
      <w:tr>
        <w:trPr>
          <w:trHeight w:val="385"/>
        </w:trPr>
        <w:tc>
          <w:tcPr>
            <w:tcW w:w="5180" w:type="dxa"/>
            <w:vAlign w:val="bottom"/>
            <w:gridSpan w:val="4"/>
            <w:vMerge w:val="restart"/>
          </w:tcPr>
          <w:p>
            <w:pPr>
              <w:spacing w:after="0"/>
              <w:rPr>
                <w:sz w:val="20"/>
                <w:szCs w:val="20"/>
                <w:color w:val="auto"/>
              </w:rPr>
            </w:pPr>
            <w:r>
              <w:rPr>
                <w:rFonts w:ascii="Arial" w:cs="Arial" w:eastAsia="Arial" w:hAnsi="Arial"/>
                <w:sz w:val="17"/>
                <w:szCs w:val="17"/>
                <w:b w:val="1"/>
                <w:bCs w:val="1"/>
                <w:color w:val="A1B657"/>
                <w:w w:val="98"/>
              </w:rPr>
              <w:t>Supplementary Reconciliation of Non-GAAP Financial Measures: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3C578C"/>
              </w:rPr>
              <w:t>Appendix 1</w:t>
            </w:r>
          </w:p>
        </w:tc>
        <w:tc>
          <w:tcPr>
            <w:tcW w:w="0" w:type="dxa"/>
            <w:vAlign w:val="bottom"/>
          </w:tcPr>
          <w:p>
            <w:pPr>
              <w:spacing w:after="0"/>
              <w:rPr>
                <w:sz w:val="1"/>
                <w:szCs w:val="1"/>
                <w:color w:val="auto"/>
              </w:rPr>
            </w:pPr>
          </w:p>
        </w:tc>
      </w:tr>
      <w:tr>
        <w:trPr>
          <w:trHeight w:val="187"/>
        </w:trPr>
        <w:tc>
          <w:tcPr>
            <w:tcW w:w="5180" w:type="dxa"/>
            <w:vAlign w:val="bottom"/>
            <w:gridSpan w:val="4"/>
            <w:vMerge w:val="continue"/>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4220" w:type="dxa"/>
            <w:vAlign w:val="bottom"/>
            <w:gridSpan w:val="2"/>
          </w:tcPr>
          <w:p>
            <w:pPr>
              <w:spacing w:after="0"/>
              <w:rPr>
                <w:sz w:val="20"/>
                <w:szCs w:val="20"/>
                <w:color w:val="auto"/>
              </w:rPr>
            </w:pPr>
            <w:r>
              <w:rPr>
                <w:rFonts w:ascii="Arial" w:cs="Arial" w:eastAsia="Arial" w:hAnsi="Arial"/>
                <w:sz w:val="17"/>
                <w:szCs w:val="17"/>
                <w:b w:val="1"/>
                <w:bCs w:val="1"/>
                <w:color w:val="auto"/>
              </w:rPr>
              <w:t>(dollars in millions except earnings per share)</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ind w:right="157"/>
              <w:spacing w:after="0"/>
              <w:rPr>
                <w:sz w:val="20"/>
                <w:szCs w:val="20"/>
                <w:color w:val="auto"/>
              </w:rPr>
            </w:pPr>
            <w:r>
              <w:rPr>
                <w:rFonts w:ascii="Arial" w:cs="Arial" w:eastAsia="Arial" w:hAnsi="Arial"/>
                <w:sz w:val="17"/>
                <w:szCs w:val="17"/>
                <w:b w:val="1"/>
                <w:bCs w:val="1"/>
                <w:color w:val="auto"/>
                <w:w w:val="99"/>
              </w:rPr>
              <w:t>Annual 2022</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Annual 2023</w:t>
            </w:r>
          </w:p>
        </w:tc>
        <w:tc>
          <w:tcPr>
            <w:tcW w:w="50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Annual 2024</w:t>
            </w:r>
          </w:p>
        </w:tc>
        <w:tc>
          <w:tcPr>
            <w:tcW w:w="0" w:type="dxa"/>
            <w:vAlign w:val="bottom"/>
          </w:tcPr>
          <w:p>
            <w:pPr>
              <w:spacing w:after="0"/>
              <w:rPr>
                <w:sz w:val="1"/>
                <w:szCs w:val="1"/>
                <w:color w:val="auto"/>
              </w:rPr>
            </w:pPr>
          </w:p>
        </w:tc>
      </w:tr>
      <w:tr>
        <w:trPr>
          <w:trHeight w:val="192"/>
        </w:trPr>
        <w:tc>
          <w:tcPr>
            <w:tcW w:w="4220" w:type="dxa"/>
            <w:vAlign w:val="bottom"/>
            <w:tcBorders>
              <w:top w:val="single" w:sz="8" w:color="405788"/>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Net income as reported in accordance with GAAP</w:t>
            </w:r>
          </w:p>
        </w:tc>
        <w:tc>
          <w:tcPr>
            <w:tcW w:w="960" w:type="dxa"/>
            <w:vAlign w:val="bottom"/>
            <w:tcBorders>
              <w:top w:val="single" w:sz="8" w:color="405788"/>
              <w:bottom w:val="single" w:sz="8" w:color="D9D9D9"/>
            </w:tcBorders>
            <w:gridSpan w:val="2"/>
          </w:tcPr>
          <w:p>
            <w:pPr>
              <w:jc w:val="right"/>
              <w:ind w:right="237"/>
              <w:spacing w:after="0" w:line="188" w:lineRule="exact"/>
              <w:rPr>
                <w:sz w:val="20"/>
                <w:szCs w:val="20"/>
                <w:color w:val="auto"/>
              </w:rPr>
            </w:pPr>
            <w:r>
              <w:rPr>
                <w:rFonts w:ascii="Arial" w:cs="Arial" w:eastAsia="Arial" w:hAnsi="Arial"/>
                <w:sz w:val="17"/>
                <w:szCs w:val="17"/>
                <w:color w:val="auto"/>
              </w:rPr>
              <w:t>$</w:t>
            </w:r>
          </w:p>
        </w:tc>
        <w:tc>
          <w:tcPr>
            <w:tcW w:w="1260" w:type="dxa"/>
            <w:vAlign w:val="bottom"/>
            <w:tcBorders>
              <w:top w:val="single" w:sz="8" w:color="405788"/>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17.4</w:t>
            </w:r>
          </w:p>
        </w:tc>
        <w:tc>
          <w:tcPr>
            <w:tcW w:w="320" w:type="dxa"/>
            <w:vAlign w:val="bottom"/>
            <w:tcBorders>
              <w:top w:val="single" w:sz="8" w:color="405788"/>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12.9</w:t>
            </w:r>
          </w:p>
        </w:tc>
        <w:tc>
          <w:tcPr>
            <w:tcW w:w="50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top w:val="single" w:sz="8" w:color="405788"/>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Amortization expenses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7.0</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7.4</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Earnout expenses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(0.2)</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0.8</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Restructuring expenses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0.1</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1.3</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Acquisition and integration expenses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4.5</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Executive transition expenses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1.2</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Asbestos litigation expenses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Foreign currency remeasurement</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(1.3)</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Tax expense (benefit) of adjustments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405788"/>
            </w:tcBorders>
          </w:tcPr>
          <w:p>
            <w:pPr>
              <w:spacing w:after="0"/>
              <w:rPr>
                <w:sz w:val="16"/>
                <w:szCs w:val="16"/>
                <w:color w:val="auto"/>
              </w:rPr>
            </w:pPr>
          </w:p>
        </w:tc>
        <w:tc>
          <w:tcPr>
            <w:tcW w:w="1260" w:type="dxa"/>
            <w:vAlign w:val="bottom"/>
            <w:tcBorders>
              <w:bottom w:val="single" w:sz="8" w:color="405788"/>
            </w:tcBorders>
          </w:tcPr>
          <w:p>
            <w:pPr>
              <w:jc w:val="right"/>
              <w:ind w:right="97"/>
              <w:spacing w:after="0" w:line="188" w:lineRule="exact"/>
              <w:rPr>
                <w:sz w:val="20"/>
                <w:szCs w:val="20"/>
                <w:color w:val="auto"/>
              </w:rPr>
            </w:pPr>
            <w:r>
              <w:rPr>
                <w:rFonts w:ascii="Arial" w:cs="Arial" w:eastAsia="Arial" w:hAnsi="Arial"/>
                <w:sz w:val="17"/>
                <w:szCs w:val="17"/>
                <w:color w:val="auto"/>
              </w:rPr>
              <w:t>(2.8)</w:t>
            </w:r>
          </w:p>
        </w:tc>
        <w:tc>
          <w:tcPr>
            <w:tcW w:w="320" w:type="dxa"/>
            <w:vAlign w:val="bottom"/>
            <w:tcBorders>
              <w:bottom w:val="single" w:sz="8" w:color="405788"/>
            </w:tcBorders>
          </w:tcPr>
          <w:p>
            <w:pPr>
              <w:spacing w:after="0"/>
              <w:rPr>
                <w:sz w:val="16"/>
                <w:szCs w:val="16"/>
                <w:color w:val="auto"/>
              </w:rPr>
            </w:pPr>
          </w:p>
        </w:tc>
        <w:tc>
          <w:tcPr>
            <w:tcW w:w="12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1.2</w:t>
            </w:r>
          </w:p>
        </w:tc>
        <w:tc>
          <w:tcPr>
            <w:tcW w:w="500" w:type="dxa"/>
            <w:vAlign w:val="bottom"/>
            <w:tcBorders>
              <w:bottom w:val="single" w:sz="8" w:color="405788"/>
            </w:tcBorders>
          </w:tcPr>
          <w:p>
            <w:pPr>
              <w:spacing w:after="0"/>
              <w:rPr>
                <w:sz w:val="16"/>
                <w:szCs w:val="16"/>
                <w:color w:val="auto"/>
              </w:rPr>
            </w:pPr>
          </w:p>
        </w:tc>
        <w:tc>
          <w:tcPr>
            <w:tcW w:w="1440" w:type="dxa"/>
            <w:vAlign w:val="bottom"/>
            <w:tcBorders>
              <w:bottom w:val="single" w:sz="8" w:color="405788"/>
            </w:tcBorders>
          </w:tcPr>
          <w:p>
            <w:pPr>
              <w:jc w:val="right"/>
              <w:ind w:right="137"/>
              <w:spacing w:after="0" w:line="188" w:lineRule="exact"/>
              <w:rPr>
                <w:sz w:val="20"/>
                <w:szCs w:val="20"/>
                <w:color w:val="auto"/>
              </w:rPr>
            </w:pPr>
            <w:r>
              <w:rPr>
                <w:rFonts w:ascii="Arial" w:cs="Arial" w:eastAsia="Arial" w:hAnsi="Arial"/>
                <w:sz w:val="17"/>
                <w:szCs w:val="17"/>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Non-GAAP net income</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jc w:val="right"/>
              <w:ind w:right="237"/>
              <w:spacing w:after="0" w:line="188"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25.9</w:t>
            </w:r>
          </w:p>
        </w:tc>
        <w:tc>
          <w:tcPr>
            <w:tcW w:w="320" w:type="dxa"/>
            <w:vAlign w:val="bottom"/>
            <w:tcBorders>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26.6</w:t>
            </w:r>
          </w:p>
        </w:tc>
        <w:tc>
          <w:tcPr>
            <w:tcW w:w="50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26.7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Depreciation</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3.6</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5.1</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Non-cash stock compensation</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3.9</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4.5</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Other (income) expense, net</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(5.6)</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0.8</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Interest expense</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5.4</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13.4</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Income tax expense</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8.2</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5.7</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Noncontrolling interest</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405788"/>
            </w:tcBorders>
          </w:tcPr>
          <w:p>
            <w:pPr>
              <w:spacing w:after="0"/>
              <w:rPr>
                <w:sz w:val="16"/>
                <w:szCs w:val="16"/>
                <w:color w:val="auto"/>
              </w:rPr>
            </w:pPr>
          </w:p>
        </w:tc>
        <w:tc>
          <w:tcPr>
            <w:tcW w:w="1260" w:type="dxa"/>
            <w:vAlign w:val="bottom"/>
            <w:tcBorders>
              <w:bottom w:val="single" w:sz="8" w:color="405788"/>
            </w:tcBorders>
          </w:tcPr>
          <w:p>
            <w:pPr>
              <w:jc w:val="right"/>
              <w:ind w:right="157"/>
              <w:spacing w:after="0" w:line="188" w:lineRule="exact"/>
              <w:rPr>
                <w:sz w:val="20"/>
                <w:szCs w:val="20"/>
                <w:color w:val="auto"/>
              </w:rPr>
            </w:pPr>
            <w:r>
              <w:rPr>
                <w:rFonts w:ascii="Arial" w:cs="Arial" w:eastAsia="Arial" w:hAnsi="Arial"/>
                <w:sz w:val="17"/>
                <w:szCs w:val="17"/>
                <w:color w:val="auto"/>
              </w:rPr>
              <w:t>0.8</w:t>
            </w:r>
          </w:p>
        </w:tc>
        <w:tc>
          <w:tcPr>
            <w:tcW w:w="320" w:type="dxa"/>
            <w:vAlign w:val="bottom"/>
            <w:tcBorders>
              <w:bottom w:val="single" w:sz="8" w:color="405788"/>
            </w:tcBorders>
          </w:tcPr>
          <w:p>
            <w:pPr>
              <w:spacing w:after="0"/>
              <w:rPr>
                <w:sz w:val="16"/>
                <w:szCs w:val="16"/>
                <w:color w:val="auto"/>
              </w:rPr>
            </w:pPr>
          </w:p>
        </w:tc>
        <w:tc>
          <w:tcPr>
            <w:tcW w:w="12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1.6</w:t>
            </w:r>
          </w:p>
        </w:tc>
        <w:tc>
          <w:tcPr>
            <w:tcW w:w="500" w:type="dxa"/>
            <w:vAlign w:val="bottom"/>
            <w:tcBorders>
              <w:bottom w:val="single" w:sz="8" w:color="405788"/>
            </w:tcBorders>
          </w:tcPr>
          <w:p>
            <w:pPr>
              <w:spacing w:after="0"/>
              <w:rPr>
                <w:sz w:val="16"/>
                <w:szCs w:val="16"/>
                <w:color w:val="auto"/>
              </w:rPr>
            </w:pPr>
          </w:p>
        </w:tc>
        <w:tc>
          <w:tcPr>
            <w:tcW w:w="1440" w:type="dxa"/>
            <w:vAlign w:val="bottom"/>
            <w:tcBorders>
              <w:bottom w:val="single" w:sz="8" w:color="405788"/>
            </w:tcBorders>
          </w:tcPr>
          <w:p>
            <w:pPr>
              <w:jc w:val="right"/>
              <w:ind w:right="197"/>
              <w:spacing w:after="0" w:line="188"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Adjusted EBITDA</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jc w:val="right"/>
              <w:ind w:right="237"/>
              <w:spacing w:after="0" w:line="188"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42.2</w:t>
            </w:r>
          </w:p>
        </w:tc>
        <w:tc>
          <w:tcPr>
            <w:tcW w:w="320" w:type="dxa"/>
            <w:vAlign w:val="bottom"/>
            <w:tcBorders>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57.7</w:t>
            </w:r>
          </w:p>
        </w:tc>
        <w:tc>
          <w:tcPr>
            <w:tcW w:w="50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62.8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i w:val="1"/>
                <w:iCs w:val="1"/>
                <w:color w:val="auto"/>
              </w:rPr>
              <w:t>Adjusted EBITDA margin</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10.0 %</w:t>
            </w:r>
          </w:p>
        </w:tc>
        <w:tc>
          <w:tcPr>
            <w:tcW w:w="320" w:type="dxa"/>
            <w:vAlign w:val="bottom"/>
            <w:tcBorders>
              <w:bottom w:val="single" w:sz="8" w:color="D9D9D9"/>
            </w:tcBorders>
          </w:tcPr>
          <w:p>
            <w:pPr>
              <w:spacing w:after="0"/>
              <w:rPr>
                <w:sz w:val="16"/>
                <w:szCs w:val="16"/>
                <w:color w:val="auto"/>
              </w:rPr>
            </w:pPr>
          </w:p>
        </w:tc>
        <w:tc>
          <w:tcPr>
            <w:tcW w:w="1720" w:type="dxa"/>
            <w:vAlign w:val="bottom"/>
            <w:tcBorders>
              <w:bottom w:val="single" w:sz="8" w:color="D9D9D9"/>
            </w:tcBorders>
            <w:gridSpan w:val="2"/>
          </w:tcPr>
          <w:p>
            <w:pPr>
              <w:jc w:val="right"/>
              <w:ind w:right="277"/>
              <w:spacing w:after="0" w:line="188" w:lineRule="exact"/>
              <w:rPr>
                <w:sz w:val="20"/>
                <w:szCs w:val="20"/>
                <w:color w:val="auto"/>
              </w:rPr>
            </w:pPr>
            <w:r>
              <w:rPr>
                <w:rFonts w:ascii="Arial" w:cs="Arial" w:eastAsia="Arial" w:hAnsi="Arial"/>
                <w:sz w:val="17"/>
                <w:szCs w:val="17"/>
                <w:color w:val="auto"/>
              </w:rPr>
              <w:t>10.6 %</w:t>
            </w:r>
          </w:p>
        </w:tc>
        <w:tc>
          <w:tcPr>
            <w:tcW w:w="14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11.3 %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b w:val="1"/>
                <w:bCs w:val="1"/>
                <w:color w:val="auto"/>
              </w:rPr>
              <w:t>Earnings per share:</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spacing w:after="0"/>
              <w:rPr>
                <w:sz w:val="16"/>
                <w:szCs w:val="16"/>
                <w:color w:val="auto"/>
              </w:rPr>
            </w:pP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spacing w:after="0"/>
              <w:rPr>
                <w:sz w:val="16"/>
                <w:szCs w:val="16"/>
                <w:color w:val="auto"/>
              </w:rPr>
            </w:pP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ind w:left="500"/>
              <w:spacing w:after="0" w:line="188" w:lineRule="exact"/>
              <w:rPr>
                <w:sz w:val="20"/>
                <w:szCs w:val="20"/>
                <w:color w:val="auto"/>
              </w:rPr>
            </w:pPr>
            <w:r>
              <w:rPr>
                <w:rFonts w:ascii="Arial" w:cs="Arial" w:eastAsia="Arial" w:hAnsi="Arial"/>
                <w:sz w:val="17"/>
                <w:szCs w:val="17"/>
                <w:color w:val="auto"/>
              </w:rPr>
              <w:t>Basic</w:t>
            </w:r>
          </w:p>
        </w:tc>
        <w:tc>
          <w:tcPr>
            <w:tcW w:w="960" w:type="dxa"/>
            <w:vAlign w:val="bottom"/>
            <w:tcBorders>
              <w:bottom w:val="single" w:sz="8" w:color="D9D9D9"/>
            </w:tcBorders>
            <w:gridSpan w:val="2"/>
          </w:tcPr>
          <w:p>
            <w:pPr>
              <w:jc w:val="right"/>
              <w:ind w:right="237"/>
              <w:spacing w:after="0" w:line="188"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0.50</w:t>
            </w:r>
          </w:p>
        </w:tc>
        <w:tc>
          <w:tcPr>
            <w:tcW w:w="320" w:type="dxa"/>
            <w:vAlign w:val="bottom"/>
            <w:tcBorders>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0.37</w:t>
            </w:r>
          </w:p>
        </w:tc>
        <w:tc>
          <w:tcPr>
            <w:tcW w:w="50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ind w:left="500"/>
              <w:spacing w:after="0" w:line="188" w:lineRule="exact"/>
              <w:rPr>
                <w:sz w:val="20"/>
                <w:szCs w:val="20"/>
                <w:color w:val="auto"/>
              </w:rPr>
            </w:pPr>
            <w:r>
              <w:rPr>
                <w:rFonts w:ascii="Arial" w:cs="Arial" w:eastAsia="Arial" w:hAnsi="Arial"/>
                <w:sz w:val="17"/>
                <w:szCs w:val="17"/>
                <w:color w:val="auto"/>
              </w:rPr>
              <w:t>Diluted</w:t>
            </w:r>
          </w:p>
        </w:tc>
        <w:tc>
          <w:tcPr>
            <w:tcW w:w="960" w:type="dxa"/>
            <w:vAlign w:val="bottom"/>
            <w:tcBorders>
              <w:bottom w:val="single" w:sz="8" w:color="D9D9D9"/>
            </w:tcBorders>
            <w:gridSpan w:val="2"/>
          </w:tcPr>
          <w:p>
            <w:pPr>
              <w:jc w:val="right"/>
              <w:ind w:right="237"/>
              <w:spacing w:after="0" w:line="188"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0.50</w:t>
            </w:r>
          </w:p>
        </w:tc>
        <w:tc>
          <w:tcPr>
            <w:tcW w:w="320" w:type="dxa"/>
            <w:vAlign w:val="bottom"/>
            <w:tcBorders>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0.37</w:t>
            </w:r>
          </w:p>
        </w:tc>
        <w:tc>
          <w:tcPr>
            <w:tcW w:w="50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b w:val="1"/>
                <w:bCs w:val="1"/>
                <w:color w:val="auto"/>
              </w:rPr>
              <w:t>Adjusted earnings per share:</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spacing w:after="0"/>
              <w:rPr>
                <w:sz w:val="16"/>
                <w:szCs w:val="16"/>
                <w:color w:val="auto"/>
              </w:rPr>
            </w:pP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spacing w:after="0"/>
              <w:rPr>
                <w:sz w:val="16"/>
                <w:szCs w:val="16"/>
                <w:color w:val="auto"/>
              </w:rPr>
            </w:pP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ind w:left="500"/>
              <w:spacing w:after="0" w:line="188" w:lineRule="exact"/>
              <w:rPr>
                <w:sz w:val="20"/>
                <w:szCs w:val="20"/>
                <w:color w:val="auto"/>
              </w:rPr>
            </w:pPr>
            <w:r>
              <w:rPr>
                <w:rFonts w:ascii="Arial" w:cs="Arial" w:eastAsia="Arial" w:hAnsi="Arial"/>
                <w:sz w:val="17"/>
                <w:szCs w:val="17"/>
                <w:color w:val="auto"/>
              </w:rPr>
              <w:t>Basic</w:t>
            </w:r>
          </w:p>
        </w:tc>
        <w:tc>
          <w:tcPr>
            <w:tcW w:w="960" w:type="dxa"/>
            <w:vAlign w:val="bottom"/>
            <w:tcBorders>
              <w:bottom w:val="single" w:sz="8" w:color="D9D9D9"/>
            </w:tcBorders>
            <w:gridSpan w:val="2"/>
          </w:tcPr>
          <w:p>
            <w:pPr>
              <w:jc w:val="right"/>
              <w:ind w:right="237"/>
              <w:spacing w:after="0" w:line="188"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0.75</w:t>
            </w:r>
          </w:p>
        </w:tc>
        <w:tc>
          <w:tcPr>
            <w:tcW w:w="320" w:type="dxa"/>
            <w:vAlign w:val="bottom"/>
            <w:tcBorders>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0.77</w:t>
            </w:r>
          </w:p>
        </w:tc>
        <w:tc>
          <w:tcPr>
            <w:tcW w:w="50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ind w:left="500"/>
              <w:spacing w:after="0" w:line="188" w:lineRule="exact"/>
              <w:rPr>
                <w:sz w:val="20"/>
                <w:szCs w:val="20"/>
                <w:color w:val="auto"/>
              </w:rPr>
            </w:pPr>
            <w:r>
              <w:rPr>
                <w:rFonts w:ascii="Arial" w:cs="Arial" w:eastAsia="Arial" w:hAnsi="Arial"/>
                <w:sz w:val="17"/>
                <w:szCs w:val="17"/>
                <w:color w:val="auto"/>
              </w:rPr>
              <w:t>Diluted</w:t>
            </w:r>
          </w:p>
        </w:tc>
        <w:tc>
          <w:tcPr>
            <w:tcW w:w="960" w:type="dxa"/>
            <w:vAlign w:val="bottom"/>
            <w:tcBorders>
              <w:bottom w:val="single" w:sz="8" w:color="D9D9D9"/>
            </w:tcBorders>
            <w:gridSpan w:val="2"/>
          </w:tcPr>
          <w:p>
            <w:pPr>
              <w:jc w:val="right"/>
              <w:ind w:right="237"/>
              <w:spacing w:after="0" w:line="188"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0.74</w:t>
            </w:r>
          </w:p>
        </w:tc>
        <w:tc>
          <w:tcPr>
            <w:tcW w:w="320" w:type="dxa"/>
            <w:vAlign w:val="bottom"/>
            <w:tcBorders>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0.75</w:t>
            </w:r>
          </w:p>
        </w:tc>
        <w:tc>
          <w:tcPr>
            <w:tcW w:w="50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4220" w:type="dxa"/>
            <w:vAlign w:val="bottom"/>
            <w:gridSpan w:val="2"/>
          </w:tcPr>
          <w:p>
            <w:pPr>
              <w:spacing w:after="0"/>
              <w:rPr>
                <w:sz w:val="20"/>
                <w:szCs w:val="20"/>
                <w:color w:val="auto"/>
              </w:rPr>
            </w:pPr>
            <w:r>
              <w:rPr>
                <w:rFonts w:ascii="Arial" w:cs="Arial" w:eastAsia="Arial" w:hAnsi="Arial"/>
                <w:sz w:val="17"/>
                <w:szCs w:val="17"/>
                <w:b w:val="1"/>
                <w:bCs w:val="1"/>
                <w:color w:val="auto"/>
              </w:rPr>
              <w:t>(dollars in millions)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ind w:right="157"/>
              <w:spacing w:after="0"/>
              <w:rPr>
                <w:sz w:val="20"/>
                <w:szCs w:val="20"/>
                <w:color w:val="auto"/>
              </w:rPr>
            </w:pPr>
            <w:r>
              <w:rPr>
                <w:rFonts w:ascii="Arial" w:cs="Arial" w:eastAsia="Arial" w:hAnsi="Arial"/>
                <w:sz w:val="17"/>
                <w:szCs w:val="17"/>
                <w:b w:val="1"/>
                <w:bCs w:val="1"/>
                <w:color w:val="auto"/>
                <w:w w:val="99"/>
              </w:rPr>
              <w:t>Annual 2022</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Annual 2023</w:t>
            </w:r>
          </w:p>
        </w:tc>
        <w:tc>
          <w:tcPr>
            <w:tcW w:w="50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Annual 2024</w:t>
            </w:r>
          </w:p>
        </w:tc>
        <w:tc>
          <w:tcPr>
            <w:tcW w:w="0" w:type="dxa"/>
            <w:vAlign w:val="bottom"/>
          </w:tcPr>
          <w:p>
            <w:pPr>
              <w:spacing w:after="0"/>
              <w:rPr>
                <w:sz w:val="1"/>
                <w:szCs w:val="1"/>
                <w:color w:val="auto"/>
              </w:rPr>
            </w:pPr>
          </w:p>
        </w:tc>
      </w:tr>
      <w:tr>
        <w:trPr>
          <w:trHeight w:val="192"/>
        </w:trPr>
        <w:tc>
          <w:tcPr>
            <w:tcW w:w="4220" w:type="dxa"/>
            <w:vAlign w:val="bottom"/>
            <w:tcBorders>
              <w:top w:val="single" w:sz="8" w:color="405788"/>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Net cash provided by operating activities</w:t>
            </w:r>
          </w:p>
        </w:tc>
        <w:tc>
          <w:tcPr>
            <w:tcW w:w="960" w:type="dxa"/>
            <w:vAlign w:val="bottom"/>
            <w:tcBorders>
              <w:top w:val="single" w:sz="8" w:color="405788"/>
              <w:bottom w:val="single" w:sz="8" w:color="D9D9D9"/>
            </w:tcBorders>
            <w:gridSpan w:val="2"/>
          </w:tcPr>
          <w:p>
            <w:pPr>
              <w:jc w:val="right"/>
              <w:ind w:right="237"/>
              <w:spacing w:after="0" w:line="188" w:lineRule="exact"/>
              <w:rPr>
                <w:sz w:val="20"/>
                <w:szCs w:val="20"/>
                <w:color w:val="auto"/>
              </w:rPr>
            </w:pPr>
            <w:r>
              <w:rPr>
                <w:rFonts w:ascii="Arial" w:cs="Arial" w:eastAsia="Arial" w:hAnsi="Arial"/>
                <w:sz w:val="17"/>
                <w:szCs w:val="17"/>
                <w:color w:val="auto"/>
              </w:rPr>
              <w:t>$</w:t>
            </w:r>
          </w:p>
        </w:tc>
        <w:tc>
          <w:tcPr>
            <w:tcW w:w="1260" w:type="dxa"/>
            <w:vAlign w:val="bottom"/>
            <w:tcBorders>
              <w:top w:val="single" w:sz="8" w:color="405788"/>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29.6</w:t>
            </w:r>
          </w:p>
        </w:tc>
        <w:tc>
          <w:tcPr>
            <w:tcW w:w="320" w:type="dxa"/>
            <w:vAlign w:val="bottom"/>
            <w:tcBorders>
              <w:top w:val="single" w:sz="8" w:color="405788"/>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44.6</w:t>
            </w:r>
          </w:p>
        </w:tc>
        <w:tc>
          <w:tcPr>
            <w:tcW w:w="50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top w:val="single" w:sz="8" w:color="405788"/>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24.8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Earnouts payments (within operating activities)</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1.0</w:t>
            </w:r>
          </w:p>
        </w:tc>
        <w:tc>
          <w:tcPr>
            <w:tcW w:w="320" w:type="dxa"/>
            <w:vAlign w:val="bottom"/>
            <w:tcBorders>
              <w:bottom w:val="single" w:sz="8" w:color="D9D9D9"/>
            </w:tcBorders>
          </w:tcPr>
          <w:p>
            <w:pPr>
              <w:spacing w:after="0"/>
              <w:rPr>
                <w:sz w:val="16"/>
                <w:szCs w:val="16"/>
                <w:color w:val="auto"/>
              </w:rPr>
            </w:pP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D9D9D9"/>
            </w:tcBorders>
          </w:tcPr>
          <w:p>
            <w:pPr>
              <w:spacing w:after="0"/>
              <w:rPr>
                <w:sz w:val="16"/>
                <w:szCs w:val="16"/>
                <w:color w:val="auto"/>
              </w:rPr>
            </w:pP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Acquisitions of property and equipment</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405788"/>
            </w:tcBorders>
          </w:tcPr>
          <w:p>
            <w:pPr>
              <w:spacing w:after="0"/>
              <w:rPr>
                <w:sz w:val="16"/>
                <w:szCs w:val="16"/>
                <w:color w:val="auto"/>
              </w:rPr>
            </w:pPr>
          </w:p>
        </w:tc>
        <w:tc>
          <w:tcPr>
            <w:tcW w:w="1260" w:type="dxa"/>
            <w:vAlign w:val="bottom"/>
            <w:tcBorders>
              <w:bottom w:val="single" w:sz="8" w:color="405788"/>
            </w:tcBorders>
          </w:tcPr>
          <w:p>
            <w:pPr>
              <w:jc w:val="right"/>
              <w:ind w:right="97"/>
              <w:spacing w:after="0" w:line="188" w:lineRule="exact"/>
              <w:rPr>
                <w:sz w:val="20"/>
                <w:szCs w:val="20"/>
                <w:color w:val="auto"/>
              </w:rPr>
            </w:pPr>
            <w:r>
              <w:rPr>
                <w:rFonts w:ascii="Arial" w:cs="Arial" w:eastAsia="Arial" w:hAnsi="Arial"/>
                <w:sz w:val="17"/>
                <w:szCs w:val="17"/>
                <w:color w:val="auto"/>
              </w:rPr>
              <w:t>(3.4)</w:t>
            </w:r>
          </w:p>
        </w:tc>
        <w:tc>
          <w:tcPr>
            <w:tcW w:w="320" w:type="dxa"/>
            <w:vAlign w:val="bottom"/>
            <w:tcBorders>
              <w:bottom w:val="single" w:sz="8" w:color="405788"/>
            </w:tcBorders>
          </w:tcPr>
          <w:p>
            <w:pPr>
              <w:spacing w:after="0"/>
              <w:rPr>
                <w:sz w:val="16"/>
                <w:szCs w:val="16"/>
                <w:color w:val="auto"/>
              </w:rPr>
            </w:pPr>
          </w:p>
        </w:tc>
        <w:tc>
          <w:tcPr>
            <w:tcW w:w="12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(8.4)</w:t>
            </w:r>
          </w:p>
        </w:tc>
        <w:tc>
          <w:tcPr>
            <w:tcW w:w="500" w:type="dxa"/>
            <w:vAlign w:val="bottom"/>
            <w:tcBorders>
              <w:bottom w:val="single" w:sz="8" w:color="405788"/>
            </w:tcBorders>
          </w:tcPr>
          <w:p>
            <w:pPr>
              <w:spacing w:after="0"/>
              <w:rPr>
                <w:sz w:val="16"/>
                <w:szCs w:val="16"/>
                <w:color w:val="auto"/>
              </w:rPr>
            </w:pPr>
          </w:p>
        </w:tc>
        <w:tc>
          <w:tcPr>
            <w:tcW w:w="1440" w:type="dxa"/>
            <w:vAlign w:val="bottom"/>
            <w:tcBorders>
              <w:bottom w:val="single" w:sz="8" w:color="405788"/>
            </w:tcBorders>
          </w:tcPr>
          <w:p>
            <w:pPr>
              <w:jc w:val="right"/>
              <w:ind w:right="137"/>
              <w:spacing w:after="0" w:line="188" w:lineRule="exact"/>
              <w:rPr>
                <w:sz w:val="20"/>
                <w:szCs w:val="20"/>
                <w:color w:val="auto"/>
              </w:rPr>
            </w:pPr>
            <w:r>
              <w:rPr>
                <w:rFonts w:ascii="Arial" w:cs="Arial" w:eastAsia="Arial" w:hAnsi="Arial"/>
                <w:sz w:val="17"/>
                <w:szCs w:val="17"/>
                <w:color w:val="auto"/>
              </w:rPr>
              <w:t>(17.4)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Free Cash Flow</w:t>
            </w:r>
          </w:p>
        </w:tc>
        <w:tc>
          <w:tcPr>
            <w:tcW w:w="54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jc w:val="right"/>
              <w:ind w:right="237"/>
              <w:spacing w:after="0" w:line="188"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27.2</w:t>
            </w:r>
          </w:p>
        </w:tc>
        <w:tc>
          <w:tcPr>
            <w:tcW w:w="320" w:type="dxa"/>
            <w:vAlign w:val="bottom"/>
            <w:tcBorders>
              <w:bottom w:val="single" w:sz="8" w:color="D9D9D9"/>
            </w:tcBorders>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36.2</w:t>
            </w:r>
          </w:p>
        </w:tc>
        <w:tc>
          <w:tcPr>
            <w:tcW w:w="50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610870</wp:posOffset>
            </wp:positionV>
            <wp:extent cx="483870" cy="2222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840"/>
        <w:spacing w:after="0"/>
        <w:tabs>
          <w:tab w:leader="none" w:pos="9640" w:val="left"/>
        </w:tabs>
        <w:rPr>
          <w:sz w:val="20"/>
          <w:szCs w:val="20"/>
          <w:color w:val="auto"/>
        </w:rPr>
      </w:pPr>
      <w:r>
        <w:rPr>
          <w:rFonts w:ascii="Arial" w:cs="Arial" w:eastAsia="Arial" w:hAnsi="Arial"/>
          <w:sz w:val="17"/>
          <w:szCs w:val="17"/>
          <w:color w:val="7F7F7F"/>
        </w:rPr>
        <w:t>2025 Proxy Statement</w:t>
      </w:r>
      <w:r>
        <w:rPr>
          <w:sz w:val="20"/>
          <w:szCs w:val="20"/>
          <w:color w:val="auto"/>
        </w:rPr>
        <w:tab/>
      </w:r>
      <w:r>
        <w:rPr>
          <w:rFonts w:ascii="Arial" w:cs="Arial" w:eastAsia="Arial" w:hAnsi="Arial"/>
          <w:sz w:val="16"/>
          <w:szCs w:val="16"/>
          <w:color w:val="7F7F7F"/>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23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500" w:type="dxa"/>
            <w:vAlign w:val="bottom"/>
            <w:gridSpan w:val="2"/>
          </w:tcPr>
          <w:p>
            <w:pPr>
              <w:ind w:left="2580"/>
              <w:spacing w:after="0"/>
              <w:rPr>
                <w:sz w:val="20"/>
                <w:szCs w:val="20"/>
                <w:color w:val="auto"/>
              </w:rPr>
            </w:pPr>
            <w:r>
              <w:rPr>
                <w:rFonts w:ascii="Arial" w:cs="Arial" w:eastAsia="Arial" w:hAnsi="Arial"/>
                <w:sz w:val="17"/>
                <w:szCs w:val="17"/>
                <w:b w:val="1"/>
                <w:bCs w:val="1"/>
                <w:color w:val="3C578C"/>
                <w:w w:val="98"/>
              </w:rPr>
              <w:t>Appendix 2</w:t>
            </w:r>
          </w:p>
        </w:tc>
      </w:tr>
      <w:tr>
        <w:trPr>
          <w:trHeight w:val="330"/>
        </w:trPr>
        <w:tc>
          <w:tcPr>
            <w:tcW w:w="20" w:type="dxa"/>
            <w:vAlign w:val="bottom"/>
          </w:tcPr>
          <w:p>
            <w:pPr>
              <w:spacing w:after="0"/>
              <w:rPr>
                <w:sz w:val="24"/>
                <w:szCs w:val="24"/>
                <w:color w:val="auto"/>
              </w:rPr>
            </w:pPr>
          </w:p>
        </w:tc>
        <w:tc>
          <w:tcPr>
            <w:tcW w:w="2820" w:type="dxa"/>
            <w:vAlign w:val="bottom"/>
            <w:tcBorders>
              <w:bottom w:val="single" w:sz="8" w:color="405788"/>
            </w:tcBorders>
          </w:tcPr>
          <w:p>
            <w:pPr>
              <w:spacing w:after="0"/>
              <w:rPr>
                <w:sz w:val="24"/>
                <w:szCs w:val="24"/>
                <w:color w:val="auto"/>
              </w:rPr>
            </w:pPr>
          </w:p>
        </w:tc>
        <w:tc>
          <w:tcPr>
            <w:tcW w:w="3600" w:type="dxa"/>
            <w:vAlign w:val="bottom"/>
            <w:tcBorders>
              <w:bottom w:val="single" w:sz="8" w:color="405788"/>
            </w:tcBorders>
          </w:tcPr>
          <w:p>
            <w:pPr>
              <w:ind w:left="820"/>
              <w:spacing w:after="0"/>
              <w:rPr>
                <w:sz w:val="20"/>
                <w:szCs w:val="20"/>
                <w:color w:val="auto"/>
              </w:rPr>
            </w:pPr>
            <w:r>
              <w:rPr>
                <w:rFonts w:ascii="Arial" w:cs="Arial" w:eastAsia="Arial" w:hAnsi="Arial"/>
                <w:sz w:val="13"/>
                <w:szCs w:val="13"/>
                <w:b w:val="1"/>
                <w:bCs w:val="1"/>
                <w:color w:val="auto"/>
              </w:rPr>
              <w:t>Relative TSR Peer Group Entities (n=125)</w:t>
            </w:r>
          </w:p>
        </w:tc>
        <w:tc>
          <w:tcPr>
            <w:tcW w:w="3480" w:type="dxa"/>
            <w:vAlign w:val="bottom"/>
            <w:tcBorders>
              <w:bottom w:val="single" w:sz="8" w:color="405788"/>
            </w:tcBorders>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20" w:type="dxa"/>
            <w:vAlign w:val="bottom"/>
            <w:tcBorders>
              <w:bottom w:val="single" w:sz="8" w:color="D9D9D9"/>
            </w:tcBorders>
          </w:tcPr>
          <w:p>
            <w:pPr>
              <w:spacing w:after="0"/>
              <w:rPr>
                <w:sz w:val="15"/>
                <w:szCs w:val="15"/>
                <w:color w:val="auto"/>
              </w:rPr>
            </w:pPr>
          </w:p>
        </w:tc>
        <w:tc>
          <w:tcPr>
            <w:tcW w:w="282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3D Systems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Frontier Group Holdings,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Powell Industries,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ACCO Brands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FTAI Infrastructure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Preformed Line Products Company</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AdvanSix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FuelCell Energy,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Proto Labs,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AerSale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Genco Shipping &amp; Trading Limited</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Quanex Building Products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Air Transport Services Group,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GrafTech International Ltd.</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Ramaco Resources,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Allient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Great Lakes Dredge &amp; Dock Corporation</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Ranpak Holdings Corp.</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Alta Equipment Group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Hawaiian Holdings,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Resources Connection,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Apogee Enterprises,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Haynes International,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REV Group,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Argan,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Healthcare Services Group,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Ryerson Holding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Aspen Aerogels,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Heartland Express,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Schnitzer Steel Industries,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Astec Industries,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Heidrick &amp; Struggles International,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SP Plus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Astronics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HireRight Holdings Corporation</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Steel Partners Holdings L.P.</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Barrett Business Services,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Hudson Technologies,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Stem,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Blue Bird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Hyster-Yale Materials Handling,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Sterling Check Corp.</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BlueLinx Holdings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Insteel Industries,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Stratasys Ltd.</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Bowman Consulting Group Ltd.</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Interface,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Sun Country Airlines Holdings,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BrightView Holdings,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Kaiser Aluminum Corporation</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SunCoke Energy,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Cadre Holdings,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Kaman Corporation</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SunPower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Century Aluminum Company</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Karat Packaging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TaskUs,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ChargePoint Holdings,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Kelly Services,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The GEO Group,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Clearwater Paper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Kforce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The Gorman-Rupp Company</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Coeur Mining,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Koppers Holdings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The Greenbrier Companies,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Columbus McKinnon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Kronos Worldwide,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The Manitowoc Company,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Compass Minerals International,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Limbach Holdings,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The Shyft Group,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Concrete Pumping Holdings,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Liquidity Services,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Thermon Group Holdings,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Conduent Incorporated</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LSB Industries,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TimkenSteel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Covenant Logistics Group,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LSI Industries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Titan International,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CRA International,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Mativ Holdings,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Titan Machinery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CVR Partners, LP</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Matthews International Corporation</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Transcat,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Daseke,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Microvast Holdings,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TriMas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Deluxe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Miller Industries,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Triumph Group,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DNOW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Montrose Environmental Group,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TrueBlue,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Douglas Dynamics,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MRC Global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TTEC Holdings,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Ducommun Incorporated</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Myers Industries,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Tutor Perini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DXP Enterprises,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National Presto Industries,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United States Lime &amp; Minerals,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Eagle Bulk Shipping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Olympic Steel,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Universal Logistics Holdings,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Ecovyst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Omega Flex,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Valhi, Inc.</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Energy Recovery,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P.A.M. Transportation Services,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Viad Corp</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Ennis,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Pangaea Logistics Solutions, Ltd.</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VSE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Enviri Corporation</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Perimeter Solutions, SA</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Wabash National Corporation</w:t>
            </w:r>
          </w:p>
        </w:tc>
        <w:tc>
          <w:tcPr>
            <w:tcW w:w="20" w:type="dxa"/>
            <w:vAlign w:val="bottom"/>
          </w:tcPr>
          <w:p>
            <w:pPr>
              <w:spacing w:after="0"/>
              <w:rPr>
                <w:sz w:val="15"/>
                <w:szCs w:val="15"/>
                <w:color w:val="auto"/>
              </w:rPr>
            </w:pPr>
          </w:p>
        </w:tc>
      </w:tr>
      <w:tr>
        <w:trPr>
          <w:trHeight w:val="180"/>
        </w:trPr>
        <w:tc>
          <w:tcPr>
            <w:tcW w:w="2840" w:type="dxa"/>
            <w:vAlign w:val="bottom"/>
            <w:tcBorders>
              <w:bottom w:val="single" w:sz="8" w:color="D9D9D9"/>
            </w:tcBorders>
            <w:gridSpan w:val="2"/>
          </w:tcPr>
          <w:p>
            <w:pPr>
              <w:spacing w:after="0"/>
              <w:rPr>
                <w:sz w:val="20"/>
                <w:szCs w:val="20"/>
                <w:color w:val="auto"/>
              </w:rPr>
            </w:pPr>
            <w:r>
              <w:rPr>
                <w:rFonts w:ascii="Arial" w:cs="Arial" w:eastAsia="Arial" w:hAnsi="Arial"/>
                <w:sz w:val="15"/>
                <w:szCs w:val="15"/>
                <w:color w:val="auto"/>
              </w:rPr>
              <w:t>Forrester Research, Inc.</w:t>
            </w:r>
          </w:p>
        </w:tc>
        <w:tc>
          <w:tcPr>
            <w:tcW w:w="3600" w:type="dxa"/>
            <w:vAlign w:val="bottom"/>
            <w:tcBorders>
              <w:bottom w:val="single" w:sz="8" w:color="D9D9D9"/>
            </w:tcBorders>
          </w:tcPr>
          <w:p>
            <w:pPr>
              <w:ind w:left="400"/>
              <w:spacing w:after="0"/>
              <w:rPr>
                <w:sz w:val="20"/>
                <w:szCs w:val="20"/>
                <w:color w:val="auto"/>
              </w:rPr>
            </w:pPr>
            <w:r>
              <w:rPr>
                <w:rFonts w:ascii="Arial" w:cs="Arial" w:eastAsia="Arial" w:hAnsi="Arial"/>
                <w:sz w:val="15"/>
                <w:szCs w:val="15"/>
                <w:color w:val="auto"/>
              </w:rPr>
              <w:t>Pitney Bowes Inc.</w:t>
            </w:r>
          </w:p>
        </w:tc>
        <w:tc>
          <w:tcPr>
            <w:tcW w:w="3480" w:type="dxa"/>
            <w:vAlign w:val="bottom"/>
            <w:tcBorders>
              <w:bottom w:val="single" w:sz="8" w:color="D9D9D9"/>
            </w:tcBorders>
          </w:tcPr>
          <w:p>
            <w:pPr>
              <w:ind w:left="180"/>
              <w:spacing w:after="0"/>
              <w:rPr>
                <w:sz w:val="20"/>
                <w:szCs w:val="20"/>
                <w:color w:val="auto"/>
              </w:rPr>
            </w:pPr>
            <w:r>
              <w:rPr>
                <w:rFonts w:ascii="Arial" w:cs="Arial" w:eastAsia="Arial" w:hAnsi="Arial"/>
                <w:sz w:val="15"/>
                <w:szCs w:val="15"/>
                <w:color w:val="auto"/>
              </w:rPr>
              <w:t>Westlake Chemical Partners LP</w:t>
            </w:r>
          </w:p>
        </w:tc>
        <w:tc>
          <w:tcPr>
            <w:tcW w:w="20" w:type="dxa"/>
            <w:vAlign w:val="bottom"/>
          </w:tcPr>
          <w:p>
            <w:pPr>
              <w:spacing w:after="0"/>
              <w:rPr>
                <w:sz w:val="15"/>
                <w:szCs w:val="15"/>
                <w:color w:val="auto"/>
              </w:rPr>
            </w:pPr>
          </w:p>
        </w:tc>
      </w:tr>
      <w:tr>
        <w:trPr>
          <w:trHeight w:val="180"/>
        </w:trPr>
        <w:tc>
          <w:tcPr>
            <w:tcW w:w="2840" w:type="dxa"/>
            <w:vAlign w:val="bottom"/>
            <w:gridSpan w:val="2"/>
          </w:tcPr>
          <w:p>
            <w:pPr>
              <w:spacing w:after="0"/>
              <w:rPr>
                <w:sz w:val="20"/>
                <w:szCs w:val="20"/>
                <w:color w:val="auto"/>
              </w:rPr>
            </w:pPr>
            <w:r>
              <w:rPr>
                <w:rFonts w:ascii="Arial" w:cs="Arial" w:eastAsia="Arial" w:hAnsi="Arial"/>
                <w:sz w:val="15"/>
                <w:szCs w:val="15"/>
                <w:color w:val="auto"/>
              </w:rPr>
              <w:t>Franklin Covey Co.</w:t>
            </w:r>
          </w:p>
        </w:tc>
        <w:tc>
          <w:tcPr>
            <w:tcW w:w="3600" w:type="dxa"/>
            <w:vAlign w:val="bottom"/>
          </w:tcPr>
          <w:p>
            <w:pPr>
              <w:ind w:left="400"/>
              <w:spacing w:after="0"/>
              <w:rPr>
                <w:sz w:val="20"/>
                <w:szCs w:val="20"/>
                <w:color w:val="auto"/>
              </w:rPr>
            </w:pPr>
            <w:r>
              <w:rPr>
                <w:rFonts w:ascii="Arial" w:cs="Arial" w:eastAsia="Arial" w:hAnsi="Arial"/>
                <w:sz w:val="15"/>
                <w:szCs w:val="15"/>
                <w:color w:val="auto"/>
              </w:rPr>
              <w:t>Planet Labs PBC</w:t>
            </w:r>
          </w:p>
        </w:tc>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0" w:type="dxa"/>
            <w:vAlign w:val="bottom"/>
            <w:tcBorders>
              <w:bottom w:val="single" w:sz="8" w:color="D9D9D9"/>
            </w:tcBorders>
          </w:tcPr>
          <w:p>
            <w:pPr>
              <w:spacing w:after="0"/>
              <w:rPr>
                <w:sz w:val="15"/>
                <w:szCs w:val="15"/>
                <w:color w:val="auto"/>
              </w:rPr>
            </w:pPr>
          </w:p>
        </w:tc>
        <w:tc>
          <w:tcPr>
            <w:tcW w:w="2820" w:type="dxa"/>
            <w:vAlign w:val="bottom"/>
            <w:tcBorders>
              <w:top w:val="single" w:sz="8" w:color="D9D9D9"/>
              <w:bottom w:val="single" w:sz="8" w:color="D9D9D9"/>
            </w:tcBorders>
          </w:tcPr>
          <w:p>
            <w:pPr>
              <w:spacing w:after="0"/>
              <w:rPr>
                <w:sz w:val="15"/>
                <w:szCs w:val="15"/>
                <w:color w:val="auto"/>
              </w:rPr>
            </w:pPr>
          </w:p>
        </w:tc>
        <w:tc>
          <w:tcPr>
            <w:tcW w:w="3600" w:type="dxa"/>
            <w:vAlign w:val="bottom"/>
            <w:tcBorders>
              <w:top w:val="single" w:sz="8" w:color="D9D9D9"/>
              <w:bottom w:val="single" w:sz="8" w:color="D9D9D9"/>
            </w:tcBorders>
          </w:tcPr>
          <w:p>
            <w:pPr>
              <w:spacing w:after="0"/>
              <w:rPr>
                <w:sz w:val="15"/>
                <w:szCs w:val="15"/>
                <w:color w:val="auto"/>
              </w:rPr>
            </w:pPr>
          </w:p>
        </w:tc>
        <w:tc>
          <w:tcPr>
            <w:tcW w:w="3480" w:type="dxa"/>
            <w:vAlign w:val="bottom"/>
            <w:tcBorders>
              <w:top w:val="single" w:sz="8" w:color="D9D9D9"/>
              <w:bottom w:val="single" w:sz="8" w:color="D9D9D9"/>
            </w:tcBorders>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840" w:type="dxa"/>
            <w:vAlign w:val="bottom"/>
            <w:tcBorders>
              <w:bottom w:val="single" w:sz="8" w:color="405788"/>
            </w:tcBorders>
            <w:gridSpan w:val="2"/>
          </w:tcPr>
          <w:p>
            <w:pPr>
              <w:spacing w:after="0"/>
              <w:rPr>
                <w:sz w:val="20"/>
                <w:szCs w:val="20"/>
                <w:color w:val="auto"/>
              </w:rPr>
            </w:pPr>
            <w:r>
              <w:rPr>
                <w:rFonts w:ascii="Arial" w:cs="Arial" w:eastAsia="Arial" w:hAnsi="Arial"/>
                <w:sz w:val="13"/>
                <w:szCs w:val="13"/>
                <w:b w:val="1"/>
                <w:bCs w:val="1"/>
                <w:i w:val="1"/>
                <w:iCs w:val="1"/>
                <w:color w:val="auto"/>
              </w:rPr>
              <w:t>Source: CapIQ as of January 1, 2024</w:t>
            </w:r>
          </w:p>
        </w:tc>
        <w:tc>
          <w:tcPr>
            <w:tcW w:w="3600" w:type="dxa"/>
            <w:vAlign w:val="bottom"/>
            <w:tcBorders>
              <w:bottom w:val="single" w:sz="8" w:color="405788"/>
            </w:tcBorders>
          </w:tcPr>
          <w:p>
            <w:pPr>
              <w:spacing w:after="0"/>
              <w:rPr>
                <w:sz w:val="15"/>
                <w:szCs w:val="15"/>
                <w:color w:val="auto"/>
              </w:rPr>
            </w:pPr>
          </w:p>
        </w:tc>
        <w:tc>
          <w:tcPr>
            <w:tcW w:w="3480" w:type="dxa"/>
            <w:vAlign w:val="bottom"/>
            <w:tcBorders>
              <w:bottom w:val="single" w:sz="8" w:color="405788"/>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7F7F7F"/>
        </w:rPr>
        <w:t xml:space="preserve">A-2   </w:t>
      </w:r>
      <w:r>
        <w:rPr>
          <w:sz w:val="1"/>
          <w:szCs w:val="1"/>
          <w:color w:val="auto"/>
        </w:rPr>
        <w:drawing>
          <wp:inline distT="0" distB="0" distL="0" distR="0">
            <wp:extent cx="476250" cy="2222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bullet"/>
      <w:start w:val="1"/>
    </w:lvl>
  </w:abstractNum>
  <w:abstractNum w:abstractNumId="6">
    <w:nsid w:val="153EA438"/>
    <w:multiLevelType w:val="hybridMultilevel"/>
    <w:lvl w:ilvl="0">
      <w:lvlJc w:val="left"/>
      <w:lvlText w:val="2"/>
      <w:numFmt w:val="bullet"/>
      <w:start w:val="1"/>
    </w:lvl>
  </w:abstractNum>
  <w:abstractNum w:abstractNumId="7">
    <w:nsid w:val="3855585C"/>
    <w:multiLevelType w:val="hybridMultilevel"/>
    <w:lvl w:ilvl="0">
      <w:lvlJc w:val="left"/>
      <w:lvlText w:val="3"/>
      <w:numFmt w:val="bullet"/>
      <w:start w:val="1"/>
    </w:lvl>
  </w:abstractNum>
  <w:abstractNum w:abstractNumId="8">
    <w:nsid w:val="70A64E2A"/>
    <w:multiLevelType w:val="hybridMultilevel"/>
    <w:lvl w:ilvl="0">
      <w:lvlJc w:val="left"/>
      <w:lvlText w:val="4"/>
      <w:numFmt w:val="bullet"/>
      <w:start w:val="1"/>
    </w:lvl>
  </w:abstractNum>
  <w:abstractNum w:abstractNumId="9">
    <w:nsid w:val="6A2342EC"/>
    <w:multiLevelType w:val="hybridMultilevel"/>
    <w:lvl w:ilvl="0">
      <w:lvlJc w:val="left"/>
      <w:lvlText w:val="5"/>
      <w:numFmt w:val="bullet"/>
      <w:start w:val="1"/>
    </w:lvl>
  </w:abstractNum>
  <w:abstractNum w:abstractNumId="10">
    <w:nsid w:val="2A487CB0"/>
    <w:multiLevelType w:val="hybridMultilevel"/>
    <w:lvl w:ilvl="0">
      <w:lvlJc w:val="left"/>
      <w:lvlText w:val="1"/>
      <w:numFmt w:val="bullet"/>
      <w:start w:val="1"/>
    </w:lvl>
  </w:abstractNum>
  <w:abstractNum w:abstractNumId="11">
    <w:nsid w:val="1D4ED43B"/>
    <w:multiLevelType w:val="hybridMultilevel"/>
    <w:lvl w:ilvl="0">
      <w:lvlJc w:val="left"/>
      <w:lvlText w:val="2"/>
      <w:numFmt w:val="bullet"/>
      <w:start w:val="1"/>
    </w:lvl>
  </w:abstractNum>
  <w:abstractNum w:abstractNumId="12">
    <w:nsid w:val="725A06FB"/>
    <w:multiLevelType w:val="hybridMultilevel"/>
    <w:lvl w:ilvl="0">
      <w:lvlJc w:val="left"/>
      <w:lvlText w:val="3"/>
      <w:numFmt w:val="bullet"/>
      <w:start w:val="1"/>
    </w:lvl>
  </w:abstractNum>
  <w:abstractNum w:abstractNumId="13">
    <w:nsid w:val="2CD89A32"/>
    <w:multiLevelType w:val="hybridMultilevel"/>
    <w:lvl w:ilvl="0">
      <w:lvlJc w:val="left"/>
      <w:lvlText w:val="4"/>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2"/>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2"/>
    </w:lvl>
  </w:abstractNum>
  <w:abstractNum w:abstractNumId="55">
    <w:nsid w:val="25A70BF7"/>
    <w:multiLevelType w:val="hybridMultilevel"/>
    <w:lvl w:ilvl="0">
      <w:lvlJc w:val="left"/>
      <w:lvlText w:val="(%1)"/>
      <w:numFmt w:val="decimal"/>
      <w:start w:val="3"/>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4"/>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5"/>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3"/>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2025-04-10T07:11:12Z</dcterms:created>
  <dcterms:modified xsi:type="dcterms:W3CDTF">2025-04-10T07:11:12Z</dcterms:modified>
</cp:coreProperties>
</file>