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eco-20240630.htm"/>
      <w:bookmarkStart w:id="1" w:name="ksceco2024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9437" w:type="dxa"/>
        <w:jc w:val="left"/>
        <w:tblInd w:w="0" w:type="dxa"/>
        <w:tblLayout w:type="fixed"/>
        <w:tblCellMar>
          <w:top w:w="28" w:type="dxa"/>
          <w:left w:w="28" w:type="dxa"/>
          <w:bottom w:w="28" w:type="dxa"/>
          <w:right w:w="28" w:type="dxa"/>
        </w:tblCellMar>
      </w:tblPr>
      <w:tblGrid>
        <w:gridCol w:w="331"/>
        <w:gridCol w:w="9106"/>
      </w:tblGrid>
      <w:tr>
        <w:trPr/>
        <w:tc>
          <w:tcPr>
            <w:tcW w:w="331"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106"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166"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0-07099</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790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361950"/>
                    </a:xfrm>
                    <a:prstGeom prst="rect">
                      <a:avLst/>
                    </a:prstGeom>
                  </pic:spPr>
                </pic:pic>
              </a:graphicData>
            </a:graphic>
          </wp:inline>
        </w:drawing>
      </w: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CECO ENVIRONMENTAL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386"/>
        <w:gridCol w:w="146"/>
        <w:gridCol w:w="14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13-2566064</w:t>
            </w:r>
          </w:p>
        </w:tc>
      </w:tr>
      <w:tr>
        <w:trPr/>
        <w:tc>
          <w:tcPr>
            <w:tcW w:w="23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14651 North Dallas Parkway</w:t>
            </w:r>
          </w:p>
          <w:p>
            <w:pPr>
              <w:pStyle w:val="TableContents"/>
              <w:bidi w:val="0"/>
              <w:jc w:val="center"/>
              <w:rPr>
                <w:rFonts w:ascii="Times New Roman" w:hAnsi="Times New Roman"/>
                <w:b/>
                <w:color w:val="000000"/>
                <w:sz w:val="20"/>
              </w:rPr>
            </w:pPr>
            <w:r>
              <w:rPr>
                <w:rFonts w:ascii="Times New Roman" w:hAnsi="Times New Roman"/>
                <w:b/>
                <w:color w:val="000000"/>
                <w:sz w:val="20"/>
              </w:rPr>
              <w:t>Suite 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75254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(214) 357-6181</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7638" w:type="dxa"/>
        <w:jc w:val="left"/>
        <w:tblInd w:w="0" w:type="dxa"/>
        <w:tblLayout w:type="fixed"/>
        <w:tblCellMar>
          <w:top w:w="28" w:type="dxa"/>
          <w:left w:w="28" w:type="dxa"/>
          <w:bottom w:w="28" w:type="dxa"/>
          <w:right w:w="28" w:type="dxa"/>
        </w:tblCellMar>
      </w:tblPr>
      <w:tblGrid>
        <w:gridCol w:w="3106"/>
        <w:gridCol w:w="1261"/>
        <w:gridCol w:w="3271"/>
      </w:tblGrid>
      <w:tr>
        <w:trPr/>
        <w:tc>
          <w:tcPr>
            <w:tcW w:w="310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10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106"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$0.01 per share</w:t>
            </w:r>
          </w:p>
        </w:tc>
        <w:tc>
          <w:tcPr>
            <w:tcW w:w="126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CECO</w:t>
            </w:r>
          </w:p>
        </w:tc>
        <w:tc>
          <w:tcPr>
            <w:tcW w:w="32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73" w:type="dxa"/>
        <w:jc w:val="left"/>
        <w:tblInd w:w="0" w:type="dxa"/>
        <w:tblLayout w:type="fixed"/>
        <w:tblCellMar>
          <w:top w:w="28" w:type="dxa"/>
          <w:left w:w="28" w:type="dxa"/>
          <w:bottom w:w="28" w:type="dxa"/>
          <w:right w:w="28" w:type="dxa"/>
        </w:tblCellMar>
      </w:tblPr>
      <w:tblGrid>
        <w:gridCol w:w="2585"/>
        <w:gridCol w:w="316"/>
        <w:gridCol w:w="2311"/>
        <w:gridCol w:w="361"/>
      </w:tblGrid>
      <w:tr>
        <w:trPr/>
        <w:tc>
          <w:tcPr>
            <w:tcW w:w="25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ind w:left="0" w:right="0" w:firstLine="259"/>
              <w:jc w:val="left"/>
              <w:rPr>
                <w:rFonts w:ascii="Times New Roman" w:hAnsi="Times New Roman"/>
                <w:color w:val="000000"/>
                <w:sz w:val="19"/>
              </w:rPr>
            </w:pPr>
            <w:r>
              <w:rPr>
                <w:rFonts w:ascii="Times New Roman" w:hAnsi="Times New Roman"/>
                <w:color w:val="000000"/>
                <w:sz w:val="19"/>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585" w:type="dxa"/>
            <w:tcBorders/>
            <w:vAlign w:val="center"/>
          </w:tcPr>
          <w:p>
            <w:pPr>
              <w:pStyle w:val="TableContents"/>
              <w:bidi w:val="0"/>
              <w:spacing w:before="0" w:after="283"/>
              <w:ind w:left="0" w:right="0" w:firstLine="259"/>
              <w:jc w:val="left"/>
              <w:rPr/>
            </w:pPr>
            <w:r>
              <w:rPr/>
              <w:t> </w:t>
            </w:r>
          </w:p>
        </w:tc>
        <w:tc>
          <w:tcPr>
            <w:tcW w:w="31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ind w:left="0" w:right="0" w:firstLine="259"/>
              <w:jc w:val="left"/>
              <w:rPr>
                <w:rFonts w:ascii="Times New Roman" w:hAnsi="Times New Roman"/>
                <w:color w:val="000000"/>
                <w:sz w:val="19"/>
              </w:rPr>
            </w:pPr>
            <w:r>
              <w:rPr>
                <w:rFonts w:ascii="Times New Roman" w:hAnsi="Times New Roman"/>
                <w:color w:val="000000"/>
                <w:sz w:val="19"/>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585" w:type="dxa"/>
            <w:tcBorders/>
            <w:vAlign w:val="center"/>
          </w:tcPr>
          <w:p>
            <w:pPr>
              <w:pStyle w:val="TableContents"/>
              <w:bidi w:val="0"/>
              <w:spacing w:before="0" w:after="283"/>
              <w:ind w:left="0" w:right="0" w:firstLine="259"/>
              <w:jc w:val="left"/>
              <w:rPr>
                <w:rFonts w:ascii="Times New Roman" w:hAnsi="Times New Roman"/>
                <w:color w:val="000000"/>
                <w:sz w:val="19"/>
              </w:rPr>
            </w:pPr>
            <w:r>
              <w:rPr>
                <w:rFonts w:ascii="Times New Roman" w:hAnsi="Times New Roman"/>
                <w:color w:val="000000"/>
                <w:sz w:val="19"/>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19"/>
        </w:rPr>
        <w:t>The number of shares outstanding of each of the issuer’s classes of common equity, as of the latest practical date: 34,960,522</w:t>
      </w:r>
      <w:r>
        <w:rPr>
          <w:rFonts w:ascii="Times New Roman" w:hAnsi="Times New Roman"/>
          <w:color w:val="000000"/>
          <w:sz w:val="20"/>
        </w:rPr>
        <w:t xml:space="preserve"> </w:t>
      </w:r>
      <w:r>
        <w:rPr>
          <w:rFonts w:ascii="Times New Roman" w:hAnsi="Times New Roman"/>
          <w:color w:val="000000"/>
          <w:sz w:val="19"/>
        </w:rPr>
        <w:t>shares of common stock, par value $0.01 per share, as of July 18, 2024.</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CECO ENVIRONMENTAL CORP. AND SUBSIDIARIES</w:t>
      </w:r>
    </w:p>
    <w:p>
      <w:pPr>
        <w:pStyle w:val="TextBody"/>
        <w:bidi w:val="0"/>
        <w:jc w:val="center"/>
        <w:rPr>
          <w:rFonts w:ascii="Times New Roman" w:hAnsi="Times New Roman"/>
          <w:color w:val="000000"/>
          <w:sz w:val="20"/>
        </w:rPr>
      </w:pPr>
      <w:r>
        <w:rPr>
          <w:rFonts w:ascii="Times New Roman" w:hAnsi="Times New Roman"/>
          <w:color w:val="000000"/>
          <w:sz w:val="20"/>
        </w:rPr>
        <w:t>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For the quarter ended June 30, 2024</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
        <w:gridCol w:w="881"/>
        <w:gridCol w:w="8136"/>
        <w:gridCol w:w="146"/>
        <w:gridCol w:w="362"/>
      </w:tblGrid>
      <w:tr>
        <w:trPr/>
        <w:tc>
          <w:tcPr>
            <w:tcW w:w="6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hyperlink w:anchor="condensed_consolidated_balance_sheets">
              <w:r>
                <w:rPr>
                  <w:rStyle w:val="InternetLink"/>
                  <w:rFonts w:ascii="Times New Roman" w:hAnsi="Times New Roman"/>
                  <w:color w:val="0000FF"/>
                  <w:sz w:val="20"/>
                  <w:u w:val="single"/>
                </w:rPr>
                <w:t>Condensed Consolidated Balance Sheets as of June 30, 2024 and December 31, 2023</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hyperlink w:anchor="condensed_consolidated_statements_operat">
              <w:r>
                <w:rPr>
                  <w:rStyle w:val="InternetLink"/>
                  <w:rFonts w:ascii="Times New Roman" w:hAnsi="Times New Roman"/>
                  <w:color w:val="0000FF"/>
                  <w:sz w:val="20"/>
                  <w:u w:val="single"/>
                </w:rPr>
                <w:t>Condensed Consolidated Statements of Income for the three and six months ended June 30, 2024 and 2023</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hyperlink w:anchor="condensed_consolidated_statements_compre">
              <w:r>
                <w:rPr>
                  <w:rStyle w:val="InternetLink"/>
                  <w:rFonts w:ascii="Times New Roman" w:hAnsi="Times New Roman"/>
                  <w:color w:val="0000FF"/>
                  <w:sz w:val="20"/>
                  <w:u w:val="single"/>
                </w:rPr>
                <w:t>Condensed Consolidated Statements of Comprehensive Income for the three and six months ended June 30, 2024 and 2023</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hyperlink w:anchor="condensed_consolidated_statements_equity">
              <w:r>
                <w:rPr>
                  <w:rStyle w:val="InternetLink"/>
                  <w:rFonts w:ascii="Times New Roman" w:hAnsi="Times New Roman"/>
                  <w:color w:val="0000FF"/>
                  <w:sz w:val="20"/>
                  <w:u w:val="single"/>
                </w:rPr>
                <w:t>Condensed Consolidated Statements of Shareholders’ Equity for the six months ended June 30, 2024 and 2023</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2024 and 2023</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pBdr/>
              <w:bidi w:val="0"/>
              <w:spacing w:before="0" w:after="283"/>
              <w:ind w:left="490" w:right="0" w:hanging="245"/>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7"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 AND SUBSIDIARIES</w:t>
      </w:r>
    </w:p>
    <w:p>
      <w:pPr>
        <w:pStyle w:val="TextBody"/>
        <w:bidi w:val="0"/>
        <w:spacing w:before="240" w:after="283"/>
        <w:jc w:val="left"/>
        <w:rPr>
          <w:rFonts w:ascii="Times New Roman" w:hAnsi="Times New Roman"/>
          <w:b/>
          <w:color w:val="000000"/>
          <w:sz w:val="18"/>
        </w:rPr>
      </w:pPr>
      <w:bookmarkStart w:id="2" w:name="part_i_financial_information"/>
      <w:bookmarkEnd w:id="2"/>
      <w:r>
        <w:rPr>
          <w:rFonts w:ascii="Times New Roman" w:hAnsi="Times New Roman"/>
          <w:b/>
          <w:color w:val="000000"/>
          <w:sz w:val="18"/>
        </w:rPr>
        <w:t>PART I – FINANCIAL INFORMATION</w:t>
      </w:r>
    </w:p>
    <w:p>
      <w:pPr>
        <w:pStyle w:val="TextBody"/>
        <w:bidi w:val="0"/>
        <w:jc w:val="left"/>
        <w:rPr/>
      </w:pPr>
      <w:r>
        <w:rPr/>
        <w:t> </w:t>
      </w:r>
    </w:p>
    <w:p>
      <w:pPr>
        <w:pStyle w:val="TextBody"/>
        <w:bidi w:val="0"/>
        <w:jc w:val="left"/>
        <w:rPr>
          <w:rFonts w:ascii="Times New Roman" w:hAnsi="Times New Roman"/>
          <w:b/>
          <w:color w:val="000000"/>
          <w:sz w:val="18"/>
        </w:rPr>
      </w:pPr>
      <w:bookmarkStart w:id="3" w:name="item_1_financial_statements"/>
      <w:bookmarkEnd w:id="3"/>
      <w:r>
        <w:rPr>
          <w:rFonts w:ascii="Times New Roman" w:hAnsi="Times New Roman"/>
          <w:b/>
          <w:color w:val="000000"/>
          <w:sz w:val="18"/>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96"/>
        <w:gridCol w:w="146"/>
        <w:gridCol w:w="231"/>
        <w:gridCol w:w="858"/>
        <w:gridCol w:w="166"/>
        <w:gridCol w:w="146"/>
        <w:gridCol w:w="291"/>
        <w:gridCol w:w="1077"/>
        <w:gridCol w:w="794"/>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8"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54,779</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allowances of $6,582 and $6,460</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112,733</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66,574</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34,089</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11,769</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281,437</w:t>
            </w:r>
          </w:p>
        </w:tc>
        <w:tc>
          <w:tcPr>
            <w:tcW w:w="794"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26,237</w:t>
            </w:r>
          </w:p>
        </w:tc>
        <w:tc>
          <w:tcPr>
            <w:tcW w:w="794"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from operating leases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16,256</w:t>
            </w:r>
          </w:p>
        </w:tc>
        <w:tc>
          <w:tcPr>
            <w:tcW w:w="794"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211,326</w:t>
            </w:r>
          </w:p>
        </w:tc>
        <w:tc>
          <w:tcPr>
            <w:tcW w:w="794"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50,461</w:t>
            </w:r>
          </w:p>
        </w:tc>
        <w:tc>
          <w:tcPr>
            <w:tcW w:w="794"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indefinite life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794"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794"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600,291</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8"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87,691</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56,899</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payable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203,106</w:t>
            </w:r>
          </w:p>
        </w:tc>
        <w:tc>
          <w:tcPr>
            <w:tcW w:w="794"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w:t>
            </w:r>
          </w:p>
        </w:tc>
        <w:tc>
          <w:tcPr>
            <w:tcW w:w="794"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less current portion</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126,795</w:t>
            </w:r>
          </w:p>
        </w:tc>
        <w:tc>
          <w:tcPr>
            <w:tcW w:w="794"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 net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w:t>
            </w:r>
          </w:p>
        </w:tc>
        <w:tc>
          <w:tcPr>
            <w:tcW w:w="794"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362,800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14)</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8"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$.01 par value; 10,000 shares authorized, none issued</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color w:val="000000"/>
              </w:rPr>
            </w:pPr>
            <w:r>
              <w:rPr>
                <w:color w:val="000000"/>
              </w:rPr>
              <w:t>—</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pPr>
            <w:r>
              <w:rPr>
                <w:color w:val="000000"/>
              </w:rPr>
              <w:t> </w:t>
            </w:r>
            <w:r>
              <w:rPr>
                <w:rFonts w:ascii="Times New Roman" w:hAnsi="Times New Roman"/>
                <w:color w:val="000000"/>
                <w:sz w:val="20"/>
              </w:rPr>
              <w:t>Common stock, $.01 par value; 100,000,000 shares authorized, 34,923,701 and</w:t>
              <w:br/>
              <w:t>34,835,293 shares issued and outstanding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254,956</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loss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79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(16,274</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CECO shareholders' equity</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232,643</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237,491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600,291</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241,744</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74,710</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55,644</w:t>
            </w:r>
          </w:p>
        </w:tc>
        <w:tc>
          <w:tcPr>
            <w:tcW w:w="411" w:type="dxa"/>
            <w:tcBorders/>
            <w:shd w:fill="FFFFFF" w:val="cle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and earnout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411" w:type="dxa"/>
            <w:tcBorders/>
            <w:shd w:fill="FFFFFF" w:val="cle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transition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Asbestos litigation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w:t>
            </w:r>
          </w:p>
        </w:tc>
        <w:tc>
          <w:tcPr>
            <w:tcW w:w="411" w:type="dxa"/>
            <w:tcBorders/>
            <w:shd w:fill="FFFFFF" w:val="cle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CECO Environmental Corp.</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34,619,216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34,881,625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34,531,050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36,302,664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35,143,782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36,239,331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35,171,727</w:t>
            </w:r>
          </w:p>
        </w:tc>
        <w:tc>
          <w:tcPr>
            <w:tcW w:w="41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8824" w:type="dxa"/>
        <w:jc w:val="left"/>
        <w:tblInd w:w="0" w:type="dxa"/>
        <w:tblLayout w:type="fixed"/>
        <w:tblCellMar>
          <w:top w:w="28" w:type="dxa"/>
          <w:left w:w="28" w:type="dxa"/>
          <w:bottom w:w="28" w:type="dxa"/>
          <w:right w:w="28" w:type="dxa"/>
        </w:tblCellMar>
      </w:tblPr>
      <w:tblGrid>
        <w:gridCol w:w="3501"/>
        <w:gridCol w:w="249"/>
        <w:gridCol w:w="676"/>
        <w:gridCol w:w="196"/>
        <w:gridCol w:w="172"/>
        <w:gridCol w:w="249"/>
        <w:gridCol w:w="676"/>
        <w:gridCol w:w="346"/>
        <w:gridCol w:w="346"/>
        <w:gridCol w:w="227"/>
        <w:gridCol w:w="616"/>
        <w:gridCol w:w="179"/>
        <w:gridCol w:w="157"/>
        <w:gridCol w:w="227"/>
        <w:gridCol w:w="616"/>
        <w:gridCol w:w="391"/>
      </w:tblGrid>
      <w:tr>
        <w:trPr/>
        <w:tc>
          <w:tcPr>
            <w:tcW w:w="35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92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925"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(loss) gain</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52"/>
        <w:gridCol w:w="146"/>
        <w:gridCol w:w="146"/>
        <w:gridCol w:w="526"/>
        <w:gridCol w:w="151"/>
        <w:gridCol w:w="146"/>
        <w:gridCol w:w="216"/>
        <w:gridCol w:w="415"/>
        <w:gridCol w:w="151"/>
        <w:gridCol w:w="146"/>
        <w:gridCol w:w="181"/>
        <w:gridCol w:w="601"/>
        <w:gridCol w:w="151"/>
        <w:gridCol w:w="146"/>
        <w:gridCol w:w="252"/>
        <w:gridCol w:w="694"/>
        <w:gridCol w:w="151"/>
        <w:gridCol w:w="146"/>
        <w:gridCol w:w="263"/>
        <w:gridCol w:w="833"/>
        <w:gridCol w:w="151"/>
        <w:gridCol w:w="146"/>
        <w:gridCol w:w="322"/>
        <w:gridCol w:w="804"/>
        <w:gridCol w:w="151"/>
        <w:gridCol w:w="146"/>
        <w:gridCol w:w="225"/>
        <w:gridCol w:w="750"/>
        <w:gridCol w:w="197"/>
      </w:tblGrid>
      <w:tr>
        <w:trPr/>
        <w:tc>
          <w:tcPr>
            <w:tcW w:w="1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 in</w:t>
              <w:br/>
              <w:t>excess of</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Accumulated </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Shareholders'</w:t>
            </w:r>
          </w:p>
        </w:tc>
        <w:tc>
          <w:tcPr>
            <w:tcW w:w="197" w:type="dxa"/>
            <w:tcBorders/>
            <w:shd w:fill="FFFFFF" w:val="clear"/>
            <w:vAlign w:val="center"/>
          </w:tcPr>
          <w:p>
            <w:pPr>
              <w:pStyle w:val="TableContents"/>
              <w:bidi w:val="0"/>
              <w:spacing w:before="0" w:after="283"/>
              <w:jc w:val="center"/>
              <w:rPr/>
            </w:pPr>
            <w:r>
              <w:rPr/>
              <w:t> </w:t>
            </w:r>
          </w:p>
        </w:tc>
      </w:tr>
      <w:tr>
        <w:trPr/>
        <w:tc>
          <w:tcPr>
            <w:tcW w:w="18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Shares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Amount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par value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interest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Equity</w:t>
            </w:r>
          </w:p>
        </w:tc>
        <w:tc>
          <w:tcPr>
            <w:tcW w:w="197" w:type="dxa"/>
            <w:tcBorders/>
            <w:shd w:fill="FFFFFF" w:val="clear"/>
            <w:vAlign w:val="center"/>
          </w:tcPr>
          <w:p>
            <w:pPr>
              <w:pStyle w:val="TableContents"/>
              <w:bidi w:val="0"/>
              <w:spacing w:before="0" w:after="283"/>
              <w:jc w:val="center"/>
              <w:rPr/>
            </w:pPr>
            <w:r>
              <w:rPr/>
              <w:t> </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254,956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4"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(6,387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(16,274</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237,491</w:t>
            </w:r>
          </w:p>
        </w:tc>
        <w:tc>
          <w:tcPr>
            <w:tcW w:w="197" w:type="dxa"/>
            <w:tcBorders/>
            <w:shd w:fill="CFF0FC" w:val="cle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for the three months ended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2,093</w:t>
            </w:r>
          </w:p>
        </w:tc>
        <w:tc>
          <w:tcPr>
            <w:tcW w:w="197" w:type="dxa"/>
            <w:tcBorders/>
            <w:shd w:fill="FFFFFF" w:val="clear"/>
            <w:vAlign w:val="center"/>
          </w:tcPr>
          <w:p>
            <w:pPr>
              <w:pStyle w:val="TableContents"/>
              <w:bidi w:val="0"/>
              <w:spacing w:before="0" w:after="283"/>
              <w:jc w:val="left"/>
              <w:rPr/>
            </w:pPr>
            <w:r>
              <w:rPr/>
              <w:t> </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97" w:type="dxa"/>
            <w:tcBorders/>
            <w:shd w:fill="CFF0FC" w:val="cle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(2,204</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1,808</w:t>
            </w:r>
          </w:p>
        </w:tc>
        <w:tc>
          <w:tcPr>
            <w:tcW w:w="197" w:type="dxa"/>
            <w:tcBorders/>
            <w:shd w:fill="CFF0FC" w:val="cle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 repurchase and retirement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(3,001</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w:t>
            </w:r>
          </w:p>
        </w:tc>
        <w:tc>
          <w:tcPr>
            <w:tcW w:w="197" w:type="dxa"/>
            <w:tcBorders/>
            <w:shd w:fill="CFF0FC" w:val="cle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251,673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236,152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for the three months ended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4,930</w:t>
            </w:r>
          </w:p>
        </w:tc>
        <w:tc>
          <w:tcPr>
            <w:tcW w:w="197" w:type="dxa"/>
            <w:tcBorders/>
            <w:shd w:fill="FFFFFF" w:val="clear"/>
            <w:vAlign w:val="center"/>
          </w:tcPr>
          <w:p>
            <w:pPr>
              <w:pStyle w:val="TableContents"/>
              <w:bidi w:val="0"/>
              <w:spacing w:before="0" w:after="283"/>
              <w:jc w:val="left"/>
              <w:rPr/>
            </w:pPr>
            <w:r>
              <w:rPr/>
              <w:t> </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w:t>
            </w:r>
          </w:p>
        </w:tc>
        <w:tc>
          <w:tcPr>
            <w:tcW w:w="197" w:type="dxa"/>
            <w:tcBorders/>
            <w:shd w:fill="CFF0FC" w:val="cle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2,191</w:t>
            </w:r>
          </w:p>
        </w:tc>
        <w:tc>
          <w:tcPr>
            <w:tcW w:w="197" w:type="dxa"/>
            <w:tcBorders/>
            <w:shd w:fill="CFF0FC" w:val="clear"/>
            <w:vAlign w:val="center"/>
          </w:tcPr>
          <w:p>
            <w:pPr>
              <w:pStyle w:val="TableContents"/>
              <w:bidi w:val="0"/>
              <w:spacing w:before="0" w:after="283"/>
              <w:jc w:val="left"/>
              <w:rPr/>
            </w:pPr>
            <w:r>
              <w:rPr/>
              <w:t> </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 repurchase and retirement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(1,999</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(856</w:t>
            </w:r>
          </w:p>
        </w:tc>
        <w:tc>
          <w:tcPr>
            <w:tcW w:w="197"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5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251,560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239,812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62"/>
        <w:gridCol w:w="146"/>
        <w:gridCol w:w="146"/>
        <w:gridCol w:w="526"/>
        <w:gridCol w:w="146"/>
        <w:gridCol w:w="146"/>
        <w:gridCol w:w="216"/>
        <w:gridCol w:w="415"/>
        <w:gridCol w:w="146"/>
        <w:gridCol w:w="146"/>
        <w:gridCol w:w="181"/>
        <w:gridCol w:w="601"/>
        <w:gridCol w:w="151"/>
        <w:gridCol w:w="146"/>
        <w:gridCol w:w="227"/>
        <w:gridCol w:w="719"/>
        <w:gridCol w:w="151"/>
        <w:gridCol w:w="146"/>
        <w:gridCol w:w="263"/>
        <w:gridCol w:w="833"/>
        <w:gridCol w:w="151"/>
        <w:gridCol w:w="146"/>
        <w:gridCol w:w="322"/>
        <w:gridCol w:w="804"/>
        <w:gridCol w:w="151"/>
        <w:gridCol w:w="146"/>
        <w:gridCol w:w="225"/>
        <w:gridCol w:w="750"/>
        <w:gridCol w:w="197"/>
      </w:tblGrid>
      <w:tr>
        <w:trPr/>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 in</w:t>
              <w:br/>
              <w:t>excess of</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Accumulated </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Shareholders'</w:t>
            </w:r>
          </w:p>
        </w:tc>
        <w:tc>
          <w:tcPr>
            <w:tcW w:w="197" w:type="dxa"/>
            <w:tcBorders/>
            <w:shd w:fill="FFFFFF" w:val="clear"/>
            <w:vAlign w:val="center"/>
          </w:tcPr>
          <w:p>
            <w:pPr>
              <w:pStyle w:val="TableContents"/>
              <w:bidi w:val="0"/>
              <w:spacing w:before="0" w:after="283"/>
              <w:jc w:val="center"/>
              <w:rPr/>
            </w:pPr>
            <w:r>
              <w:rPr/>
              <w:t> </w:t>
            </w:r>
          </w:p>
        </w:tc>
      </w:tr>
      <w:tr>
        <w:trPr/>
        <w:tc>
          <w:tcPr>
            <w:tcW w:w="18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par value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interest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Equity</w:t>
            </w:r>
          </w:p>
        </w:tc>
        <w:tc>
          <w:tcPr>
            <w:tcW w:w="197" w:type="dxa"/>
            <w:tcBorders/>
            <w:shd w:fill="FFFFFF" w:val="clear"/>
            <w:vAlign w:val="center"/>
          </w:tcPr>
          <w:p>
            <w:pPr>
              <w:pStyle w:val="TableContents"/>
              <w:bidi w:val="0"/>
              <w:spacing w:before="0" w:after="283"/>
              <w:jc w:val="center"/>
              <w:rPr/>
            </w:pPr>
            <w:r>
              <w:rPr/>
              <w:t> </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250,174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(19,298</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(17,996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218,148</w:t>
            </w:r>
          </w:p>
        </w:tc>
        <w:tc>
          <w:tcPr>
            <w:tcW w:w="197" w:type="dxa"/>
            <w:tcBorders/>
            <w:shd w:fill="CFF0FC"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for the three months ended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2,469</w:t>
            </w:r>
          </w:p>
        </w:tc>
        <w:tc>
          <w:tcPr>
            <w:tcW w:w="197" w:type="dxa"/>
            <w:tcBorders/>
            <w:shd w:fill="FFFFFF" w:val="clear"/>
            <w:vAlign w:val="center"/>
          </w:tcPr>
          <w:p>
            <w:pPr>
              <w:pStyle w:val="TableContents"/>
              <w:bidi w:val="0"/>
              <w:spacing w:before="0" w:after="283"/>
              <w:jc w:val="left"/>
              <w:rPr/>
            </w:pPr>
            <w:r>
              <w:rPr/>
              <w:t> </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w:t>
            </w:r>
          </w:p>
        </w:tc>
        <w:tc>
          <w:tcPr>
            <w:tcW w:w="197" w:type="dxa"/>
            <w:tcBorders/>
            <w:shd w:fill="CFF0FC"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w:t>
            </w:r>
          </w:p>
        </w:tc>
        <w:tc>
          <w:tcPr>
            <w:tcW w:w="197" w:type="dxa"/>
            <w:tcBorders/>
            <w:shd w:fill="CFF0FC"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gain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250,971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222,182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for the three months ended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3,990</w:t>
            </w:r>
          </w:p>
        </w:tc>
        <w:tc>
          <w:tcPr>
            <w:tcW w:w="197" w:type="dxa"/>
            <w:tcBorders/>
            <w:shd w:fill="FFFFFF" w:val="clear"/>
            <w:vAlign w:val="center"/>
          </w:tcPr>
          <w:p>
            <w:pPr>
              <w:pStyle w:val="TableContents"/>
              <w:bidi w:val="0"/>
              <w:spacing w:before="0" w:after="283"/>
              <w:jc w:val="left"/>
              <w:rPr/>
            </w:pPr>
            <w:r>
              <w:rPr/>
              <w:t> </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w:t>
            </w:r>
          </w:p>
        </w:tc>
        <w:tc>
          <w:tcPr>
            <w:tcW w:w="197" w:type="dxa"/>
            <w:tcBorders/>
            <w:shd w:fill="CFF0FC"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1,389</w:t>
            </w:r>
          </w:p>
        </w:tc>
        <w:tc>
          <w:tcPr>
            <w:tcW w:w="197" w:type="dxa"/>
            <w:tcBorders/>
            <w:shd w:fill="CFF0FC"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gain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w:t>
            </w:r>
          </w:p>
        </w:tc>
        <w:tc>
          <w:tcPr>
            <w:tcW w:w="197" w:type="dxa"/>
            <w:tcBorders/>
            <w:shd w:fill="FFFFFF" w:val="clear"/>
            <w:vAlign w:val="center"/>
          </w:tcPr>
          <w:p>
            <w:pPr>
              <w:pStyle w:val="TableContents"/>
              <w:bidi w:val="0"/>
              <w:spacing w:before="0" w:after="283"/>
              <w:jc w:val="left"/>
              <w:rPr/>
            </w:pPr>
            <w:r>
              <w:rPr/>
              <w:t> </w:t>
            </w:r>
          </w:p>
        </w:tc>
      </w:tr>
      <w:tr>
        <w:trPr/>
        <w:tc>
          <w:tcPr>
            <w:tcW w:w="18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252,406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227,148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49" w:type="dxa"/>
        <w:jc w:val="left"/>
        <w:tblInd w:w="0" w:type="dxa"/>
        <w:tblLayout w:type="fixed"/>
        <w:tblCellMar>
          <w:top w:w="28" w:type="dxa"/>
          <w:left w:w="28" w:type="dxa"/>
          <w:bottom w:w="28" w:type="dxa"/>
          <w:right w:w="28" w:type="dxa"/>
        </w:tblCellMar>
      </w:tblPr>
      <w:tblGrid>
        <w:gridCol w:w="6666"/>
        <w:gridCol w:w="146"/>
        <w:gridCol w:w="196"/>
        <w:gridCol w:w="661"/>
        <w:gridCol w:w="166"/>
        <w:gridCol w:w="146"/>
        <w:gridCol w:w="196"/>
        <w:gridCol w:w="661"/>
        <w:gridCol w:w="611"/>
      </w:tblGrid>
      <w:tr>
        <w:trPr/>
        <w:tc>
          <w:tcPr>
            <w:tcW w:w="6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6"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Unrealized foreign currency gain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Fair value adjustment to earnout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on sale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Debt discount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Bad debt expense (recoveries)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Inventory reserve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(39,181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Costs and estimated earnings in excess of billings on uncompleted contracts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charges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Billings in excess of costs and estimated earnings on uncompleted contracts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Acquisitions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received (paid) for acquisitions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Borrowings on revolving credit lines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Repayments on revolving credit lines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(33,400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Repayments of long-term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on finance leases and financing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consideration paid for acquisitions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Earnout payments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employee stock purchase plan and exercise of stock options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Noncontrolling interest distributions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 repurchased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w:t>
            </w:r>
          </w:p>
        </w:tc>
        <w:tc>
          <w:tcPr>
            <w:tcW w:w="611" w:type="dxa"/>
            <w:tcBorders/>
            <w:shd w:fill="CFF0FC" w:val="clear"/>
            <w:vAlign w:val="center"/>
          </w:tcPr>
          <w:p>
            <w:pPr>
              <w:pStyle w:val="TableContents"/>
              <w:bidi w:val="0"/>
              <w:spacing w:before="0" w:after="283"/>
              <w:jc w:val="left"/>
              <w:rPr/>
            </w:pPr>
            <w:r>
              <w:rPr/>
              <w:t> </w:t>
            </w:r>
          </w:p>
        </w:tc>
      </w:tr>
      <w:tr>
        <w:trPr/>
        <w:tc>
          <w:tcPr>
            <w:tcW w:w="6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during the period for:</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 AND SUBSIDIARIES</w:t>
      </w:r>
    </w:p>
    <w:p>
      <w:pPr>
        <w:pStyle w:val="TextBody"/>
        <w:bidi w:val="0"/>
        <w:jc w:val="center"/>
        <w:rPr>
          <w:rFonts w:ascii="Times New Roman" w:hAnsi="Times New Roman"/>
          <w:color w:val="000000"/>
          <w:sz w:val="20"/>
          <w:u w:val="single"/>
        </w:rPr>
      </w:pPr>
      <w:bookmarkStart w:id="9" w:name="notes_consolidated_financial_statements"/>
      <w:bookmarkEnd w:id="9"/>
      <w:r>
        <w:rPr>
          <w:rFonts w:ascii="Times New Roman" w:hAnsi="Times New Roman"/>
          <w:color w:val="000000"/>
          <w:sz w:val="20"/>
          <w:u w:val="single"/>
        </w:rPr>
        <w:t>NOTES TO CONDENSED CONSOLIDATED FINANCIAL STATEMENTS</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(unaudited)</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 Basis of Reporting for Consolidated Financial Statements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2024 and the results of operations, cash flows and shareholders’ equity for the three and six months ended June 30, 2024 and 2023. The results of operations for the three and six months ended June 30, 2024 are not necessarily indicative of the results to be expected for the full year. The balance sheet as of December 31, 2023 has been derived from the audited consolidated financial statements included in the Company’s Annual Report on Form 10-K for the year ended December 31, 2023 as filed with the SEC on March 5, 2024 (the “Form 10-K”).</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These financial statements and accompanying notes should be read in conjunction with the audited financial statements and the notes thereto included in the Form 10-K.</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Unless otherwise indicated, all balances within tables are in thousands, except per share amounts.</w:t>
      </w:r>
    </w:p>
    <w:p>
      <w:pPr>
        <w:pStyle w:val="TextBody"/>
        <w:bidi w:val="0"/>
        <w:spacing w:before="240" w:after="240"/>
        <w:jc w:val="left"/>
        <w:rPr>
          <w:rFonts w:ascii="Times New Roman" w:hAnsi="Times New Roman"/>
          <w:sz w:val="20"/>
        </w:rPr>
      </w:pPr>
      <w:r>
        <w:rPr>
          <w:rFonts w:ascii="Times New Roman" w:hAnsi="Times New Roman"/>
          <w:b/>
          <w:color w:val="000000"/>
          <w:sz w:val="20"/>
        </w:rPr>
        <w:t>2. New Financial Accounting Pronouncements</w:t>
      </w:r>
      <w:r>
        <w:rPr>
          <w:rFonts w:ascii="Times New Roman" w:hAnsi="Times New Roman"/>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Accounting Standards Adopted in Fiscal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Accounting Standards to be Adopted</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(the "FASB") issued Accounting Standards Update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which addresses segment disclosure requirements, primarily the disclosure of significant segment expenses. The ASU is effective for fiscal years beginning after December 15, 2023, and interim periods beginning after December 15, 2024. The Company is currently evaluating the impact the adoption of the standard will have on the Company’s consolidated financial statements.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 xml:space="preserve">3. Accounts Receivable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Accounts receivable as of June 30, 2024 and December 31, 2023 consisted of the following:</w:t>
      </w:r>
    </w:p>
    <w:tbl>
      <w:tblPr>
        <w:tblW w:w="6245" w:type="dxa"/>
        <w:jc w:val="left"/>
        <w:tblInd w:w="0" w:type="dxa"/>
        <w:tblLayout w:type="fixed"/>
        <w:tblCellMar>
          <w:top w:w="28" w:type="dxa"/>
          <w:left w:w="28" w:type="dxa"/>
          <w:bottom w:w="28" w:type="dxa"/>
          <w:right w:w="28" w:type="dxa"/>
        </w:tblCellMar>
      </w:tblPr>
      <w:tblGrid>
        <w:gridCol w:w="2751"/>
        <w:gridCol w:w="146"/>
        <w:gridCol w:w="239"/>
        <w:gridCol w:w="886"/>
        <w:gridCol w:w="166"/>
        <w:gridCol w:w="146"/>
        <w:gridCol w:w="319"/>
        <w:gridCol w:w="1181"/>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119,193</w:t>
            </w:r>
          </w:p>
        </w:tc>
        <w:tc>
          <w:tcPr>
            <w:tcW w:w="411" w:type="dxa"/>
            <w:tcBorders/>
            <w:shd w:fill="CFF0FC" w:val="clear"/>
            <w:vAlign w:val="center"/>
          </w:tcPr>
          <w:p>
            <w:pPr>
              <w:pStyle w:val="TableContents"/>
              <w:bidi w:val="0"/>
              <w:spacing w:before="0" w:after="283"/>
              <w:jc w:val="left"/>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Accounts receivable, net as of the beginning of the prior year period, or January 1, 2023, were $83.1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Balances billed but not paid by customers under retainage provisions in contracts within the Condensed Consolidated Balance Sheets amounted to approximately $3.9 million and $3.2 million as of June 30, 2024 and December 31, 2023,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Amounts charged to (recovered from) the provision for credit losses was $0.7 million and $(0.1) million for the three months ended June 30, 2024 and 2023, respectively, and $0.3 million and zero for the six months ended June 30, 2024 and 2023, respectively.</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 xml:space="preserve">4. Contract Assets and Liabilities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Contract assets and liabilities as of June 30, 2024 and December 31, 2023 consisted of the following:</w:t>
      </w:r>
    </w:p>
    <w:tbl>
      <w:tblPr>
        <w:tblW w:w="9540" w:type="dxa"/>
        <w:jc w:val="left"/>
        <w:tblInd w:w="0" w:type="dxa"/>
        <w:tblLayout w:type="fixed"/>
        <w:tblCellMar>
          <w:top w:w="28" w:type="dxa"/>
          <w:left w:w="28" w:type="dxa"/>
          <w:bottom w:w="28" w:type="dxa"/>
          <w:right w:w="28" w:type="dxa"/>
        </w:tblCellMar>
      </w:tblPr>
      <w:tblGrid>
        <w:gridCol w:w="6286"/>
        <w:gridCol w:w="146"/>
        <w:gridCol w:w="267"/>
        <w:gridCol w:w="858"/>
        <w:gridCol w:w="146"/>
        <w:gridCol w:w="146"/>
        <w:gridCol w:w="357"/>
        <w:gridCol w:w="1143"/>
        <w:gridCol w:w="1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66,574</w:t>
            </w:r>
          </w:p>
        </w:tc>
        <w:tc>
          <w:tcPr>
            <w:tcW w:w="19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beginning of the prior year period, or January 1, 2023, costs and estimated earnings in excess of billings on uncompleted contracts and billings in excess of costs and estimated earnings on uncompleted contracts were $71.0 million and $32.7 million, respectively. The contract liabilities recorded in “Accrued expenses” on the Condensed Consolidated Balance Sheets were $9.2 million, $7.9 million and $4.5 million as of June 30, 2024, December 31, 2023 and January 1, 2023, respectively. Approximately 70% of the Company's contract liabilities as of December 31, 2023 were recognized as revenue in the six months ended June 30, 2024.</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Inventories as of June 30, 2024 and December 31, 2023 consisted of the following:</w:t>
      </w:r>
    </w:p>
    <w:tbl>
      <w:tblPr>
        <w:tblW w:w="5795" w:type="dxa"/>
        <w:jc w:val="left"/>
        <w:tblInd w:w="0" w:type="dxa"/>
        <w:tblLayout w:type="fixed"/>
        <w:tblCellMar>
          <w:top w:w="28" w:type="dxa"/>
          <w:left w:w="28" w:type="dxa"/>
          <w:bottom w:w="28" w:type="dxa"/>
          <w:right w:w="28" w:type="dxa"/>
        </w:tblCellMar>
      </w:tblPr>
      <w:tblGrid>
        <w:gridCol w:w="2101"/>
        <w:gridCol w:w="346"/>
        <w:gridCol w:w="267"/>
        <w:gridCol w:w="858"/>
        <w:gridCol w:w="166"/>
        <w:gridCol w:w="146"/>
        <w:gridCol w:w="357"/>
        <w:gridCol w:w="1143"/>
        <w:gridCol w:w="411"/>
      </w:tblGrid>
      <w:tr>
        <w:trPr/>
        <w:tc>
          <w:tcPr>
            <w:tcW w:w="2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3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25,819</w:t>
            </w:r>
          </w:p>
        </w:tc>
        <w:tc>
          <w:tcPr>
            <w:tcW w:w="41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3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9,710</w:t>
            </w:r>
          </w:p>
        </w:tc>
        <w:tc>
          <w:tcPr>
            <w:tcW w:w="411"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3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41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Obsolescence allowance</w:t>
            </w:r>
          </w:p>
        </w:tc>
        <w:tc>
          <w:tcPr>
            <w:tcW w:w="3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Amounts credited to the allowance for obsolete inventory and charged to cost of sales amounted to $0.2 million and $0.4 million for the three months ended June 30, 2024 and 2023, respectively, and $0.7 million and $0.6 million for the six months ended June 30,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6. Goodwill and Intangible Assets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Goodwill activity for the six months ended June 30, 2024 and the year ended December 31, 2023 was as follows:</w:t>
      </w:r>
    </w:p>
    <w:tbl>
      <w:tblPr>
        <w:tblW w:w="8342" w:type="dxa"/>
        <w:jc w:val="left"/>
        <w:tblInd w:w="0" w:type="dxa"/>
        <w:tblLayout w:type="fixed"/>
        <w:tblCellMar>
          <w:top w:w="28" w:type="dxa"/>
          <w:left w:w="28" w:type="dxa"/>
          <w:bottom w:w="28" w:type="dxa"/>
          <w:right w:w="28" w:type="dxa"/>
        </w:tblCellMar>
      </w:tblPr>
      <w:tblGrid>
        <w:gridCol w:w="2641"/>
        <w:gridCol w:w="146"/>
        <w:gridCol w:w="245"/>
        <w:gridCol w:w="910"/>
        <w:gridCol w:w="193"/>
        <w:gridCol w:w="170"/>
        <w:gridCol w:w="251"/>
        <w:gridCol w:w="680"/>
        <w:gridCol w:w="166"/>
        <w:gridCol w:w="146"/>
        <w:gridCol w:w="242"/>
        <w:gridCol w:w="896"/>
        <w:gridCol w:w="167"/>
        <w:gridCol w:w="167"/>
        <w:gridCol w:w="251"/>
        <w:gridCol w:w="680"/>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2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Goodwill / Tradename</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Tradename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Tradename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211,326</w:t>
            </w:r>
          </w:p>
        </w:tc>
        <w:tc>
          <w:tcPr>
            <w:tcW w:w="193"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183,197</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2024, the Company recorded measurement period adjustments related to the acquisition of Kemco Systems Co., LLC ("Kemco"), as discussed in Note 15, resulting in an increase to goodwill.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Finite life intangible assets as of June 30, 2024 and December 31, 2023 consisted of the following:</w:t>
      </w:r>
    </w:p>
    <w:tbl>
      <w:tblPr>
        <w:tblW w:w="8783" w:type="dxa"/>
        <w:jc w:val="left"/>
        <w:tblInd w:w="0" w:type="dxa"/>
        <w:tblLayout w:type="fixed"/>
        <w:tblCellMar>
          <w:top w:w="28" w:type="dxa"/>
          <w:left w:w="28" w:type="dxa"/>
          <w:bottom w:w="28" w:type="dxa"/>
          <w:right w:w="28" w:type="dxa"/>
        </w:tblCellMar>
      </w:tblPr>
      <w:tblGrid>
        <w:gridCol w:w="2996"/>
        <w:gridCol w:w="146"/>
        <w:gridCol w:w="211"/>
        <w:gridCol w:w="781"/>
        <w:gridCol w:w="166"/>
        <w:gridCol w:w="146"/>
        <w:gridCol w:w="289"/>
        <w:gridCol w:w="926"/>
        <w:gridCol w:w="166"/>
        <w:gridCol w:w="146"/>
        <w:gridCol w:w="211"/>
        <w:gridCol w:w="781"/>
        <w:gridCol w:w="166"/>
        <w:gridCol w:w="146"/>
        <w:gridCol w:w="289"/>
        <w:gridCol w:w="926"/>
        <w:gridCol w:w="29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Amort.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Amort.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w:t>
            </w:r>
          </w:p>
        </w:tc>
        <w:tc>
          <w:tcPr>
            <w:tcW w:w="291" w:type="dxa"/>
            <w:tcBorders/>
            <w:shd w:fill="CFF0FC" w:val="cle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63,420</w:t>
            </w:r>
          </w:p>
        </w:tc>
        <w:tc>
          <w:tcPr>
            <w:tcW w:w="291" w:type="dxa"/>
            <w:tcBorders/>
            <w:shd w:fill="FFFFFF" w:val="clear"/>
            <w:vAlign w:val="center"/>
          </w:tcPr>
          <w:p>
            <w:pPr>
              <w:pStyle w:val="TableContents"/>
              <w:bidi w:val="0"/>
              <w:spacing w:before="0" w:after="283"/>
              <w:jc w:val="left"/>
              <w:rPr/>
            </w:pPr>
            <w:r>
              <w:rPr/>
              <w:t> </w:t>
            </w:r>
          </w:p>
        </w:tc>
      </w:tr>
      <w:tr>
        <w:trPr/>
        <w:tc>
          <w:tcPr>
            <w:tcW w:w="2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291" w:type="dxa"/>
            <w:tcBorders/>
            <w:shd w:fill="CFF0FC" w:val="cle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intangible assets – finite life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Finite life intangible asset activity for the six months ended June 30, 2024 and 2023 was as follows:</w:t>
      </w:r>
    </w:p>
    <w:tbl>
      <w:tblPr>
        <w:tblW w:w="7264" w:type="dxa"/>
        <w:jc w:val="left"/>
        <w:tblInd w:w="0" w:type="dxa"/>
        <w:tblLayout w:type="fixed"/>
        <w:tblCellMar>
          <w:top w:w="28" w:type="dxa"/>
          <w:left w:w="28" w:type="dxa"/>
          <w:bottom w:w="28" w:type="dxa"/>
          <w:right w:w="28" w:type="dxa"/>
        </w:tblCellMar>
      </w:tblPr>
      <w:tblGrid>
        <w:gridCol w:w="4621"/>
        <w:gridCol w:w="146"/>
        <w:gridCol w:w="211"/>
        <w:gridCol w:w="676"/>
        <w:gridCol w:w="166"/>
        <w:gridCol w:w="146"/>
        <w:gridCol w:w="211"/>
        <w:gridCol w:w="676"/>
        <w:gridCol w:w="4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vAlign w:val="center"/>
          </w:tcPr>
          <w:p>
            <w:pPr>
              <w:pStyle w:val="TableContents"/>
              <w:bidi w:val="0"/>
              <w:spacing w:before="0" w:after="283"/>
              <w:jc w:val="center"/>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6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6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Amortization expense of finite life intangible assets was $2.2 million and $1.7 million for the three months ended June 30, 2024 and 2023, respectively, and $4.3 million and $3.4 million for the six months ended June 30, 2024 and 2023, respectively. Amortization over the next five years for finite life intangibles is expected to be $4.3 million for the remainder of 2024, $7.6 million in 2025, $6.2 million in 2026, $6.0 million in 2027, and $5.6 million in 2028.</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completes its goodwill and indefinite life intangible asset impairment assessment annually in the fourth quarter, or more often if circumstances require.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2024,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or six months ended June 30, 2024 that would require an interim impairment assessment of goodwill or intangible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assumptions about future conditions important to its assessment of potential impairment of its goodwill and indefinite life intangible assets are subject to uncertainty, and the Company will continue to monitor these conditions in future periods as new information becomes available, and will update its analysis accordingly.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7. Accrued Expenses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Accrued expenses as of June 30, 2024 and December 31, 2023 consisted of the following:</w:t>
      </w:r>
    </w:p>
    <w:tbl>
      <w:tblPr>
        <w:tblW w:w="6610" w:type="dxa"/>
        <w:jc w:val="left"/>
        <w:tblInd w:w="0" w:type="dxa"/>
        <w:tblLayout w:type="fixed"/>
        <w:tblCellMar>
          <w:top w:w="28" w:type="dxa"/>
          <w:left w:w="28" w:type="dxa"/>
          <w:bottom w:w="28" w:type="dxa"/>
          <w:right w:w="28" w:type="dxa"/>
        </w:tblCellMar>
      </w:tblPr>
      <w:tblGrid>
        <w:gridCol w:w="2956"/>
        <w:gridCol w:w="346"/>
        <w:gridCol w:w="267"/>
        <w:gridCol w:w="858"/>
        <w:gridCol w:w="146"/>
        <w:gridCol w:w="146"/>
        <w:gridCol w:w="357"/>
        <w:gridCol w:w="1143"/>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benefits</w:t>
            </w:r>
          </w:p>
        </w:tc>
        <w:tc>
          <w:tcPr>
            <w:tcW w:w="3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w:t>
            </w:r>
          </w:p>
        </w:tc>
        <w:tc>
          <w:tcPr>
            <w:tcW w:w="3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3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3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w:t>
            </w:r>
          </w:p>
        </w:tc>
        <w:tc>
          <w:tcPr>
            <w:tcW w:w="3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w:t>
            </w:r>
          </w:p>
        </w:tc>
        <w:tc>
          <w:tcPr>
            <w:tcW w:w="3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liability</w:t>
            </w:r>
          </w:p>
        </w:tc>
        <w:tc>
          <w:tcPr>
            <w:tcW w:w="3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3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8. Senior 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Debt as of June 30, 2024 and December 31, 2023 consisted of the following:</w:t>
      </w:r>
    </w:p>
    <w:tbl>
      <w:tblPr>
        <w:tblW w:w="10205" w:type="dxa"/>
        <w:jc w:val="left"/>
        <w:tblInd w:w="0" w:type="dxa"/>
        <w:tblLayout w:type="fixed"/>
        <w:tblCellMar>
          <w:top w:w="28" w:type="dxa"/>
          <w:left w:w="28" w:type="dxa"/>
          <w:bottom w:w="28" w:type="dxa"/>
          <w:right w:w="28" w:type="dxa"/>
        </w:tblCellMar>
      </w:tblPr>
      <w:tblGrid>
        <w:gridCol w:w="6773"/>
        <w:gridCol w:w="146"/>
        <w:gridCol w:w="237"/>
        <w:gridCol w:w="878"/>
        <w:gridCol w:w="166"/>
        <w:gridCol w:w="146"/>
        <w:gridCol w:w="311"/>
        <w:gridCol w:w="1154"/>
        <w:gridCol w:w="394"/>
      </w:tblGrid>
      <w:tr>
        <w:trPr/>
        <w:tc>
          <w:tcPr>
            <w:tcW w:w="6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77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Credit Facility (defined below)</w:t>
              <w:br/>
              <w:t>     Term loan payable in quarterly principal installments of $550 through September</w:t>
              <w:br/>
              <w:t>     2023, $2,232 through September 2025 and $2,977 thereafter with balance due upon</w:t>
              <w:br/>
              <w:t>     maturity in December 2026</w:t>
            </w:r>
          </w:p>
        </w:tc>
        <w:tc>
          <w:tcPr>
            <w:tcW w:w="146"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77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 under the Credit Facility</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129,724</w:t>
            </w:r>
          </w:p>
        </w:tc>
        <w:tc>
          <w:tcPr>
            <w:tcW w:w="394" w:type="dxa"/>
            <w:tcBorders/>
            <w:shd w:fill="FFFFFF" w:val="clear"/>
            <w:vAlign w:val="center"/>
          </w:tcPr>
          <w:p>
            <w:pPr>
              <w:pStyle w:val="TableContents"/>
              <w:bidi w:val="0"/>
              <w:spacing w:before="0" w:after="283"/>
              <w:jc w:val="left"/>
              <w:rPr/>
            </w:pPr>
            <w:r>
              <w:rPr/>
              <w:t> </w:t>
            </w:r>
          </w:p>
        </w:tc>
      </w:tr>
      <w:tr>
        <w:trPr/>
        <w:tc>
          <w:tcPr>
            <w:tcW w:w="67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the joint venture term debt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394" w:type="dxa"/>
            <w:tcBorders/>
            <w:shd w:fill="CFF0FC" w:val="cle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137,283</w:t>
            </w:r>
          </w:p>
        </w:tc>
        <w:tc>
          <w:tcPr>
            <w:tcW w:w="394" w:type="dxa"/>
            <w:tcBorders/>
            <w:shd w:fill="CFF0FC" w:val="cle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less current portion</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126,795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Scheduled principal payments under the Credit Facility and joint venture term debt are $5.3 million for the remainder of 2024, $11.3 million in 2025, $111.4 million in 2026, $3.9 million in 2027, and zero in 2028.</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2024 and December 31, 2023, $13.2 million and $13.3 million of letters of credit were outstanding, respectively. Total unused credit availability, in consideration of borrowing limitations, under the Company’s senior secured term loan and senior secured revolver loan with sub-facilities for letters of credit, swing-line loans and senior secured multi-currency loans (the "Credit Facility") was $111.0 million and $109.4 million at June 30, 2024 and December 31, 2023, respectively. Revolving loans may be borrowed, repaid and reborrowed until December 17, 2026, at which time all outstanding balances of the Credit Facility must be repaid.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the Company’s option, revolving loans and the term loans accrue interest at a per annum rate based on (a) either the highest of (i) the federal funds rate plus 0.5%, or (ii) the prime lending rate of the Agent (as defined in the Credit Facility), (b) Daily Simple SOFR plus the Daily Simple SOFR Adjustment of 0.11% plus 1.0%, (c) 1.0%, plus a margin ranging from 1.75% to 3.25% depending on the Company’s Consolidated Leverage Ratio, or (d) a one/three/six-month Term SOFR Rate (as defined in the Credit Facility) plus the Term SOFR Adjustment ranging from 0.11% to 0.43% plus 1.75% to 3.25% depending on the Company’s Consolidated Leverage Ratio. Interest on swing line loans is the Base Rate.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7.88% and 8.29% at June 30, 2024 and December 31, 2023, respectively. The effective interest rate was 8.12% and 7.70% at June 30, 2024 and December 31,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decreased to 3.50 until the end of the term of the Credit Facility.</w:t>
        <w:br/>
        <w:b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2024 and December 31, 2023, the Company was in compliance with all related financial and other restrictive covenants under the Credit Facility.</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Joint Venture 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March 7, 2022, the Company's Effox-Flextor-Mader, Inc. joint venture ("EFM JV"), for which the Company holds 63% of the equity, entered into a loan agreement secured by the assets of the EFM JV in the aggregate principal amount of $11.0 million for the acquisition of General Rubber, LLC ("GRC"). As of June 30, 2024 and December 31, 2023, $8.1 million and $8.9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June 30, 2024 and December 31, 2023 was 8.52% and 8.70%, respectively. As of June 30, 2024 and December 31, 2023, the EFM JV was in compliance with all related financial and other restrictive covenants under this loan agreement. This loan balance does not impact the Company’s borrowing capacity or the financial covenants under the Credit Facility. As of June 30, 2024, there were $16.7 million in current assets, $26.1 million in long-lived assets, and $30.2 million in total liabilities related to the EFM JV included in the Condensed Consolidated Balance Sheets. As of December 31, 2023, there were $14.5 million in current assets, $26.7 million in long-lived assets, and $12.5 million in total liabilities related to the EFM JV included in the Consolidated Balance Sheets. For the three months ended June 30, 2024 and 2023, the EFM JV accounted for $13.2 million and $9.9 million in revenue, respectively, included in the Company's results. For the six months ended June 30, 2024 and 2023, the EFM JV accounted for $23.9 million and $19.3 million in revenue, respectively, included in the Company's results.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Foreign 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 million from the bilateral lines of credit secured through pledged assets and collateral under the Credit Facility. As of June 30, 2024 and December 31, 2023, $48.3 million and $45.8 million in bank guarantees were outstanding, respectively, inclusive of $1.9 million and $1.3 million in outstanding bank guarantees as of June 30, 2024 and December 31, 2023, respectively, under a Euro-denominated bank guarantee agreement held by a subsidiary of the Company located in the Netherlands and secured by local assets, as well as $2.8 million and $2.3 million in outstanding bank guarantees as of June 30, 2024 and December 31, 2023, respectively, under Yuan-denominated bank guarantee agreements held by a subsidiary of the Company located in China and secured by local assets.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9. Earnings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computational components of basic and diluted earnings per share for the three months ended June 30, 2024 and 2023 are as follows:</w:t>
      </w:r>
    </w:p>
    <w:tbl>
      <w:tblPr>
        <w:tblW w:w="9274" w:type="dxa"/>
        <w:jc w:val="left"/>
        <w:tblInd w:w="0" w:type="dxa"/>
        <w:tblLayout w:type="fixed"/>
        <w:tblCellMar>
          <w:top w:w="28" w:type="dxa"/>
          <w:left w:w="28" w:type="dxa"/>
          <w:bottom w:w="28" w:type="dxa"/>
          <w:right w:w="28" w:type="dxa"/>
        </w:tblCellMar>
      </w:tblPr>
      <w:tblGrid>
        <w:gridCol w:w="6721"/>
        <w:gridCol w:w="146"/>
        <w:gridCol w:w="226"/>
        <w:gridCol w:w="726"/>
        <w:gridCol w:w="156"/>
        <w:gridCol w:w="156"/>
        <w:gridCol w:w="226"/>
        <w:gridCol w:w="726"/>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Numerator </w:t>
            </w:r>
            <w:r>
              <w:rPr>
                <w:rFonts w:ascii="Times New Roman" w:hAnsi="Times New Roman"/>
                <w:color w:val="000000"/>
                <w:sz w:val="20"/>
              </w:rPr>
              <w:t>(for basic and diluted earnings per share)</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6721"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attributable to CECO Environmental Corp.</w:t>
            </w:r>
          </w:p>
        </w:tc>
        <w:tc>
          <w:tcPr>
            <w:tcW w:w="146" w:type="dxa"/>
            <w:tcBorders/>
            <w:shd w:fill="CCECFF" w:val="clear"/>
            <w:vAlign w:val="center"/>
          </w:tcPr>
          <w:p>
            <w:pPr>
              <w:pStyle w:val="TableContents"/>
              <w:bidi w:val="0"/>
              <w:spacing w:before="0" w:after="283"/>
              <w:jc w:val="lef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5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righ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721" w:type="dxa"/>
            <w:tcBorders/>
            <w:shd w:fill="CCEC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right"/>
              <w:rPr/>
            </w:pPr>
            <w:r>
              <w:rPr/>
              <w:t> </w:t>
            </w:r>
          </w:p>
        </w:tc>
        <w:tc>
          <w:tcPr>
            <w:tcW w:w="156" w:type="dxa"/>
            <w:tcBorders/>
            <w:shd w:fill="CCECFF" w:val="clear"/>
            <w:vAlign w:val="center"/>
          </w:tcPr>
          <w:p>
            <w:pPr>
              <w:pStyle w:val="TableContents"/>
              <w:bidi w:val="0"/>
              <w:spacing w:before="0" w:after="283"/>
              <w:jc w:val="right"/>
              <w:rPr/>
            </w:pPr>
            <w:r>
              <w:rPr/>
              <w:t> </w:t>
            </w:r>
          </w:p>
        </w:tc>
        <w:tc>
          <w:tcPr>
            <w:tcW w:w="156" w:type="dxa"/>
            <w:tcBorders/>
            <w:shd w:fill="CCECFF" w:val="clear"/>
            <w:vAlign w:val="center"/>
          </w:tcPr>
          <w:p>
            <w:pPr>
              <w:pStyle w:val="TableContents"/>
              <w:bidi w:val="0"/>
              <w:spacing w:before="0" w:after="283"/>
              <w:jc w:val="right"/>
              <w:rPr/>
            </w:pPr>
            <w:r>
              <w:rPr/>
              <w:t> </w:t>
            </w:r>
          </w:p>
        </w:tc>
        <w:tc>
          <w:tcPr>
            <w:tcW w:w="952" w:type="dxa"/>
            <w:gridSpan w:val="2"/>
            <w:tcBorders/>
            <w:shd w:fill="CCECFF" w:val="clear"/>
            <w:vAlign w:val="center"/>
          </w:tcPr>
          <w:p>
            <w:pPr>
              <w:pStyle w:val="TableContents"/>
              <w:bidi w:val="0"/>
              <w:spacing w:before="0" w:after="283"/>
              <w:jc w:val="right"/>
              <w:rPr/>
            </w:pPr>
            <w:r>
              <w:rPr/>
              <w:t> </w:t>
            </w:r>
          </w:p>
        </w:tc>
        <w:tc>
          <w:tcPr>
            <w:tcW w:w="191" w:type="dxa"/>
            <w:tcBorders/>
            <w:shd w:fill="CCECFF"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34,619</w:t>
            </w:r>
          </w:p>
        </w:tc>
        <w:tc>
          <w:tcPr>
            <w:tcW w:w="191" w:type="dxa"/>
            <w:tcBorders/>
            <w:shd w:fill="FFFFFF" w:val="clear"/>
            <w:vAlign w:val="center"/>
          </w:tcPr>
          <w:p>
            <w:pPr>
              <w:pStyle w:val="TableContents"/>
              <w:bidi w:val="0"/>
              <w:spacing w:before="0" w:after="283"/>
              <w:jc w:val="left"/>
              <w:rPr/>
            </w:pPr>
            <w:r>
              <w:rPr/>
              <w:t> </w:t>
            </w:r>
          </w:p>
        </w:tc>
      </w:tr>
      <w:tr>
        <w:trPr/>
        <w:tc>
          <w:tcPr>
            <w:tcW w:w="6721" w:type="dxa"/>
            <w:tcBorders/>
            <w:shd w:fill="CCEC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equivalents arising from stock options and restricted stock awards</w:t>
            </w:r>
          </w:p>
        </w:tc>
        <w:tc>
          <w:tcPr>
            <w:tcW w:w="146" w:type="dxa"/>
            <w:tcBorders/>
            <w:shd w:fill="CCECFF" w:val="cle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36,303</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computational components of basic and diluted earnings per share for the six months ended June 30, 2024 and 2023 are as follows:</w:t>
      </w:r>
    </w:p>
    <w:tbl>
      <w:tblPr>
        <w:tblW w:w="9124" w:type="dxa"/>
        <w:jc w:val="left"/>
        <w:tblInd w:w="0" w:type="dxa"/>
        <w:tblLayout w:type="fixed"/>
        <w:tblCellMar>
          <w:top w:w="28" w:type="dxa"/>
          <w:left w:w="28" w:type="dxa"/>
          <w:bottom w:w="28" w:type="dxa"/>
          <w:right w:w="28" w:type="dxa"/>
        </w:tblCellMar>
      </w:tblPr>
      <w:tblGrid>
        <w:gridCol w:w="6721"/>
        <w:gridCol w:w="146"/>
        <w:gridCol w:w="211"/>
        <w:gridCol w:w="676"/>
        <w:gridCol w:w="146"/>
        <w:gridCol w:w="146"/>
        <w:gridCol w:w="211"/>
        <w:gridCol w:w="676"/>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Numerator </w:t>
            </w:r>
            <w:r>
              <w:rPr>
                <w:rFonts w:ascii="Times New Roman" w:hAnsi="Times New Roman"/>
                <w:color w:val="000000"/>
                <w:sz w:val="20"/>
              </w:rPr>
              <w:t>(for basic and diluted earnings per share)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6721"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attributable to CECO Environmental Corp.</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721" w:type="dxa"/>
            <w:tcBorders/>
            <w:shd w:fill="CCEC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CECFF" w:val="clear"/>
            <w:vAlign w:val="center"/>
          </w:tcPr>
          <w:p>
            <w:pPr>
              <w:pStyle w:val="TableContents"/>
              <w:bidi w:val="0"/>
              <w:spacing w:before="0" w:after="283"/>
              <w:jc w:val="left"/>
              <w:rPr/>
            </w:pPr>
            <w:r>
              <w:rPr/>
              <w:t> </w:t>
            </w:r>
          </w:p>
        </w:tc>
        <w:tc>
          <w:tcPr>
            <w:tcW w:w="88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87" w:type="dxa"/>
            <w:gridSpan w:val="2"/>
            <w:tcBorders/>
            <w:shd w:fill="CCECFF" w:val="clear"/>
            <w:vAlign w:val="center"/>
          </w:tcPr>
          <w:p>
            <w:pPr>
              <w:pStyle w:val="TableContents"/>
              <w:bidi w:val="0"/>
              <w:spacing w:before="0" w:after="283"/>
              <w:jc w:val="right"/>
              <w:rPr/>
            </w:pPr>
            <w:r>
              <w:rPr/>
              <w:t> </w:t>
            </w:r>
          </w:p>
        </w:tc>
        <w:tc>
          <w:tcPr>
            <w:tcW w:w="191" w:type="dxa"/>
            <w:tcBorders/>
            <w:shd w:fill="CCECFF"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w:t>
            </w:r>
          </w:p>
        </w:tc>
        <w:tc>
          <w:tcPr>
            <w:tcW w:w="191" w:type="dxa"/>
            <w:tcBorders/>
            <w:shd w:fill="FFFFFF" w:val="clear"/>
            <w:vAlign w:val="center"/>
          </w:tcPr>
          <w:p>
            <w:pPr>
              <w:pStyle w:val="TableContents"/>
              <w:bidi w:val="0"/>
              <w:spacing w:before="0" w:after="283"/>
              <w:jc w:val="left"/>
              <w:rPr/>
            </w:pPr>
            <w:r>
              <w:rPr/>
              <w:t> </w:t>
            </w:r>
          </w:p>
        </w:tc>
      </w:tr>
      <w:tr>
        <w:trPr/>
        <w:tc>
          <w:tcPr>
            <w:tcW w:w="6721" w:type="dxa"/>
            <w:tcBorders/>
            <w:shd w:fill="CCEC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equivalents arising from stock options and restricted stock awards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Options and restricted stock units included in the computation of diluted earnings per share are calculated using the treasury stock method. For the three months ended June 30, 2024 and 2023, zero and 1.3 million, respectively, and for the six months ended June 30, 2024 and 2023, 0.1 million and 0.7 million, respectively, of outstanding options and restricted stock units were excluded from the computation of diluted earnings per share due to their having an anti-dilutive effect.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Once a restricted stock unit vests, it is included in the computation of weighted average shares outstanding for purposes of basic and diluted earnings per share.</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Common Stock Repurchase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three and six months ended June 30, 2024, the Company repurchased approximately 86,000 and 230,000 shares under the program, respectively, for a cost of $2.0 million and $5.0 million, respectively. There were no shares repurchased under the program during the three or six months ended June 30, 2023.</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10. Share-Based Compensation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$2.2 million and $1.2 million of share-based compensation related expense during the three months ended June 30, 2024 and 2023, respectively, and $3.8 million and $2.0 million of share-based compensation related expense during the six months ended June 30, 2024 and 2023, respectively.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granted approximately 57,000 and 50,000 restricted stock units during the three months ended June 30, 2024 and 2023, respectively, and approximately 341,000 and 390,000 restricted stock units during the six months ended June 30, 2024 and 2023, respectively. In addition, the Company granted approximately 25,000 and zero stock options during the six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ended June 30, 2024 and 2023, respectively. No stock options were granted during the three months ended June 30, 2024 and 2023.</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were approximately 10,000 and 25,000 options exercised during the three months ended June 30, 2024 and 2023, respectively, for which the Company received $0.2 million and $0.3 million in cash, respectively, from employees and directors. The intrinsic value of options exercised was $0.1 million for each of the three months ended June 30, 2024 and 2023. There were approximately 20,000 and 77,000 options exercised during the six months ended June 30, 2024 and 2023, respectively, for which the Company received $0.3 million and $0.9 million in cash, respectively, from employees and directors. The intrinsic value of options exercised was $0.2 million for each of the six months ended June 30, 2024 and 2023.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11. Pension and Employee Benefit Plans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sponsors a non-contributory defined benefit pension plan for certain union employees. The plan is funded in accordance with the funding requirements of the Employee Retirement Income Security Act of 1974.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presents the components of net periodic benefit cost within “Other (expense) income, net” on the Condensed Consolidated Statements of Income.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Retirement plan expense is based on valuations performed by plan actuaries as of the beginning of each fiscal year. The components of the pension plan expense consisted of the following:</w:t>
      </w:r>
    </w:p>
    <w:tbl>
      <w:tblPr>
        <w:tblW w:w="7732" w:type="dxa"/>
        <w:jc w:val="left"/>
        <w:tblInd w:w="0" w:type="dxa"/>
        <w:tblLayout w:type="fixed"/>
        <w:tblCellMar>
          <w:top w:w="28" w:type="dxa"/>
          <w:left w:w="28" w:type="dxa"/>
          <w:bottom w:w="28" w:type="dxa"/>
          <w:right w:w="28" w:type="dxa"/>
        </w:tblCellMar>
      </w:tblPr>
      <w:tblGrid>
        <w:gridCol w:w="2821"/>
        <w:gridCol w:w="146"/>
        <w:gridCol w:w="276"/>
        <w:gridCol w:w="629"/>
        <w:gridCol w:w="217"/>
        <w:gridCol w:w="191"/>
        <w:gridCol w:w="276"/>
        <w:gridCol w:w="629"/>
        <w:gridCol w:w="166"/>
        <w:gridCol w:w="146"/>
        <w:gridCol w:w="252"/>
        <w:gridCol w:w="574"/>
        <w:gridCol w:w="198"/>
        <w:gridCol w:w="174"/>
        <w:gridCol w:w="252"/>
        <w:gridCol w:w="574"/>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7"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1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actuarial loss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made contributions to its defined benefit plan of $0.2 million during the three and six months ended June 30, 2024. No contributions were made to the plan during the three and six months ended June 30, 2023. For the remainder of 2024, the Company expects to make contributions of $0.9 to fund the pension plan. The unfunded liability of the plan of $4.0 million and $4.1 million as of June 30, 2024 and December 31, 2023, respectively, is included in “Other liabilities” on the Condensed Consolidated Balance Sheets.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files income tax returns in various federal, state and local jurisdictions. Tax years from 2018 forward remain open for examination by Federal authorities. Tax years from 2017 forward remain open for all significant state and foreign authorities.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accounts for uncertain tax positions pursuant to ASC Topic 740, “Income Taxes.” As of June 30, 2024 and December 31, 2023, the liability for uncertain tax positions totaled approximately $0.2 million, which is included in “Other liabilities” on the Condensed Consolidated Balance Sheets. The Company recognizes accrued interest related to uncertain tax positions and penalties, if any, in income tax expense within the Condensed Consolidated Statements of Income.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June 30, 2024 and December 31, 2023, the Company recorded deferred income taxes of approximately $0.8 million and $0.7 million, respectively, on the undistributed earnings of its foreign subsidiaries.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Income tax expense was $0.4 million and $1.0 million for the three months ended June 30, 2024 and 2023, respectively, and $1.1 million and $1.0 million for the six months ended June 30, 2024 and 2023, respectively. The effective income tax rate for the three months ended June 30, 2024 was 7.4% compared with 19.8% for the three months ended June 30, 2023, and the effective income tax rate for the six months ended June 30, 2024 was 13.1% compared with 13.3% for the six months ended June 30, 2023. The effective income tax rates for the three and six months ended June 30, 2024 and 2023 differ from the United States federal statutory rate. The Company's effective rate is affected by certain other permanent differences, including state income taxes, non-deductible incentive stock-based compensation and differences in tax rates among jurisdictions in which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operates. Additionally, the Company received a tax indemnification payment of $0.5 million, related to a prior year acquisition, in the second quarter of 2024.</w:t>
      </w:r>
    </w:p>
    <w:p>
      <w:pPr>
        <w:pStyle w:val="TextBody"/>
        <w:bidi w:val="0"/>
        <w:jc w:val="left"/>
        <w:rPr>
          <w:rFonts w:ascii="Times New Roman" w:hAnsi="Times New Roman"/>
          <w:color w:val="000000"/>
          <w:sz w:val="20"/>
        </w:rPr>
      </w:pPr>
      <w:r>
        <w:rPr>
          <w:rFonts w:ascii="Times New Roman" w:hAnsi="Times New Roman"/>
          <w:color w:val="000000"/>
          <w:sz w:val="20"/>
        </w:rPr>
        <w:t xml:space="preserve">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13. Financial Instruments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financial instruments consist primarily of investments in cash and cash equivalents, receivables and certain other assets, notes payable, foreign debt and accounts payable, which approximate fair value at June 30, 2024 and December 31, 2023, due to their short-term nature or variable, market-driven interest rates.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fair value of the debt issued under the Credit Facility and joint venture term loan was $131.9 million and $138.6 million at June 30, 2024 and December 31, 2023, respectively. The fair value was determined considering market conditions, the Company's credit worthiness and the current terms of our debt, which is considered Level 2 on the fair value hierarchy.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June 30, 2024 and December 31, 2023, the Company had cash and cash equivalents of $36.5 million and $54.8 million, respectively, of which $28.6 million and $38.5 million, respectively, was held outside of the United States, principally in the Netherlands, India, United Kingdom, and China.</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Asbestos cases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subsidiary, Met-Pro Technologies LLC (“Met-Pro”), beginning in 2002, has been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2024 for cases involving asbestos-related claims were $6.8 million which together with all legal fees other than corporate counsel expenses have substantially been paid by the Company’s insurers. The average cost per settled claim, excluding legal fees, was approximately $33,000. As of June 30, 2024 and December 31, 2023, the amount recorded within "Accrued expenses" on the Condensed Consolidated Balance Sheets was $0.2 million and zero, respectively, related to asbestos litigation.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Based upon the most recent information available to the Company regarding such claims, there were a total of 333 cases pending against the Company as of June 30, 2024 with Illinois, New York, Pennsylvania and West Virginia having the largest number of cases, as compared with 313 cases that were pending as of December 31, 2023. During the six months ended June 30, 2024, 94 new cases were filed against the Company, and the Company was dismissed from 50 cases and settled 24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Other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is also a party to routine contract and employment-related litigation matters, warranty claims and routine audits of state and local tax returns arising in the ordinary course of its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is not aware of any pending claims or assessments, other than as described above, which may have a material adverse impact on its liquidity, financial position, results of operations, or cash flows.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15. Acquisitions</w:t>
      </w:r>
    </w:p>
    <w:p>
      <w:pPr>
        <w:pStyle w:val="TextBody"/>
        <w:bidi w:val="0"/>
        <w:spacing w:before="240" w:after="240"/>
        <w:jc w:val="left"/>
        <w:rPr>
          <w:rFonts w:ascii="Times New Roman" w:hAnsi="Times New Roman"/>
          <w:sz w:val="20"/>
        </w:rPr>
      </w:pPr>
      <w:r>
        <w:rPr>
          <w:rFonts w:ascii="Times New Roman" w:hAnsi="Times New Roman"/>
          <w:i/>
          <w:color w:val="000000"/>
          <w:sz w:val="20"/>
        </w:rPr>
        <w:t>Kemco Systems Co., LLC</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August 23, 2023, the Company acquired 100% of the equity interests of Kemco for $24.0 million in cash, which was financed with a draw on the Company’s revolving credit facility. During the three months ended March 31, 2024, the Company received $0.4 million from the former owners of Kemco as a working capital adjustment, reducing the purchase price to $23.6 million. As additional consideration, the former owners of Kemco are entitled to earnout payments up to $4.0 million based upon specified financial results through August 31, 2026, of which $1.7 million was paid during the second quarter of 2024. Based on projections at the acquisition date, the Company estimated the fair value of the earnout to be $2.2 million, which was subsequently adjusted to $2.7 million in the first quarter of 2024. This fair value measurement is based on inputs not observable in the market, which is considered Level 3 on the fair value hierarchy. As of June 30, 2024, the earnout liability recorded in “Accrued expenses” on the Condensed Consolidated Balance Sheets is $1.1 million.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fair values of the assets acquired and liabilities assumed at the date of closing.</w:t>
      </w:r>
    </w:p>
    <w:tbl>
      <w:tblPr>
        <w:tblW w:w="6125" w:type="dxa"/>
        <w:jc w:val="left"/>
        <w:tblInd w:w="0" w:type="dxa"/>
        <w:tblLayout w:type="fixed"/>
        <w:tblCellMar>
          <w:top w:w="28" w:type="dxa"/>
          <w:left w:w="28" w:type="dxa"/>
          <w:bottom w:w="28" w:type="dxa"/>
          <w:right w:w="28" w:type="dxa"/>
        </w:tblCellMar>
      </w:tblPr>
      <w:tblGrid>
        <w:gridCol w:w="4681"/>
        <w:gridCol w:w="146"/>
        <w:gridCol w:w="211"/>
        <w:gridCol w:w="676"/>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accounts receivable of $2,328)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1"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from 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w:t>
            </w:r>
          </w:p>
        </w:tc>
        <w:tc>
          <w:tcPr>
            <w:tcW w:w="411"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33,586</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acquired technology, customer lists and tradename intangible assets valued at $1.4 million, $8.7 million and $1.5 million, respectively. These assets were determined to have useful lives of 7, 10 and 10 years, respectively.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Transcend Solutions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paid within one year and $2.0 million of notes payable due in equal installments over two years, of which $1.0 million was paid during the first quarter of 2024.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fair values of the assets acquired and liabilities assumed at the date of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45" w:type="dxa"/>
        <w:jc w:val="left"/>
        <w:tblInd w:w="0" w:type="dxa"/>
        <w:tblLayout w:type="fixed"/>
        <w:tblCellMar>
          <w:top w:w="28" w:type="dxa"/>
          <w:left w:w="28" w:type="dxa"/>
          <w:bottom w:w="28" w:type="dxa"/>
          <w:right w:w="28" w:type="dxa"/>
        </w:tblCellMar>
      </w:tblPr>
      <w:tblGrid>
        <w:gridCol w:w="6001"/>
        <w:gridCol w:w="146"/>
        <w:gridCol w:w="211"/>
        <w:gridCol w:w="676"/>
        <w:gridCol w:w="41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cash of $52 and accounts receivable of $1,493)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41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41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w:t>
            </w:r>
          </w:p>
        </w:tc>
        <w:tc>
          <w:tcPr>
            <w:tcW w:w="41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41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w:t>
            </w:r>
          </w:p>
        </w:tc>
        <w:tc>
          <w:tcPr>
            <w:tcW w:w="41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acquired technology, customer lists and tradename intangible assets valued at $0.6 million, $7.6 million and $0.7 million, respectively. These assets were determined to have useful lives of 7, 10 and 10 years, respectively. </w:t>
      </w:r>
    </w:p>
    <w:p>
      <w:pPr>
        <w:pStyle w:val="TextBody"/>
        <w:bidi w:val="0"/>
        <w:spacing w:before="240" w:after="240"/>
        <w:jc w:val="left"/>
        <w:rPr>
          <w:rFonts w:ascii="Times New Roman" w:hAnsi="Times New Roman"/>
          <w:sz w:val="20"/>
        </w:rPr>
      </w:pPr>
      <w:r>
        <w:rPr>
          <w:rFonts w:ascii="Times New Roman" w:hAnsi="Times New Roman"/>
          <w:i/>
          <w:color w:val="000000"/>
          <w:sz w:val="20"/>
        </w:rPr>
        <w:t>Malvar Engineering Limited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are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fair values of the assets acquired and liabilities assumed at the date of closing.</w:t>
      </w:r>
    </w:p>
    <w:tbl>
      <w:tblPr>
        <w:tblW w:w="6125" w:type="dxa"/>
        <w:jc w:val="left"/>
        <w:tblInd w:w="0" w:type="dxa"/>
        <w:tblLayout w:type="fixed"/>
        <w:tblCellMar>
          <w:top w:w="28" w:type="dxa"/>
          <w:left w:w="28" w:type="dxa"/>
          <w:bottom w:w="28" w:type="dxa"/>
          <w:right w:w="28" w:type="dxa"/>
        </w:tblCellMar>
      </w:tblPr>
      <w:tblGrid>
        <w:gridCol w:w="4681"/>
        <w:gridCol w:w="146"/>
        <w:gridCol w:w="211"/>
        <w:gridCol w:w="676"/>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accounts receivable of $2,467)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411"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41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acquired customer lists and tradename intangible assets valued at $1.5 million and $0.3 million, respectively. These assets were determined to have useful lives of 10 years.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has finalized the valuation of assets acquired and liabilities assumed related to the acquisition of Wakefield and Transcend. The purchase accounting related to the Kemco acquisition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br/>
        <w:br/>
        <w:t xml:space="preserve">Acquisition and integration expenses on the Condensed Consolidated Statements of Income are related to acquisition activities, which include retention, legal, accounting, banking, and other expenses.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unaudited pro forma financial information represents the Company’s results of operations as if these acquisitions had occurred at the beginning of the fiscal year prior to the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57" w:type="dxa"/>
        <w:jc w:val="left"/>
        <w:tblInd w:w="0" w:type="dxa"/>
        <w:tblLayout w:type="fixed"/>
        <w:tblCellMar>
          <w:top w:w="28" w:type="dxa"/>
          <w:left w:w="28" w:type="dxa"/>
          <w:bottom w:w="28" w:type="dxa"/>
          <w:right w:w="28" w:type="dxa"/>
        </w:tblCellMar>
      </w:tblPr>
      <w:tblGrid>
        <w:gridCol w:w="4576"/>
        <w:gridCol w:w="146"/>
        <w:gridCol w:w="211"/>
        <w:gridCol w:w="781"/>
        <w:gridCol w:w="146"/>
        <w:gridCol w:w="146"/>
        <w:gridCol w:w="211"/>
        <w:gridCol w:w="781"/>
        <w:gridCol w:w="146"/>
        <w:gridCol w:w="146"/>
        <w:gridCol w:w="211"/>
        <w:gridCol w:w="781"/>
        <w:gridCol w:w="146"/>
        <w:gridCol w:w="146"/>
        <w:gridCol w:w="211"/>
        <w:gridCol w:w="781"/>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257,455</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CECO Environmental Corp.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5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5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pStyle w:val="TextBody"/>
        <w:bidi w:val="0"/>
        <w:spacing w:before="240" w:after="240"/>
        <w:jc w:val="left"/>
        <w:rPr>
          <w:rFonts w:ascii="Times New Roman" w:hAnsi="Times New Roman"/>
          <w:sz w:val="20"/>
        </w:rPr>
      </w:pPr>
      <w:r>
        <w:rPr>
          <w:rFonts w:ascii="Times New Roman" w:hAnsi="Times New Roman"/>
          <w:b/>
          <w:color w:val="000000"/>
          <w:sz w:val="20"/>
        </w:rPr>
        <w:t>16. Business Segment Information</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20"/>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Times New Roman" w:hAnsi="Times New Roman"/>
          <w:color w:val="000000"/>
          <w:sz w:val="24"/>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reportable segments are organized as groups of similar products and services, as described as follows:</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Engineered Systems segment:</w:t>
      </w:r>
      <w:r>
        <w:rPr>
          <w:rFonts w:ascii="Times New Roman" w:hAnsi="Times New Roman"/>
          <w:color w:val="000000"/>
          <w:sz w:val="20"/>
        </w:rPr>
        <w:t xml:space="preserve"> The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Industrial Process Solutions segment:</w:t>
      </w:r>
      <w:r>
        <w:rPr>
          <w:rFonts w:ascii="Times New Roman" w:hAnsi="Times New Roman"/>
          <w:color w:val="000000"/>
          <w:sz w:val="20"/>
        </w:rPr>
        <w:t xml:space="preserve"> The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financial segment information is as follows:</w:t>
      </w:r>
    </w:p>
    <w:tbl>
      <w:tblPr>
        <w:tblW w:w="8922"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11"/>
        <w:gridCol w:w="781"/>
        <w:gridCol w:w="146"/>
        <w:gridCol w:w="146"/>
        <w:gridCol w:w="211"/>
        <w:gridCol w:w="781"/>
        <w:gridCol w:w="146"/>
        <w:gridCol w:w="146"/>
        <w:gridCol w:w="211"/>
        <w:gridCol w:w="781"/>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(less intra-, inter-segment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161,977</w:t>
            </w:r>
          </w:p>
        </w:tc>
        <w:tc>
          <w:tcPr>
            <w:tcW w:w="3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8385" w:type="dxa"/>
        <w:jc w:val="left"/>
        <w:tblInd w:w="0" w:type="dxa"/>
        <w:tblLayout w:type="fixed"/>
        <w:tblCellMar>
          <w:top w:w="28" w:type="dxa"/>
          <w:left w:w="28" w:type="dxa"/>
          <w:bottom w:w="28" w:type="dxa"/>
          <w:right w:w="28" w:type="dxa"/>
        </w:tblCellMar>
      </w:tblPr>
      <w:tblGrid>
        <w:gridCol w:w="3091"/>
        <w:gridCol w:w="146"/>
        <w:gridCol w:w="212"/>
        <w:gridCol w:w="741"/>
        <w:gridCol w:w="167"/>
        <w:gridCol w:w="146"/>
        <w:gridCol w:w="212"/>
        <w:gridCol w:w="741"/>
        <w:gridCol w:w="166"/>
        <w:gridCol w:w="146"/>
        <w:gridCol w:w="211"/>
        <w:gridCol w:w="736"/>
        <w:gridCol w:w="166"/>
        <w:gridCol w:w="146"/>
        <w:gridCol w:w="211"/>
        <w:gridCol w:w="736"/>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23,894</w:t>
            </w:r>
          </w:p>
        </w:tc>
        <w:tc>
          <w:tcPr>
            <w:tcW w:w="41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41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income from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120"/>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120"/>
        <w:jc w:val="left"/>
        <w:rPr>
          <w:rFonts w:ascii="Times New Roman" w:hAnsi="Times New Roman"/>
          <w:sz w:val="24"/>
        </w:rPr>
      </w:pPr>
      <w:r>
        <w:rPr>
          <w:rFonts w:ascii="Times New Roman" w:hAnsi="Times New Roman"/>
          <w:color w:val="000000"/>
          <w:sz w:val="16"/>
        </w:rPr>
        <w:t>Includes corporate compensation, professional services, information technology, and other general and administrative corporate expenses.</w:t>
      </w:r>
      <w:r>
        <w:rPr>
          <w:rFonts w:ascii="Times New Roman" w:hAnsi="Times New Roman"/>
          <w:color w:val="000000"/>
          <w:sz w:val="24"/>
        </w:rPr>
        <w:t xml:space="preserve">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32" w:type="dxa"/>
        <w:jc w:val="left"/>
        <w:tblInd w:w="0" w:type="dxa"/>
        <w:tblLayout w:type="fixed"/>
        <w:tblCellMar>
          <w:top w:w="28" w:type="dxa"/>
          <w:left w:w="28" w:type="dxa"/>
          <w:bottom w:w="28" w:type="dxa"/>
          <w:right w:w="28" w:type="dxa"/>
        </w:tblCellMar>
      </w:tblPr>
      <w:tblGrid>
        <w:gridCol w:w="3561"/>
        <w:gridCol w:w="146"/>
        <w:gridCol w:w="252"/>
        <w:gridCol w:w="683"/>
        <w:gridCol w:w="174"/>
        <w:gridCol w:w="174"/>
        <w:gridCol w:w="252"/>
        <w:gridCol w:w="683"/>
        <w:gridCol w:w="146"/>
        <w:gridCol w:w="146"/>
        <w:gridCol w:w="230"/>
        <w:gridCol w:w="623"/>
        <w:gridCol w:w="159"/>
        <w:gridCol w:w="159"/>
        <w:gridCol w:w="230"/>
        <w:gridCol w:w="623"/>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additions</w:t>
            </w:r>
          </w:p>
        </w:tc>
        <w:tc>
          <w:tcPr>
            <w:tcW w:w="146" w:type="dxa"/>
            <w:tcBorders/>
            <w:shd w:fill="CFF0FC" w:val="clear"/>
            <w:vAlign w:val="center"/>
          </w:tcPr>
          <w:p>
            <w:pPr>
              <w:pStyle w:val="TableContents"/>
              <w:bidi w:val="0"/>
              <w:spacing w:before="0" w:after="283"/>
              <w:jc w:val="left"/>
              <w:rPr/>
            </w:pPr>
            <w:r>
              <w:rPr/>
              <w:t> </w:t>
            </w:r>
          </w:p>
        </w:tc>
        <w:tc>
          <w:tcPr>
            <w:tcW w:w="935"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91" w:type="dxa"/>
            <w:tcBorders/>
            <w:shd w:fill="FFFFFF" w:val="clear"/>
            <w:vAlign w:val="center"/>
          </w:tcPr>
          <w:p>
            <w:pPr>
              <w:pStyle w:val="TableContents"/>
              <w:bidi w:val="0"/>
              <w:spacing w:before="0" w:after="283"/>
              <w:jc w:val="left"/>
              <w:rPr/>
            </w:pPr>
            <w:r>
              <w:rPr/>
              <w:t> </w:t>
            </w:r>
          </w:p>
        </w:tc>
      </w:tr>
      <w:tr>
        <w:trPr/>
        <w:tc>
          <w:tcPr>
            <w:tcW w:w="3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391" w:type="dxa"/>
            <w:tcBorders/>
            <w:shd w:fill="CFF0FC"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additions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8317" w:type="dxa"/>
        <w:jc w:val="left"/>
        <w:tblInd w:w="0" w:type="dxa"/>
        <w:tblLayout w:type="fixed"/>
        <w:tblCellMar>
          <w:top w:w="28" w:type="dxa"/>
          <w:left w:w="28" w:type="dxa"/>
          <w:bottom w:w="28" w:type="dxa"/>
          <w:right w:w="28" w:type="dxa"/>
        </w:tblCellMar>
      </w:tblPr>
      <w:tblGrid>
        <w:gridCol w:w="3246"/>
        <w:gridCol w:w="146"/>
        <w:gridCol w:w="252"/>
        <w:gridCol w:w="683"/>
        <w:gridCol w:w="174"/>
        <w:gridCol w:w="174"/>
        <w:gridCol w:w="252"/>
        <w:gridCol w:w="683"/>
        <w:gridCol w:w="146"/>
        <w:gridCol w:w="146"/>
        <w:gridCol w:w="230"/>
        <w:gridCol w:w="623"/>
        <w:gridCol w:w="159"/>
        <w:gridCol w:w="159"/>
        <w:gridCol w:w="230"/>
        <w:gridCol w:w="623"/>
        <w:gridCol w:w="39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935"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391" w:type="dxa"/>
            <w:tcBorders/>
            <w:shd w:fill="FFFFFF" w:val="clear"/>
            <w:vAlign w:val="center"/>
          </w:tcPr>
          <w:p>
            <w:pPr>
              <w:pStyle w:val="TableContents"/>
              <w:bidi w:val="0"/>
              <w:spacing w:before="0" w:after="283"/>
              <w:jc w:val="left"/>
              <w:rPr/>
            </w:pPr>
            <w:r>
              <w:rPr/>
              <w:t> </w:t>
            </w:r>
          </w:p>
        </w:tc>
      </w:tr>
      <w:tr>
        <w:trPr/>
        <w:tc>
          <w:tcPr>
            <w:tcW w:w="3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391" w:type="dxa"/>
            <w:tcBorders/>
            <w:shd w:fill="CFF0FC" w:val="clear"/>
            <w:vAlign w:val="center"/>
          </w:tcPr>
          <w:p>
            <w:pPr>
              <w:pStyle w:val="TableContents"/>
              <w:bidi w:val="0"/>
              <w:spacing w:before="0" w:after="283"/>
              <w:jc w:val="left"/>
              <w:rPr/>
            </w:pPr>
            <w:r>
              <w:rPr/>
              <w:t> </w:t>
            </w:r>
          </w:p>
        </w:tc>
      </w:tr>
      <w:tr>
        <w:trPr/>
        <w:tc>
          <w:tcPr>
            <w:tcW w:w="3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depreciation and amortization</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6545" w:type="dxa"/>
        <w:jc w:val="left"/>
        <w:tblInd w:w="0" w:type="dxa"/>
        <w:tblLayout w:type="fixed"/>
        <w:tblCellMar>
          <w:top w:w="28" w:type="dxa"/>
          <w:left w:w="28" w:type="dxa"/>
          <w:bottom w:w="28" w:type="dxa"/>
          <w:right w:w="28" w:type="dxa"/>
        </w:tblCellMar>
      </w:tblPr>
      <w:tblGrid>
        <w:gridCol w:w="3091"/>
        <w:gridCol w:w="146"/>
        <w:gridCol w:w="239"/>
        <w:gridCol w:w="886"/>
        <w:gridCol w:w="146"/>
        <w:gridCol w:w="146"/>
        <w:gridCol w:w="319"/>
        <w:gridCol w:w="118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Identifiable assets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432,098</w:t>
            </w:r>
          </w:p>
        </w:tc>
        <w:tc>
          <w:tcPr>
            <w:tcW w:w="3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147,740</w:t>
            </w:r>
          </w:p>
        </w:tc>
        <w:tc>
          <w:tcPr>
            <w:tcW w:w="3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identifiable assets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120"/>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120"/>
        <w:jc w:val="left"/>
        <w:rPr>
          <w:rFonts w:ascii="Times New Roman" w:hAnsi="Times New Roman"/>
          <w:color w:val="000000"/>
          <w:sz w:val="16"/>
        </w:rPr>
      </w:pPr>
      <w:r>
        <w:rPr>
          <w:rFonts w:ascii="Times New Roman" w:hAnsi="Times New Roman"/>
          <w:color w:val="000000"/>
          <w:sz w:val="16"/>
        </w:rPr>
        <w:t>Corporate and Other assets consist primarily of cash and income tax related assets.</w:t>
      </w:r>
    </w:p>
    <w:p>
      <w:pPr>
        <w:pStyle w:val="TextBody"/>
        <w:bidi w:val="0"/>
        <w:jc w:val="left"/>
        <w:rPr/>
      </w:pPr>
      <w:r>
        <w:rPr/>
        <w:t> </w:t>
      </w:r>
    </w:p>
    <w:tbl>
      <w:tblPr>
        <w:tblW w:w="6545" w:type="dxa"/>
        <w:jc w:val="left"/>
        <w:tblInd w:w="0" w:type="dxa"/>
        <w:tblLayout w:type="fixed"/>
        <w:tblCellMar>
          <w:top w:w="28" w:type="dxa"/>
          <w:left w:w="28" w:type="dxa"/>
          <w:bottom w:w="28" w:type="dxa"/>
          <w:right w:w="28" w:type="dxa"/>
        </w:tblCellMar>
      </w:tblPr>
      <w:tblGrid>
        <w:gridCol w:w="3091"/>
        <w:gridCol w:w="146"/>
        <w:gridCol w:w="239"/>
        <w:gridCol w:w="886"/>
        <w:gridCol w:w="146"/>
        <w:gridCol w:w="146"/>
        <w:gridCol w:w="319"/>
        <w:gridCol w:w="118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142,229</w:t>
            </w:r>
          </w:p>
        </w:tc>
        <w:tc>
          <w:tcPr>
            <w:tcW w:w="3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br/>
        <w:t>Intra-segment and Inter-segment Revenues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has multiple divisions that sell to each other within segments (intra-segment sales) and between segments (inter-segment sales), as follows: </w:t>
      </w:r>
    </w:p>
    <w:tbl>
      <w:tblPr>
        <w:tblW w:w="10205" w:type="dxa"/>
        <w:jc w:val="left"/>
        <w:tblInd w:w="0" w:type="dxa"/>
        <w:tblLayout w:type="fixed"/>
        <w:tblCellMar>
          <w:top w:w="28" w:type="dxa"/>
          <w:left w:w="28" w:type="dxa"/>
          <w:bottom w:w="28" w:type="dxa"/>
          <w:right w:w="28" w:type="dxa"/>
        </w:tblCellMar>
      </w:tblPr>
      <w:tblGrid>
        <w:gridCol w:w="2518"/>
        <w:gridCol w:w="146"/>
        <w:gridCol w:w="211"/>
        <w:gridCol w:w="781"/>
        <w:gridCol w:w="146"/>
        <w:gridCol w:w="146"/>
        <w:gridCol w:w="211"/>
        <w:gridCol w:w="631"/>
        <w:gridCol w:w="166"/>
        <w:gridCol w:w="146"/>
        <w:gridCol w:w="528"/>
        <w:gridCol w:w="1209"/>
        <w:gridCol w:w="166"/>
        <w:gridCol w:w="146"/>
        <w:gridCol w:w="413"/>
        <w:gridCol w:w="944"/>
        <w:gridCol w:w="166"/>
        <w:gridCol w:w="146"/>
        <w:gridCol w:w="211"/>
        <w:gridCol w:w="781"/>
        <w:gridCol w:w="393"/>
      </w:tblGrid>
      <w:tr>
        <w:trPr/>
        <w:tc>
          <w:tcPr>
            <w:tcW w:w="2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5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Inter-Segment Sales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r>
      <w:tr>
        <w:trPr/>
        <w:tc>
          <w:tcPr>
            <w:tcW w:w="251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Intra-</w:t>
              <w:br/>
              <w:t>Segment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w:t>
            </w:r>
            <w:r>
              <w:rPr>
                <w:rFonts w:ascii="Times New Roman" w:hAnsi="Times New Roman"/>
                <w:color w:val="000000"/>
                <w:sz w:val="16"/>
              </w:rPr>
              <w:t xml:space="preserve"> </w:t>
            </w:r>
            <w:r>
              <w:rPr>
                <w:rFonts w:ascii="Times New Roman" w:hAnsi="Times New Roman"/>
                <w:b/>
                <w:color w:val="000000"/>
                <w:sz w:val="16"/>
              </w:rPr>
              <w:t>Sales</w:t>
            </w:r>
            <w:r>
              <w:rPr>
                <w:rFonts w:ascii="Times New Roman" w:hAnsi="Times New Roman"/>
                <w:color w:val="000000"/>
                <w:sz w:val="16"/>
              </w:rPr>
              <w:t xml:space="preserve"> </w:t>
            </w:r>
            <w:r>
              <w:rPr>
                <w:rFonts w:ascii="Times New Roman" w:hAnsi="Times New Roman"/>
                <w:b/>
                <w:color w:val="000000"/>
                <w:sz w:val="16"/>
              </w:rPr>
              <w:t>to</w:t>
              <w:br/>
              <w:t>Outside</w:t>
              <w:br/>
              <w:t>Customers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2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97,392</w:t>
            </w:r>
          </w:p>
        </w:tc>
        <w:tc>
          <w:tcPr>
            <w:tcW w:w="393" w:type="dxa"/>
            <w:tcBorders/>
            <w:shd w:fill="FFFFFF" w:val="clear"/>
            <w:vAlign w:val="center"/>
          </w:tcPr>
          <w:p>
            <w:pPr>
              <w:pStyle w:val="TableContents"/>
              <w:bidi w:val="0"/>
              <w:spacing w:before="0" w:after="283"/>
              <w:jc w:val="left"/>
              <w:rPr/>
            </w:pPr>
            <w:r>
              <w:rPr/>
              <w:t> </w:t>
            </w:r>
          </w:p>
        </w:tc>
      </w:tr>
      <w:tr>
        <w:trPr/>
        <w:tc>
          <w:tcPr>
            <w:tcW w:w="25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463"/>
        <w:gridCol w:w="146"/>
        <w:gridCol w:w="211"/>
        <w:gridCol w:w="781"/>
        <w:gridCol w:w="146"/>
        <w:gridCol w:w="146"/>
        <w:gridCol w:w="211"/>
        <w:gridCol w:w="736"/>
        <w:gridCol w:w="166"/>
        <w:gridCol w:w="146"/>
        <w:gridCol w:w="518"/>
        <w:gridCol w:w="1185"/>
        <w:gridCol w:w="166"/>
        <w:gridCol w:w="146"/>
        <w:gridCol w:w="408"/>
        <w:gridCol w:w="932"/>
        <w:gridCol w:w="166"/>
        <w:gridCol w:w="146"/>
        <w:gridCol w:w="211"/>
        <w:gridCol w:w="781"/>
        <w:gridCol w:w="394"/>
      </w:tblGrid>
      <w:tr>
        <w:trPr/>
        <w:tc>
          <w:tcPr>
            <w:tcW w:w="2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0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6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Inter-Segment Sales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24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Intra-</w:t>
              <w:br/>
              <w:t>Segment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w:t>
            </w:r>
            <w:r>
              <w:rPr>
                <w:rFonts w:ascii="Times New Roman" w:hAnsi="Times New Roman"/>
                <w:color w:val="000000"/>
                <w:sz w:val="16"/>
              </w:rPr>
              <w:t xml:space="preserve"> </w:t>
            </w:r>
            <w:r>
              <w:rPr>
                <w:rFonts w:ascii="Times New Roman" w:hAnsi="Times New Roman"/>
                <w:b/>
                <w:color w:val="000000"/>
                <w:sz w:val="16"/>
              </w:rPr>
              <w:t>Sales</w:t>
            </w:r>
            <w:r>
              <w:rPr>
                <w:rFonts w:ascii="Times New Roman" w:hAnsi="Times New Roman"/>
                <w:color w:val="000000"/>
                <w:sz w:val="16"/>
              </w:rPr>
              <w:t xml:space="preserve"> </w:t>
            </w:r>
            <w:r>
              <w:rPr>
                <w:rFonts w:ascii="Times New Roman" w:hAnsi="Times New Roman"/>
                <w:b/>
                <w:color w:val="000000"/>
                <w:sz w:val="16"/>
              </w:rPr>
              <w:t>to</w:t>
              <w:br/>
              <w:t>Outside</w:t>
              <w:br/>
              <w:t>Customers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24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87,522</w:t>
            </w:r>
          </w:p>
        </w:tc>
        <w:tc>
          <w:tcPr>
            <w:tcW w:w="394" w:type="dxa"/>
            <w:tcBorders/>
            <w:shd w:fill="FFFFFF" w:val="clear"/>
            <w:vAlign w:val="center"/>
          </w:tcPr>
          <w:p>
            <w:pPr>
              <w:pStyle w:val="TableContents"/>
              <w:bidi w:val="0"/>
              <w:spacing w:before="0" w:after="283"/>
              <w:jc w:val="left"/>
              <w:rPr/>
            </w:pPr>
            <w:r>
              <w:rPr/>
              <w:t> </w:t>
            </w:r>
          </w:p>
        </w:tc>
      </w:tr>
      <w:tr>
        <w:trPr/>
        <w:tc>
          <w:tcPr>
            <w:tcW w:w="24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3"/>
        <w:gridCol w:w="146"/>
        <w:gridCol w:w="211"/>
        <w:gridCol w:w="781"/>
        <w:gridCol w:w="146"/>
        <w:gridCol w:w="146"/>
        <w:gridCol w:w="211"/>
        <w:gridCol w:w="736"/>
        <w:gridCol w:w="166"/>
        <w:gridCol w:w="146"/>
        <w:gridCol w:w="518"/>
        <w:gridCol w:w="1185"/>
        <w:gridCol w:w="166"/>
        <w:gridCol w:w="146"/>
        <w:gridCol w:w="408"/>
        <w:gridCol w:w="932"/>
        <w:gridCol w:w="166"/>
        <w:gridCol w:w="146"/>
        <w:gridCol w:w="211"/>
        <w:gridCol w:w="781"/>
        <w:gridCol w:w="394"/>
      </w:tblGrid>
      <w:tr>
        <w:trPr/>
        <w:tc>
          <w:tcPr>
            <w:tcW w:w="2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0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6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Inter-Segment Sales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24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Intra-</w:t>
              <w:br/>
              <w:t>Segment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w:t>
            </w:r>
            <w:r>
              <w:rPr>
                <w:rFonts w:ascii="Times New Roman" w:hAnsi="Times New Roman"/>
                <w:color w:val="000000"/>
                <w:sz w:val="16"/>
              </w:rPr>
              <w:t xml:space="preserve"> </w:t>
            </w:r>
            <w:r>
              <w:rPr>
                <w:rFonts w:ascii="Times New Roman" w:hAnsi="Times New Roman"/>
                <w:b/>
                <w:color w:val="000000"/>
                <w:sz w:val="16"/>
              </w:rPr>
              <w:t>Sales</w:t>
            </w:r>
            <w:r>
              <w:rPr>
                <w:rFonts w:ascii="Times New Roman" w:hAnsi="Times New Roman"/>
                <w:color w:val="000000"/>
                <w:sz w:val="16"/>
              </w:rPr>
              <w:t xml:space="preserve"> </w:t>
            </w:r>
            <w:r>
              <w:rPr>
                <w:rFonts w:ascii="Times New Roman" w:hAnsi="Times New Roman"/>
                <w:b/>
                <w:color w:val="000000"/>
                <w:sz w:val="16"/>
              </w:rPr>
              <w:t>to</w:t>
              <w:br/>
              <w:t>Outside</w:t>
              <w:br/>
              <w:t>Customers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24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186,741</w:t>
            </w:r>
          </w:p>
        </w:tc>
        <w:tc>
          <w:tcPr>
            <w:tcW w:w="394" w:type="dxa"/>
            <w:tcBorders/>
            <w:shd w:fill="FFFFFF" w:val="clear"/>
            <w:vAlign w:val="center"/>
          </w:tcPr>
          <w:p>
            <w:pPr>
              <w:pStyle w:val="TableContents"/>
              <w:bidi w:val="0"/>
              <w:spacing w:before="0" w:after="283"/>
              <w:jc w:val="left"/>
              <w:rPr/>
            </w:pPr>
            <w:r>
              <w:rPr/>
              <w:t> </w:t>
            </w:r>
          </w:p>
        </w:tc>
      </w:tr>
      <w:tr>
        <w:trPr/>
        <w:tc>
          <w:tcPr>
            <w:tcW w:w="24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263,854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463"/>
        <w:gridCol w:w="146"/>
        <w:gridCol w:w="211"/>
        <w:gridCol w:w="781"/>
        <w:gridCol w:w="146"/>
        <w:gridCol w:w="146"/>
        <w:gridCol w:w="211"/>
        <w:gridCol w:w="736"/>
        <w:gridCol w:w="166"/>
        <w:gridCol w:w="146"/>
        <w:gridCol w:w="518"/>
        <w:gridCol w:w="1185"/>
        <w:gridCol w:w="166"/>
        <w:gridCol w:w="146"/>
        <w:gridCol w:w="408"/>
        <w:gridCol w:w="932"/>
        <w:gridCol w:w="166"/>
        <w:gridCol w:w="146"/>
        <w:gridCol w:w="211"/>
        <w:gridCol w:w="781"/>
        <w:gridCol w:w="394"/>
      </w:tblGrid>
      <w:tr>
        <w:trPr/>
        <w:tc>
          <w:tcPr>
            <w:tcW w:w="2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0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6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Inter-Segment Sales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24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Intra-</w:t>
              <w:br/>
              <w:t>Segment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w:t>
            </w:r>
            <w:r>
              <w:rPr>
                <w:rFonts w:ascii="Times New Roman" w:hAnsi="Times New Roman"/>
                <w:color w:val="000000"/>
                <w:sz w:val="16"/>
              </w:rPr>
              <w:t xml:space="preserve"> </w:t>
            </w:r>
            <w:r>
              <w:rPr>
                <w:rFonts w:ascii="Times New Roman" w:hAnsi="Times New Roman"/>
                <w:b/>
                <w:color w:val="000000"/>
                <w:sz w:val="16"/>
              </w:rPr>
              <w:t>Sales</w:t>
            </w:r>
            <w:r>
              <w:rPr>
                <w:rFonts w:ascii="Times New Roman" w:hAnsi="Times New Roman"/>
                <w:color w:val="000000"/>
                <w:sz w:val="16"/>
              </w:rPr>
              <w:t xml:space="preserve"> </w:t>
            </w:r>
            <w:r>
              <w:rPr>
                <w:rFonts w:ascii="Times New Roman" w:hAnsi="Times New Roman"/>
                <w:b/>
                <w:color w:val="000000"/>
                <w:sz w:val="16"/>
              </w:rPr>
              <w:t>to</w:t>
              <w:br/>
              <w:t>Outside</w:t>
              <w:br/>
              <w:t>Customers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24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161,977</w:t>
            </w:r>
          </w:p>
        </w:tc>
        <w:tc>
          <w:tcPr>
            <w:tcW w:w="394" w:type="dxa"/>
            <w:tcBorders/>
            <w:shd w:fill="FFFFFF" w:val="clear"/>
            <w:vAlign w:val="center"/>
          </w:tcPr>
          <w:p>
            <w:pPr>
              <w:pStyle w:val="TableContents"/>
              <w:bidi w:val="0"/>
              <w:spacing w:before="0" w:after="283"/>
              <w:jc w:val="left"/>
              <w:rPr/>
            </w:pPr>
            <w:r>
              <w:rPr/>
              <w:t> </w:t>
            </w:r>
          </w:p>
        </w:tc>
      </w:tr>
      <w:tr>
        <w:trPr/>
        <w:tc>
          <w:tcPr>
            <w:tcW w:w="24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241,744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17. Subsequent Events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July 29, 2024, the Company completed its acquisition of EnviroCare International (“EnviroCare"), based in American Canyon, California. EnviroCare is a leading, international designer and provider of industrial exhaust air contamination treatment and control systems, solutions and services across a wide range of industrial and municipal applications. This acquisition advances the Company's leadership position within the industrial processing solutions segment by adding a range of solutions and access to new geographic markets and industrial segments. The purchase price was approximately $17 million and financed using a combination of cash on the balance sheet and borrowings under the Company’s existing Credit Facility. The impact of this acquisition is not included in the Company's results for the three or six months ended June 30, 2024. The initial accounting for the acquisition was not complete at the time the financial statements were issued due to the timing of the acquisition and the filing of this Quarterly Report on Form 10-Q. As a result, complete disclosures as required under ASC 805, Business Combinations cannot be made at this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 AND SUBSIDIARIES</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MANAGEMENT’S DISCUSSION AND ANALYSIS OF FINANCIAL CONDITION</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AND RESULTS OF OPERATIONS</w:t>
      </w:r>
    </w:p>
    <w:p>
      <w:pPr>
        <w:pStyle w:val="TextBody"/>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Condensed Consolidated Statements of Income for the three and six months ended June 30, 2024 and 2023 reflect the consolidated operations of the Company and its subsidiaries.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CECO Environmental Corp. (“CECO,” “we,” “us,” or the “Company”) is 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Market Pressures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senior management team monitors and manages the Company’s ability to operate effectively as the result of market pressures. We are monitoring key materials market indexes and trends and adjusting our material procurement strategies accordingly. We have secured raw materials from existing and alternate suppliers and have taken other mitigating actions to mitigate supply disruptions; however, we cannot guarantee that we will be able to continue to do so in the future. If we are unable to mitigate the effects of supply disruptions, our business, results and financial condition could be adversely affected.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Regarding Use of Non-GAAP Financial Measures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Consolidated Results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Condensed Consolidated Statements of Income for the three and six months ended June 30, 2024 and 2023 are as follows:</w:t>
      </w:r>
    </w:p>
    <w:tbl>
      <w:tblPr>
        <w:tblW w:w="10205" w:type="dxa"/>
        <w:jc w:val="left"/>
        <w:tblInd w:w="0" w:type="dxa"/>
        <w:tblLayout w:type="fixed"/>
        <w:tblCellMar>
          <w:top w:w="28" w:type="dxa"/>
          <w:left w:w="28" w:type="dxa"/>
          <w:bottom w:w="28" w:type="dxa"/>
          <w:right w:w="28" w:type="dxa"/>
        </w:tblCellMar>
      </w:tblPr>
      <w:tblGrid>
        <w:gridCol w:w="4708"/>
        <w:gridCol w:w="146"/>
        <w:gridCol w:w="270"/>
        <w:gridCol w:w="656"/>
        <w:gridCol w:w="328"/>
        <w:gridCol w:w="187"/>
        <w:gridCol w:w="270"/>
        <w:gridCol w:w="656"/>
        <w:gridCol w:w="256"/>
        <w:gridCol w:w="146"/>
        <w:gridCol w:w="247"/>
        <w:gridCol w:w="600"/>
        <w:gridCol w:w="300"/>
        <w:gridCol w:w="171"/>
        <w:gridCol w:w="247"/>
        <w:gridCol w:w="600"/>
        <w:gridCol w:w="417"/>
      </w:tblGrid>
      <w:tr>
        <w:trPr/>
        <w:tc>
          <w:tcPr>
            <w:tcW w:w="4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7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millions, except ratios)</w:t>
            </w:r>
          </w:p>
        </w:tc>
        <w:tc>
          <w:tcPr>
            <w:tcW w:w="146" w:type="dxa"/>
            <w:tcBorders/>
            <w:shd w:fill="FFFFFF" w:val="cle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w:t>
            </w:r>
          </w:p>
        </w:tc>
        <w:tc>
          <w:tcPr>
            <w:tcW w:w="32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w:t>
            </w:r>
          </w:p>
        </w:tc>
        <w:tc>
          <w:tcPr>
            <w:tcW w:w="30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w:t>
            </w:r>
          </w:p>
        </w:tc>
        <w:tc>
          <w:tcPr>
            <w:tcW w:w="417" w:type="dxa"/>
            <w:tcBorders/>
            <w:shd w:fill="CFF0FC" w:val="clear"/>
            <w:vAlign w:val="center"/>
          </w:tcPr>
          <w:p>
            <w:pPr>
              <w:pStyle w:val="TableContents"/>
              <w:bidi w:val="0"/>
              <w:spacing w:before="0" w:after="283"/>
              <w:jc w:val="left"/>
              <w:rPr/>
            </w:pPr>
            <w:r>
              <w:rPr/>
              <w:t> </w:t>
            </w:r>
          </w:p>
        </w:tc>
      </w:tr>
      <w:tr>
        <w:trPr/>
        <w:tc>
          <w:tcPr>
            <w:tcW w:w="47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32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30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708"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Percent of sales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35.6</w:t>
            </w:r>
          </w:p>
        </w:tc>
        <w:tc>
          <w:tcPr>
            <w:tcW w:w="328"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30.8</w:t>
            </w:r>
          </w:p>
        </w:tc>
        <w:tc>
          <w:tcPr>
            <w:tcW w:w="256"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35.7</w:t>
            </w:r>
          </w:p>
        </w:tc>
        <w:tc>
          <w:tcPr>
            <w:tcW w:w="300"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30.9</w:t>
            </w:r>
          </w:p>
        </w:tc>
        <w:tc>
          <w:tcPr>
            <w:tcW w:w="417"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expenses</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32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30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708"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Percent of sales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26.5</w:t>
            </w:r>
          </w:p>
        </w:tc>
        <w:tc>
          <w:tcPr>
            <w:tcW w:w="328"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22.0</w:t>
            </w:r>
          </w:p>
        </w:tc>
        <w:tc>
          <w:tcPr>
            <w:tcW w:w="256"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27.1</w:t>
            </w:r>
          </w:p>
        </w:tc>
        <w:tc>
          <w:tcPr>
            <w:tcW w:w="300"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23.0</w:t>
            </w:r>
          </w:p>
        </w:tc>
        <w:tc>
          <w:tcPr>
            <w:tcW w:w="417"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and earnout expenses</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2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0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17" w:type="dxa"/>
            <w:tcBorders/>
            <w:shd w:fill="CFF0FC" w:val="clear"/>
            <w:vAlign w:val="center"/>
          </w:tcPr>
          <w:p>
            <w:pPr>
              <w:pStyle w:val="TableContents"/>
              <w:bidi w:val="0"/>
              <w:spacing w:before="0" w:after="283"/>
              <w:jc w:val="left"/>
              <w:rPr/>
            </w:pPr>
            <w:r>
              <w:rPr/>
              <w:t> </w:t>
            </w:r>
          </w:p>
        </w:tc>
      </w:tr>
      <w:tr>
        <w:trPr/>
        <w:tc>
          <w:tcPr>
            <w:tcW w:w="47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and integration expenses</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28"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0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417" w:type="dxa"/>
            <w:tcBorders/>
            <w:shd w:fill="FFFFFF" w:val="clear"/>
            <w:vAlign w:val="center"/>
          </w:tcPr>
          <w:p>
            <w:pPr>
              <w:pStyle w:val="TableContents"/>
              <w:bidi w:val="0"/>
              <w:spacing w:before="0" w:after="283"/>
              <w:jc w:val="left"/>
              <w:rPr/>
            </w:pPr>
            <w:r>
              <w:rPr/>
              <w:t> </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expenses</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2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0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color w:val="000000"/>
              </w:rPr>
            </w:pPr>
            <w:r>
              <w:rPr>
                <w:color w:val="000000"/>
              </w:rPr>
              <w:t>—</w:t>
            </w:r>
          </w:p>
        </w:tc>
        <w:tc>
          <w:tcPr>
            <w:tcW w:w="417" w:type="dxa"/>
            <w:tcBorders/>
            <w:shd w:fill="CFF0FC" w:val="clear"/>
            <w:vAlign w:val="center"/>
          </w:tcPr>
          <w:p>
            <w:pPr>
              <w:pStyle w:val="TableContents"/>
              <w:bidi w:val="0"/>
              <w:spacing w:before="0" w:after="283"/>
              <w:jc w:val="left"/>
              <w:rPr/>
            </w:pPr>
            <w:r>
              <w:rPr/>
              <w:t> </w:t>
            </w:r>
          </w:p>
        </w:tc>
      </w:tr>
      <w:tr>
        <w:trPr/>
        <w:tc>
          <w:tcPr>
            <w:tcW w:w="47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transition expenses</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328"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30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417" w:type="dxa"/>
            <w:tcBorders/>
            <w:shd w:fill="FFFFFF" w:val="clear"/>
            <w:vAlign w:val="center"/>
          </w:tcPr>
          <w:p>
            <w:pPr>
              <w:pStyle w:val="TableContents"/>
              <w:bidi w:val="0"/>
              <w:spacing w:before="0" w:after="283"/>
              <w:jc w:val="left"/>
              <w:rPr/>
            </w:pPr>
            <w:r>
              <w:rPr/>
              <w:t> </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Asbestos litigation expenses</w:t>
            </w:r>
          </w:p>
        </w:tc>
        <w:tc>
          <w:tcPr>
            <w:tcW w:w="146" w:type="dxa"/>
            <w:tcBorders/>
            <w:shd w:fill="CFF0FC" w:val="cle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28"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0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708" w:type="dxa"/>
            <w:tcBorders/>
            <w:shd w:fill="CFF0FC"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Operating margin</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6.8</w:t>
            </w:r>
          </w:p>
        </w:tc>
        <w:tc>
          <w:tcPr>
            <w:tcW w:w="328" w:type="dxa"/>
            <w:tcBorders/>
            <w:shd w:fill="CFF0FC"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6.7</w:t>
            </w:r>
          </w:p>
        </w:tc>
        <w:tc>
          <w:tcPr>
            <w:tcW w:w="256" w:type="dxa"/>
            <w:tcBorders/>
            <w:shd w:fill="CFF0FC"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6.4</w:t>
            </w:r>
          </w:p>
        </w:tc>
        <w:tc>
          <w:tcPr>
            <w:tcW w:w="300" w:type="dxa"/>
            <w:tcBorders/>
            <w:shd w:fill="CFF0FC"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5.8</w:t>
            </w:r>
          </w:p>
        </w:tc>
        <w:tc>
          <w:tcPr>
            <w:tcW w:w="417" w:type="dxa"/>
            <w:tcBorders/>
            <w:shd w:fill="CFF0FC"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r>
      <w:tr>
        <w:trPr/>
        <w:tc>
          <w:tcPr>
            <w:tcW w:w="47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8"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0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7" w:type="dxa"/>
            <w:tcBorders/>
            <w:shd w:fill="FFFFFF" w:val="clear"/>
            <w:vAlign w:val="center"/>
          </w:tcPr>
          <w:p>
            <w:pPr>
              <w:pStyle w:val="TableContents"/>
              <w:bidi w:val="0"/>
              <w:spacing w:before="0" w:after="283"/>
              <w:jc w:val="left"/>
              <w:rPr/>
            </w:pPr>
            <w:r>
              <w:rPr/>
              <w:t> </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28"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0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7" w:type="dxa"/>
            <w:tcBorders/>
            <w:shd w:fill="FFFFFF" w:val="clear"/>
            <w:vAlign w:val="center"/>
          </w:tcPr>
          <w:p>
            <w:pPr>
              <w:pStyle w:val="TableContents"/>
              <w:bidi w:val="0"/>
              <w:spacing w:before="0" w:after="283"/>
              <w:jc w:val="left"/>
              <w:rPr/>
            </w:pPr>
            <w:r>
              <w:rPr/>
              <w:t> </w:t>
            </w:r>
          </w:p>
        </w:tc>
      </w:tr>
      <w:tr>
        <w:trPr/>
        <w:tc>
          <w:tcPr>
            <w:tcW w:w="47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CECO Environmental Corp.</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To compare operating performance between the three and six months ended June 30, 2024 and 2023, the Company has adjusted GAAP operating income to exclude (1) amortization of intangible assets, and earnout expenses, (2) acquisition and integration expenses, which include legal, accounting, and other expenses, (3) executive transition expenses, including fees and expenses incurred in the search for and hiring of new executives, (4) restructuring expenses primarily relating to severance, facility exits, and associated legal expenses, and (5) asbestos litigation expenses, related to expected future settlement payments.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the reconciliation of GAAP operating income and GAAP operating margin to non-GAAP operating income and non-GAAP operating margin: </w:t>
      </w:r>
    </w:p>
    <w:tbl>
      <w:tblPr>
        <w:tblW w:w="10158" w:type="dxa"/>
        <w:jc w:val="left"/>
        <w:tblInd w:w="0" w:type="dxa"/>
        <w:tblLayout w:type="fixed"/>
        <w:tblCellMar>
          <w:top w:w="28" w:type="dxa"/>
          <w:left w:w="28" w:type="dxa"/>
          <w:bottom w:w="28" w:type="dxa"/>
          <w:right w:w="28" w:type="dxa"/>
        </w:tblCellMar>
      </w:tblPr>
      <w:tblGrid>
        <w:gridCol w:w="4636"/>
        <w:gridCol w:w="146"/>
        <w:gridCol w:w="264"/>
        <w:gridCol w:w="584"/>
        <w:gridCol w:w="339"/>
        <w:gridCol w:w="183"/>
        <w:gridCol w:w="264"/>
        <w:gridCol w:w="584"/>
        <w:gridCol w:w="271"/>
        <w:gridCol w:w="146"/>
        <w:gridCol w:w="241"/>
        <w:gridCol w:w="533"/>
        <w:gridCol w:w="310"/>
        <w:gridCol w:w="167"/>
        <w:gridCol w:w="241"/>
        <w:gridCol w:w="533"/>
        <w:gridCol w:w="716"/>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ratios)</w:t>
            </w:r>
          </w:p>
        </w:tc>
        <w:tc>
          <w:tcPr>
            <w:tcW w:w="146" w:type="dxa"/>
            <w:tcBorders/>
            <w:shd w:fill="FFFFFF" w:val="cle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as reported in accordance with GAAP</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9"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Operating margin in accordance with GAAP</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6.8</w:t>
            </w:r>
          </w:p>
        </w:tc>
        <w:tc>
          <w:tcPr>
            <w:tcW w:w="339"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6.7</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6.4</w:t>
            </w:r>
          </w:p>
        </w:tc>
        <w:tc>
          <w:tcPr>
            <w:tcW w:w="310"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5.8</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4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and earnout expenses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9"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16" w:type="dxa"/>
            <w:tcBorders/>
            <w:shd w:fill="CFF0FC" w:val="clear"/>
            <w:vAlign w:val="center"/>
          </w:tcPr>
          <w:p>
            <w:pPr>
              <w:pStyle w:val="TableContents"/>
              <w:bidi w:val="0"/>
              <w:spacing w:before="0" w:after="283"/>
              <w:ind w:left="0" w:right="0" w:firstLine="400"/>
              <w:jc w:val="left"/>
              <w:rPr/>
            </w:pPr>
            <w:r>
              <w:rPr/>
              <w:t> </w:t>
            </w:r>
          </w:p>
        </w:tc>
      </w:tr>
      <w:tr>
        <w:trPr/>
        <w:tc>
          <w:tcPr>
            <w:tcW w:w="4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and integration expenses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9"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716" w:type="dxa"/>
            <w:tcBorders/>
            <w:shd w:fill="FFFFFF" w:val="clear"/>
            <w:vAlign w:val="center"/>
          </w:tcPr>
          <w:p>
            <w:pPr>
              <w:pStyle w:val="TableContents"/>
              <w:bidi w:val="0"/>
              <w:spacing w:before="0" w:after="283"/>
              <w:ind w:left="0" w:right="0" w:firstLine="400"/>
              <w:jc w:val="left"/>
              <w:rPr/>
            </w:pPr>
            <w:r>
              <w:rPr/>
              <w:t> </w:t>
            </w:r>
          </w:p>
        </w:tc>
      </w:tr>
      <w:tr>
        <w:trPr/>
        <w:tc>
          <w:tcPr>
            <w:tcW w:w="4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9"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716" w:type="dxa"/>
            <w:tcBorders/>
            <w:shd w:fill="CFF0FC" w:val="clear"/>
            <w:vAlign w:val="center"/>
          </w:tcPr>
          <w:p>
            <w:pPr>
              <w:pStyle w:val="TableContents"/>
              <w:bidi w:val="0"/>
              <w:spacing w:before="0" w:after="283"/>
              <w:ind w:left="0" w:right="0" w:firstLine="400"/>
              <w:jc w:val="left"/>
              <w:rPr/>
            </w:pPr>
            <w:r>
              <w:rPr/>
              <w:t> </w:t>
            </w:r>
          </w:p>
        </w:tc>
      </w:tr>
      <w:tr>
        <w:trPr/>
        <w:tc>
          <w:tcPr>
            <w:tcW w:w="4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Executive transition expenses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339"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31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16" w:type="dxa"/>
            <w:tcBorders/>
            <w:shd w:fill="FFFFFF" w:val="clear"/>
            <w:vAlign w:val="center"/>
          </w:tcPr>
          <w:p>
            <w:pPr>
              <w:pStyle w:val="TableContents"/>
              <w:bidi w:val="0"/>
              <w:spacing w:before="0" w:after="283"/>
              <w:ind w:left="0" w:right="0" w:firstLine="400"/>
              <w:jc w:val="left"/>
              <w:rPr/>
            </w:pPr>
            <w:r>
              <w:rPr/>
              <w:t> </w:t>
            </w:r>
          </w:p>
        </w:tc>
      </w:tr>
      <w:tr>
        <w:trPr/>
        <w:tc>
          <w:tcPr>
            <w:tcW w:w="4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Asbestos litigation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39"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1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716"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Non-GAAP operating margin</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9.2</w:t>
            </w:r>
          </w:p>
        </w:tc>
        <w:tc>
          <w:tcPr>
            <w:tcW w:w="339"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w:t>
            </w:r>
          </w:p>
        </w:tc>
        <w:tc>
          <w:tcPr>
            <w:tcW w:w="310"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7.9</w:t>
            </w:r>
          </w:p>
        </w:tc>
        <w:tc>
          <w:tcPr>
            <w:tcW w:w="716"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spacing w:before="240" w:after="240"/>
        <w:jc w:val="left"/>
        <w:rPr>
          <w:rFonts w:ascii="Times New Roman" w:hAnsi="Times New Roman"/>
          <w:sz w:val="20"/>
        </w:rPr>
      </w:pPr>
      <w:r>
        <w:rPr>
          <w:rFonts w:ascii="Times New Roman" w:hAnsi="Times New Roman"/>
          <w:color w:val="000000"/>
          <w:sz w:val="20"/>
        </w:rPr>
        <w:t>Orders booked</w:t>
      </w:r>
      <w:r>
        <w:rPr>
          <w:rFonts w:ascii="Times New Roman" w:hAnsi="Times New Roman"/>
          <w:color w:val="FF0000"/>
          <w:sz w:val="20"/>
        </w:rPr>
        <w:t xml:space="preserve"> </w:t>
      </w:r>
      <w:r>
        <w:rPr>
          <w:rFonts w:ascii="Times New Roman" w:hAnsi="Times New Roman"/>
          <w:color w:val="000000"/>
          <w:sz w:val="20"/>
        </w:rPr>
        <w:t>decreased $22.1 million, or 13.6%, to $140.8 million during the three months ended June 30, 2024 compared with $162.9 million in the three months ended June 30, 2023. The decrease is primarily driven by a decrease related to emissions management, offset by an increase related to our separation, filtration and industrial water technologies. Of the $140.8 million in orders booked during the three months ended June 30, 2024, $12.2 million is attributable to acquisitions that occurred during the preceding twelve month period.</w:t>
      </w:r>
    </w:p>
    <w:p>
      <w:pPr>
        <w:pStyle w:val="TextBody"/>
        <w:bidi w:val="0"/>
        <w:spacing w:before="240" w:after="240"/>
        <w:jc w:val="left"/>
        <w:rPr>
          <w:rFonts w:ascii="Times New Roman" w:hAnsi="Times New Roman"/>
          <w:sz w:val="20"/>
        </w:rPr>
      </w:pPr>
      <w:r>
        <w:rPr>
          <w:rFonts w:ascii="Times New Roman" w:hAnsi="Times New Roman"/>
          <w:color w:val="000000"/>
          <w:sz w:val="20"/>
        </w:rPr>
        <w:t>Orders booked</w:t>
      </w:r>
      <w:r>
        <w:rPr>
          <w:rFonts w:ascii="Times New Roman" w:hAnsi="Times New Roman"/>
          <w:color w:val="FF0000"/>
          <w:sz w:val="20"/>
        </w:rPr>
        <w:t xml:space="preserve"> </w:t>
      </w:r>
      <w:r>
        <w:rPr>
          <w:rFonts w:ascii="Times New Roman" w:hAnsi="Times New Roman"/>
          <w:color w:val="000000"/>
          <w:sz w:val="20"/>
        </w:rPr>
        <w:t xml:space="preserve">decreased $22.9 million, or 7%, to $286.1 million during the six months ended June 30, 2024 compared with $309.0 million in the six months ended June 30, 2023. The decrease is primarily driven by a decrease related to emissions management, offset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by an increase related to our separation, filtration and industrial water technologies. Of the $286.1 million in orders booked during the six months ended June 30, 2024, $21.0 million is attributable to acquisitions that occurred during the preceding twelve month period.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Net sales for the three months ended June 30, 2024 increased $8.3 million, or 6.4%, to $137.5 million compared with $129.2 million for the three months ended June 30, 2023. The increase is broad-based, led by an increase of $5.2 million related to our separation, filtration and industrial water technologies. Approximately 97%, or $132.8 million, of net sales for the three months ended June 30, 2024 is attributable to organic revenue, defined as revenue recorded subsequent to the twelve month period post-acquisition date.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Net sales for the six months ended June 30, 2024 increased $22.2 million, or 9.2%, to $263.9 million compared with $241.7 million for the six months ended June 30, 2023. The increase is broad-based, led by an increase of $17.8 million related to separation, filtration, and industrial water technologies. Approximately 94% or $249.2 million, of net sales for the six months ended June 30, 2024 is attributable to organic revenue.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Gross profit increased $9.2 million, or 23.1%, to $49.0 million in the three months ended June 30, 2024 compared with $39.8 million in the three months ended June 30, 2023. The increase in gross profit is primarily attributable to sales mix, project execution and flow through from higher booked margins, as well as continued benefits from sourcing and value engineering. Gross profit as a percentage of sales increased to 35.6% in the three months ended June 30, 2024 compared with 30.8% in the three months ended June 30, 2023.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Gross profit increased $19.5 million, or 26.1%, to $94.2 million in the six months ended June 30, 2024 compared with $74.7 million in the six months ended June 30, 2023. The increase in gross profit is primarily attributable to sales mix, project execution and flow through from higher booked margins, as well as continued benefits from sourcing and value engineering. Gross profit as a percentage of sales increased to 35.7% in the six months ended June 30, 2024 compared with 30.9% in the six months ended June 30, 2023.</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Selling and administrative expenses were $36.4 million for the three months ended June 30, 2024 compared with $28.4 million for the three months ended June 30, 2023. The increase is primarily attributable to acquisitions during the prior year, workforce merit and other annual compensation adjustments, and investments in functional support for sourcing and manufacturing benefits.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Selling and administrative expenses were $71.4 million for the six months ended June 30, 2024 compared with $55.6 million for the six months ended June 30, 2023. The increase is primarily attributable to acquisitions during the prior year, workforce merit and other annual compensation adjustments, and investments in functional support for sourcing and manufacturing benefits.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Amortization and earnout expense was $2.2 million for the three months ended June 30, 2024, compared with $2.3 million for the three months ended June 30, 2023.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Amortization and earnout expense was $4.4 million for the six months ended June 30, 2024 compared with $4.0 million for the six months ended June 30, 2023. The increase in expense is attributable to an increase of $0.7 million in earnout expense and an increase of $0.4 million in definite lived asset amortization due to increased intangible assets attributable to prior year acquisitions.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income increased $0.7 million to $9.3 million for the three months ended June 30, 2024 compared with operating income of $8.6 million for the three months ended June 30, 2023. The increase in operating income is primarily attributable to the increase in net sales.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income increased $2.8 million to $16.9 million for the six months ended June 30, 2024 compared with operating income of $14.1 million for the six months ended June 30, 2023. The increase in operating income is primarily attributable to the increase in net sales.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Non-GAAP operating income was $12.6 million for the three months ended June 30, 2024 compared with $11.4 million for the three months ended June 30, 2023. Non-GAAP operating income as a percentage of sales increased to 9.2% for the three months ended June 30, 2024 from 8.8% for the three months ended June 30, 2023.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Non-GAAP operating income was $22.8 million for the six months ended June 30, 2024 compared with $19.1 million for the six months ended June 30, 2023. Non-GAAP operating income as a percentage of sales increased to 8.6% for the three months ended June 30, 2024 from 7.9% for the six months ended June 30, 2023. </w:t>
      </w:r>
    </w:p>
    <w:p>
      <w:pPr>
        <w:pStyle w:val="TextBody"/>
        <w:bidi w:val="0"/>
        <w:spacing w:before="240" w:after="240"/>
        <w:jc w:val="left"/>
        <w:rPr>
          <w:rFonts w:ascii="Times New Roman" w:hAnsi="Times New Roman"/>
          <w:sz w:val="20"/>
        </w:rPr>
      </w:pPr>
      <w:r>
        <w:rPr>
          <w:rFonts w:ascii="Times New Roman" w:hAnsi="Times New Roman"/>
          <w:color w:val="000000"/>
          <w:sz w:val="20"/>
        </w:rPr>
        <w:t>Interest expense decreased to $3.3 million in the three months ended June 30, 2024 compared with interest expense of $3.8</w:t>
      </w:r>
      <w:r>
        <w:rPr>
          <w:rFonts w:ascii="Times New Roman" w:hAnsi="Times New Roman"/>
          <w:color w:val="FFFFFF"/>
          <w:sz w:val="20"/>
        </w:rPr>
        <w:t xml:space="preserve"> </w:t>
      </w:r>
      <w:r>
        <w:rPr>
          <w:rFonts w:ascii="Times New Roman" w:hAnsi="Times New Roman"/>
          <w:color w:val="000000"/>
          <w:sz w:val="20"/>
        </w:rPr>
        <w:t xml:space="preserve">million for the three months ended June 30, 2023. The decrease in interest expense is primarily due to reduction of the debt balance.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0"/>
        </w:rPr>
        <w:t>Interest expense increased to $6.7 million in the six months ended June 30, 2024 compared with interest expense of $6.2</w:t>
      </w:r>
      <w:r>
        <w:rPr>
          <w:rFonts w:ascii="Times New Roman" w:hAnsi="Times New Roman"/>
          <w:color w:val="FFFFFF"/>
          <w:sz w:val="20"/>
        </w:rPr>
        <w:t xml:space="preserve"> </w:t>
      </w:r>
      <w:r>
        <w:rPr>
          <w:rFonts w:ascii="Times New Roman" w:hAnsi="Times New Roman"/>
          <w:color w:val="000000"/>
          <w:sz w:val="20"/>
        </w:rPr>
        <w:t xml:space="preserve">million for the six months ended June 30, 2023. The increase in interest expense is primarily due to rising interest rates.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Income tax expense was $0.4 million for the three months ended June 30, 2024 compared with income tax expense of $1.0 million for the three months ended June 30, 2023. Income tax expense was $1.1 million for the six months ended June 30, 2024 compared with income tax expense of $1.0 million for the six months ended June 30, 2023. The effective income tax rate for the three months ended June 30, 2024 was 7.4% compared with 19.8% for the three months ended June 30, 2023. The effective income tax rate for the six months ended June 30, 2024 was 13.1% compared with 13.3% for the six months ended June 30, 2023. The effective income tax rates for the three and six months ended June 30, 2024 differ from the United States federal statutory rate. Our effective tax rate is affected by certain other permanent differences, including state income taxes, non-deductible incentive stock-based compensation, and differences in tax rates among the jurisdictions in which we operate. Additionally, we received a tax indemnification payment of $0.5 million, related to a prior year acquisition, in the second quarter of 2024.</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Business Segments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 </w:t>
      </w:r>
    </w:p>
    <w:tbl>
      <w:tblPr>
        <w:tblW w:w="9267"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781"/>
        <w:gridCol w:w="146"/>
        <w:gridCol w:w="146"/>
        <w:gridCol w:w="211"/>
        <w:gridCol w:w="78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(less intra- and inter-segment sales)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161,977</w:t>
            </w:r>
          </w:p>
        </w:tc>
        <w:tc>
          <w:tcPr>
            <w:tcW w:w="39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8385" w:type="dxa"/>
        <w:jc w:val="left"/>
        <w:tblInd w:w="0" w:type="dxa"/>
        <w:tblLayout w:type="fixed"/>
        <w:tblCellMar>
          <w:top w:w="28" w:type="dxa"/>
          <w:left w:w="28" w:type="dxa"/>
          <w:bottom w:w="28" w:type="dxa"/>
          <w:right w:w="28" w:type="dxa"/>
        </w:tblCellMar>
      </w:tblPr>
      <w:tblGrid>
        <w:gridCol w:w="3091"/>
        <w:gridCol w:w="146"/>
        <w:gridCol w:w="212"/>
        <w:gridCol w:w="741"/>
        <w:gridCol w:w="167"/>
        <w:gridCol w:w="146"/>
        <w:gridCol w:w="212"/>
        <w:gridCol w:w="741"/>
        <w:gridCol w:w="166"/>
        <w:gridCol w:w="146"/>
        <w:gridCol w:w="211"/>
        <w:gridCol w:w="736"/>
        <w:gridCol w:w="166"/>
        <w:gridCol w:w="146"/>
        <w:gridCol w:w="211"/>
        <w:gridCol w:w="736"/>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vAlign w:val="center"/>
          </w:tcPr>
          <w:p>
            <w:pPr>
              <w:pStyle w:val="TableContents"/>
              <w:bidi w:val="0"/>
              <w:spacing w:before="0" w:after="283"/>
              <w:jc w:val="center"/>
              <w:rPr/>
            </w:pPr>
            <w:r>
              <w:rPr/>
              <w:t> </w:t>
            </w:r>
          </w:p>
        </w:tc>
        <w:tc>
          <w:tcPr>
            <w:tcW w:w="953" w:type="dxa"/>
            <w:gridSpan w:val="2"/>
            <w:tcBorders/>
            <w:shd w:fill="CFF0FC" w:val="clear"/>
            <w:vAlign w:val="center"/>
          </w:tcPr>
          <w:p>
            <w:pPr>
              <w:pStyle w:val="TableContents"/>
              <w:bidi w:val="0"/>
              <w:spacing w:before="0" w:after="283"/>
              <w:jc w:val="center"/>
              <w:rPr/>
            </w:pPr>
            <w:r>
              <w:rPr/>
              <w:t> </w:t>
            </w:r>
          </w:p>
        </w:tc>
        <w:tc>
          <w:tcPr>
            <w:tcW w:w="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53"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411" w:type="dxa"/>
            <w:tcBorders/>
            <w:shd w:fill="CFF0FC"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 segment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23,894</w:t>
            </w:r>
          </w:p>
        </w:tc>
        <w:tc>
          <w:tcPr>
            <w:tcW w:w="41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 segment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41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income from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16"/>
        </w:rPr>
        <w:t>(1) Includes corporate compensation, professional services, information technology and other general and administrative corporate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i/>
          <w:color w:val="000000"/>
          <w:sz w:val="20"/>
          <w:u w:val="single"/>
        </w:rPr>
      </w:pPr>
      <w:r>
        <w:rPr>
          <w:rFonts w:ascii="Times New Roman" w:hAnsi="Times New Roman"/>
          <w:i/>
          <w:color w:val="000000"/>
          <w:sz w:val="20"/>
          <w:u w:val="single"/>
        </w:rPr>
        <w:t>Engineered Systems Segment</w:t>
      </w:r>
    </w:p>
    <w:p>
      <w:pPr>
        <w:pStyle w:val="TextBody"/>
        <w:bidi w:val="0"/>
        <w:spacing w:before="240" w:after="240"/>
        <w:jc w:val="left"/>
        <w:rPr>
          <w:rFonts w:ascii="Times New Roman" w:hAnsi="Times New Roman"/>
          <w:sz w:val="20"/>
        </w:rPr>
      </w:pPr>
      <w:r>
        <w:rPr>
          <w:rFonts w:ascii="Times New Roman" w:hAnsi="Times New Roman"/>
          <w:color w:val="000000"/>
          <w:sz w:val="20"/>
        </w:rPr>
        <w:t>Our Engineered Systems segment orders booked</w:t>
      </w:r>
      <w:r>
        <w:rPr>
          <w:rFonts w:ascii="Times New Roman" w:hAnsi="Times New Roman"/>
          <w:color w:val="FF0000"/>
          <w:sz w:val="20"/>
        </w:rPr>
        <w:t xml:space="preserve"> </w:t>
      </w:r>
      <w:r>
        <w:rPr>
          <w:rFonts w:ascii="Times New Roman" w:hAnsi="Times New Roman"/>
          <w:color w:val="000000"/>
          <w:sz w:val="20"/>
        </w:rPr>
        <w:t>decreased $3.4 million, or 3.2%, to $100.6 million during the three months ended June 30, 2024 compared with $103.9 million in the three months ended June 30, 2023. The decrease is primarily driven by a decrease related to emissions management, offset by an increase related to dampers and expansion joints. Of the $100.6 million in orders booked during the three months ended June 30, 2024, $12.2 million is attributable to acquisitions that occurred during the preceding twelve month period.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Engineered Systems segment orders booked were $200.0 million during the six months ended June 30, 2024 compared with $200.5 million in the six months ended June 30, 2023. Of the $200.0 million in orders booked during the six months ended June 30, 2024, $21.0 million is attributable to acquisitions that occurred during the preceding twelve month period.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Engineered Systems segment net sales increased $9.9 million to $97.4 million for the three months ended June 30, 2024 compared with $87.5 million for the three months ended June 30, 2023. The increase is led by an increase of $5.2 million related to our separation, filtration, and industrial water technologies. Approximately 95%, or $92.7 million, of net sales for the three months ended June 30, 2024 is attributable to organic revenue.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Engineered Systems segment net sales increased $24.7 million to $186.7 million for the six months ended June 30, 2024 compared with $162.0 million for the six months ended June 30, 2023. The increase is led by an increase of $17.8 million related to our separation, filtration, and industrial water technologies. Approximately 92%, or $172.1 million, of net sales for the six months ended June 30, 2024 is attributable to organic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income for the Engineered Systems segment increased $5.2 million to $19.3 million for the three months ended June 30, 2024 compared with $14.1 million for the three months ended June 30, 2023. The increase is primarily attributable to increased net sales, partially offset by an increase in direct costs.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Operating income for the Engineered Systems segment increased $11.7 million to $35.6 million for the six months ended June 30, 2024 compared with $23.9 million for the six months ended June 30, 2023. The increase is primarily attributable to increased net sales, partially offset by an increase in direct costs. </w:t>
      </w:r>
    </w:p>
    <w:p>
      <w:pPr>
        <w:pStyle w:val="TextBody"/>
        <w:bidi w:val="0"/>
        <w:spacing w:before="240" w:after="240"/>
        <w:jc w:val="left"/>
        <w:rPr>
          <w:rFonts w:ascii="Times New Roman" w:hAnsi="Times New Roman"/>
          <w:i/>
          <w:color w:val="000000"/>
          <w:sz w:val="20"/>
          <w:u w:val="single"/>
        </w:rPr>
      </w:pPr>
      <w:r>
        <w:rPr>
          <w:rFonts w:ascii="Times New Roman" w:hAnsi="Times New Roman"/>
          <w:i/>
          <w:color w:val="000000"/>
          <w:sz w:val="20"/>
          <w:u w:val="single"/>
        </w:rPr>
        <w:t>Industrial Process Solutions Segment</w:t>
      </w:r>
    </w:p>
    <w:p>
      <w:pPr>
        <w:pStyle w:val="TextBody"/>
        <w:bidi w:val="0"/>
        <w:spacing w:before="240" w:after="240"/>
        <w:jc w:val="left"/>
        <w:rPr>
          <w:rFonts w:ascii="Times New Roman" w:hAnsi="Times New Roman"/>
          <w:sz w:val="20"/>
        </w:rPr>
      </w:pPr>
      <w:r>
        <w:rPr>
          <w:rFonts w:ascii="Times New Roman" w:hAnsi="Times New Roman"/>
          <w:color w:val="000000"/>
          <w:sz w:val="20"/>
        </w:rPr>
        <w:t>Our Industrial Process Solutions segment orders booked</w:t>
      </w:r>
      <w:r>
        <w:rPr>
          <w:rFonts w:ascii="Times New Roman" w:hAnsi="Times New Roman"/>
          <w:color w:val="FF0000"/>
          <w:sz w:val="20"/>
        </w:rPr>
        <w:t xml:space="preserve"> </w:t>
      </w:r>
      <w:r>
        <w:rPr>
          <w:rFonts w:ascii="Times New Roman" w:hAnsi="Times New Roman"/>
          <w:color w:val="000000"/>
          <w:sz w:val="20"/>
        </w:rPr>
        <w:t xml:space="preserve">decreased $18.7 million, or 31.8%, to $40.2 million during the three months ended June 30, 2024 compared with $58.9 million in the three months ended June 30, 2023. The decrease is primarily driven by a decrease related to industrial air end markets, offset by an increase related to duct fabrication and installation.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Industrial Process Solutions segment orders booked decreased $23.0 million, or 21.2%, to $85.5 million during the six months ended June 30, 2024 compared with $108.5 million in the six months ended June 30, 2023. The decrease is primarily driven by a decrease related to industrial air end markets, offset by an increase related to duct fabrication and installation.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Industrial Process Solutions segment net sales were $40.1 million for the three months ended June 30, 2024 compared with $41.7 million for the three months ended June 30, 2023. All sales for the three months ended June 30, 2024 represent organic revenue.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Industrial Process Solutions segment net sales were $77.1 million for the six months ended June 30, 2024 compared with $79.8 million for the six months ended June 30, 2023. All sales for the six months ended June 30, 2024 represent organic revenue.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income for the Industrial Process Solutions segment increased $1.1 million to $5.7 million for the three months ended June 30, 2024 compared with $4.6 million for the three months ended June 30, 2023. The increase is primarily attributable to a decrease in direct costs, partially offset by a decrease in net sales.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income for the Industrial Process Solutions segment increased $2.7 million to $12.8 million for the six months ended June 30, 2024 compared with $10.1 million for the six months ended June 30, 2023. The increase is primarily attributable to increased sales, partially offset by an increase in direct costs.</w:t>
      </w:r>
    </w:p>
    <w:p>
      <w:pPr>
        <w:pStyle w:val="TextBody"/>
        <w:bidi w:val="0"/>
        <w:spacing w:before="240" w:after="240"/>
        <w:jc w:val="left"/>
        <w:rPr>
          <w:rFonts w:ascii="Times New Roman" w:hAnsi="Times New Roman"/>
          <w:i/>
          <w:color w:val="000000"/>
          <w:sz w:val="20"/>
          <w:u w:val="single"/>
        </w:rPr>
      </w:pPr>
      <w:r>
        <w:rPr>
          <w:rFonts w:ascii="Times New Roman" w:hAnsi="Times New Roman"/>
          <w:i/>
          <w:color w:val="000000"/>
          <w:sz w:val="20"/>
          <w:u w:val="single"/>
        </w:rPr>
        <w:t>Corporate and Other Segment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expense for the Corporate and Other segment increased $5.6 million to $15.7 million for the three months ended June 30, 2024 compared with $10.1 million for the three months ended June 30, 2023. The increase is primarily attributable to investments made to support growth inclusive of acquisition and integration expenses, and inflationary increases for wages and services.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expense for the Corporate and Other segment increased $11.4 million to $31.4 million for the six months ended June 30, 2024 compared with $20.0 million for the six months ended June 30, 2023. The increase is primarily attributable to investments made to support growth inclusive of acquisition and integration expenses, and inflationary increases for wages and services.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Backlog (i.e., unfulfilled or remaining performance obligations) represents the sales we expect to recognize for our products and services for which control has not yet transferred to the customer. Backlog increased to $390.9 million as of June 30, 2024 from $370.9 million as of December 31, 2023.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information regarding recent accounting pronouncements, see Note 2 to the unaudited condensed consolidated financial statements within Item 1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When we undertake large jobs, our working capital objective is to make these projects self-funding. We work to achieve this by obtaining customer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June 30, 2024, the Company had working capital of $74.1 million, compared with $78.3 million at December 31, 2023. The ratio of current assets to current liabilities was 1.36 to 1.00 on June 30, 2024, as compared with a ratio of 1.39 to 1.00 on December 31, 2023. The decrease in the ratio was driven by timing of cash receipts and payments to suppliers.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June 30, 2024 and December 31, 2023, cash and cash equivalents totaled $36.5 million and $54.8 million, respectively. As of June 30, 2024 and December 31, 2023, $28.6 million and $38.5 million, respectively, of our cash and cash equivalents were held by certain non-United States subsidiaries, as well as being denominated in foreign currencies.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Debt consisted of the following:</w:t>
      </w:r>
    </w:p>
    <w:tbl>
      <w:tblPr>
        <w:tblW w:w="10205" w:type="dxa"/>
        <w:jc w:val="left"/>
        <w:tblInd w:w="0" w:type="dxa"/>
        <w:tblLayout w:type="fixed"/>
        <w:tblCellMar>
          <w:top w:w="28" w:type="dxa"/>
          <w:left w:w="28" w:type="dxa"/>
          <w:bottom w:w="28" w:type="dxa"/>
          <w:right w:w="28" w:type="dxa"/>
        </w:tblCellMar>
      </w:tblPr>
      <w:tblGrid>
        <w:gridCol w:w="6770"/>
        <w:gridCol w:w="146"/>
        <w:gridCol w:w="237"/>
        <w:gridCol w:w="879"/>
        <w:gridCol w:w="166"/>
        <w:gridCol w:w="146"/>
        <w:gridCol w:w="312"/>
        <w:gridCol w:w="1156"/>
        <w:gridCol w:w="393"/>
      </w:tblGrid>
      <w:tr>
        <w:trPr/>
        <w:tc>
          <w:tcPr>
            <w:tcW w:w="6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Credit Facility (defined below)</w:t>
              <w:br/>
              <w:t>     Term loan payable in quarterly principal installments of $550 through September</w:t>
              <w:br/>
              <w:t>     2023, $2,232 through September 2025 and $2,977 thereafter with balance due upon</w:t>
              <w:br/>
              <w:t>     maturity in December 2026</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8"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7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7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 under the Credit Facility</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129,724</w:t>
            </w:r>
          </w:p>
        </w:tc>
        <w:tc>
          <w:tcPr>
            <w:tcW w:w="393" w:type="dxa"/>
            <w:tcBorders/>
            <w:shd w:fill="FFFFFF" w:val="clear"/>
            <w:vAlign w:val="center"/>
          </w:tcPr>
          <w:p>
            <w:pPr>
              <w:pStyle w:val="TableContents"/>
              <w:bidi w:val="0"/>
              <w:spacing w:before="0" w:after="283"/>
              <w:jc w:val="left"/>
              <w:rPr/>
            </w:pPr>
            <w:r>
              <w:rPr/>
              <w:t> </w:t>
            </w:r>
          </w:p>
        </w:tc>
      </w:tr>
      <w:tr>
        <w:trPr/>
        <w:tc>
          <w:tcPr>
            <w:tcW w:w="67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the joint venture term debt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393" w:type="dxa"/>
            <w:tcBorders/>
            <w:shd w:fill="CFF0FC"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137,283</w:t>
            </w:r>
          </w:p>
        </w:tc>
        <w:tc>
          <w:tcPr>
            <w:tcW w:w="393" w:type="dxa"/>
            <w:tcBorders/>
            <w:shd w:fill="CFF0FC"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less current portion</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126,795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Credit Facility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outstanding borrowings in the United States consist of a senior secured term loan and a senior secured revolver loan with sub-facilities for letters of credit, swing-line loans and multi-currency loans (collectively, the “Credit Facility”). As of June 30, 2024 and December 31, 2023, the Company was in compliance with all related financial and other restrictive covenants under the Credit Facility.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See Note 8 to the unaudited condensed consolidated financial statements within Item 1 of this Quarterly Report on Form 10-Q for further information on the Company’s debt facilities.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Total unused credit availability under our existing Credit Facility is as follows: </w:t>
      </w:r>
    </w:p>
    <w:tbl>
      <w:tblPr>
        <w:tblW w:w="7650" w:type="dxa"/>
        <w:jc w:val="left"/>
        <w:tblInd w:w="0" w:type="dxa"/>
        <w:tblLayout w:type="fixed"/>
        <w:tblCellMar>
          <w:top w:w="28" w:type="dxa"/>
          <w:left w:w="28" w:type="dxa"/>
          <w:bottom w:w="28" w:type="dxa"/>
          <w:right w:w="28" w:type="dxa"/>
        </w:tblCellMar>
      </w:tblPr>
      <w:tblGrid>
        <w:gridCol w:w="4156"/>
        <w:gridCol w:w="146"/>
        <w:gridCol w:w="303"/>
        <w:gridCol w:w="822"/>
        <w:gridCol w:w="166"/>
        <w:gridCol w:w="146"/>
        <w:gridCol w:w="403"/>
        <w:gridCol w:w="1097"/>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 revolving loans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Draw down</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Letters of credit open</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unused credit availability</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available based on borrowing limitations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br/>
        <w:t>Overview of Cash Flows and Liquidity</w:t>
      </w:r>
    </w:p>
    <w:tbl>
      <w:tblPr>
        <w:tblW w:w="7649" w:type="dxa"/>
        <w:jc w:val="left"/>
        <w:tblInd w:w="0" w:type="dxa"/>
        <w:tblLayout w:type="fixed"/>
        <w:tblCellMar>
          <w:top w:w="28" w:type="dxa"/>
          <w:left w:w="28" w:type="dxa"/>
          <w:bottom w:w="28" w:type="dxa"/>
          <w:right w:w="28" w:type="dxa"/>
        </w:tblCellMar>
      </w:tblPr>
      <w:tblGrid>
        <w:gridCol w:w="5086"/>
        <w:gridCol w:w="146"/>
        <w:gridCol w:w="211"/>
        <w:gridCol w:w="736"/>
        <w:gridCol w:w="166"/>
        <w:gridCol w:w="146"/>
        <w:gridCol w:w="211"/>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29,498</w:t>
            </w:r>
          </w:p>
        </w:tc>
        <w:tc>
          <w:tcPr>
            <w:tcW w:w="211" w:type="dxa"/>
            <w:tcBorders/>
            <w:shd w:fill="CFF0FC" w:val="cle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six months ended June 30, 2024, $7.9 million of cash was provided by operating activities compared with $0.6 million used in operations in the prior year period, representing $8.5 million additional cash generated. Cash flow from operating activities in the first six months of 2024 increased year-over-year primarily due to timing of costs and billings on uncompleted contracts, and improved management of payments to suppliers.</w:t>
      </w:r>
    </w:p>
    <w:p>
      <w:pPr>
        <w:pStyle w:val="TextBody"/>
        <w:bidi w:val="0"/>
        <w:spacing w:before="240" w:after="240"/>
        <w:jc w:val="left"/>
        <w:rPr>
          <w:rFonts w:ascii="Times New Roman" w:hAnsi="Times New Roman"/>
          <w:sz w:val="20"/>
        </w:rPr>
      </w:pPr>
      <w:r>
        <w:rPr>
          <w:rFonts w:ascii="Times New Roman" w:hAnsi="Times New Roman"/>
          <w:b/>
          <w:color w:val="000000"/>
          <w:sz w:val="20"/>
        </w:rPr>
        <w:t>Investing Activities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the six months ended June 30, 2024, net cash used in investing activities was $6.8 million compared with $28.1 million used in investing activities in the prior year period. For the six months ended June 30, 2024, the $6.8 million cash used in investing activities was primarily the result of acquisitions of property and equipment. In the prior year period, the $28.1 million cash used in investing activities was the result of $24.1 million used for acquisitions as described in Note 15 and $3.9 million for the acquisition of property and equipment.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the six months ended June 30, 2024, $16.6 million was used in financing activities compared with $29.5 million provided by financing activities in the prior year period, for a decrease of $12.9 million. For the six months ended June 30, 2024, the primary uses of cash for financing activities were $6.7 million to repay long-term debt, $5.0 million to repurchase common stock, $2.1 million of deferred consideration paid for acquisitions, $1.7 million for earnout payments and $1.1 million on distributions to the noncontrolling interest. In the prior year period, the Company used $31.9 million for net borrowings on the Company’s revolving credit lines, primarily used to finance acquisitions, $1.7 million in repayment on long-term debt, $0.9 million on deferred payments for acquisitions, and $0.6 million on distributions to the noncontrolling interest. The Company also received $1.2 million of proceeds from the exercise of stock options and the employee stock purchase plan.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Management believes there have been no changes during the six months ended June 30, 2024 to the items that the Company disclosed as its critical accounting policies and estimates in Management’s Discussion and Analysis of Financial Condition and Results of Operations in the Company’s Annual Report on Form 10-K for the year ended December 31, 2023.</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This Quarterly Report on Form 10-Q includes forward-looking statements within the meaning of Section 27A of the Securities Act of 1933 and Section 21E of the Securities Exchange Act of 1934, both as amended, which are intended to be covered by the safe harbor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2023, and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sensitivity of our business to economic and financial market conditions generally and economic conditions in CECO’s service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dependence on fixed price contracts and the risks associated therewith, including actual costs exceeding estimates and method of accounting for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growth on CECO’s infrastructure, resources and existing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expand operations in both new and existing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contract delay or cancellation as a result of on-going or worsening supply chain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arising from faulty services or products that could result in significant professional or product liability, warranty or other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or developments with respect to any litigation or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timely completion or performance standards that could result in higher cost and reduced profits or, in some cases, losses on projects;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fluctuations in prices for manufactured components and raw materials, including as a result of tariffs and surcharges, and rising energy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inflationary pressures relating to rising raw material costs and the cost of labor;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substantial amount of debt incurred in connection with our strategic transactions and our ability to repay or refinance it or incur additional debt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federal, state or local government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repurchase shares of our common stock and the amounts and timing of repurchases;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realize the expected benefits of our restructuring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and political conditions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identify acquisition targets, integrate acquired businesses and realize the synergies from strategic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unpredictability and severity of catastrophic events, including cybersecurity threats, acts of terrorism or outbreak of war or hostilities or public health crises, as well as management’s response to any of the aforementioned factors.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pStyle w:val="TextBody"/>
        <w:bidi w:val="0"/>
        <w:spacing w:before="240" w:after="24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exposed to certain market risks, primarily changes in interest rates. Market risk is the potential loss arising from adverse changes in market rates and prices, such as foreign currency exchange and interest rates. For the Company, these exposures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primarily related to changes in interest rates. We do not currently hold any derivatives or other financial instruments purely for trading or speculative purposes.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carrying value of the Company’s total long-term debt and current maturities of long-term debt at June 30, 2024 was $131.9 million. Market risk was estimated as the potential decrease (increase) in future earnings and cash flows resulting from a hypothetical 10% increase (decrease) in the Company’s estimated weighted average borrowing rate at June 30, 2024. Most of the interest on the Company’s debt is indexed to SOFR market rates. The estimated annual impact of a hypothetical 10% change in the estimated weighted average borrowing rate at June 30, 2024 is $1.0 million.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has wholly-owned subsidiaries in several countries, including in the Netherlands, Canada, the People’s Republic of China, Mexico, United Kingdom, Singapore, India, United Arab Emirates and South Korea.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included in “Other (expense) income, net” line of the Condensed Consolidated Statements of Income were $0.5 million and $0.3 million for the three months ended June 30, 2024 and 2023, respectively, and $1.6 million and $0.8 million for the six months ended June 30, 2024 and 2023, respectively. </w:t>
      </w:r>
    </w:p>
    <w:p>
      <w:pPr>
        <w:pStyle w:val="TextBody"/>
        <w:bidi w:val="0"/>
        <w:spacing w:before="240" w:after="240"/>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2024, as the result of the remediation of the material weaknesses in our internal control over financial reporting discussed below, which were previously reported.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Previously Reported Material Weaknesses in Internal Control over Financial Reporting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previously reported, we identified a material weakness in internal control over financial reporting relating to management’s review of its revenue recognition for contracts recognized over time isolated to our Engineered Systems segment, which was remediated as of June 30, 2024. Specifically, management did not retain appropriate documentation supporting the review of over time revenue recognition for customer contracts within the Engineered Systems segment. This material weakness did not result in any material misstatement in our interim financial statements or disclosures, and there were no changes required to any of our previously released interim or audited consolidated financial statements. </w:t>
      </w:r>
    </w:p>
    <w:p>
      <w:pPr>
        <w:pStyle w:val="TextBody"/>
        <w:bidi w:val="0"/>
        <w:jc w:val="left"/>
        <w:rPr>
          <w:rFonts w:ascii="Times New Roman" w:hAnsi="Times New Roman"/>
          <w:sz w:val="20"/>
        </w:rPr>
      </w:pPr>
      <w:r>
        <w:rPr>
          <w:rFonts w:ascii="Times New Roman" w:hAnsi="Times New Roman"/>
          <w:i/>
          <w:color w:val="000000"/>
          <w:sz w:val="20"/>
        </w:rPr>
        <w:t>Balance Sheet Reconciliations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previously reported, we identified a material weakness in internal control over financial reporting relating to management’s review of balance sheet reconciliations for certain divisions within our Engineered Systems segment, which was remediated as of March 31, 2024. Specifically, management did not review the reconciliations prepared for balance sheet accounts for certain divisions within the Engineered Systems segment as required by Company policy. This material weakness did not result in any material misstatement in our interim financial statements or disclosures, and there were no changes required to any of our previously released interim or audited consolidated financial statements. </w:t>
      </w:r>
    </w:p>
    <w:p>
      <w:pPr>
        <w:pStyle w:val="TextBody"/>
        <w:bidi w:val="0"/>
        <w:jc w:val="both"/>
        <w:rPr>
          <w:rFonts w:ascii="Times New Roman" w:hAnsi="Times New Roman"/>
          <w:b/>
          <w:color w:val="000000"/>
          <w:sz w:val="20"/>
        </w:rPr>
      </w:pPr>
      <w:r>
        <w:rPr>
          <w:rFonts w:ascii="Times New Roman" w:hAnsi="Times New Roman"/>
          <w:b/>
          <w:color w:val="000000"/>
          <w:sz w:val="20"/>
        </w:rPr>
        <w:t>Remediation Efforts to Address Material Weaknesses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Management is committed to maintaining a strong internal control environment. In response to the identified material weaknesses, management, with the oversight of the Audit Committee of the Board of Directors, has taken actions toward the remediation of the material weaknesses in internal control over financial reporting, including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Management has reinforced policies through training sessions as well as ongoing communications, and implemented incremental monitoring activities. As of June 30, 2024, these remediation efforts are complete.</w:t>
      </w:r>
    </w:p>
    <w:p>
      <w:pPr>
        <w:pStyle w:val="TextBody"/>
        <w:bidi w:val="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than the remediation of the previous period material weaknesses as described above, there were no changes in the Company’s internal control over financial reporting (as defined in Rule 13a-15(f) of the Exchange Act) during the quarter ended June 30, 2024 that materially affected, or are reasonably likely to materially affect, the Company’s internal control over financial reporting.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40" w:after="240"/>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See Note 14 to the unaudited Condensed Consolidated Financial Statements contained in Part I, Item 1 of this Quarterly Report on Form 10-Q for information regarding legal proceedings in which the Company is involved. </w:t>
      </w:r>
    </w:p>
    <w:p>
      <w:pPr>
        <w:pStyle w:val="TextBody"/>
        <w:bidi w:val="0"/>
        <w:spacing w:before="240" w:after="24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have been no material changes in the Company’s risk factors that were disclosed in “Part I – Item 1A. Risk Factors” of the Company's Annual Report on Form 10-K for the year ended December 31, 2023.</w:t>
      </w:r>
    </w:p>
    <w:p>
      <w:pPr>
        <w:pStyle w:val="TextBody"/>
        <w:bidi w:val="0"/>
        <w:spacing w:before="240" w:after="24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information about our purchases of the Company's equity securities for the three months ended June 30, 2024:</w:t>
      </w:r>
    </w:p>
    <w:tbl>
      <w:tblPr>
        <w:tblW w:w="10205" w:type="dxa"/>
        <w:jc w:val="left"/>
        <w:tblInd w:w="0" w:type="dxa"/>
        <w:tblLayout w:type="fixed"/>
        <w:tblCellMar>
          <w:top w:w="28" w:type="dxa"/>
          <w:left w:w="28" w:type="dxa"/>
          <w:bottom w:w="28" w:type="dxa"/>
          <w:right w:w="28" w:type="dxa"/>
        </w:tblCellMar>
      </w:tblPr>
      <w:tblGrid>
        <w:gridCol w:w="1216"/>
        <w:gridCol w:w="346"/>
        <w:gridCol w:w="210"/>
        <w:gridCol w:w="973"/>
        <w:gridCol w:w="346"/>
        <w:gridCol w:w="346"/>
        <w:gridCol w:w="280"/>
        <w:gridCol w:w="759"/>
        <w:gridCol w:w="346"/>
        <w:gridCol w:w="346"/>
        <w:gridCol w:w="327"/>
        <w:gridCol w:w="1523"/>
        <w:gridCol w:w="346"/>
        <w:gridCol w:w="346"/>
        <w:gridCol w:w="498"/>
        <w:gridCol w:w="1601"/>
        <w:gridCol w:w="396"/>
      </w:tblGrid>
      <w:tr>
        <w:trPr/>
        <w:tc>
          <w:tcPr>
            <w:tcW w:w="1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2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Issuer's Purchases of Equity Securities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br/>
              <w:t>Period</w:t>
            </w:r>
          </w:p>
        </w:tc>
        <w:tc>
          <w:tcPr>
            <w:tcW w:w="346" w:type="dxa"/>
            <w:tcBorders/>
            <w:shd w:fill="FFFFFF" w:val="cle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w:t>
            </w:r>
            <w:r>
              <w:rPr>
                <w:rFonts w:ascii="Times New Roman" w:hAnsi="Times New Roman"/>
                <w:b/>
                <w:color w:val="000000"/>
                <w:sz w:val="11"/>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2024 - April 30, 2024</w:t>
            </w:r>
          </w:p>
        </w:tc>
        <w:tc>
          <w:tcPr>
            <w:tcW w:w="346" w:type="dxa"/>
            <w:tcBorders/>
            <w:shd w:fill="CFF0FC" w:val="clear"/>
            <w:vAlign w:val="center"/>
          </w:tcPr>
          <w:p>
            <w:pPr>
              <w:pStyle w:val="TableContents"/>
              <w:bidi w:val="0"/>
              <w:spacing w:before="0" w:after="283"/>
              <w:jc w:val="left"/>
              <w:rPr/>
            </w:pPr>
            <w:r>
              <w:rPr/>
              <w:t> </w:t>
            </w:r>
          </w:p>
        </w:tc>
        <w:tc>
          <w:tcPr>
            <w:tcW w:w="1183" w:type="dxa"/>
            <w:gridSpan w:val="2"/>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850" w:type="dxa"/>
            <w:gridSpan w:val="2"/>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6"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2024 - May 31, 2024</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6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w:t>
            </w:r>
          </w:p>
        </w:tc>
        <w:tc>
          <w:tcPr>
            <w:tcW w:w="396"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2024 - June 30, 2024</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pPr>
            <w:r>
              <w:rPr/>
              <w:t> </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2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099"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(1) On May 10, 2022, the Board of Directors authorized a $20.0 million share repurchase program as described within Note 9 to the unaudited Condensed Consolidated Financial Statements. The program expires on April 30, 2025. </w:t>
      </w:r>
    </w:p>
    <w:p>
      <w:pPr>
        <w:pStyle w:val="TextBody"/>
        <w:bidi w:val="0"/>
        <w:spacing w:before="240" w:after="24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4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 </w:t>
      </w:r>
    </w:p>
    <w:p>
      <w:pPr>
        <w:pStyle w:val="TextBody"/>
        <w:bidi w:val="0"/>
        <w:spacing w:before="240" w:after="240"/>
        <w:jc w:val="left"/>
        <w:rPr>
          <w:rFonts w:ascii="Times New Roman" w:hAnsi="Times New Roman"/>
          <w:sz w:val="20"/>
        </w:rPr>
      </w:pPr>
      <w:r>
        <w:rPr>
          <w:rFonts w:ascii="Times New Roman" w:hAnsi="Times New Roman"/>
          <w:i/>
          <w:color w:val="000000"/>
          <w:sz w:val="20"/>
        </w:rPr>
        <w:t>Rule 10b5-1 Trading Plans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During the three months ended June 30, 2024, no director or Section 16 officer of the Company adopted or terminated a “Rule 10b5-1 trading arrangement,” or “non-Rule 10b5-1 trading arrangement,” as each term is defined in Item 408(a) of Regulation S-K.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
        <w:gridCol w:w="146"/>
        <w:gridCol w:w="9387"/>
      </w:tblGrid>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387"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Certificate of Incorporation of CECO Environmental Corp. (incorporated by reference to Exhibit 3.1 to the Company’s Current Report on Form 8-K filed with the SEC on May 22, 2024)</w:t>
              </w:r>
            </w:hyperlink>
          </w:p>
        </w:tc>
      </w:tr>
      <w:tr>
        <w:trPr/>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87" w:type="dxa"/>
            <w:tcBorders/>
            <w:vAlign w:val="center"/>
          </w:tcPr>
          <w:p>
            <w:pPr>
              <w:pStyle w:val="TableContents"/>
              <w:bidi w:val="0"/>
              <w:spacing w:before="0" w:after="283"/>
              <w:jc w:val="left"/>
              <w:rPr/>
            </w:pPr>
            <w:r>
              <w:rPr/>
              <w:t> </w:t>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pPr>
            <w:hyperlink w:anchor="ceco-ex31_1.htm">
              <w:r>
                <w:rPr>
                  <w:rStyle w:val="InternetLink"/>
                  <w:rFonts w:ascii="Times New Roman" w:hAnsi="Times New Roman"/>
                  <w:color w:val="0000FF"/>
                  <w:sz w:val="20"/>
                  <w:u w:val="single"/>
                </w:rPr>
                <w:t>Rule 13(a)/15d-14(a) Certification by Chief Executive Officer</w:t>
              </w:r>
            </w:hyperlink>
          </w:p>
        </w:tc>
      </w:tr>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pPr>
            <w:hyperlink w:anchor="ceco-ex31_2.htm">
              <w:r>
                <w:rPr>
                  <w:rStyle w:val="InternetLink"/>
                  <w:rFonts w:ascii="Times New Roman" w:hAnsi="Times New Roman"/>
                  <w:color w:val="0000FF"/>
                  <w:sz w:val="20"/>
                  <w:u w:val="single"/>
                </w:rPr>
                <w:t>Rule 13(a)/15d-14(a) Certification by Chief Financial Officer</w:t>
              </w:r>
            </w:hyperlink>
          </w:p>
        </w:tc>
      </w:tr>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pPr>
            <w:hyperlink w:anchor="ceco-ex32_1.htm">
              <w:r>
                <w:rPr>
                  <w:rStyle w:val="InternetLink"/>
                  <w:rFonts w:ascii="Times New Roman" w:hAnsi="Times New Roman"/>
                  <w:color w:val="0000FF"/>
                  <w:sz w:val="20"/>
                  <w:u w:val="single"/>
                </w:rPr>
                <w:t>Certification of Chief Executive Officer (18 U.S. Section 1350)</w:t>
              </w:r>
            </w:hyperlink>
          </w:p>
        </w:tc>
      </w:tr>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pPr>
            <w:hyperlink w:anchor="ceco-ex32_2.htm">
              <w:r>
                <w:rPr>
                  <w:rStyle w:val="InternetLink"/>
                  <w:rFonts w:ascii="Times New Roman" w:hAnsi="Times New Roman"/>
                  <w:color w:val="0000FF"/>
                  <w:sz w:val="20"/>
                  <w:u w:val="single"/>
                </w:rPr>
                <w:t>Certification of Chief Financial Officer (18 U.S. Section 1350)</w:t>
              </w:r>
            </w:hyperlink>
          </w:p>
        </w:tc>
      </w:tr>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387" w:type="dxa"/>
        <w:jc w:val="left"/>
        <w:tblInd w:w="0" w:type="dxa"/>
        <w:tblLayout w:type="fixed"/>
        <w:tblCellMar>
          <w:top w:w="28" w:type="dxa"/>
          <w:left w:w="28" w:type="dxa"/>
          <w:bottom w:w="28" w:type="dxa"/>
          <w:right w:w="28" w:type="dxa"/>
        </w:tblCellMar>
      </w:tblPr>
      <w:tblGrid>
        <w:gridCol w:w="421"/>
        <w:gridCol w:w="4966"/>
      </w:tblGrid>
      <w:tr>
        <w:trPr/>
        <w:tc>
          <w:tcPr>
            <w:tcW w:w="42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5387" w:type="dxa"/>
            <w:gridSpan w:val="2"/>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CECO Environmental Corp.</w:t>
            </w:r>
          </w:p>
          <w:p>
            <w:pPr>
              <w:pStyle w:val="TableContents"/>
              <w:bidi w:val="0"/>
              <w:jc w:val="left"/>
              <w:rPr/>
            </w:pPr>
            <w:r>
              <w:rPr/>
              <w:t> </w:t>
            </w:r>
          </w:p>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pPr>
            <w:r>
              <w:rPr/>
              <w:t> </w:t>
            </w:r>
          </w:p>
        </w:tc>
        <w:tc>
          <w:tcPr>
            <w:tcW w:w="496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Kiril Kovachev</w:t>
            </w:r>
          </w:p>
        </w:tc>
      </w:tr>
      <w:tr>
        <w:trPr/>
        <w:tc>
          <w:tcPr>
            <w:tcW w:w="421" w:type="dxa"/>
            <w:tcBorders/>
            <w:vAlign w:val="center"/>
          </w:tcPr>
          <w:p>
            <w:pPr>
              <w:pStyle w:val="TableContents"/>
              <w:bidi w:val="0"/>
              <w:spacing w:before="0" w:after="283"/>
              <w:jc w:val="left"/>
              <w:rPr/>
            </w:pPr>
            <w:r>
              <w:rPr/>
              <w:t> </w:t>
            </w:r>
          </w:p>
        </w:tc>
        <w:tc>
          <w:tcPr>
            <w:tcW w:w="49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Kiril Kovachev</w:t>
            </w:r>
          </w:p>
        </w:tc>
      </w:tr>
      <w:tr>
        <w:trPr/>
        <w:tc>
          <w:tcPr>
            <w:tcW w:w="421" w:type="dxa"/>
            <w:tcBorders/>
            <w:vAlign w:val="center"/>
          </w:tcPr>
          <w:p>
            <w:pPr>
              <w:pStyle w:val="TableContents"/>
              <w:bidi w:val="0"/>
              <w:spacing w:before="0" w:after="283"/>
              <w:jc w:val="left"/>
              <w:rPr/>
            </w:pPr>
            <w:r>
              <w:rPr/>
              <w:t> </w:t>
            </w:r>
          </w:p>
        </w:tc>
        <w:tc>
          <w:tcPr>
            <w:tcW w:w="49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Accounting Officer</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accounting officer and duly authorized officer)</w:t>
            </w:r>
          </w:p>
        </w:tc>
      </w:tr>
    </w:tbl>
    <w:p>
      <w:pPr>
        <w:pStyle w:val="TextBody"/>
        <w:bidi w:val="0"/>
        <w:jc w:val="left"/>
        <w:rPr>
          <w:rFonts w:ascii="Times New Roman" w:hAnsi="Times New Roman"/>
          <w:color w:val="000000"/>
          <w:sz w:val="20"/>
        </w:rPr>
      </w:pPr>
      <w:bookmarkStart w:id="21" w:name="signatures"/>
      <w:bookmarkEnd w:id="21"/>
      <w:r>
        <w:rPr>
          <w:rFonts w:ascii="Times New Roman" w:hAnsi="Times New Roman"/>
          <w:color w:val="000000"/>
          <w:sz w:val="20"/>
        </w:rPr>
        <w:t>Date: July 30,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22" w:name="ceco-ex31_1.htm"/>
      <w:bookmarkStart w:id="23" w:name="kscecoex31_1"/>
      <w:bookmarkEnd w:id="22"/>
      <w:bookmarkEnd w:id="2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Gleason,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CECO Environmental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Gleason</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Gleason</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July 30,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eco-ex31_2.htm"/>
      <w:bookmarkStart w:id="25" w:name="kscecoex31_2"/>
      <w:bookmarkEnd w:id="24"/>
      <w:bookmarkEnd w:id="25"/>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Johansson,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CECO Environmental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3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3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Strategy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July 30,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eco-ex32_1.htm"/>
      <w:bookmarkStart w:id="27" w:name="kscecoex32_1"/>
      <w:bookmarkEnd w:id="26"/>
      <w:bookmarkEnd w:id="27"/>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CECO Environmental Corp. (the “Company”) on Form 10-Q for the quarter ended June 30, 2024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as of the dates and for the periods expressed in the Report.</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Todd Gleason </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Gleason</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July 30,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eco-ex32_2.htm"/>
      <w:bookmarkStart w:id="29" w:name="kscecoex32_2"/>
      <w:bookmarkEnd w:id="28"/>
      <w:bookmarkEnd w:id="29"/>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CECO Environmental Corp. (the “Company”) on Form 10-Q for the quarter ended June 30, 2024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as of the dates and for the periods expressed in the Report.</w:t>
      </w:r>
    </w:p>
    <w:p>
      <w:pPr>
        <w:pStyle w:val="TextBody"/>
        <w:bidi w:val="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3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3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Strategy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July 30, 2024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97/000095017024063379/ceco-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17136</Words>
  <Characters>93642</Characters>
  <CharactersWithSpaces>111905</CharactersWithSpaces>
  <Paragraphs>5870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