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189865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176530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980" w:type="dxa"/>
        <w:tblCellMar>
          <w:top w:w="0" w:type="dxa"/>
          <w:left w:w="0" w:type="dxa"/>
          <w:bottom w:w="0" w:type="dxa"/>
          <w:right w:w="0" w:type="dxa"/>
        </w:tblCellMar>
      </w:tblPr>
      <w:tr>
        <w:trPr>
          <w:trHeight w:val="227"/>
        </w:trPr>
        <w:tc>
          <w:tcPr>
            <w:tcW w:w="376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60" w:type="dxa"/>
            <w:vAlign w:val="bottom"/>
          </w:tcPr>
          <w:p>
            <w:pPr>
              <w:jc w:val="center"/>
              <w:ind w:right="482"/>
              <w:spacing w:after="0"/>
              <w:rPr>
                <w:sz w:val="20"/>
                <w:szCs w:val="20"/>
                <w:color w:val="auto"/>
              </w:rPr>
            </w:pPr>
            <w:r>
              <w:rPr>
                <w:rFonts w:ascii="Times New Roman" w:cs="Times New Roman" w:eastAsia="Times New Roman" w:hAnsi="Times New Roman"/>
                <w:sz w:val="18"/>
                <w:szCs w:val="18"/>
                <w:b w:val="1"/>
                <w:bCs w:val="1"/>
                <w:color w:val="auto"/>
                <w:w w:val="98"/>
              </w:rPr>
              <w:t>000-7099</w:t>
            </w:r>
          </w:p>
        </w:tc>
        <w:tc>
          <w:tcPr>
            <w:tcW w:w="2900" w:type="dxa"/>
            <w:vAlign w:val="bottom"/>
          </w:tcPr>
          <w:p>
            <w:pPr>
              <w:jc w:val="center"/>
              <w:ind w:left="1701"/>
              <w:spacing w:after="0"/>
              <w:rPr>
                <w:sz w:val="20"/>
                <w:szCs w:val="20"/>
                <w:color w:val="auto"/>
              </w:rPr>
            </w:pPr>
            <w:r>
              <w:rPr>
                <w:rFonts w:ascii="Times New Roman" w:cs="Times New Roman" w:eastAsia="Times New Roman" w:hAnsi="Times New Roman"/>
                <w:sz w:val="18"/>
                <w:szCs w:val="18"/>
                <w:b w:val="1"/>
                <w:bCs w:val="1"/>
                <w:color w:val="auto"/>
              </w:rPr>
              <w:t>13-2566064</w:t>
            </w:r>
          </w:p>
        </w:tc>
        <w:tc>
          <w:tcPr>
            <w:tcW w:w="0" w:type="dxa"/>
            <w:vAlign w:val="bottom"/>
          </w:tcPr>
          <w:p>
            <w:pPr>
              <w:spacing w:after="0"/>
              <w:rPr>
                <w:sz w:val="1"/>
                <w:szCs w:val="1"/>
                <w:color w:val="auto"/>
              </w:rPr>
            </w:pPr>
          </w:p>
        </w:tc>
      </w:tr>
      <w:tr>
        <w:trPr>
          <w:trHeight w:val="162"/>
        </w:trPr>
        <w:tc>
          <w:tcPr>
            <w:tcW w:w="376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60" w:type="dxa"/>
            <w:vAlign w:val="bottom"/>
          </w:tcPr>
          <w:p>
            <w:pPr>
              <w:jc w:val="center"/>
              <w:ind w:right="201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jc w:val="center"/>
              <w:ind w:right="4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3"/>
        </w:trPr>
        <w:tc>
          <w:tcPr>
            <w:tcW w:w="37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9"/>
              </w:rPr>
              <w:t>14651 North Dallas Parkway, Suite 500</w:t>
            </w:r>
          </w:p>
        </w:tc>
        <w:tc>
          <w:tcPr>
            <w:tcW w:w="2360" w:type="dxa"/>
            <w:vAlign w:val="bottom"/>
          </w:tcPr>
          <w:p>
            <w:pPr>
              <w:spacing w:after="0"/>
              <w:rPr>
                <w:sz w:val="24"/>
                <w:szCs w:val="24"/>
                <w:color w:val="auto"/>
              </w:rPr>
            </w:pPr>
          </w:p>
        </w:tc>
        <w:tc>
          <w:tcPr>
            <w:tcW w:w="2900" w:type="dxa"/>
            <w:vAlign w:val="bottom"/>
            <w:vMerge w:val="restart"/>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75254</w:t>
            </w:r>
          </w:p>
        </w:tc>
        <w:tc>
          <w:tcPr>
            <w:tcW w:w="0" w:type="dxa"/>
            <w:vAlign w:val="bottom"/>
          </w:tcPr>
          <w:p>
            <w:pPr>
              <w:spacing w:after="0"/>
              <w:rPr>
                <w:sz w:val="1"/>
                <w:szCs w:val="1"/>
                <w:color w:val="auto"/>
              </w:rPr>
            </w:pPr>
          </w:p>
        </w:tc>
      </w:tr>
      <w:tr>
        <w:trPr>
          <w:trHeight w:val="227"/>
        </w:trPr>
        <w:tc>
          <w:tcPr>
            <w:tcW w:w="3760" w:type="dxa"/>
            <w:vAlign w:val="bottom"/>
          </w:tcPr>
          <w:p>
            <w:pPr>
              <w:jc w:val="center"/>
              <w:ind w:right="11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60" w:type="dxa"/>
            <w:vAlign w:val="bottom"/>
          </w:tcPr>
          <w:p>
            <w:pPr>
              <w:spacing w:after="0"/>
              <w:rPr>
                <w:sz w:val="19"/>
                <w:szCs w:val="19"/>
                <w:color w:val="auto"/>
              </w:rPr>
            </w:pPr>
          </w:p>
        </w:tc>
        <w:tc>
          <w:tcPr>
            <w:tcW w:w="2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7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9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3560" w:right="2680" w:hanging="3552"/>
        <w:spacing w:after="0" w:line="392" w:lineRule="auto"/>
        <w:tabs>
          <w:tab w:leader="none" w:pos="37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9"/>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CECE</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4"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49" w:right="499" w:bottom="1440" w:gutter="0" w:footer="0" w:header="0"/>
        </w:sectPr>
      </w:pPr>
    </w:p>
    <w:bookmarkStart w:id="1" w:name="page2"/>
    <w:bookmarkEnd w:id="1"/>
    <w:p>
      <w:pPr>
        <w:ind w:right="1080"/>
        <w:spacing w:after="0" w:line="273" w:lineRule="auto"/>
        <w:rPr>
          <w:sz w:val="20"/>
          <w:szCs w:val="20"/>
          <w:color w:val="auto"/>
        </w:rPr>
      </w:pPr>
      <w:r>
        <w:rPr>
          <w:rFonts w:ascii="Times New Roman" w:cs="Times New Roman" w:eastAsia="Times New Roman" w:hAnsi="Times New Roman"/>
          <w:sz w:val="20"/>
          <w:szCs w:val="20"/>
          <w:b w:val="1"/>
          <w:bCs w:val="1"/>
          <w:color w:val="auto"/>
        </w:rPr>
        <w:t>5.02. Departure of Directors or Certain Officers; Election of Directors; Appointment of Certain Officers; Compensatory Arrangements of Certain Officers.</w:t>
      </w:r>
    </w:p>
    <w:p>
      <w:pPr>
        <w:spacing w:after="0" w:line="16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On August 11, 2022, CECO Environmental Corp. (the “Company”) previously reported on a Current Report on Form 8-K filed with the Securities and Exchange Commission that Matthew Eckl, Chief Financial Officer of the Company, would cease serving as Chief Financial Officer, effective August 14, 2022, and would leave the Company effective August 20, 2022 (the “Departure Date”). Mr. Eckl remained an employee of the Company through the Departure Date in order to facilitate a smooth and orderly transition of his responsibilities and was compensated in accordance with existing arrangements through the Departure Date.</w:t>
      </w:r>
    </w:p>
    <w:p>
      <w:pPr>
        <w:spacing w:after="0" w:line="15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connection with his departure, on September 30, 2022, the Company and Mr. Eckl entered into an Executive Separation Agreement and Release (the “Separation Agreement”). Pursuant to the Separation Agreement, in exchange for Mr. Eckl’s execution and non-revocation of a general release of claims contained in the Separation Agreement (the “Release”) and compliance with certain other restrictive covenants in his Executive Employment Agreement dated January 9, 2017 (the “Employment Agreement”), he will receive (subject to applicable taxes) certain compensation and benefits provided for under the Employment Agreement, consisting of: (1) accrued obligations to pay Mr. Eckl’s base salary through the Departure Date and certain reimbursable business expenses and accrued but unpaid vacation pay to Mr. Eckl; (2) $366,000 as a lump sum cash severance payment; (3) a cash lump sum equal to 12 months of taxable COBRA premiums for continued health care insurance coverage for Mr. Eckl and his family; and (4) $251,625 representing 125% of Mr. Eckl’s full-year 2022 annual cash incentive award target opportunity (modified from pro-rata payout of the 2022 annual cash incentive award based on actual 2022 performance under the Employment Agreement).</w:t>
      </w:r>
    </w:p>
    <w:p>
      <w:pPr>
        <w:spacing w:after="0" w:line="16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addition, under the Separation Agreement, the Compensation Committee of the Company’s Board of Directors provided for Mr. Eckl to receive, contingent on the Release and compliance with applicable restrictive covenants, accelerated vesting and payout of 54,807 service-based restricted stock units granted to Mr. Eckl on various dates across 2018, 2019, 2020 and 2021 that remained unvested and outstanding as of the Departure Date.</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 be entitled to the benefits under the Separation Agreement, Mr. Eckl must (1) not revoke the Separation Agreement within the seven (7) day revocation period following the date he signed the Separation Agreement (that date being September 30, 2022), and (2) comply with his obligations under the Separation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October 6, 2022</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00" w:lineRule="exact"/>
        <w:rPr>
          <w:sz w:val="20"/>
          <w:szCs w:val="20"/>
          <w:color w:val="auto"/>
        </w:rPr>
      </w:pPr>
    </w:p>
    <w:p>
      <w:pPr>
        <w:spacing w:after="0" w:line="214" w:lineRule="exact"/>
        <w:rPr>
          <w:sz w:val="20"/>
          <w:szCs w:val="20"/>
          <w:color w:val="auto"/>
        </w:rPr>
      </w:pPr>
    </w:p>
    <w:p>
      <w:pPr>
        <w:ind w:left="66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128905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6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Joycelynn Watkins-Asiyanbi</w:t>
      </w:r>
    </w:p>
    <w:p>
      <w:pPr>
        <w:spacing w:after="0" w:line="1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SVP, Chief Administrative and Legal Officer and</w:t>
      </w:r>
    </w:p>
    <w:p>
      <w:pPr>
        <w:ind w:left="72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343535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2022-10-06T10:56:21Z</dcterms:created>
  <dcterms:modified xsi:type="dcterms:W3CDTF">2022-10-06T10:56:21Z</dcterms:modified>
</cp:coreProperties>
</file>