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9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189230</wp:posOffset>
            </wp:positionV>
            <wp:extent cx="70294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294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CECO ENVIRONMENTAL CORP.</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810" w:type="dxa"/>
        <w:tblCellMar>
          <w:top w:w="0" w:type="dxa"/>
          <w:left w:w="0" w:type="dxa"/>
          <w:bottom w:w="0" w:type="dxa"/>
          <w:right w:w="0" w:type="dxa"/>
        </w:tblCellMar>
      </w:tblPr>
      <w:tr>
        <w:trPr>
          <w:trHeight w:val="212"/>
        </w:trPr>
        <w:tc>
          <w:tcPr>
            <w:tcW w:w="3260" w:type="dxa"/>
            <w:vAlign w:val="bottom"/>
          </w:tcPr>
          <w:p>
            <w:pPr>
              <w:jc w:val="center"/>
              <w:ind w:left="677"/>
              <w:spacing w:after="0"/>
              <w:rPr>
                <w:sz w:val="20"/>
                <w:szCs w:val="20"/>
                <w:color w:val="auto"/>
              </w:rPr>
            </w:pPr>
            <w:r>
              <w:rPr>
                <w:rFonts w:ascii="Arial" w:cs="Arial" w:eastAsia="Arial" w:hAnsi="Arial"/>
                <w:sz w:val="18"/>
                <w:szCs w:val="18"/>
                <w:b w:val="1"/>
                <w:bCs w:val="1"/>
                <w:color w:val="auto"/>
                <w:w w:val="93"/>
              </w:rPr>
              <w:t>Delaware</w:t>
            </w: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720" w:type="dxa"/>
            <w:vAlign w:val="bottom"/>
          </w:tcPr>
          <w:p>
            <w:pPr>
              <w:jc w:val="right"/>
              <w:ind w:right="1840"/>
              <w:spacing w:after="0"/>
              <w:rPr>
                <w:sz w:val="20"/>
                <w:szCs w:val="20"/>
                <w:color w:val="auto"/>
              </w:rPr>
            </w:pPr>
            <w:r>
              <w:rPr>
                <w:rFonts w:ascii="Arial" w:cs="Arial" w:eastAsia="Arial" w:hAnsi="Arial"/>
                <w:sz w:val="18"/>
                <w:szCs w:val="18"/>
                <w:b w:val="1"/>
                <w:bCs w:val="1"/>
                <w:color w:val="auto"/>
              </w:rPr>
              <w:t>13-2566064</w:t>
            </w:r>
          </w:p>
        </w:tc>
      </w:tr>
      <w:tr>
        <w:trPr>
          <w:trHeight w:val="149"/>
        </w:trPr>
        <w:tc>
          <w:tcPr>
            <w:tcW w:w="3260" w:type="dxa"/>
            <w:vAlign w:val="bottom"/>
          </w:tcPr>
          <w:p>
            <w:pPr>
              <w:jc w:val="center"/>
              <w:ind w:left="677"/>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720" w:type="dxa"/>
            <w:vAlign w:val="bottom"/>
          </w:tcPr>
          <w:p>
            <w:pPr>
              <w:jc w:val="center"/>
              <w:ind w:right="90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260" w:type="dxa"/>
            <w:vAlign w:val="bottom"/>
          </w:tcPr>
          <w:p>
            <w:pPr>
              <w:jc w:val="center"/>
              <w:ind w:left="677"/>
              <w:spacing w:after="0"/>
              <w:rPr>
                <w:sz w:val="20"/>
                <w:szCs w:val="20"/>
                <w:color w:val="auto"/>
              </w:rPr>
            </w:pPr>
            <w:r>
              <w:rPr>
                <w:rFonts w:ascii="Arial" w:cs="Arial" w:eastAsia="Arial" w:hAnsi="Arial"/>
                <w:sz w:val="14"/>
                <w:szCs w:val="14"/>
                <w:b w:val="1"/>
                <w:bCs w:val="1"/>
                <w:color w:val="auto"/>
                <w:w w:val="95"/>
              </w:rPr>
              <w:t>Incorporation or organization)</w:t>
            </w:r>
          </w:p>
        </w:tc>
        <w:tc>
          <w:tcPr>
            <w:tcW w:w="3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720" w:type="dxa"/>
            <w:vAlign w:val="bottom"/>
          </w:tcPr>
          <w:p>
            <w:pPr>
              <w:jc w:val="center"/>
              <w:ind w:right="920"/>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260" w:type="dxa"/>
            <w:vAlign w:val="bottom"/>
          </w:tcPr>
          <w:p>
            <w:pPr>
              <w:jc w:val="center"/>
              <w:ind w:left="677"/>
              <w:spacing w:after="0"/>
              <w:rPr>
                <w:sz w:val="20"/>
                <w:szCs w:val="20"/>
                <w:color w:val="auto"/>
              </w:rPr>
            </w:pPr>
            <w:r>
              <w:rPr>
                <w:rFonts w:ascii="Arial" w:cs="Arial" w:eastAsia="Arial" w:hAnsi="Arial"/>
                <w:sz w:val="18"/>
                <w:szCs w:val="18"/>
                <w:b w:val="1"/>
                <w:bCs w:val="1"/>
                <w:color w:val="auto"/>
                <w:w w:val="92"/>
              </w:rPr>
              <w:t>14651 North Dallas Parkway</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6"/>
        </w:trPr>
        <w:tc>
          <w:tcPr>
            <w:tcW w:w="3260" w:type="dxa"/>
            <w:vAlign w:val="bottom"/>
          </w:tcPr>
          <w:p>
            <w:pPr>
              <w:jc w:val="center"/>
              <w:ind w:left="677"/>
              <w:spacing w:after="0"/>
              <w:rPr>
                <w:sz w:val="20"/>
                <w:szCs w:val="20"/>
                <w:color w:val="auto"/>
              </w:rPr>
            </w:pPr>
            <w:r>
              <w:rPr>
                <w:rFonts w:ascii="Arial" w:cs="Arial" w:eastAsia="Arial" w:hAnsi="Arial"/>
                <w:sz w:val="18"/>
                <w:szCs w:val="18"/>
                <w:b w:val="1"/>
                <w:bCs w:val="1"/>
                <w:color w:val="auto"/>
                <w:w w:val="88"/>
              </w:rPr>
              <w:t>Suite 500</w:t>
            </w: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12"/>
        </w:trPr>
        <w:tc>
          <w:tcPr>
            <w:tcW w:w="3260" w:type="dxa"/>
            <w:vAlign w:val="bottom"/>
          </w:tcPr>
          <w:p>
            <w:pPr>
              <w:jc w:val="center"/>
              <w:ind w:left="677"/>
              <w:spacing w:after="0"/>
              <w:rPr>
                <w:sz w:val="20"/>
                <w:szCs w:val="20"/>
                <w:color w:val="auto"/>
              </w:rPr>
            </w:pPr>
            <w:r>
              <w:rPr>
                <w:rFonts w:ascii="Arial" w:cs="Arial" w:eastAsia="Arial" w:hAnsi="Arial"/>
                <w:sz w:val="18"/>
                <w:szCs w:val="18"/>
                <w:b w:val="1"/>
                <w:bCs w:val="1"/>
                <w:color w:val="auto"/>
                <w:w w:val="89"/>
              </w:rPr>
              <w:t>Dallas, Texas</w:t>
            </w:r>
          </w:p>
        </w:tc>
        <w:tc>
          <w:tcPr>
            <w:tcW w:w="3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720" w:type="dxa"/>
            <w:vAlign w:val="bottom"/>
          </w:tcPr>
          <w:p>
            <w:pPr>
              <w:jc w:val="right"/>
              <w:ind w:right="2060"/>
              <w:spacing w:after="0"/>
              <w:rPr>
                <w:sz w:val="20"/>
                <w:szCs w:val="20"/>
                <w:color w:val="auto"/>
              </w:rPr>
            </w:pPr>
            <w:r>
              <w:rPr>
                <w:rFonts w:ascii="Arial" w:cs="Arial" w:eastAsia="Arial" w:hAnsi="Arial"/>
                <w:sz w:val="18"/>
                <w:szCs w:val="18"/>
                <w:b w:val="1"/>
                <w:bCs w:val="1"/>
                <w:color w:val="auto"/>
              </w:rPr>
              <w:t>75254</w:t>
            </w:r>
          </w:p>
        </w:tc>
      </w:tr>
      <w:tr>
        <w:trPr>
          <w:trHeight w:val="186"/>
        </w:trPr>
        <w:tc>
          <w:tcPr>
            <w:tcW w:w="3260" w:type="dxa"/>
            <w:vAlign w:val="bottom"/>
          </w:tcPr>
          <w:p>
            <w:pPr>
              <w:jc w:val="center"/>
              <w:ind w:left="6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720" w:type="dxa"/>
            <w:vAlign w:val="bottom"/>
          </w:tcPr>
          <w:p>
            <w:pPr>
              <w:jc w:val="center"/>
              <w:ind w:right="900"/>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10180" w:type="dxa"/>
            <w:vAlign w:val="bottom"/>
            <w:gridSpan w:val="4"/>
          </w:tcPr>
          <w:p>
            <w:pPr>
              <w:ind w:left="2320"/>
              <w:spacing w:after="0"/>
              <w:rPr>
                <w:sz w:val="20"/>
                <w:szCs w:val="20"/>
                <w:color w:val="auto"/>
              </w:rPr>
            </w:pPr>
            <w:r>
              <w:rPr>
                <w:rFonts w:ascii="Arial" w:cs="Arial" w:eastAsia="Arial" w:hAnsi="Arial"/>
                <w:sz w:val="18"/>
                <w:szCs w:val="18"/>
                <w:b w:val="1"/>
                <w:bCs w:val="1"/>
                <w:color w:val="auto"/>
              </w:rPr>
              <w:t>Registrant’s telephone number, including area code: (214) 357-6181</w:t>
            </w:r>
          </w:p>
        </w:tc>
      </w:tr>
      <w:tr>
        <w:trPr>
          <w:trHeight w:val="308"/>
        </w:trPr>
        <w:tc>
          <w:tcPr>
            <w:tcW w:w="326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03"/>
        </w:trPr>
        <w:tc>
          <w:tcPr>
            <w:tcW w:w="3260" w:type="dxa"/>
            <w:vAlign w:val="bottom"/>
            <w:tcBorders>
              <w:left w:val="single" w:sz="8" w:color="auto"/>
            </w:tcBorders>
          </w:tcPr>
          <w:p>
            <w:pPr>
              <w:jc w:val="center"/>
              <w:ind w:left="257"/>
              <w:spacing w:after="0"/>
              <w:rPr>
                <w:sz w:val="20"/>
                <w:szCs w:val="20"/>
                <w:color w:val="auto"/>
              </w:rPr>
            </w:pPr>
            <w:r>
              <w:rPr>
                <w:rFonts w:ascii="Arial" w:cs="Arial" w:eastAsia="Arial" w:hAnsi="Arial"/>
                <w:sz w:val="16"/>
                <w:szCs w:val="16"/>
                <w:color w:val="auto"/>
                <w:w w:val="90"/>
              </w:rPr>
              <w:t>Title of each class</w:t>
            </w:r>
          </w:p>
        </w:tc>
        <w:tc>
          <w:tcPr>
            <w:tcW w:w="3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37"/>
        </w:trPr>
        <w:tc>
          <w:tcPr>
            <w:tcW w:w="326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r>
        <w:trPr>
          <w:trHeight w:val="200"/>
        </w:trPr>
        <w:tc>
          <w:tcPr>
            <w:tcW w:w="3260" w:type="dxa"/>
            <w:vAlign w:val="bottom"/>
            <w:tcBorders>
              <w:left w:val="single" w:sz="8" w:color="auto"/>
            </w:tcBorders>
          </w:tcPr>
          <w:p>
            <w:pPr>
              <w:jc w:val="center"/>
              <w:ind w:left="257"/>
              <w:spacing w:after="0"/>
              <w:rPr>
                <w:sz w:val="20"/>
                <w:szCs w:val="20"/>
                <w:color w:val="auto"/>
              </w:rPr>
            </w:pPr>
            <w:r>
              <w:rPr>
                <w:rFonts w:ascii="Arial" w:cs="Arial" w:eastAsia="Arial" w:hAnsi="Arial"/>
                <w:sz w:val="16"/>
                <w:szCs w:val="16"/>
                <w:color w:val="auto"/>
                <w:w w:val="90"/>
              </w:rPr>
              <w:t>Common Stock, par value $0.01 per share</w:t>
            </w:r>
          </w:p>
        </w:tc>
        <w:tc>
          <w:tcPr>
            <w:tcW w:w="360" w:type="dxa"/>
            <w:vAlign w:val="bottom"/>
            <w:tcBorders>
              <w:right w:val="single" w:sz="8" w:color="auto"/>
            </w:tcBorders>
          </w:tcPr>
          <w:p>
            <w:pPr>
              <w:spacing w:after="0"/>
              <w:rPr>
                <w:sz w:val="17"/>
                <w:szCs w:val="17"/>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CECE</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37"/>
        </w:trPr>
        <w:tc>
          <w:tcPr>
            <w:tcW w:w="326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bl>
    <w:p>
      <w:pPr>
        <w:spacing w:after="0" w:line="94" w:lineRule="exact"/>
        <w:rPr>
          <w:sz w:val="24"/>
          <w:szCs w:val="24"/>
          <w:color w:val="auto"/>
        </w:rPr>
      </w:pPr>
    </w:p>
    <w:p>
      <w:pPr>
        <w:ind w:right="120" w:firstLine="27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40" w:firstLine="274"/>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right="20" w:firstLine="27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4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1"/>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6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182" w:lineRule="exact"/>
        <w:rPr>
          <w:sz w:val="24"/>
          <w:szCs w:val="24"/>
          <w:color w:val="auto"/>
        </w:rPr>
      </w:pPr>
    </w:p>
    <w:p>
      <w:pPr>
        <w:jc w:val="both"/>
        <w:ind w:right="40" w:firstLine="27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280"/>
        <w:spacing w:after="0" w:line="207" w:lineRule="exact"/>
        <w:tabs>
          <w:tab w:leader="none" w:pos="9080" w:val="left"/>
          <w:tab w:leader="none" w:pos="9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firstLine="274"/>
        <w:spacing w:after="0" w:line="277"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35,243,663 shares of common stock, par value $0.01 per share, as of October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301625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 ended September 30, 2019</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2"/>
          </w:tcPr>
          <w:p>
            <w:pPr>
              <w:spacing w:after="0"/>
              <w:rPr>
                <w:sz w:val="20"/>
                <w:szCs w:val="20"/>
                <w:color w:val="auto"/>
              </w:rPr>
            </w:pPr>
            <w:r>
              <w:rPr>
                <w:rFonts w:ascii="Arial" w:cs="Arial" w:eastAsia="Arial" w:hAnsi="Arial"/>
                <w:sz w:val="18"/>
                <w:szCs w:val="18"/>
                <w:color w:val="auto"/>
              </w:rPr>
              <w:t>Part I –</w:t>
            </w: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080" w:type="dxa"/>
            <w:vAlign w:val="bottom"/>
            <w:gridSpan w:val="18"/>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7600" w:type="dxa"/>
            <w:vAlign w:val="bottom"/>
            <w:gridSpan w:val="1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2019 and December 31, 201</w:t>
              </w:r>
            </w:hyperlink>
            <w:r>
              <w:rPr>
                <w:rFonts w:ascii="Arial" w:cs="Arial" w:eastAsia="Arial" w:hAnsi="Arial"/>
                <w:sz w:val="18"/>
                <w:szCs w:val="18"/>
                <w:color w:val="000000"/>
              </w:rPr>
              <w:t>8</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gridSpan w:val="2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three-month and nine-month periods ended September 30, 2019</w:t>
              </w:r>
            </w:hyperlink>
          </w:p>
        </w:tc>
        <w:tc>
          <w:tcPr>
            <w:tcW w:w="3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and 2018</w:t>
              </w:r>
            </w:hyperlink>
          </w:p>
        </w:tc>
        <w:tc>
          <w:tcPr>
            <w:tcW w:w="7920" w:type="dxa"/>
            <w:vAlign w:val="bottom"/>
            <w:tcBorders>
              <w:top w:val="single" w:sz="8" w:color="0000EE"/>
            </w:tcBorders>
            <w:gridSpan w:val="17"/>
          </w:tcPr>
          <w:p>
            <w:pPr>
              <w:spacing w:after="0"/>
              <w:rPr>
                <w:sz w:val="17"/>
                <w:szCs w:val="17"/>
                <w:color w:val="auto"/>
              </w:rPr>
            </w:pPr>
          </w:p>
        </w:tc>
        <w:tc>
          <w:tcPr>
            <w:tcW w:w="4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gridSpan w:val="2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Comprehensive Income (Loss) for the three-month and nine-month periods</w:t>
              </w:r>
            </w:hyperlink>
          </w:p>
        </w:tc>
        <w:tc>
          <w:tcPr>
            <w:tcW w:w="3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September 30, 2019 and 201</w:t>
              </w:r>
              <w:r>
                <w:rPr>
                  <w:rFonts w:ascii="Arial" w:cs="Arial" w:eastAsia="Arial" w:hAnsi="Arial"/>
                  <w:sz w:val="18"/>
                  <w:szCs w:val="18"/>
                  <w:color w:val="000000"/>
                </w:rPr>
                <w:t>8</w:t>
              </w:r>
            </w:hyperlink>
          </w:p>
        </w:tc>
        <w:tc>
          <w:tcPr>
            <w:tcW w:w="9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4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Shareholders’ Equity for the nine-month periods ended September 30, 2019 and 2018</w:t>
              </w:r>
            </w:hyperlink>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20" w:type="dxa"/>
            <w:vAlign w:val="bottom"/>
            <w:gridSpan w:val="23"/>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Cash Flows for the nine-month periods ended September 30, 2019 and 201</w:t>
              </w:r>
            </w:hyperlink>
            <w:r>
              <w:rPr>
                <w:rFonts w:ascii="Arial" w:cs="Arial" w:eastAsia="Arial" w:hAnsi="Arial"/>
                <w:sz w:val="18"/>
                <w:szCs w:val="18"/>
                <w:color w:val="000000"/>
                <w:w w:val="98"/>
              </w:rPr>
              <w:t>8</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260" w:type="dxa"/>
            <w:vAlign w:val="bottom"/>
            <w:tcBorders>
              <w:top w:val="single" w:sz="8" w:color="0000EE"/>
            </w:tcBorders>
            <w:gridSpan w:val="5"/>
          </w:tcPr>
          <w:p>
            <w:pPr>
              <w:spacing w:after="0"/>
              <w:rPr>
                <w:sz w:val="24"/>
                <w:szCs w:val="24"/>
                <w:color w:val="auto"/>
              </w:rPr>
            </w:pPr>
          </w:p>
        </w:tc>
        <w:tc>
          <w:tcPr>
            <w:tcW w:w="100" w:type="dxa"/>
            <w:vAlign w:val="bottom"/>
            <w:tcBorders>
              <w:top w:val="single" w:sz="8" w:color="auto"/>
            </w:tcBorders>
            <w:gridSpan w:val="2"/>
          </w:tcPr>
          <w:p>
            <w:pPr>
              <w:spacing w:after="0"/>
              <w:rPr>
                <w:sz w:val="24"/>
                <w:szCs w:val="24"/>
                <w:color w:val="auto"/>
              </w:rPr>
            </w:pPr>
          </w:p>
        </w:tc>
        <w:tc>
          <w:tcPr>
            <w:tcW w:w="86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3. Quantitative and Qualitative Disclosures about Market Risk</w:t>
              </w:r>
            </w:hyperlink>
          </w:p>
        </w:tc>
        <w:tc>
          <w:tcPr>
            <w:tcW w:w="2160" w:type="dxa"/>
            <w:vAlign w:val="bottom"/>
            <w:tcBorders>
              <w:top w:val="single" w:sz="8" w:color="0000EE"/>
            </w:tcBorders>
            <w:gridSpan w:val="3"/>
          </w:tcPr>
          <w:p>
            <w:pPr>
              <w:spacing w:after="0"/>
              <w:rPr>
                <w:sz w:val="24"/>
                <w:szCs w:val="24"/>
                <w:color w:val="auto"/>
              </w:rPr>
            </w:pPr>
          </w:p>
        </w:tc>
        <w:tc>
          <w:tcPr>
            <w:tcW w:w="264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 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Part II –</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Other Information</w:t>
              </w:r>
            </w:hyperlink>
          </w:p>
        </w:tc>
        <w:tc>
          <w:tcPr>
            <w:tcW w:w="1000" w:type="dxa"/>
            <w:vAlign w:val="bottom"/>
            <w:tcBorders>
              <w:top w:val="single" w:sz="8" w:color="0000EE"/>
            </w:tcBorders>
            <w:gridSpan w:val="6"/>
          </w:tcPr>
          <w:p>
            <w:pPr>
              <w:spacing w:after="0"/>
              <w:rPr>
                <w:sz w:val="24"/>
                <w:szCs w:val="24"/>
                <w:color w:val="auto"/>
              </w:rPr>
            </w:pPr>
          </w:p>
        </w:tc>
        <w:tc>
          <w:tcPr>
            <w:tcW w:w="73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778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76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476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3. Defaults Upon Senior Securities</w:t>
              </w:r>
            </w:hyperlink>
          </w:p>
        </w:tc>
        <w:tc>
          <w:tcPr>
            <w:tcW w:w="678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6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 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 Other Information</w:t>
              </w:r>
            </w:hyperlink>
          </w:p>
        </w:tc>
        <w:tc>
          <w:tcPr>
            <w:tcW w:w="734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Borders>
              <w:top w:val="single" w:sz="8" w:color="0000EE"/>
            </w:tcBorders>
            <w:gridSpan w:val="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7800" w:type="dxa"/>
            <w:vAlign w:val="bottom"/>
            <w:gridSpan w:val="1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45"/>
        </w:trPr>
        <w:tc>
          <w:tcPr>
            <w:tcW w:w="94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460" w:top="337"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10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120" w:type="dxa"/>
            <w:vAlign w:val="bottom"/>
          </w:tcPr>
          <w:p>
            <w:pPr>
              <w:spacing w:after="0"/>
              <w:rPr>
                <w:sz w:val="14"/>
                <w:szCs w:val="14"/>
                <w:color w:val="auto"/>
              </w:rPr>
            </w:pPr>
          </w:p>
        </w:tc>
        <w:tc>
          <w:tcPr>
            <w:tcW w:w="19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71"/>
        </w:trPr>
        <w:tc>
          <w:tcPr>
            <w:tcW w:w="73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ind w:left="326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28,963</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58,091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34,409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29,694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12,879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income taxes</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Assets held for sale</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from operating leases (Note 12)</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151,969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152,156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 finite life, net</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Intangible assets – indefinite life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18,258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Deferred charges and other assets</w:t>
            </w:r>
          </w:p>
        </w:tc>
        <w:tc>
          <w:tcPr>
            <w:tcW w:w="1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389,640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FF0FC"/>
          </w:tcPr>
          <w:p>
            <w:pPr>
              <w:ind w:left="164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78,264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80,229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Note payable</w:t>
            </w:r>
          </w:p>
        </w:tc>
        <w:tc>
          <w:tcPr>
            <w:tcW w:w="120" w:type="dxa"/>
            <w:vAlign w:val="bottom"/>
          </w:tcPr>
          <w:p>
            <w:pPr>
              <w:spacing w:after="0"/>
              <w:rPr>
                <w:sz w:val="19"/>
                <w:szCs w:val="19"/>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103,777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103,886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Debt, less current portion</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64,995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liability, net</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Operating lease liabilities (Note 12)</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11,328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205,466</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214,022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20" w:type="dxa"/>
            <w:vAlign w:val="bottom"/>
          </w:tcPr>
          <w:p>
            <w:pPr>
              <w:spacing w:after="0"/>
              <w:rPr>
                <w:sz w:val="19"/>
                <w:szCs w:val="19"/>
                <w:color w:val="auto"/>
              </w:rPr>
            </w:pPr>
          </w:p>
        </w:tc>
        <w:tc>
          <w:tcPr>
            <w:tcW w:w="1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$.01 par value; 100,000,000 shares authorized, 35,243,663</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0"/>
              </w:rPr>
              <w:t>and 34,953,825 shares issued and outstanding at September 30, 2019 and December 31, 2018,</w:t>
            </w:r>
          </w:p>
        </w:tc>
        <w:tc>
          <w:tcPr>
            <w:tcW w:w="1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253,757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251,409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loss</w:t>
            </w:r>
          </w:p>
        </w:tc>
        <w:tc>
          <w:tcPr>
            <w:tcW w:w="12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(54,736)</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(59,427)</w:t>
            </w:r>
          </w:p>
        </w:tc>
        <w:tc>
          <w:tcPr>
            <w:tcW w:w="0" w:type="dxa"/>
            <w:vAlign w:val="bottom"/>
          </w:tcPr>
          <w:p>
            <w:pPr>
              <w:spacing w:after="0"/>
              <w:rPr>
                <w:sz w:val="1"/>
                <w:szCs w:val="1"/>
                <w:color w:val="auto"/>
              </w:rPr>
            </w:pPr>
          </w:p>
        </w:tc>
      </w:tr>
      <w:tr>
        <w:trPr>
          <w:trHeight w:val="230"/>
        </w:trPr>
        <w:tc>
          <w:tcPr>
            <w:tcW w:w="738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(14,844)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(13,415)</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184,530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240"/>
              <w:spacing w:after="0"/>
              <w:rPr>
                <w:sz w:val="20"/>
                <w:szCs w:val="20"/>
                <w:color w:val="auto"/>
              </w:rPr>
            </w:pPr>
            <w:r>
              <w:rPr>
                <w:rFonts w:ascii="Arial" w:cs="Arial" w:eastAsia="Arial" w:hAnsi="Arial"/>
                <w:sz w:val="18"/>
                <w:szCs w:val="18"/>
                <w:color w:val="auto"/>
              </w:rPr>
              <w:t>Less treasury stock, at cost, 137,920 shares at September 30, 2019 and</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ind w:left="46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20"/>
                <w:szCs w:val="20"/>
                <w:color w:val="auto"/>
              </w:rPr>
            </w:pP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73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184,174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178,560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74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389,640</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 except per share data)</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Three months ended 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56"/>
        </w:trPr>
        <w:tc>
          <w:tcPr>
            <w:tcW w:w="4840" w:type="dxa"/>
            <w:vAlign w:val="bottom"/>
            <w:tcBorders>
              <w:bottom w:val="single" w:sz="8" w:color="CFF0FC"/>
            </w:tcBorders>
            <w:vMerge w:val="continue"/>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252,456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56,489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168,400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161,725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65,573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expenses (income), net</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4840" w:type="dxa"/>
            <w:vAlign w:val="bottom"/>
          </w:tcPr>
          <w:p>
            <w:pPr>
              <w:ind w:left="260"/>
              <w:spacing w:after="0"/>
              <w:rPr>
                <w:sz w:val="20"/>
                <w:szCs w:val="20"/>
                <w:color w:val="auto"/>
              </w:rPr>
            </w:pPr>
            <w:r>
              <w:rPr>
                <w:rFonts w:ascii="Arial" w:cs="Arial" w:eastAsia="Arial" w:hAnsi="Arial"/>
                <w:sz w:val="18"/>
                <w:szCs w:val="18"/>
                <w:color w:val="auto"/>
              </w:rPr>
              <w:t>Income (loss) from operations</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(4,319)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(2,569)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6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(0.37)</w:t>
            </w:r>
          </w:p>
        </w:tc>
        <w:tc>
          <w:tcPr>
            <w:tcW w:w="3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6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FF0FC"/>
            </w:tcBorders>
            <w:vMerge w:val="continue"/>
          </w:tcPr>
          <w:p>
            <w:pPr>
              <w:spacing w:after="0"/>
              <w:rPr>
                <w:sz w:val="21"/>
                <w:szCs w:val="21"/>
                <w:color w:val="auto"/>
              </w:rPr>
            </w:pPr>
          </w:p>
        </w:tc>
        <w:tc>
          <w:tcPr>
            <w:tcW w:w="6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6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35,070,449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34,779,125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34,944,056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34,681,262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35,624,590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34,779,125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35,522,568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34,681,262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20" w:type="dxa"/>
            <w:vAlign w:val="bottom"/>
          </w:tcPr>
          <w:p>
            <w:pPr>
              <w:spacing w:after="0"/>
              <w:rPr>
                <w:sz w:val="14"/>
                <w:szCs w:val="14"/>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vMerge w:val="continue"/>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w:t>
            </w: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(506)</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Foreign currency translation</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(1,779)</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Capital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w w:val="91"/>
              </w:rPr>
              <w:t>Common Stock</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4"/>
          </w:tcPr>
          <w:p>
            <w:pPr>
              <w:ind w:left="20"/>
              <w:spacing w:after="0"/>
              <w:rPr>
                <w:sz w:val="20"/>
                <w:szCs w:val="20"/>
                <w:color w:val="auto"/>
              </w:rPr>
            </w:pPr>
            <w:r>
              <w:rPr>
                <w:rFonts w:ascii="Arial" w:cs="Arial" w:eastAsia="Arial" w:hAnsi="Arial"/>
                <w:sz w:val="14"/>
                <w:szCs w:val="14"/>
                <w:b w:val="1"/>
                <w:bCs w:val="1"/>
                <w:color w:val="auto"/>
              </w:rPr>
              <w:t>excess of</w:t>
            </w:r>
          </w:p>
        </w:tc>
        <w:tc>
          <w:tcPr>
            <w:tcW w:w="1120" w:type="dxa"/>
            <w:vAlign w:val="bottom"/>
            <w:gridSpan w:val="6"/>
          </w:tcPr>
          <w:p>
            <w:pPr>
              <w:ind w:left="8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3"/>
              </w:rPr>
              <w:t>Comprehensive</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79"/>
              </w:rPr>
              <w:t>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5"/>
              </w:rPr>
              <w:t>Amount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right"/>
              <w:ind w:right="520"/>
              <w:spacing w:after="0"/>
              <w:rPr>
                <w:sz w:val="20"/>
                <w:szCs w:val="20"/>
                <w:color w:val="auto"/>
              </w:rPr>
            </w:pPr>
            <w:r>
              <w:rPr>
                <w:rFonts w:ascii="Arial" w:cs="Arial" w:eastAsia="Arial" w:hAnsi="Arial"/>
                <w:sz w:val="12"/>
                <w:szCs w:val="12"/>
                <w:b w:val="1"/>
                <w:bCs w:val="1"/>
                <w:color w:val="auto"/>
                <w:w w:val="78"/>
              </w:rPr>
              <w:t>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w w:val="79"/>
              </w:rPr>
              <w:t>Loss</w:t>
            </w:r>
          </w:p>
        </w:tc>
        <w:tc>
          <w:tcPr>
            <w:tcW w:w="8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8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2"/>
                <w:szCs w:val="12"/>
                <w:color w:val="auto"/>
              </w:rPr>
            </w:pPr>
          </w:p>
        </w:tc>
        <w:tc>
          <w:tcPr>
            <w:tcW w:w="78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2017</w:t>
            </w:r>
          </w:p>
        </w:tc>
        <w:tc>
          <w:tcPr>
            <w:tcW w:w="140" w:type="dxa"/>
            <w:vAlign w:val="bottom"/>
            <w:tcBorders>
              <w:right w:val="single" w:sz="8" w:color="CFF0FC"/>
            </w:tcBorders>
            <w:gridSpan w:val="2"/>
            <w:shd w:val="clear" w:color="auto" w:fill="CFF0FC"/>
          </w:tcPr>
          <w:p>
            <w:pPr>
              <w:spacing w:after="0"/>
              <w:rPr>
                <w:sz w:val="13"/>
                <w:szCs w:val="13"/>
                <w:color w:val="auto"/>
              </w:rPr>
            </w:pPr>
          </w:p>
        </w:tc>
        <w:tc>
          <w:tcPr>
            <w:tcW w:w="520" w:type="dxa"/>
            <w:vAlign w:val="bottom"/>
            <w:tcBorders>
              <w:right w:val="single" w:sz="8" w:color="CFF0FC"/>
            </w:tcBorders>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34,708</w:t>
            </w:r>
          </w:p>
        </w:tc>
        <w:tc>
          <w:tcPr>
            <w:tcW w:w="320" w:type="dxa"/>
            <w:vAlign w:val="bottom"/>
            <w:tcBorders>
              <w:right w:val="single" w:sz="8" w:color="CFF0FC"/>
            </w:tcBorders>
            <w:gridSpan w:val="2"/>
            <w:shd w:val="clear" w:color="auto" w:fill="CFF0FC"/>
          </w:tcPr>
          <w:p>
            <w:pPr>
              <w:jc w:val="right"/>
              <w:ind w:right="17"/>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280" w:type="dxa"/>
            <w:vAlign w:val="bottom"/>
            <w:tcBorders>
              <w:right w:val="single" w:sz="8" w:color="CFF0FC"/>
            </w:tcBorders>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w w:val="94"/>
              </w:rPr>
              <w:t>347</w:t>
            </w:r>
          </w:p>
        </w:tc>
        <w:tc>
          <w:tcPr>
            <w:tcW w:w="30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248,170</w:t>
            </w: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gridSpan w:val="3"/>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FF0FC"/>
            </w:tcBorders>
            <w:gridSpan w:val="3"/>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w w:val="99"/>
              </w:rPr>
              <w:t>(52,673)</w:t>
            </w:r>
          </w:p>
        </w:tc>
        <w:tc>
          <w:tcPr>
            <w:tcW w:w="160" w:type="dxa"/>
            <w:vAlign w:val="bottom"/>
            <w:shd w:val="clear" w:color="auto" w:fill="CFF0FC"/>
          </w:tcPr>
          <w:p>
            <w:pPr>
              <w:jc w:val="right"/>
              <w:ind w:right="68"/>
              <w:spacing w:after="0"/>
              <w:rPr>
                <w:sz w:val="20"/>
                <w:szCs w:val="20"/>
                <w:color w:val="auto"/>
              </w:rPr>
            </w:pPr>
            <w:r>
              <w:rPr>
                <w:rFonts w:ascii="Arial" w:cs="Arial" w:eastAsia="Arial" w:hAnsi="Arial"/>
                <w:sz w:val="5"/>
                <w:szCs w:val="5"/>
                <w:color w:val="auto"/>
                <w:w w:val="70"/>
              </w:rPr>
              <w:t>$</w:t>
            </w:r>
          </w:p>
        </w:tc>
        <w:tc>
          <w:tcPr>
            <w:tcW w:w="960" w:type="dxa"/>
            <w:vAlign w:val="bottom"/>
            <w:gridSpan w:val="4"/>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(8,919)</w:t>
            </w:r>
          </w:p>
        </w:tc>
        <w:tc>
          <w:tcPr>
            <w:tcW w:w="880" w:type="dxa"/>
            <w:vAlign w:val="bottom"/>
            <w:gridSpan w:val="4"/>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(138)</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(356)</w:t>
            </w: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186,569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Net loss for the nine-months ended September 30, 2018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color w:val="auto"/>
              </w:rPr>
              <w:t>(8,053)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4"/>
                <w:szCs w:val="14"/>
                <w:color w:val="auto"/>
              </w:rPr>
              <w:t>(8,053)</w:t>
            </w:r>
          </w:p>
        </w:tc>
        <w:tc>
          <w:tcPr>
            <w:tcW w:w="0" w:type="dxa"/>
            <w:vAlign w:val="bottom"/>
          </w:tcPr>
          <w:p>
            <w:pPr>
              <w:spacing w:after="0"/>
              <w:rPr>
                <w:sz w:val="1"/>
                <w:szCs w:val="1"/>
                <w:color w:val="auto"/>
              </w:rPr>
            </w:pPr>
          </w:p>
        </w:tc>
      </w:tr>
      <w:tr>
        <w:trPr>
          <w:trHeight w:val="151"/>
        </w:trPr>
        <w:tc>
          <w:tcPr>
            <w:tcW w:w="39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Cumulative effect adjustment upon adoption of new accounting</w:t>
            </w:r>
          </w:p>
        </w:tc>
        <w:tc>
          <w:tcPr>
            <w:tcW w:w="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standards (ASU 2018-02) and (ASU 2014-09)</w:t>
            </w:r>
          </w:p>
        </w:tc>
        <w:tc>
          <w:tcPr>
            <w:tcW w:w="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520" w:type="dxa"/>
            <w:vAlign w:val="bottom"/>
            <w:tcBorders>
              <w:right w:val="single" w:sz="8" w:color="CFF0FC"/>
            </w:tcBorders>
            <w:gridSpan w:val="2"/>
            <w:shd w:val="clear" w:color="auto" w:fill="CFF0FC"/>
          </w:tcPr>
          <w:p>
            <w:pPr>
              <w:jc w:val="right"/>
              <w:ind w:right="40"/>
              <w:spacing w:after="0" w:line="159" w:lineRule="exact"/>
              <w:rPr>
                <w:sz w:val="20"/>
                <w:szCs w:val="20"/>
                <w:color w:val="auto"/>
              </w:rPr>
            </w:pPr>
            <w:r>
              <w:rPr>
                <w:rFonts w:ascii="Arial" w:cs="Arial" w:eastAsia="Arial" w:hAnsi="Arial"/>
                <w:sz w:val="14"/>
                <w:szCs w:val="14"/>
                <w:color w:val="auto"/>
              </w:rPr>
              <w:t>415</w:t>
            </w: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60" w:type="dxa"/>
            <w:vAlign w:val="bottom"/>
            <w:gridSpan w:val="4"/>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(1,067)</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660" w:type="dxa"/>
            <w:vAlign w:val="bottom"/>
            <w:gridSpan w:val="4"/>
          </w:tcPr>
          <w:p>
            <w:pPr>
              <w:jc w:val="right"/>
              <w:ind w:right="40"/>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Arial" w:cs="Arial" w:eastAsia="Arial" w:hAnsi="Arial"/>
                <w:sz w:val="14"/>
                <w:szCs w:val="14"/>
                <w:color w:val="auto"/>
              </w:rPr>
              <w:t>Restricted stock units issued</w:t>
            </w:r>
          </w:p>
        </w:tc>
        <w:tc>
          <w:tcPr>
            <w:tcW w:w="660" w:type="dxa"/>
            <w:vAlign w:val="bottom"/>
            <w:tcBorders>
              <w:right w:val="single" w:sz="8" w:color="CFF0FC"/>
            </w:tcBorders>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51</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70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(174)</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76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(43)</w:t>
            </w: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Share based compensation earned</w:t>
            </w:r>
          </w:p>
        </w:tc>
        <w:tc>
          <w:tcPr>
            <w:tcW w:w="660" w:type="dxa"/>
            <w:vAlign w:val="bottom"/>
            <w:gridSpan w:val="4"/>
          </w:tcPr>
          <w:p>
            <w:pPr>
              <w:jc w:val="right"/>
              <w:ind w:right="40"/>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2,508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Arial" w:cs="Arial" w:eastAsia="Arial" w:hAnsi="Arial"/>
                <w:sz w:val="14"/>
                <w:szCs w:val="14"/>
                <w:color w:val="auto"/>
              </w:rPr>
              <w:t>Adjustment for interest rate swap</w:t>
            </w:r>
          </w:p>
        </w:tc>
        <w:tc>
          <w:tcPr>
            <w:tcW w:w="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222</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Translation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4"/>
                <w:szCs w:val="14"/>
                <w:color w:val="auto"/>
              </w:rPr>
              <w:t>(3,060)</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20"/>
        </w:trPr>
        <w:tc>
          <w:tcPr>
            <w:tcW w:w="396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September 30, 2018</w:t>
            </w: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vMerge w:val="continue"/>
            <w:shd w:val="clear" w:color="auto" w:fill="CFF0FC"/>
          </w:tcPr>
          <w:p>
            <w:pPr>
              <w:spacing w:after="0"/>
              <w:rPr>
                <w:sz w:val="13"/>
                <w:szCs w:val="13"/>
                <w:color w:val="auto"/>
              </w:rPr>
            </w:pPr>
          </w:p>
        </w:tc>
        <w:tc>
          <w:tcPr>
            <w:tcW w:w="660" w:type="dxa"/>
            <w:vAlign w:val="bottom"/>
            <w:tcBorders>
              <w:right w:val="single" w:sz="8" w:color="CFF0FC"/>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34,813</w:t>
            </w: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5"/>
                <w:szCs w:val="5"/>
                <w:color w:val="auto"/>
                <w:w w:val="70"/>
              </w:rPr>
              <w:t>$</w:t>
            </w:r>
          </w:p>
        </w:tc>
        <w:tc>
          <w:tcPr>
            <w:tcW w:w="280" w:type="dxa"/>
            <w:vAlign w:val="bottom"/>
            <w:shd w:val="clear" w:color="auto" w:fill="CFF0FC"/>
          </w:tcPr>
          <w:p>
            <w:pPr>
              <w:spacing w:after="0"/>
              <w:rPr>
                <w:sz w:val="13"/>
                <w:szCs w:val="13"/>
                <w:color w:val="auto"/>
              </w:rPr>
            </w:pPr>
          </w:p>
        </w:tc>
        <w:tc>
          <w:tcPr>
            <w:tcW w:w="280" w:type="dxa"/>
            <w:vAlign w:val="bottom"/>
            <w:tcBorders>
              <w:right w:val="single" w:sz="8" w:color="CFF0FC"/>
            </w:tcBorders>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w w:val="94"/>
              </w:rPr>
              <w:t>349</w:t>
            </w: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250,593</w:t>
            </w: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tcBorders>
              <w:right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FF0FC"/>
            </w:tcBorders>
            <w:gridSpan w:val="3"/>
            <w:shd w:val="clear" w:color="auto" w:fill="CFF0FC"/>
          </w:tcPr>
          <w:p>
            <w:pPr>
              <w:jc w:val="right"/>
              <w:ind w:right="220"/>
              <w:spacing w:after="0" w:line="155" w:lineRule="exact"/>
              <w:rPr>
                <w:sz w:val="20"/>
                <w:szCs w:val="20"/>
                <w:color w:val="auto"/>
              </w:rPr>
            </w:pPr>
            <w:r>
              <w:rPr>
                <w:rFonts w:ascii="Arial" w:cs="Arial" w:eastAsia="Arial" w:hAnsi="Arial"/>
                <w:sz w:val="14"/>
                <w:szCs w:val="14"/>
                <w:color w:val="auto"/>
                <w:w w:val="99"/>
              </w:rPr>
              <w:t>(60,354)</w:t>
            </w:r>
          </w:p>
        </w:tc>
        <w:tc>
          <w:tcPr>
            <w:tcW w:w="160" w:type="dxa"/>
            <w:vAlign w:val="bottom"/>
            <w:shd w:val="clear" w:color="auto" w:fill="CFF0FC"/>
          </w:tcPr>
          <w:p>
            <w:pPr>
              <w:jc w:val="right"/>
              <w:ind w:right="68"/>
              <w:spacing w:after="0"/>
              <w:rPr>
                <w:sz w:val="20"/>
                <w:szCs w:val="20"/>
                <w:color w:val="auto"/>
              </w:rPr>
            </w:pPr>
            <w:r>
              <w:rPr>
                <w:rFonts w:ascii="Arial" w:cs="Arial" w:eastAsia="Arial" w:hAnsi="Arial"/>
                <w:sz w:val="5"/>
                <w:szCs w:val="5"/>
                <w:color w:val="auto"/>
                <w:w w:val="70"/>
              </w:rPr>
              <w:t>$</w:t>
            </w:r>
          </w:p>
        </w:tc>
        <w:tc>
          <w:tcPr>
            <w:tcW w:w="960" w:type="dxa"/>
            <w:vAlign w:val="bottom"/>
            <w:gridSpan w:val="4"/>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(12,824)</w:t>
            </w:r>
          </w:p>
        </w:tc>
        <w:tc>
          <w:tcPr>
            <w:tcW w:w="880" w:type="dxa"/>
            <w:vAlign w:val="bottom"/>
            <w:gridSpan w:val="4"/>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(138)</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(356)</w:t>
            </w: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177,408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Capital in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1"/>
        </w:trPr>
        <w:tc>
          <w:tcPr>
            <w:tcW w:w="3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7"/>
              </w:rPr>
              <w:t>Common Stock</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75"/>
              </w:rPr>
              <w:t>excess of</w:t>
            </w:r>
          </w:p>
        </w:tc>
        <w:tc>
          <w:tcPr>
            <w:tcW w:w="80" w:type="dxa"/>
            <w:vAlign w:val="bottom"/>
          </w:tcPr>
          <w:p>
            <w:pPr>
              <w:spacing w:after="0"/>
              <w:rPr>
                <w:sz w:val="14"/>
                <w:szCs w:val="14"/>
                <w:color w:val="auto"/>
              </w:rPr>
            </w:pPr>
          </w:p>
        </w:tc>
        <w:tc>
          <w:tcPr>
            <w:tcW w:w="1040" w:type="dxa"/>
            <w:vAlign w:val="bottom"/>
            <w:gridSpan w:val="5"/>
          </w:tcPr>
          <w:p>
            <w:pPr>
              <w:ind w:left="4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3"/>
              </w:rPr>
              <w:t>Comprehensive</w:t>
            </w: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76"/>
              </w:rPr>
              <w:t>Shares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7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3"/>
          </w:tcPr>
          <w:p>
            <w:pPr>
              <w:jc w:val="right"/>
              <w:ind w:right="500"/>
              <w:spacing w:after="0" w:line="142" w:lineRule="exact"/>
              <w:rPr>
                <w:sz w:val="20"/>
                <w:szCs w:val="20"/>
                <w:color w:val="auto"/>
              </w:rPr>
            </w:pPr>
            <w:r>
              <w:rPr>
                <w:rFonts w:ascii="Arial" w:cs="Arial" w:eastAsia="Arial" w:hAnsi="Arial"/>
                <w:sz w:val="14"/>
                <w:szCs w:val="14"/>
                <w:b w:val="1"/>
                <w:bCs w:val="1"/>
                <w:color w:val="auto"/>
                <w:w w:val="73"/>
              </w:rPr>
              <w:t>Loss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560"/>
              <w:spacing w:after="0" w:line="142" w:lineRule="exact"/>
              <w:rPr>
                <w:sz w:val="20"/>
                <w:szCs w:val="20"/>
                <w:color w:val="auto"/>
              </w:rPr>
            </w:pPr>
            <w:r>
              <w:rPr>
                <w:rFonts w:ascii="Arial" w:cs="Arial" w:eastAsia="Arial" w:hAnsi="Arial"/>
                <w:sz w:val="14"/>
                <w:szCs w:val="14"/>
                <w:b w:val="1"/>
                <w:bCs w:val="1"/>
                <w:color w:val="auto"/>
                <w:w w:val="79"/>
              </w:rPr>
              <w:t>Loss</w:t>
            </w:r>
          </w:p>
        </w:tc>
        <w:tc>
          <w:tcPr>
            <w:tcW w:w="120" w:type="dxa"/>
            <w:vAlign w:val="bottom"/>
          </w:tcPr>
          <w:p>
            <w:pPr>
              <w:spacing w:after="0"/>
              <w:rPr>
                <w:sz w:val="12"/>
                <w:szCs w:val="12"/>
                <w:color w:val="auto"/>
              </w:rPr>
            </w:pPr>
          </w:p>
        </w:tc>
        <w:tc>
          <w:tcPr>
            <w:tcW w:w="76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2"/>
                <w:szCs w:val="12"/>
                <w:color w:val="auto"/>
              </w:rPr>
            </w:pPr>
          </w:p>
        </w:tc>
        <w:tc>
          <w:tcPr>
            <w:tcW w:w="8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2"/>
                <w:szCs w:val="12"/>
                <w:color w:val="auto"/>
              </w:rPr>
            </w:pPr>
          </w:p>
        </w:tc>
        <w:tc>
          <w:tcPr>
            <w:tcW w:w="78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December 31, 2018</w:t>
            </w:r>
          </w:p>
        </w:tc>
        <w:tc>
          <w:tcPr>
            <w:tcW w:w="140" w:type="dxa"/>
            <w:vAlign w:val="bottom"/>
            <w:tcBorders>
              <w:right w:val="single" w:sz="8" w:color="CFF0FC"/>
            </w:tcBorders>
            <w:gridSpan w:val="2"/>
            <w:shd w:val="clear" w:color="auto" w:fill="CFF0FC"/>
          </w:tcPr>
          <w:p>
            <w:pPr>
              <w:spacing w:after="0"/>
              <w:rPr>
                <w:sz w:val="13"/>
                <w:szCs w:val="13"/>
                <w:color w:val="auto"/>
              </w:rPr>
            </w:pPr>
          </w:p>
        </w:tc>
        <w:tc>
          <w:tcPr>
            <w:tcW w:w="52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34,954</w:t>
            </w:r>
          </w:p>
        </w:tc>
        <w:tc>
          <w:tcPr>
            <w:tcW w:w="32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280" w:type="dxa"/>
            <w:vAlign w:val="bottom"/>
            <w:tcBorders>
              <w:right w:val="single" w:sz="8" w:color="CFF0FC"/>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349</w:t>
            </w:r>
          </w:p>
        </w:tc>
        <w:tc>
          <w:tcPr>
            <w:tcW w:w="300" w:type="dxa"/>
            <w:vAlign w:val="bottom"/>
            <w:tcBorders>
              <w:right w:val="single" w:sz="8" w:color="CFF0FC"/>
            </w:tcBorders>
            <w:gridSpan w:val="2"/>
            <w:shd w:val="clear" w:color="auto" w:fill="CFF0FC"/>
          </w:tcPr>
          <w:p>
            <w:pPr>
              <w:ind w:left="240"/>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251,409</w:t>
            </w:r>
          </w:p>
        </w:tc>
        <w:tc>
          <w:tcPr>
            <w:tcW w:w="120" w:type="dxa"/>
            <w:vAlign w:val="bottom"/>
            <w:shd w:val="clear" w:color="auto" w:fill="CFF0FC"/>
          </w:tcPr>
          <w:p>
            <w:pPr>
              <w:spacing w:after="0"/>
              <w:rPr>
                <w:sz w:val="13"/>
                <w:szCs w:val="13"/>
                <w:color w:val="auto"/>
              </w:rPr>
            </w:pPr>
          </w:p>
        </w:tc>
        <w:tc>
          <w:tcPr>
            <w:tcW w:w="360" w:type="dxa"/>
            <w:vAlign w:val="bottom"/>
            <w:tcBorders>
              <w:right w:val="single" w:sz="8" w:color="CFF0FC"/>
            </w:tcBorders>
            <w:gridSpan w:val="3"/>
            <w:shd w:val="clear" w:color="auto" w:fill="CFF0FC"/>
          </w:tcPr>
          <w:p>
            <w:pPr>
              <w:ind w:left="12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FF0FC"/>
            </w:tcBorders>
            <w:gridSpan w:val="3"/>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(59,427)</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gridSpan w:val="4"/>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(13,415)</w:t>
            </w:r>
          </w:p>
        </w:tc>
        <w:tc>
          <w:tcPr>
            <w:tcW w:w="880" w:type="dxa"/>
            <w:vAlign w:val="bottom"/>
            <w:gridSpan w:val="4"/>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(138)</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1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178,560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Net income for the nine-months ended 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9,310</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4"/>
                <w:szCs w:val="14"/>
                <w:color w:val="auto"/>
              </w:rPr>
              <w:t>9,310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96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Cumulative effect adjustment upon adoption of new accounting</w:t>
            </w:r>
          </w:p>
        </w:tc>
        <w:tc>
          <w:tcPr>
            <w:tcW w:w="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8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960" w:type="dxa"/>
            <w:vAlign w:val="bottom"/>
            <w:shd w:val="clear" w:color="auto" w:fill="CFF0FC"/>
          </w:tcPr>
          <w:p>
            <w:pPr>
              <w:spacing w:after="0" w:line="159" w:lineRule="exact"/>
              <w:rPr>
                <w:sz w:val="20"/>
                <w:szCs w:val="20"/>
                <w:color w:val="auto"/>
              </w:rPr>
            </w:pPr>
            <w:r>
              <w:rPr>
                <w:rFonts w:ascii="Arial" w:cs="Arial" w:eastAsia="Arial" w:hAnsi="Arial"/>
                <w:sz w:val="14"/>
                <w:szCs w:val="14"/>
                <w:color w:val="auto"/>
              </w:rPr>
              <w:t>standards (ASU 2017-12) and (ASU 2016-02)</w:t>
            </w:r>
          </w:p>
        </w:tc>
        <w:tc>
          <w:tcPr>
            <w:tcW w:w="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6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80" w:type="dxa"/>
            <w:vAlign w:val="bottom"/>
            <w:tcBorders>
              <w:right w:val="single" w:sz="8" w:color="CFF0FC"/>
            </w:tcBorders>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tcBorders>
              <w:left w:val="single" w:sz="8" w:color="CFF0FC"/>
              <w:right w:val="single" w:sz="8" w:color="CFF0FC"/>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60" w:type="dxa"/>
            <w:vAlign w:val="bottom"/>
            <w:tcBorders>
              <w:right w:val="single" w:sz="8" w:color="CFF0FC"/>
            </w:tcBorders>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left w:val="single" w:sz="8" w:color="CFF0FC"/>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760" w:type="dxa"/>
            <w:vAlign w:val="bottom"/>
            <w:tcBorders>
              <w:right w:val="single" w:sz="8" w:color="CFF0FC"/>
            </w:tcBorders>
            <w:gridSpan w:val="3"/>
            <w:shd w:val="clear" w:color="auto" w:fill="CFF0FC"/>
          </w:tcPr>
          <w:p>
            <w:pPr>
              <w:jc w:val="right"/>
              <w:ind w:right="200"/>
              <w:spacing w:after="0" w:line="159" w:lineRule="exact"/>
              <w:rPr>
                <w:sz w:val="20"/>
                <w:szCs w:val="20"/>
                <w:color w:val="auto"/>
              </w:rPr>
            </w:pPr>
            <w:r>
              <w:rPr>
                <w:rFonts w:ascii="Arial" w:cs="Arial" w:eastAsia="Arial" w:hAnsi="Arial"/>
                <w:sz w:val="14"/>
                <w:szCs w:val="14"/>
                <w:color w:val="auto"/>
              </w:rPr>
              <w:t>(4,602)</w:t>
            </w:r>
          </w:p>
        </w:tc>
        <w:tc>
          <w:tcPr>
            <w:tcW w:w="160" w:type="dxa"/>
            <w:vAlign w:val="bottom"/>
            <w:shd w:val="clear" w:color="auto" w:fill="CFF0FC"/>
          </w:tcPr>
          <w:p>
            <w:pPr>
              <w:spacing w:after="0"/>
              <w:rPr>
                <w:sz w:val="13"/>
                <w:szCs w:val="13"/>
                <w:color w:val="auto"/>
              </w:rPr>
            </w:pPr>
          </w:p>
        </w:tc>
        <w:tc>
          <w:tcPr>
            <w:tcW w:w="740" w:type="dxa"/>
            <w:vAlign w:val="bottom"/>
            <w:tcBorders>
              <w:right w:val="single" w:sz="8" w:color="CFF0FC"/>
            </w:tcBorders>
            <w:gridSpan w:val="3"/>
            <w:shd w:val="clear" w:color="auto" w:fill="CFF0FC"/>
          </w:tcPr>
          <w:p>
            <w:pPr>
              <w:jc w:val="right"/>
              <w:ind w:right="20"/>
              <w:spacing w:after="0" w:line="159" w:lineRule="exact"/>
              <w:rPr>
                <w:sz w:val="20"/>
                <w:szCs w:val="20"/>
                <w:color w:val="auto"/>
              </w:rPr>
            </w:pPr>
            <w:r>
              <w:rPr>
                <w:rFonts w:ascii="Arial" w:cs="Arial" w:eastAsia="Arial" w:hAnsi="Arial"/>
                <w:sz w:val="14"/>
                <w:szCs w:val="14"/>
                <w:color w:val="auto"/>
              </w:rPr>
              <w:t>12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gridSpan w:val="4"/>
            <w:shd w:val="clear" w:color="auto" w:fill="CFF0FC"/>
          </w:tcPr>
          <w:p>
            <w:pPr>
              <w:jc w:val="right"/>
              <w:ind w:right="60"/>
              <w:spacing w:after="0" w:line="159" w:lineRule="exact"/>
              <w:rPr>
                <w:sz w:val="20"/>
                <w:szCs w:val="20"/>
                <w:color w:val="auto"/>
              </w:rPr>
            </w:pPr>
            <w:r>
              <w:rPr>
                <w:rFonts w:ascii="Arial" w:cs="Arial" w:eastAsia="Arial" w:hAnsi="Arial"/>
                <w:sz w:val="14"/>
                <w:szCs w:val="14"/>
                <w:color w:val="auto"/>
              </w:rPr>
              <w:t>(4,590)</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Restricted stock units issued</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255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(425)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Arial" w:cs="Arial" w:eastAsia="Arial" w:hAnsi="Arial"/>
                <w:sz w:val="14"/>
                <w:szCs w:val="14"/>
                <w:color w:val="auto"/>
              </w:rPr>
              <w:t>Share based compensation earned</w:t>
            </w:r>
          </w:p>
        </w:tc>
        <w:tc>
          <w:tcPr>
            <w:tcW w:w="66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2,773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spacing w:after="0"/>
              <w:rPr>
                <w:sz w:val="20"/>
                <w:szCs w:val="20"/>
                <w:color w:val="auto"/>
              </w:rPr>
            </w:pPr>
            <w:r>
              <w:rPr>
                <w:rFonts w:ascii="Arial" w:cs="Arial" w:eastAsia="Arial" w:hAnsi="Arial"/>
                <w:sz w:val="14"/>
                <w:szCs w:val="14"/>
                <w:color w:val="auto"/>
              </w:rPr>
              <w:t>Adjustment for interest rate swap</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ind w:right="180"/>
              <w:spacing w:after="0"/>
              <w:rPr>
                <w:sz w:val="20"/>
                <w:szCs w:val="20"/>
                <w:color w:val="auto"/>
              </w:rPr>
            </w:pPr>
            <w:r>
              <w:rPr>
                <w:rFonts w:ascii="Arial" w:cs="Arial" w:eastAsia="Arial" w:hAnsi="Arial"/>
                <w:sz w:val="14"/>
                <w:szCs w:val="14"/>
                <w:color w:val="auto"/>
              </w:rPr>
              <w:t>(506)</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4"/>
                <w:szCs w:val="14"/>
                <w:color w:val="auto"/>
              </w:rPr>
              <w:t>(506)</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spacing w:after="0"/>
              <w:rPr>
                <w:sz w:val="20"/>
                <w:szCs w:val="20"/>
                <w:color w:val="auto"/>
              </w:rPr>
            </w:pPr>
            <w:r>
              <w:rPr>
                <w:rFonts w:ascii="Arial" w:cs="Arial" w:eastAsia="Arial" w:hAnsi="Arial"/>
                <w:sz w:val="14"/>
                <w:szCs w:val="14"/>
                <w:color w:val="auto"/>
              </w:rPr>
              <w:t>Translation loss</w:t>
            </w:r>
          </w:p>
        </w:tc>
        <w:tc>
          <w:tcPr>
            <w:tcW w:w="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6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60" w:type="dxa"/>
            <w:vAlign w:val="bottom"/>
            <w:tcBorders>
              <w:right w:val="single" w:sz="8" w:color="CFF0FC"/>
            </w:tcBorders>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tcBorders>
              <w:left w:val="single" w:sz="8" w:color="CFF0FC"/>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4"/>
            <w:shd w:val="clear" w:color="auto" w:fill="CFF0FC"/>
          </w:tcPr>
          <w:p>
            <w:pPr>
              <w:jc w:val="right"/>
              <w:ind w:right="180"/>
              <w:spacing w:after="0"/>
              <w:rPr>
                <w:sz w:val="20"/>
                <w:szCs w:val="20"/>
                <w:color w:val="auto"/>
              </w:rPr>
            </w:pPr>
            <w:r>
              <w:rPr>
                <w:rFonts w:ascii="Arial" w:cs="Arial" w:eastAsia="Arial" w:hAnsi="Arial"/>
                <w:sz w:val="14"/>
                <w:szCs w:val="14"/>
                <w:color w:val="auto"/>
              </w:rPr>
              <w:t>(935)</w:t>
            </w:r>
          </w:p>
        </w:tc>
        <w:tc>
          <w:tcPr>
            <w:tcW w:w="1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4"/>
            <w:shd w:val="clear" w:color="auto" w:fill="CFF0FC"/>
          </w:tcPr>
          <w:p>
            <w:pPr>
              <w:jc w:val="right"/>
              <w:ind w:right="60"/>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4"/>
                <w:szCs w:val="14"/>
                <w:color w:val="auto"/>
              </w:rPr>
              <w:t>Balance September 30, 2019</w:t>
            </w:r>
          </w:p>
        </w:tc>
        <w:tc>
          <w:tcPr>
            <w:tcW w:w="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gridSpan w:val="3"/>
          </w:tcPr>
          <w:p>
            <w:pPr>
              <w:jc w:val="right"/>
              <w:spacing w:after="0" w:line="155" w:lineRule="exact"/>
              <w:rPr>
                <w:sz w:val="20"/>
                <w:szCs w:val="20"/>
                <w:color w:val="auto"/>
              </w:rPr>
            </w:pPr>
            <w:r>
              <w:rPr>
                <w:rFonts w:ascii="Arial" w:cs="Arial" w:eastAsia="Arial" w:hAnsi="Arial"/>
                <w:sz w:val="14"/>
                <w:szCs w:val="14"/>
                <w:color w:val="auto"/>
              </w:rPr>
              <w:t>35,244</w:t>
            </w:r>
          </w:p>
        </w:tc>
        <w:tc>
          <w:tcPr>
            <w:tcW w:w="3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353</w:t>
            </w:r>
          </w:p>
        </w:tc>
        <w:tc>
          <w:tcPr>
            <w:tcW w:w="300" w:type="dxa"/>
            <w:vAlign w:val="bottom"/>
            <w:gridSpan w:val="2"/>
          </w:tcPr>
          <w:p>
            <w:pPr>
              <w:ind w:left="240"/>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253,757</w:t>
            </w:r>
          </w:p>
        </w:tc>
        <w:tc>
          <w:tcPr>
            <w:tcW w:w="120" w:type="dxa"/>
            <w:vAlign w:val="bottom"/>
          </w:tcPr>
          <w:p>
            <w:pPr>
              <w:spacing w:after="0"/>
              <w:rPr>
                <w:sz w:val="13"/>
                <w:szCs w:val="13"/>
                <w:color w:val="auto"/>
              </w:rPr>
            </w:pPr>
          </w:p>
        </w:tc>
        <w:tc>
          <w:tcPr>
            <w:tcW w:w="360" w:type="dxa"/>
            <w:vAlign w:val="bottom"/>
            <w:gridSpan w:val="3"/>
          </w:tcPr>
          <w:p>
            <w:pPr>
              <w:ind w:left="12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200"/>
              <w:spacing w:after="0" w:line="155" w:lineRule="exact"/>
              <w:rPr>
                <w:sz w:val="20"/>
                <w:szCs w:val="20"/>
                <w:color w:val="auto"/>
              </w:rPr>
            </w:pPr>
            <w:r>
              <w:rPr>
                <w:rFonts w:ascii="Arial" w:cs="Arial" w:eastAsia="Arial" w:hAnsi="Arial"/>
                <w:sz w:val="14"/>
                <w:szCs w:val="14"/>
                <w:color w:val="auto"/>
              </w:rPr>
              <w:t>(54,736)</w:t>
            </w: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(14,844)</w:t>
            </w:r>
          </w:p>
        </w:tc>
        <w:tc>
          <w:tcPr>
            <w:tcW w:w="88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(138)</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gridSpan w:val="3"/>
          </w:tcPr>
          <w:p>
            <w:pPr>
              <w:jc w:val="right"/>
              <w:ind w:right="180"/>
              <w:spacing w:after="0" w:line="155" w:lineRule="exact"/>
              <w:rPr>
                <w:sz w:val="20"/>
                <w:szCs w:val="20"/>
                <w:color w:val="auto"/>
              </w:rPr>
            </w:pPr>
            <w:r>
              <w:rPr>
                <w:rFonts w:ascii="Arial" w:cs="Arial" w:eastAsia="Arial" w:hAnsi="Arial"/>
                <w:sz w:val="14"/>
                <w:szCs w:val="14"/>
                <w:color w:val="auto"/>
              </w:rPr>
              <w:t>(356)</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20"/>
              <w:spacing w:after="0" w:line="155" w:lineRule="exact"/>
              <w:rPr>
                <w:sz w:val="20"/>
                <w:szCs w:val="20"/>
                <w:color w:val="auto"/>
              </w:rPr>
            </w:pPr>
            <w:r>
              <w:rPr>
                <w:rFonts w:ascii="Arial" w:cs="Arial" w:eastAsia="Arial" w:hAnsi="Arial"/>
                <w:sz w:val="14"/>
                <w:szCs w:val="14"/>
                <w:color w:val="auto"/>
              </w:rPr>
              <w:t>184,174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Nine months ended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44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(dollars in thousands)</w:t>
            </w: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699"/>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9,310</w:t>
            </w:r>
          </w:p>
        </w:tc>
        <w:tc>
          <w:tcPr>
            <w:tcW w:w="160" w:type="dxa"/>
            <w:vAlign w:val="bottom"/>
          </w:tcPr>
          <w:p>
            <w:pPr>
              <w:spacing w:after="0"/>
              <w:rPr>
                <w:sz w:val="18"/>
                <w:szCs w:val="18"/>
                <w:color w:val="auto"/>
              </w:rPr>
            </w:pPr>
          </w:p>
        </w:tc>
        <w:tc>
          <w:tcPr>
            <w:tcW w:w="520" w:type="dxa"/>
            <w:vAlign w:val="bottom"/>
            <w:gridSpan w:val="2"/>
          </w:tcPr>
          <w:p>
            <w:pPr>
              <w:jc w:val="right"/>
              <w:ind w:right="264"/>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(8,053)</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 to reconcile net income (loss) to net cash (used in) provided by operating activities: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Unrealized foreign currency loss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Net gain on interest rate swaps</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Fair value adjustments to earnout liabilities</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Earnout payments</w:t>
            </w:r>
          </w:p>
        </w:tc>
        <w:tc>
          <w:tcPr>
            <w:tcW w:w="4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(2,862)</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(gain) on sale of property and equipment</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Loss on divestitures</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Debt discount amortization</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Bad debt expense</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500"/>
              <w:spacing w:after="0"/>
              <w:rPr>
                <w:sz w:val="20"/>
                <w:szCs w:val="20"/>
                <w:color w:val="auto"/>
              </w:rPr>
            </w:pPr>
            <w:r>
              <w:rPr>
                <w:rFonts w:ascii="Arial" w:cs="Arial" w:eastAsia="Arial" w:hAnsi="Arial"/>
                <w:sz w:val="16"/>
                <w:szCs w:val="16"/>
                <w:color w:val="auto"/>
              </w:rPr>
              <w:t>Inventory reserve expense</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income tax benefit</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(595)</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Changes in operating assets and liabilities, net of divestitures: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(6,090)</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(20,056)</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(5,196)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Prepaid expense and other current assets</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(3,853)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Accounts payable and accrued expenses</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(4,217)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liabilities</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(3,396)</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(1,035)</w:t>
            </w:r>
          </w:p>
        </w:tc>
        <w:tc>
          <w:tcPr>
            <w:tcW w:w="0" w:type="dxa"/>
            <w:vAlign w:val="bottom"/>
          </w:tcPr>
          <w:p>
            <w:pPr>
              <w:spacing w:after="0"/>
              <w:rPr>
                <w:sz w:val="1"/>
                <w:szCs w:val="1"/>
                <w:color w:val="auto"/>
              </w:rPr>
            </w:pPr>
          </w:p>
        </w:tc>
      </w:tr>
      <w:tr>
        <w:trPr>
          <w:trHeight w:val="20"/>
        </w:trPr>
        <w:tc>
          <w:tcPr>
            <w:tcW w:w="7440" w:type="dxa"/>
            <w:vAlign w:val="bottom"/>
            <w:vMerge w:val="restart"/>
          </w:tcPr>
          <w:p>
            <w:pPr>
              <w:ind w:left="500"/>
              <w:spacing w:after="0"/>
              <w:rPr>
                <w:sz w:val="20"/>
                <w:szCs w:val="20"/>
                <w:color w:val="auto"/>
              </w:rPr>
            </w:pPr>
            <w:r>
              <w:rPr>
                <w:rFonts w:ascii="Arial" w:cs="Arial" w:eastAsia="Arial" w:hAnsi="Arial"/>
                <w:sz w:val="16"/>
                <w:szCs w:val="16"/>
                <w:color w:val="auto"/>
              </w:rPr>
              <w:t>Net cash (used in) provided by operating activities</w:t>
            </w: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3,642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Acquisitions of property and equipment</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(3,746)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cash proceeds from divestitures</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sale of property and equipment</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provided by investing activities</w:t>
            </w: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(3,237)</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repayments on revolving credit lines</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(6,147)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Repayments of debt</w:t>
            </w: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(34,256)</w:t>
            </w: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financing fees paid</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(1,117)</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Proceeds from lease financing transaction</w:t>
            </w:r>
          </w:p>
        </w:tc>
        <w:tc>
          <w:tcPr>
            <w:tcW w:w="4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on finance leases and financing liability</w:t>
            </w:r>
          </w:p>
        </w:tc>
        <w:tc>
          <w:tcPr>
            <w:tcW w:w="4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(9,881)</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(37,636)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0"/>
        </w:trPr>
        <w:tc>
          <w:tcPr>
            <w:tcW w:w="7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440" w:type="dxa"/>
            <w:vAlign w:val="bottom"/>
            <w:vMerge w:val="continue"/>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(14,199)</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44,438</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30,239</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64"/>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Cash paid during the period for:</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Borders>
              <w:bottom w:val="single" w:sz="8" w:color="CFF0FC"/>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Interest</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4,288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260"/>
              <w:spacing w:after="0"/>
              <w:rPr>
                <w:sz w:val="20"/>
                <w:szCs w:val="20"/>
                <w:color w:val="auto"/>
              </w:rPr>
            </w:pPr>
            <w:r>
              <w:rPr>
                <w:rFonts w:ascii="Arial" w:cs="Arial" w:eastAsia="Arial" w:hAnsi="Arial"/>
                <w:sz w:val="16"/>
                <w:szCs w:val="16"/>
                <w:color w:val="auto"/>
              </w:rPr>
              <w:t>Income taxes</w:t>
            </w: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5,234</w:t>
            </w:r>
          </w:p>
        </w:tc>
        <w:tc>
          <w:tcPr>
            <w:tcW w:w="160" w:type="dxa"/>
            <w:vAlign w:val="bottom"/>
          </w:tcPr>
          <w:p>
            <w:pPr>
              <w:spacing w:after="0"/>
              <w:rPr>
                <w:sz w:val="20"/>
                <w:szCs w:val="20"/>
                <w:color w:val="auto"/>
              </w:rPr>
            </w:pPr>
          </w:p>
        </w:tc>
        <w:tc>
          <w:tcPr>
            <w:tcW w:w="520" w:type="dxa"/>
            <w:vAlign w:val="bottom"/>
            <w:gridSpan w:val="2"/>
          </w:tcPr>
          <w:p>
            <w:pPr>
              <w:jc w:val="right"/>
              <w:ind w:right="264"/>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8,567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74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u w:val="single" w:color="auto"/>
          <w:color w:val="auto"/>
        </w:rPr>
        <w:t>CECO ENVIRONMENTAL CORP. AND SUBSIDIARIES</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(unaudited)</w:t>
      </w:r>
    </w:p>
    <w:p>
      <w:pPr>
        <w:spacing w:after="0" w:line="234" w:lineRule="exact"/>
        <w:rPr>
          <w:sz w:val="20"/>
          <w:szCs w:val="20"/>
          <w:color w:val="auto"/>
        </w:rPr>
      </w:pPr>
    </w:p>
    <w:p>
      <w:pPr>
        <w:ind w:left="512" w:hanging="512"/>
        <w:spacing w:after="0"/>
        <w:tabs>
          <w:tab w:leader="none" w:pos="51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Reporting for Consolidated Financial Statements</w:t>
      </w:r>
    </w:p>
    <w:p>
      <w:pPr>
        <w:spacing w:after="0" w:line="229" w:lineRule="exact"/>
        <w:rPr>
          <w:rFonts w:ascii="Arial" w:cs="Arial" w:eastAsia="Arial" w:hAnsi="Arial"/>
          <w:sz w:val="18"/>
          <w:szCs w:val="18"/>
          <w:b w:val="1"/>
          <w:bCs w:val="1"/>
          <w:color w:val="auto"/>
        </w:rPr>
      </w:pPr>
    </w:p>
    <w:p>
      <w:pPr>
        <w:ind w:left="512"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condensed consolidated financial statements of CECO Environmental Corp. and its subsidiaries (the “Company”, “we”, “us”, or “our”) have been prepared pursuant to the rules and regulations of the Securities and Exchange Commission (the “SEC”). Certain information and footnote disclosures normally included in annual financial statements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2019 and the results of operations, cash flows and shareholders’ equity for the three-month and nine-month periods ended September 30, 2019 and 2018. The results of operations for the three-month and nine-month periods ended September 30, 2019 are not necessarily indicative of the results to be expected for the full year. The balance sheet as of December 31, 2018 has been derived from the audited consolidated financial statements included in the Company’s Annual Report on Form 10-K for the year ended December 31, 2018 as filed with the SEC.</w:t>
      </w:r>
    </w:p>
    <w:p>
      <w:pPr>
        <w:spacing w:after="0" w:line="181" w:lineRule="exact"/>
        <w:rPr>
          <w:rFonts w:ascii="Arial" w:cs="Arial" w:eastAsia="Arial" w:hAnsi="Arial"/>
          <w:sz w:val="18"/>
          <w:szCs w:val="18"/>
          <w:b w:val="1"/>
          <w:bCs w:val="1"/>
          <w:color w:val="auto"/>
        </w:rPr>
      </w:pPr>
    </w:p>
    <w:p>
      <w:pPr>
        <w:ind w:left="512"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6" w:lineRule="exact"/>
        <w:rPr>
          <w:rFonts w:ascii="Arial" w:cs="Arial" w:eastAsia="Arial" w:hAnsi="Arial"/>
          <w:sz w:val="18"/>
          <w:szCs w:val="18"/>
          <w:b w:val="1"/>
          <w:bCs w:val="1"/>
          <w:color w:val="auto"/>
        </w:rPr>
      </w:pPr>
    </w:p>
    <w:p>
      <w:pPr>
        <w:ind w:left="512"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financial statements and accompanying notes should be read in conjunction with the audited financial statements and the notes thereto included in the Company’s Annual Report on Form 10-K for the year ended December 31, 2018 filed with the SEC.</w:t>
      </w:r>
    </w:p>
    <w:p>
      <w:pPr>
        <w:spacing w:after="0" w:line="170"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Unless otherwise indicated, all balances within tables are in thousands, except per share amounts.</w:t>
      </w:r>
    </w:p>
    <w:p>
      <w:pPr>
        <w:spacing w:after="0" w:line="200" w:lineRule="exact"/>
        <w:rPr>
          <w:rFonts w:ascii="Arial" w:cs="Arial" w:eastAsia="Arial" w:hAnsi="Arial"/>
          <w:sz w:val="18"/>
          <w:szCs w:val="18"/>
          <w:b w:val="1"/>
          <w:bCs w:val="1"/>
          <w:color w:val="auto"/>
        </w:rPr>
      </w:pPr>
    </w:p>
    <w:p>
      <w:pPr>
        <w:spacing w:after="0" w:line="210" w:lineRule="exact"/>
        <w:rPr>
          <w:rFonts w:ascii="Arial" w:cs="Arial" w:eastAsia="Arial" w:hAnsi="Arial"/>
          <w:sz w:val="18"/>
          <w:szCs w:val="18"/>
          <w:b w:val="1"/>
          <w:bCs w:val="1"/>
          <w:color w:val="auto"/>
        </w:rPr>
      </w:pPr>
    </w:p>
    <w:p>
      <w:pPr>
        <w:ind w:left="512" w:right="7400" w:hanging="512"/>
        <w:spacing w:after="0" w:line="566" w:lineRule="auto"/>
        <w:tabs>
          <w:tab w:leader="none" w:pos="50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New Financial Accounting Pronouncements Accounting Standards adopted in Fiscal 2019</w:t>
      </w:r>
    </w:p>
    <w:p>
      <w:pPr>
        <w:ind w:left="512"/>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In February 2016, the Financial Accounting Standards Board (“FASB”) issued Accounting Standards Update (“ASU”) 2016-02, “Leases,” which, together with its related clarifying ASUs, provides revised guidance for lease accounting and related disclosure requirements and establishes a right-of-use (“ROU”) model that requires a lessee to record a ROU asset and a lease liability on the balance sheet for all leases with terms longer than 12 months. Under the guidance, leases are classified as either finance or operating, with classification affecting the pattern of expense recognition. We adopted ASU 2016-02 effective January 1, 2019, using the modified retrospective method which was applied to leases that existed or were entered into on or after January 1, 2019. The Company elected to utilize the package of practical expedients that allows us to 1) not reassess whether any expired or existing contracts are or contain leases, 2) retain the existing classification of lease contracts as of the date of adoption, and 3) not reassess initial direct costs for any existing leases. We also elected to not separate lease and non-lease components, for all leases. The adoption of this standard had a material impact on our consolidated balance sheet due to the recognition of ROU assets and liabilities for our operating leases totaling $13.3 million, as well as an adjustment to beginning equity of $4.6 million, net of tax, related to a prior sales lease back transaction. The adoption of the standard did not have a material impact on our statement of operations or liquidity. See Note 12 – Leases for disclosures related to the amended guidance.</w:t>
      </w:r>
    </w:p>
    <w:p>
      <w:pPr>
        <w:spacing w:after="0" w:line="172" w:lineRule="exact"/>
        <w:rPr>
          <w:rFonts w:ascii="Arial" w:cs="Arial" w:eastAsia="Arial" w:hAnsi="Arial"/>
          <w:sz w:val="16"/>
          <w:szCs w:val="16"/>
          <w:b w:val="1"/>
          <w:bCs w:val="1"/>
          <w:color w:val="auto"/>
        </w:rPr>
      </w:pPr>
    </w:p>
    <w:p>
      <w:pPr>
        <w:ind w:left="512" w:right="1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August 2017, the FASB issued ASU 2017-12, “Derivatives and Hedging (Topic 815): Targeted Improvements to Accounting for Hedging Activities.” This guidance expands an entity’s ability to apply hedge accounting for nonfinancial and financial risk components and allows for a simplified approach for fair value hedging of interest rate risk. Additionally, this ASU eliminates the need to separately measure and report hedge ineffectiveness and generally requires the entire change in fair value of a hedging instrument to be presented in the same income statement line as the hedged item. The Company adopted this ASU on January 1, 2019 and applied the modified retrospective approach through a cumulative-effect adjustment from accumulated other comprehensive income to retained earnings as of the effective date. The impact of the adoption of this ASU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Accounting Standards Yet to be Adopted</w:t>
      </w:r>
    </w:p>
    <w:p>
      <w:pPr>
        <w:spacing w:after="0" w:line="121"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In August 2018, the FASB issued ASU 2018-14, “Compensation—Retirement Benefits—Defined Benefit Plans—General (Subtopic 715-20): Disclosure Framework—Changes to the Disclosure Requirements for Defined Benefit Plans,” that makes minor changes to the disclosure requirements for employers that sponsor defined benefit pension and/or other postretirement benefit plans. The new guidance eliminates requirements for certain disclosures that are no longer considered cost beneficial and requires new ones that the FASB considers pertinent. ASU 2018-14 is effective for the Company January 1, 2021. The Company is evaluating the impact of the adoption of ASU 2018-14 on its consolidated financial statements.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674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Receivable</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60" w:type="dxa"/>
            <w:vAlign w:val="bottom"/>
          </w:tcPr>
          <w:p>
            <w:pPr>
              <w:spacing w:after="0"/>
              <w:rPr>
                <w:sz w:val="24"/>
                <w:szCs w:val="24"/>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 2019</w:t>
            </w:r>
          </w:p>
        </w:tc>
        <w:tc>
          <w:tcPr>
            <w:tcW w:w="180" w:type="dxa"/>
            <w:vAlign w:val="bottom"/>
          </w:tcPr>
          <w:p>
            <w:pPr>
              <w:spacing w:after="0"/>
              <w:rPr>
                <w:sz w:val="24"/>
                <w:szCs w:val="2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2018</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receivables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Trade receivables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10,877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7,296</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(2,711)</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(2,897)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58,091</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53,225</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340"/>
        <w:spacing w:after="0" w:line="264" w:lineRule="auto"/>
        <w:rPr>
          <w:sz w:val="20"/>
          <w:szCs w:val="20"/>
          <w:color w:val="auto"/>
        </w:rPr>
      </w:pPr>
      <w:r>
        <w:rPr>
          <w:rFonts w:ascii="Arial" w:cs="Arial" w:eastAsia="Arial" w:hAnsi="Arial"/>
          <w:sz w:val="18"/>
          <w:szCs w:val="18"/>
          <w:color w:val="auto"/>
        </w:rPr>
        <w:t>Balances billed but not paid by customers under retainage provisions in contracts within the Condensed Consolidated Balance Sheets amounted to approximately $1.4 million and $0.9 million at September 30, 2019 and December 31, 2018, respectively. Retainage receivables on contracts in progress are generally collected within a year after contract completion.</w:t>
      </w:r>
    </w:p>
    <w:p>
      <w:pPr>
        <w:spacing w:after="0" w:line="181" w:lineRule="exact"/>
        <w:rPr>
          <w:sz w:val="20"/>
          <w:szCs w:val="20"/>
          <w:color w:val="auto"/>
        </w:rPr>
      </w:pPr>
    </w:p>
    <w:p>
      <w:pPr>
        <w:ind w:left="520" w:right="200"/>
        <w:spacing w:after="0" w:line="277" w:lineRule="auto"/>
        <w:rPr>
          <w:sz w:val="20"/>
          <w:szCs w:val="20"/>
          <w:color w:val="auto"/>
        </w:rPr>
      </w:pPr>
      <w:r>
        <w:rPr>
          <w:rFonts w:ascii="Arial" w:cs="Arial" w:eastAsia="Arial" w:hAnsi="Arial"/>
          <w:sz w:val="18"/>
          <w:szCs w:val="18"/>
          <w:color w:val="auto"/>
        </w:rPr>
        <w:t>Bad debt expense was $0.3 million and $0.6 million for the three-month periods ended September 30, 2019 and 2018, respectively, and $0.7 million and $1.2 million for the nine-month periods ended September 30, 2019 and 2018, respectively.</w:t>
      </w:r>
    </w:p>
    <w:p>
      <w:pPr>
        <w:spacing w:after="0" w:line="356"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Estimated Earnings on Uncompleted Contracts</w:t>
      </w:r>
    </w:p>
    <w:p>
      <w:pPr>
        <w:spacing w:after="0" w:line="229" w:lineRule="exact"/>
        <w:rPr>
          <w:rFonts w:ascii="Arial" w:cs="Arial" w:eastAsia="Arial" w:hAnsi="Arial"/>
          <w:sz w:val="18"/>
          <w:szCs w:val="18"/>
          <w:b w:val="1"/>
          <w:bCs w:val="1"/>
          <w:color w:val="auto"/>
        </w:rPr>
      </w:pPr>
    </w:p>
    <w:p>
      <w:pPr>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Our contracts have various lengths to completion ranging from a few days to several months. We anticipate that a majority of our current contracts will be completed within the next twelve to eighteen months. A significant amount of our revenue within the Energy Solutions and Industrial Solutions segments is recognized over a period of time as we perform under the contract because control of the work in process transfers continuously to the customer. The assets and liabilities recognized in association with these contracts are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2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6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2019</w:t>
            </w:r>
          </w:p>
        </w:tc>
        <w:tc>
          <w:tcPr>
            <w:tcW w:w="18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Costs incurred on uncompleted contracts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220,631</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Estimated earnings</w:t>
            </w: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83,186</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gross</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303,817</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Less billings to date</w:t>
            </w:r>
          </w:p>
        </w:tc>
        <w:tc>
          <w:tcPr>
            <w:tcW w:w="16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(292,421)</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(232,045)</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Included in the accompanying condensed consolidated</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140"/>
              <w:spacing w:after="0"/>
              <w:rPr>
                <w:sz w:val="20"/>
                <w:szCs w:val="20"/>
                <w:color w:val="auto"/>
              </w:rPr>
            </w:pPr>
            <w:r>
              <w:rPr>
                <w:rFonts w:ascii="Arial" w:cs="Arial" w:eastAsia="Arial" w:hAnsi="Arial"/>
                <w:sz w:val="18"/>
                <w:szCs w:val="18"/>
                <w:color w:val="auto"/>
              </w:rPr>
              <w:t>balance sheets under the following captions: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34,409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6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(23,013)</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(20,144)</w:t>
            </w:r>
          </w:p>
        </w:tc>
        <w:tc>
          <w:tcPr>
            <w:tcW w:w="0" w:type="dxa"/>
            <w:vAlign w:val="bottom"/>
          </w:tcPr>
          <w:p>
            <w:pPr>
              <w:spacing w:after="0"/>
              <w:rPr>
                <w:sz w:val="1"/>
                <w:szCs w:val="1"/>
                <w:color w:val="auto"/>
              </w:rPr>
            </w:pPr>
          </w:p>
        </w:tc>
      </w:tr>
      <w:tr>
        <w:trPr>
          <w:trHeight w:val="223"/>
        </w:trPr>
        <w:tc>
          <w:tcPr>
            <w:tcW w:w="6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costs and estimated earnings on uncompleted contracts,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20" w:right="20"/>
        <w:spacing w:after="0" w:line="312" w:lineRule="auto"/>
        <w:rPr>
          <w:sz w:val="20"/>
          <w:szCs w:val="20"/>
          <w:color w:val="auto"/>
        </w:rPr>
      </w:pPr>
      <w:r>
        <w:rPr>
          <w:rFonts w:ascii="Arial" w:cs="Arial" w:eastAsia="Arial" w:hAnsi="Arial"/>
          <w:sz w:val="16"/>
          <w:szCs w:val="16"/>
          <w:color w:val="auto"/>
        </w:rPr>
        <w:t>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No provision for estimated losses on uncompleted contracts was required as of September 30, 2019 or December 31, 2018.</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5.</w:t>
            </w:r>
          </w:p>
        </w:tc>
        <w:tc>
          <w:tcPr>
            <w:tcW w:w="67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00" w:type="dxa"/>
            <w:vAlign w:val="bottom"/>
          </w:tcPr>
          <w:p>
            <w:pPr>
              <w:spacing w:after="0"/>
              <w:rPr>
                <w:sz w:val="24"/>
                <w:szCs w:val="24"/>
                <w:color w:val="auto"/>
              </w:rPr>
            </w:pPr>
          </w:p>
        </w:tc>
        <w:tc>
          <w:tcPr>
            <w:tcW w:w="1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September 30, 2019</w:t>
            </w:r>
          </w:p>
        </w:tc>
        <w:tc>
          <w:tcPr>
            <w:tcW w:w="180" w:type="dxa"/>
            <w:vAlign w:val="bottom"/>
          </w:tcPr>
          <w:p>
            <w:pPr>
              <w:spacing w:after="0"/>
              <w:rPr>
                <w:sz w:val="24"/>
                <w:szCs w:val="2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2018</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15,794</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6,098</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Obsolescence allowance</w:t>
            </w:r>
          </w:p>
        </w:tc>
        <w:tc>
          <w:tcPr>
            <w:tcW w:w="20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(2,692)</w:t>
            </w:r>
          </w:p>
        </w:tc>
        <w:tc>
          <w:tcPr>
            <w:tcW w:w="18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(1,907)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19,659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20"/>
        <w:spacing w:after="0" w:line="342" w:lineRule="auto"/>
        <w:rPr>
          <w:sz w:val="20"/>
          <w:szCs w:val="20"/>
          <w:color w:val="auto"/>
        </w:rPr>
      </w:pPr>
      <w:r>
        <w:rPr>
          <w:rFonts w:ascii="Arial" w:cs="Arial" w:eastAsia="Arial" w:hAnsi="Arial"/>
          <w:sz w:val="16"/>
          <w:szCs w:val="16"/>
          <w:color w:val="auto"/>
        </w:rPr>
        <w:t>Amounts credited to the allowance for obsolete inventory and charged to cost of sales amounted to $0.1 million for the three-month periods ended September 30, 2019 and 2018 and $0.5 million and $0.6 million for the nine-month periods ended September 30, 2019 and 2018, respectively.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6.</w:t>
            </w:r>
          </w:p>
        </w:tc>
        <w:tc>
          <w:tcPr>
            <w:tcW w:w="4760" w:type="dxa"/>
            <w:vAlign w:val="bottom"/>
            <w:gridSpan w:val="2"/>
          </w:tcPr>
          <w:p>
            <w:pPr>
              <w:ind w:left="180"/>
              <w:spacing w:after="0"/>
              <w:rPr>
                <w:sz w:val="20"/>
                <w:szCs w:val="20"/>
                <w:color w:val="auto"/>
              </w:rPr>
            </w:pPr>
            <w:r>
              <w:rPr>
                <w:rFonts w:ascii="Arial" w:cs="Arial" w:eastAsia="Arial" w:hAnsi="Arial"/>
                <w:sz w:val="18"/>
                <w:szCs w:val="18"/>
                <w:b w:val="1"/>
                <w:bCs w:val="1"/>
                <w:color w:val="auto"/>
              </w:rPr>
              <w:t>Goodwill and Intangible Assets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20" w:type="dxa"/>
            <w:vAlign w:val="bottom"/>
          </w:tcPr>
          <w:p>
            <w:pPr>
              <w:spacing w:after="0"/>
              <w:rPr>
                <w:sz w:val="24"/>
                <w:szCs w:val="24"/>
                <w:color w:val="auto"/>
              </w:rPr>
            </w:pPr>
          </w:p>
        </w:tc>
        <w:tc>
          <w:tcPr>
            <w:tcW w:w="28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140" w:type="dxa"/>
            <w:vAlign w:val="bottom"/>
          </w:tcPr>
          <w:p>
            <w:pPr>
              <w:spacing w:after="0"/>
              <w:rPr>
                <w:sz w:val="24"/>
                <w:szCs w:val="24"/>
                <w:color w:val="auto"/>
              </w:rPr>
            </w:pPr>
          </w:p>
        </w:tc>
        <w:tc>
          <w:tcPr>
            <w:tcW w:w="26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 2018</w:t>
            </w:r>
          </w:p>
        </w:tc>
      </w:tr>
      <w:tr>
        <w:trPr>
          <w:trHeight w:val="156"/>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20" w:type="dxa"/>
            <w:vAlign w:val="bottom"/>
          </w:tcPr>
          <w:p>
            <w:pPr>
              <w:spacing w:after="0" w:line="155" w:lineRule="exact"/>
              <w:rPr>
                <w:sz w:val="20"/>
                <w:szCs w:val="20"/>
                <w:color w:val="auto"/>
              </w:rPr>
            </w:pPr>
            <w:r>
              <w:rPr>
                <w:rFonts w:ascii="Arial" w:cs="Arial" w:eastAsia="Arial" w:hAnsi="Arial"/>
                <w:sz w:val="14"/>
                <w:szCs w:val="14"/>
                <w:b w:val="1"/>
                <w:bCs w:val="1"/>
                <w:color w:val="auto"/>
              </w:rPr>
              <w:t>Goodwill / Tradename</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Goodwill</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Tradename</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ind w:right="560"/>
              <w:spacing w:after="0" w:line="155" w:lineRule="exact"/>
              <w:rPr>
                <w:sz w:val="20"/>
                <w:szCs w:val="20"/>
                <w:color w:val="auto"/>
              </w:rPr>
            </w:pPr>
            <w:r>
              <w:rPr>
                <w:rFonts w:ascii="Arial" w:cs="Arial" w:eastAsia="Arial" w:hAnsi="Arial"/>
                <w:sz w:val="14"/>
                <w:szCs w:val="14"/>
                <w:b w:val="1"/>
                <w:bCs w:val="1"/>
                <w:color w:val="auto"/>
              </w:rPr>
              <w:t>Goodwill</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Tradename</w:t>
            </w:r>
          </w:p>
        </w:tc>
        <w:tc>
          <w:tcPr>
            <w:tcW w:w="100" w:type="dxa"/>
            <w:vAlign w:val="bottom"/>
          </w:tcPr>
          <w:p>
            <w:pPr>
              <w:spacing w:after="0"/>
              <w:rPr>
                <w:sz w:val="13"/>
                <w:szCs w:val="13"/>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166,951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19,691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Transfers to finite life classification</w:t>
            </w:r>
          </w:p>
        </w:tc>
        <w:tc>
          <w:tcPr>
            <w:tcW w:w="12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(3,904)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3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(14,317)</w:t>
            </w: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(1,340)</w:t>
            </w: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151,969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14,280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20" w:type="dxa"/>
            <w:vAlign w:val="bottom"/>
          </w:tcPr>
          <w:p>
            <w:pPr>
              <w:spacing w:after="0"/>
              <w:rPr>
                <w:sz w:val="24"/>
                <w:szCs w:val="24"/>
                <w:color w:val="auto"/>
              </w:rPr>
            </w:pPr>
          </w:p>
        </w:tc>
        <w:tc>
          <w:tcPr>
            <w:tcW w:w="28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As of September 30, 2019</w:t>
            </w:r>
          </w:p>
        </w:tc>
        <w:tc>
          <w:tcPr>
            <w:tcW w:w="140" w:type="dxa"/>
            <w:vAlign w:val="bottom"/>
          </w:tcPr>
          <w:p>
            <w:pPr>
              <w:spacing w:after="0"/>
              <w:rPr>
                <w:sz w:val="24"/>
                <w:szCs w:val="24"/>
                <w:color w:val="auto"/>
              </w:rPr>
            </w:pPr>
          </w:p>
        </w:tc>
        <w:tc>
          <w:tcPr>
            <w:tcW w:w="26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As of December 31, 2018</w:t>
            </w:r>
          </w:p>
        </w:tc>
      </w:tr>
      <w:tr>
        <w:trPr>
          <w:trHeight w:val="156"/>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520" w:type="dxa"/>
            <w:vAlign w:val="bottom"/>
          </w:tcPr>
          <w:p>
            <w:pPr>
              <w:spacing w:after="0" w:line="155" w:lineRule="exact"/>
              <w:rPr>
                <w:sz w:val="20"/>
                <w:szCs w:val="20"/>
                <w:color w:val="auto"/>
              </w:rPr>
            </w:pPr>
            <w:r>
              <w:rPr>
                <w:rFonts w:ascii="Arial" w:cs="Arial" w:eastAsia="Arial" w:hAnsi="Arial"/>
                <w:sz w:val="14"/>
                <w:szCs w:val="14"/>
                <w:b w:val="1"/>
                <w:bCs w:val="1"/>
                <w:color w:val="auto"/>
              </w:rPr>
              <w:t>Intangible assets – finite life</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96"/>
              </w:rPr>
              <w:t>Accum. Amort.</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right"/>
              <w:ind w:right="700"/>
              <w:spacing w:after="0" w:line="155"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Accum. Amort.</w:t>
            </w:r>
          </w:p>
        </w:tc>
        <w:tc>
          <w:tcPr>
            <w:tcW w:w="100" w:type="dxa"/>
            <w:vAlign w:val="bottom"/>
          </w:tcPr>
          <w:p>
            <w:pPr>
              <w:spacing w:after="0"/>
              <w:rPr>
                <w:sz w:val="13"/>
                <w:szCs w:val="13"/>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14,457</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10,352</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14,457</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68,943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42,795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0"/>
              </w:rPr>
              <w:t>68,943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37,873</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Tradename</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Foreign currency adjustments</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(1,961)</w:t>
            </w:r>
          </w:p>
        </w:tc>
        <w:tc>
          <w:tcPr>
            <w:tcW w:w="12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(627)</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54,391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0"/>
              </w:rPr>
              <w:t>84,180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76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340" w:type="dxa"/>
            <w:vAlign w:val="bottom"/>
          </w:tcPr>
          <w:p>
            <w:pPr>
              <w:spacing w:after="0"/>
              <w:rPr>
                <w:sz w:val="24"/>
                <w:szCs w:val="24"/>
                <w:color w:val="auto"/>
              </w:rPr>
            </w:pPr>
          </w:p>
        </w:tc>
        <w:tc>
          <w:tcPr>
            <w:tcW w:w="6240" w:type="dxa"/>
            <w:vAlign w:val="bottom"/>
            <w:gridSpan w:val="5"/>
          </w:tcPr>
          <w:p>
            <w:pPr>
              <w:ind w:left="180"/>
              <w:spacing w:after="0"/>
              <w:rPr>
                <w:sz w:val="20"/>
                <w:szCs w:val="20"/>
                <w:color w:val="auto"/>
              </w:rPr>
            </w:pPr>
            <w:r>
              <w:rPr>
                <w:rFonts w:ascii="Arial" w:cs="Arial" w:eastAsia="Arial" w:hAnsi="Arial"/>
                <w:sz w:val="18"/>
                <w:szCs w:val="18"/>
                <w:color w:val="auto"/>
                <w:w w:val="96"/>
              </w:rPr>
              <w:t>Activity for the nine-months ended September 30, 2019 and 2018 is as follows: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ind w:right="6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 finite life, net at beginning of period</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35,959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Amortization expense</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8"/>
                <w:szCs w:val="18"/>
                <w:color w:val="auto"/>
              </w:rPr>
              <w:t>(6,479)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(7,355)</w:t>
            </w: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Divestitures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(4,083)</w:t>
            </w: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ind w:left="240"/>
              <w:spacing w:after="0"/>
              <w:rPr>
                <w:sz w:val="20"/>
                <w:szCs w:val="20"/>
                <w:color w:val="auto"/>
              </w:rPr>
            </w:pPr>
            <w:r>
              <w:rPr>
                <w:rFonts w:ascii="Arial" w:cs="Arial" w:eastAsia="Arial" w:hAnsi="Arial"/>
                <w:sz w:val="18"/>
                <w:szCs w:val="18"/>
                <w:color w:val="auto"/>
              </w:rPr>
              <w:t>Transfers from indefinite life classification</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3,904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adjustments</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 – finite life, net at end of period</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33,252</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38,548</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right="40"/>
        <w:spacing w:after="0" w:line="259" w:lineRule="auto"/>
        <w:rPr>
          <w:sz w:val="20"/>
          <w:szCs w:val="20"/>
          <w:color w:val="auto"/>
        </w:rPr>
      </w:pPr>
      <w:r>
        <w:rPr>
          <w:rFonts w:ascii="Arial" w:cs="Arial" w:eastAsia="Arial" w:hAnsi="Arial"/>
          <w:sz w:val="18"/>
          <w:szCs w:val="18"/>
          <w:color w:val="auto"/>
        </w:rPr>
        <w:t>Amortization expense of finite life intangible assets was $2.2 million and $2.3 million for the three-month periods ended September 30, 2019 and 2018, respectively, and $6.5 million and $7.4 million for each of the nine-month periods ended September 30, 2019 and 2018. Amortization over the next five years for finite life intangibles is expected to be $1.9 million for the remainder of 2019, $6.8 million in 2020, $5.7 million in 2021, $4.8 million in 2022, and $4.0 million in 2023.</w:t>
      </w:r>
    </w:p>
    <w:p>
      <w:pPr>
        <w:spacing w:after="0" w:line="187" w:lineRule="exact"/>
        <w:rPr>
          <w:sz w:val="20"/>
          <w:szCs w:val="20"/>
          <w:color w:val="auto"/>
        </w:rPr>
      </w:pPr>
    </w:p>
    <w:p>
      <w:pPr>
        <w:ind w:left="520"/>
        <w:spacing w:after="0" w:line="312" w:lineRule="auto"/>
        <w:rPr>
          <w:sz w:val="20"/>
          <w:szCs w:val="20"/>
          <w:color w:val="auto"/>
        </w:rPr>
      </w:pPr>
      <w:r>
        <w:rPr>
          <w:rFonts w:ascii="Arial" w:cs="Arial" w:eastAsia="Arial" w:hAnsi="Arial"/>
          <w:sz w:val="16"/>
          <w:szCs w:val="16"/>
          <w:color w:val="auto"/>
        </w:rPr>
        <w:t>During the nine-month period ended September 30, 2019, the Company reassessed the useful lives of certain tradenames and determined that $3.9 million of their tradenames would have useful lives of 10 years now versus indefinite. The Company did not identify any triggering events during the three-month period ended September 30, 2019 that would require an interim impairment assessment of goodwill or intangible assets.</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24"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7.</w:t>
            </w:r>
          </w:p>
        </w:tc>
        <w:tc>
          <w:tcPr>
            <w:tcW w:w="686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Accounts Payable and Accrued Expenses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6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accounts payable, including due to subcontractors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51,249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liabilities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4,225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3,384</w:t>
            </w:r>
          </w:p>
        </w:tc>
        <w:tc>
          <w:tcPr>
            <w:tcW w:w="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6,541</w:t>
            </w:r>
          </w:p>
        </w:tc>
        <w:tc>
          <w:tcPr>
            <w:tcW w:w="80" w:type="dxa"/>
            <w:vAlign w:val="bottom"/>
            <w:shd w:val="clear" w:color="auto" w:fill="CFF0FC"/>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9,764</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10,742</w:t>
            </w:r>
          </w:p>
        </w:tc>
        <w:tc>
          <w:tcPr>
            <w:tcW w:w="80" w:type="dxa"/>
            <w:vAlign w:val="bottom"/>
            <w:tcBorders>
              <w:bottom w:val="single" w:sz="8" w:color="CFF0FC"/>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accounts payable and accrued expenses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78,264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80,229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Senior debt</w:t>
      </w:r>
    </w:p>
    <w:p>
      <w:pPr>
        <w:spacing w:after="0" w:line="121" w:lineRule="exact"/>
        <w:rPr>
          <w:rFonts w:ascii="Arial" w:cs="Arial" w:eastAsia="Arial" w:hAnsi="Arial"/>
          <w:sz w:val="18"/>
          <w:szCs w:val="18"/>
          <w:b w:val="1"/>
          <w:bCs w:val="1"/>
          <w:color w:val="auto"/>
        </w:rPr>
      </w:pPr>
    </w:p>
    <w:p>
      <w:pPr>
        <w:ind w:left="520" w:right="5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Debt consisted of the following at September 30, 2019 and December 31, 2018:</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September 30, 2019</w:t>
            </w:r>
          </w:p>
        </w:tc>
        <w:tc>
          <w:tcPr>
            <w:tcW w:w="18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2018</w:t>
            </w:r>
          </w:p>
        </w:tc>
      </w:tr>
      <w:tr>
        <w:trPr>
          <w:trHeight w:val="209"/>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through June 2021, $0.9 million through June 2023, and $1.3 million</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thereafter with balance due upon maturity in June 2024.</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50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49,375</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76,147</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Revolving Credit Loan</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180" w:type="dxa"/>
            <w:vAlign w:val="bottom"/>
          </w:tcPr>
          <w:p>
            <w:pPr>
              <w:spacing w:after="0"/>
              <w:rPr>
                <w:sz w:val="19"/>
                <w:szCs w:val="19"/>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the Credit Facility</w:t>
            </w: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64,995</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Scheduled principal payments under our Credit Facility are $0.6 million remaining in 2019, $2.5 million in 2020, $3.1 million in 2021, $3.8 million in 2022, $4.4 million in 2023, and $35.0 million in 2024.</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United States Debt</w:t>
      </w:r>
    </w:p>
    <w:p>
      <w:pPr>
        <w:spacing w:after="0" w:line="225" w:lineRule="exact"/>
        <w:rPr>
          <w:sz w:val="20"/>
          <w:szCs w:val="20"/>
          <w:color w:val="auto"/>
        </w:rPr>
      </w:pPr>
    </w:p>
    <w:p>
      <w:pPr>
        <w:ind w:left="520" w:right="80"/>
        <w:spacing w:after="0" w:line="297" w:lineRule="auto"/>
        <w:rPr>
          <w:sz w:val="20"/>
          <w:szCs w:val="20"/>
          <w:color w:val="auto"/>
        </w:rPr>
      </w:pPr>
      <w:r>
        <w:rPr>
          <w:rFonts w:ascii="Arial" w:cs="Arial" w:eastAsia="Arial" w:hAnsi="Arial"/>
          <w:sz w:val="16"/>
          <w:szCs w:val="16"/>
          <w:color w:val="auto"/>
        </w:rPr>
        <w:t>On June 11, 2019, the Company entered into a Second Amended and Restated Credit Agreement (the “Credit Facility”). The Credit Facility amended and restated the Company’s credit agreement, dated September 3, 2015. Pursuant to the Credit Facility, the lenders provided a term loan in the aggregate principal amount of $50.0 million and the lenders increased their senior secured revolving credit commitments to the aggregate principal amount of $140.0 million. This revolving credit commitment allows the Company the ability to borrow loans denominated in different currencies. Additionally, the Credit Facility extended the maturity date to June 11, 2024, reduced interest rates, and redefined certain financial covenants.</w:t>
      </w:r>
    </w:p>
    <w:p>
      <w:pPr>
        <w:spacing w:after="0" w:line="158" w:lineRule="exact"/>
        <w:rPr>
          <w:sz w:val="20"/>
          <w:szCs w:val="20"/>
          <w:color w:val="auto"/>
        </w:rPr>
      </w:pPr>
    </w:p>
    <w:p>
      <w:pPr>
        <w:jc w:val="both"/>
        <w:ind w:left="520" w:right="220"/>
        <w:spacing w:after="0" w:line="288" w:lineRule="auto"/>
        <w:rPr>
          <w:sz w:val="20"/>
          <w:szCs w:val="20"/>
          <w:color w:val="auto"/>
        </w:rPr>
      </w:pPr>
      <w:r>
        <w:rPr>
          <w:rFonts w:ascii="Arial" w:cs="Arial" w:eastAsia="Arial" w:hAnsi="Arial"/>
          <w:sz w:val="16"/>
          <w:szCs w:val="16"/>
          <w:color w:val="auto"/>
        </w:rPr>
        <w:t>As of September 30, 2019 and December 31, 2018, $11.5 million and $29.3 million of letters of credit were outstanding, respectively. Total unused credit availability under the Company’s senior secured term loan and senior secured revolver loan with sub-facilities for letters of credit, swing-line loans and senior secured multi-currency loans was $108.5 million and $50.7 million at September 30, 2019 and December 31, 2018, respectively.</w:t>
      </w:r>
    </w:p>
    <w:p>
      <w:pPr>
        <w:jc w:val="both"/>
        <w:ind w:left="520" w:right="220"/>
        <w:spacing w:after="0" w:line="261" w:lineRule="auto"/>
        <w:rPr>
          <w:sz w:val="20"/>
          <w:szCs w:val="20"/>
          <w:color w:val="auto"/>
        </w:rPr>
      </w:pPr>
      <w:r>
        <w:rPr>
          <w:rFonts w:ascii="Arial" w:cs="Arial" w:eastAsia="Arial" w:hAnsi="Arial"/>
          <w:sz w:val="18"/>
          <w:szCs w:val="18"/>
          <w:color w:val="auto"/>
        </w:rPr>
        <w:t>Revolving loans may be borrowed, repaid and reborrowed until June 11, 2024, at which time all outstanding balances of the Credit Facility must be repaid.</w:t>
      </w:r>
    </w:p>
    <w:p>
      <w:pPr>
        <w:spacing w:after="0" w:line="184" w:lineRule="exact"/>
        <w:rPr>
          <w:sz w:val="20"/>
          <w:szCs w:val="20"/>
          <w:color w:val="auto"/>
        </w:rPr>
      </w:pPr>
    </w:p>
    <w:p>
      <w:pPr>
        <w:ind w:left="520" w:right="800"/>
        <w:spacing w:after="0" w:line="277" w:lineRule="auto"/>
        <w:rPr>
          <w:sz w:val="20"/>
          <w:szCs w:val="20"/>
          <w:color w:val="auto"/>
        </w:rPr>
      </w:pPr>
      <w:r>
        <w:rPr>
          <w:rFonts w:ascii="Arial" w:cs="Arial" w:eastAsia="Arial" w:hAnsi="Arial"/>
          <w:sz w:val="18"/>
          <w:szCs w:val="18"/>
          <w:color w:val="auto"/>
        </w:rPr>
        <w:t>The weighted average stated interest rate on outstanding borrowings was 4.04% and 5.27% at September 30, 2019 and December 31, 2018, respectively.</w:t>
      </w:r>
    </w:p>
    <w:p>
      <w:pPr>
        <w:spacing w:after="0" w:line="170" w:lineRule="exact"/>
        <w:rPr>
          <w:sz w:val="20"/>
          <w:szCs w:val="20"/>
          <w:color w:val="auto"/>
        </w:rPr>
      </w:pPr>
    </w:p>
    <w:p>
      <w:pPr>
        <w:ind w:left="520" w:right="160"/>
        <w:spacing w:after="0" w:line="255" w:lineRule="auto"/>
        <w:rPr>
          <w:sz w:val="20"/>
          <w:szCs w:val="20"/>
          <w:color w:val="auto"/>
        </w:rPr>
      </w:pPr>
      <w:r>
        <w:rPr>
          <w:rFonts w:ascii="Arial" w:cs="Arial" w:eastAsia="Arial" w:hAnsi="Arial"/>
          <w:sz w:val="18"/>
          <w:szCs w:val="18"/>
          <w:color w:val="auto"/>
        </w:rPr>
        <w:t>In connection with the Credit Facility, the Company terminated its existing interest rate swap agreement. The fair value of the interest rate swap was zero and an asset of $0.5 million as of September 30, 2019 and December 31, 2018, respectively, and is classified within the “Deferred charges and other assets” on the Condensed Consolidated Balance Sheets. The Company designated the interest rate swap as an effective hedge until the date of termination; therefore, the changes to the fair value of the interest rate swap were recorded in other comprehensive income, until the date of termination. Upon termination of the swap agreement, zero and $0.2 million previously recognized in other comprehensive income was recognized into income during the</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1" w:name="page12"/>
    <w:bookmarkEnd w:id="11"/>
    <w:p>
      <w:pPr>
        <w:ind w:left="520" w:right="20"/>
        <w:spacing w:after="0" w:line="277" w:lineRule="auto"/>
        <w:rPr>
          <w:sz w:val="20"/>
          <w:szCs w:val="20"/>
          <w:color w:val="auto"/>
        </w:rPr>
      </w:pPr>
      <w:r>
        <w:rPr>
          <w:rFonts w:ascii="Arial" w:cs="Arial" w:eastAsia="Arial" w:hAnsi="Arial"/>
          <w:sz w:val="18"/>
          <w:szCs w:val="18"/>
          <w:color w:val="auto"/>
        </w:rPr>
        <w:t>three-month and nine-month periods ended September 30, 2019, respectively, and is classified within “Other income (expense), net” on the Condensed Consolidated Statements of Operations.</w:t>
      </w:r>
    </w:p>
    <w:p>
      <w:pPr>
        <w:spacing w:after="0" w:line="170" w:lineRule="exact"/>
        <w:rPr>
          <w:sz w:val="20"/>
          <w:szCs w:val="20"/>
          <w:color w:val="auto"/>
        </w:rPr>
      </w:pPr>
    </w:p>
    <w:p>
      <w:pPr>
        <w:jc w:val="both"/>
        <w:ind w:left="520" w:right="200"/>
        <w:spacing w:after="0" w:line="312" w:lineRule="auto"/>
        <w:rPr>
          <w:sz w:val="20"/>
          <w:szCs w:val="20"/>
          <w:color w:val="auto"/>
        </w:rPr>
      </w:pPr>
      <w:r>
        <w:rPr>
          <w:rFonts w:ascii="Arial" w:cs="Arial" w:eastAsia="Arial" w:hAnsi="Arial"/>
          <w:sz w:val="16"/>
          <w:szCs w:val="16"/>
          <w:color w:val="auto"/>
        </w:rPr>
        <w:t>Under the terms of the Credit Facility, the Company is required to maintain certain financial covenants, including the maintenance of a Consolidated Net Leverage Ratio. Through September 30, 2020, the maximum Consolidated Net Leverage Ratio is 3.75, after which time it will decrease to 3.50 through September 30, 2021. The Consolidated Net Leverage Ratio will then decrease to 3.25 until the end of the term of the Credit Facility.</w:t>
      </w:r>
    </w:p>
    <w:p>
      <w:pPr>
        <w:spacing w:after="0" w:line="14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As of September 30, 2019 and December 31, 2018, the Company was in compliance with all related financial and other restrictive covenants under the Credit Facility.</w:t>
      </w:r>
    </w:p>
    <w:p>
      <w:pPr>
        <w:spacing w:after="0" w:line="170" w:lineRule="exact"/>
        <w:rPr>
          <w:sz w:val="20"/>
          <w:szCs w:val="20"/>
          <w:color w:val="auto"/>
        </w:rPr>
      </w:pPr>
    </w:p>
    <w:p>
      <w:pPr>
        <w:jc w:val="both"/>
        <w:ind w:left="520" w:right="240"/>
        <w:spacing w:after="0" w:line="286" w:lineRule="auto"/>
        <w:rPr>
          <w:sz w:val="20"/>
          <w:szCs w:val="20"/>
          <w:color w:val="auto"/>
        </w:rPr>
      </w:pPr>
      <w:r>
        <w:rPr>
          <w:rFonts w:ascii="Arial" w:cs="Arial" w:eastAsia="Arial" w:hAnsi="Arial"/>
          <w:sz w:val="17"/>
          <w:szCs w:val="17"/>
          <w:color w:val="auto"/>
        </w:rPr>
        <w:t>In connection with the Credit Facility, the Company paid $1.1 million in customary closing fees during the nine-month period ended September 30, 2019 that were deferred and classified as a debt discount. Additionally, during the nine-month period ended September 30, 2019, $0.4 million of the existing debt discount was expensed, and classified as interest expense, as a result of the debt modification.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Foreign Debt</w:t>
      </w:r>
    </w:p>
    <w:p>
      <w:pPr>
        <w:spacing w:after="0" w:line="117" w:lineRule="exact"/>
        <w:rPr>
          <w:sz w:val="20"/>
          <w:szCs w:val="20"/>
          <w:color w:val="auto"/>
        </w:rPr>
      </w:pPr>
    </w:p>
    <w:p>
      <w:pPr>
        <w:ind w:left="520" w:right="40"/>
        <w:spacing w:after="0" w:line="293" w:lineRule="auto"/>
        <w:rPr>
          <w:sz w:val="20"/>
          <w:szCs w:val="20"/>
          <w:color w:val="auto"/>
        </w:rPr>
      </w:pPr>
      <w:r>
        <w:rPr>
          <w:rFonts w:ascii="Arial" w:cs="Arial" w:eastAsia="Arial" w:hAnsi="Arial"/>
          <w:sz w:val="16"/>
          <w:szCs w:val="16"/>
          <w:color w:val="auto"/>
        </w:rPr>
        <w:t>The Company has a number of bank guarantee facilities and bilateral lines in various countries currently supported by cash, letters of credit or pledged assets and collateral under the Credit Facility. The Credit Facility allows letters of credit and bank guarantee issuances of up to $50.0 million from the bilateral lines secured by pledged assets and collateral under the Credit Facility. As of September 30, 2019, $11.0 million in bank guarantees were outstanding. In addition, a subsidiary of the Company located in the Netherlands has a Euro-denominated bank guarantee agreement secured by local assets under which $3.4 million in bank guarantees were outstanding as of September 30, 2019. As of September 30, 2019, the borrowers of these facilities and agreements were in compliance with all related financial and other restrictive covenants.</w:t>
      </w:r>
    </w:p>
    <w:p>
      <w:pPr>
        <w:spacing w:after="0" w:line="147"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5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computational components of basic and diluted earnings (loss) per share for the three-month and nine-month periods ended September 30, 2019 and 2018 are below.</w:t>
      </w:r>
    </w:p>
    <w:p>
      <w:pPr>
        <w:spacing w:after="0" w:line="8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37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For the three-month period ended September 30,</w:t>
            </w:r>
          </w:p>
        </w:tc>
        <w:tc>
          <w:tcPr>
            <w:tcW w:w="0" w:type="dxa"/>
            <w:vAlign w:val="bottom"/>
          </w:tcPr>
          <w:p>
            <w:pPr>
              <w:spacing w:after="0"/>
              <w:rPr>
                <w:sz w:val="1"/>
                <w:szCs w:val="1"/>
                <w:color w:val="auto"/>
              </w:rPr>
            </w:pPr>
          </w:p>
        </w:tc>
      </w:tr>
      <w:tr>
        <w:trPr>
          <w:trHeight w:val="156"/>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0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(loss) per share)</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C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CECFF"/>
          </w:tcPr>
          <w:p>
            <w:pPr>
              <w:jc w:val="right"/>
              <w:ind w:right="9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(12,915)</w:t>
            </w:r>
          </w:p>
        </w:tc>
        <w:tc>
          <w:tcPr>
            <w:tcW w:w="0" w:type="dxa"/>
            <w:vAlign w:val="bottom"/>
          </w:tcPr>
          <w:p>
            <w:pPr>
              <w:spacing w:after="0"/>
              <w:rPr>
                <w:sz w:val="1"/>
                <w:szCs w:val="1"/>
                <w:color w:val="auto"/>
              </w:rPr>
            </w:pPr>
          </w:p>
        </w:tc>
      </w:tr>
      <w:tr>
        <w:trPr>
          <w:trHeight w:val="20"/>
        </w:trPr>
        <w:tc>
          <w:tcPr>
            <w:tcW w:w="650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1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3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35,070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CFF"/>
          </w:tcPr>
          <w:p>
            <w:pPr>
              <w:spacing w:after="0"/>
              <w:rPr>
                <w:sz w:val="20"/>
                <w:szCs w:val="20"/>
                <w:color w:val="auto"/>
              </w:rPr>
            </w:pPr>
            <w:r>
              <w:rPr>
                <w:rFonts w:ascii="Arial" w:cs="Arial" w:eastAsia="Arial" w:hAnsi="Arial"/>
                <w:sz w:val="18"/>
                <w:szCs w:val="18"/>
                <w:color w:val="auto"/>
                <w:w w:val="99"/>
              </w:rPr>
              <w:t>Common stock equivalents arising from stock options and restricted stock awards</w:t>
            </w:r>
          </w:p>
        </w:tc>
        <w:tc>
          <w:tcPr>
            <w:tcW w:w="110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1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tcPr>
          <w:p>
            <w:pPr>
              <w:spacing w:after="0"/>
              <w:rPr>
                <w:sz w:val="24"/>
                <w:szCs w:val="24"/>
                <w:color w:val="auto"/>
              </w:rPr>
            </w:pPr>
          </w:p>
        </w:tc>
        <w:tc>
          <w:tcPr>
            <w:tcW w:w="376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rPr>
              <w:t>For the nine-month period ended September 30,</w:t>
            </w:r>
          </w:p>
        </w:tc>
        <w:tc>
          <w:tcPr>
            <w:tcW w:w="0" w:type="dxa"/>
            <w:vAlign w:val="bottom"/>
          </w:tcPr>
          <w:p>
            <w:pPr>
              <w:spacing w:after="0"/>
              <w:rPr>
                <w:sz w:val="1"/>
                <w:szCs w:val="1"/>
                <w:color w:val="auto"/>
              </w:rPr>
            </w:pPr>
          </w:p>
        </w:tc>
      </w:tr>
      <w:tr>
        <w:trPr>
          <w:trHeight w:val="156"/>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100" w:type="dxa"/>
            <w:vAlign w:val="bottom"/>
            <w:tcBorders>
              <w:top w:val="single" w:sz="8" w:color="auto"/>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50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Numerator </w:t>
            </w:r>
            <w:r>
              <w:rPr>
                <w:rFonts w:ascii="Arial" w:cs="Arial" w:eastAsia="Arial" w:hAnsi="Arial"/>
                <w:sz w:val="18"/>
                <w:szCs w:val="18"/>
                <w:color w:val="auto"/>
              </w:rPr>
              <w:t>(for basic and diluted earnings (loss) per share)</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CFF"/>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9,310</w:t>
            </w:r>
          </w:p>
        </w:tc>
        <w:tc>
          <w:tcPr>
            <w:tcW w:w="100" w:type="dxa"/>
            <w:vAlign w:val="bottom"/>
            <w:shd w:val="clear" w:color="auto" w:fill="CFF0FC"/>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400" w:type="dxa"/>
            <w:vAlign w:val="bottom"/>
            <w:shd w:val="clear" w:color="auto" w:fill="CCECFF"/>
          </w:tcPr>
          <w:p>
            <w:pPr>
              <w:jc w:val="right"/>
              <w:ind w:right="21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0"/>
        </w:trPr>
        <w:tc>
          <w:tcPr>
            <w:tcW w:w="650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Denominator</w:t>
            </w:r>
          </w:p>
        </w:tc>
        <w:tc>
          <w:tcPr>
            <w:tcW w:w="110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3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Basic weighted-average shares outstanding</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CFF"/>
          </w:tcPr>
          <w:p>
            <w:pPr>
              <w:spacing w:after="0"/>
              <w:rPr>
                <w:sz w:val="20"/>
                <w:szCs w:val="20"/>
                <w:color w:val="auto"/>
              </w:rPr>
            </w:pPr>
            <w:r>
              <w:rPr>
                <w:rFonts w:ascii="Arial" w:cs="Arial" w:eastAsia="Arial" w:hAnsi="Arial"/>
                <w:sz w:val="18"/>
                <w:szCs w:val="18"/>
                <w:color w:val="auto"/>
                <w:w w:val="99"/>
              </w:rPr>
              <w:t>Common stock equivalents arising from stock options and restricted stock awards</w:t>
            </w:r>
          </w:p>
        </w:tc>
        <w:tc>
          <w:tcPr>
            <w:tcW w:w="1100" w:type="dxa"/>
            <w:vAlign w:val="bottom"/>
            <w:shd w:val="clear" w:color="auto" w:fill="CCECFF"/>
          </w:tcPr>
          <w:p>
            <w:pPr>
              <w:spacing w:after="0"/>
              <w:rPr>
                <w:sz w:val="19"/>
                <w:szCs w:val="19"/>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140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Diluted weighted-average shares outstanding</w:t>
            </w:r>
          </w:p>
        </w:tc>
        <w:tc>
          <w:tcPr>
            <w:tcW w:w="1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Options and restricted stock units included in the computation of diluted earnings per share are calculated using the treasury stock method. For the three-month periods ended September 30, 2019 and 2018, 0.4 million and 0.9 million, respectively, and during the nine-month periods ended September 30, 2019 and 2018, 0.5 million and 0.8 million, respectively, of outstanding options and restricted stock units were excluded from the computation of diluted earnings per share due to their having an anti-dilutive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ind w:left="512" w:right="140"/>
        <w:spacing w:after="0" w:line="277" w:lineRule="auto"/>
        <w:rPr>
          <w:sz w:val="20"/>
          <w:szCs w:val="20"/>
          <w:color w:val="auto"/>
        </w:rPr>
      </w:pPr>
      <w:r>
        <w:rPr>
          <w:rFonts w:ascii="Arial" w:cs="Arial" w:eastAsia="Arial" w:hAnsi="Arial"/>
          <w:sz w:val="18"/>
          <w:szCs w:val="18"/>
          <w:color w:val="auto"/>
        </w:rPr>
        <w:t>Once a restricted stock unit vests, it is included in the computation of weighted average shares outstanding for purposes of basic and diluted earnings per share.</w:t>
      </w:r>
    </w:p>
    <w:p>
      <w:pPr>
        <w:spacing w:after="0" w:line="153" w:lineRule="exact"/>
        <w:rPr>
          <w:sz w:val="20"/>
          <w:szCs w:val="20"/>
          <w:color w:val="auto"/>
        </w:rPr>
      </w:pPr>
    </w:p>
    <w:p>
      <w:pPr>
        <w:ind w:left="512" w:hanging="512"/>
        <w:spacing w:after="0"/>
        <w:tabs>
          <w:tab w:leader="none" w:pos="5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ind w:left="512"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$1.0 million and $0.9 million of share-based compensation related expense during the three-month periods ended September 30, 2019 and 2018, respectively, and $2.8 million and $2.3 million during the nine-month periods ended September 30, 2019 and 2018, respectively.</w:t>
      </w:r>
    </w:p>
    <w:p>
      <w:pPr>
        <w:spacing w:after="0" w:line="188"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color w:val="auto"/>
        </w:rPr>
        <w:t>The Company granted zero options during the three-month and nine-month periods ended September 30, 2019 and 2018.</w:t>
      </w:r>
    </w:p>
    <w:p>
      <w:pPr>
        <w:spacing w:after="0" w:line="225" w:lineRule="exact"/>
        <w:rPr>
          <w:rFonts w:ascii="Arial" w:cs="Arial" w:eastAsia="Arial" w:hAnsi="Arial"/>
          <w:sz w:val="18"/>
          <w:szCs w:val="18"/>
          <w:b w:val="1"/>
          <w:bCs w:val="1"/>
          <w:color w:val="auto"/>
        </w:rPr>
      </w:pPr>
    </w:p>
    <w:p>
      <w:pPr>
        <w:ind w:left="512"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granted zero and approximately 33,000 restricted stock units during the three-month periods ended September 30, 2019 and 2018, respectively and approximately 464,000 and 963,000 restricted stock units during the nine-month periods ended September 30, 2019 and 2018. The weighted-average fair value of restricted stock units was estimated at $7.49 and $5.21 per unit granted during the nine-months ended September 30, 2019 and 2018, respectively. The fair value of the restricted stock units was determined by using the value of stock in the open market on the date of grant.</w:t>
      </w:r>
    </w:p>
    <w:p>
      <w:pPr>
        <w:spacing w:after="0" w:line="188"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6"/>
          <w:szCs w:val="16"/>
          <w:color w:val="auto"/>
        </w:rPr>
        <w:t>The fair value of the stock-based awards granted is recorded as compensation expense on a straight-line basis over the vesting periods of the awards.</w:t>
      </w:r>
    </w:p>
    <w:p>
      <w:pPr>
        <w:spacing w:after="0" w:line="248" w:lineRule="exact"/>
        <w:rPr>
          <w:rFonts w:ascii="Arial" w:cs="Arial" w:eastAsia="Arial" w:hAnsi="Arial"/>
          <w:sz w:val="18"/>
          <w:szCs w:val="18"/>
          <w:b w:val="1"/>
          <w:bCs w:val="1"/>
          <w:color w:val="auto"/>
        </w:rPr>
      </w:pPr>
    </w:p>
    <w:p>
      <w:pPr>
        <w:ind w:left="512"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There were 1,000 and approximately 16,000 options exercised during the nine-months ended September 30, 2019 and 2018, respectively. The Company received $7,000 and $82,000 in cash from employees exercising options during the nine-months ended September 30, 2019 and 2018. The intrinsic value of options exercised during the nine-months ended September 30, 2019 and 2018 was $1,000 and approximately $89,000, respectively.</w:t>
      </w:r>
    </w:p>
    <w:p>
      <w:pPr>
        <w:spacing w:after="0" w:line="129" w:lineRule="exact"/>
        <w:rPr>
          <w:rFonts w:ascii="Arial" w:cs="Arial" w:eastAsia="Arial" w:hAnsi="Arial"/>
          <w:sz w:val="18"/>
          <w:szCs w:val="18"/>
          <w:b w:val="1"/>
          <w:bCs w:val="1"/>
          <w:color w:val="auto"/>
        </w:rPr>
      </w:pPr>
    </w:p>
    <w:p>
      <w:pPr>
        <w:ind w:left="512" w:hanging="512"/>
        <w:spacing w:after="0"/>
        <w:tabs>
          <w:tab w:leader="none" w:pos="51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121" w:lineRule="exact"/>
        <w:rPr>
          <w:rFonts w:ascii="Arial" w:cs="Arial" w:eastAsia="Arial" w:hAnsi="Arial"/>
          <w:sz w:val="18"/>
          <w:szCs w:val="18"/>
          <w:b w:val="1"/>
          <w:bCs w:val="1"/>
          <w:color w:val="auto"/>
        </w:rPr>
      </w:pPr>
    </w:p>
    <w:p>
      <w:pPr>
        <w:ind w:left="512"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70" w:lineRule="exact"/>
        <w:rPr>
          <w:rFonts w:ascii="Arial" w:cs="Arial" w:eastAsia="Arial" w:hAnsi="Arial"/>
          <w:sz w:val="18"/>
          <w:szCs w:val="18"/>
          <w:b w:val="1"/>
          <w:bCs w:val="1"/>
          <w:color w:val="auto"/>
        </w:rPr>
      </w:pPr>
    </w:p>
    <w:p>
      <w:pPr>
        <w:ind w:left="512"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also sponsor a postretirement health care plan for office employees retired before January 1, 1990. The plan allowed retirees who attained the age of 65 to elect the type of coverage desired.</w:t>
      </w:r>
    </w:p>
    <w:p>
      <w:pPr>
        <w:spacing w:after="0" w:line="170" w:lineRule="exact"/>
        <w:rPr>
          <w:rFonts w:ascii="Arial" w:cs="Arial" w:eastAsia="Arial" w:hAnsi="Arial"/>
          <w:sz w:val="18"/>
          <w:szCs w:val="18"/>
          <w:b w:val="1"/>
          <w:bCs w:val="1"/>
          <w:color w:val="auto"/>
        </w:rPr>
      </w:pPr>
    </w:p>
    <w:p>
      <w:pPr>
        <w:ind w:left="512"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We present service cost within cost of sales and selling and administrative expenses depending on where the relevant employees compensation costs are recorded, and we present other components of net periodic benefit cost (gain) within “Other income (expense), net” on the Condensed Consolidated Statements of Operations.</w:t>
      </w:r>
    </w:p>
    <w:p>
      <w:pPr>
        <w:spacing w:after="0" w:line="181" w:lineRule="exact"/>
        <w:rPr>
          <w:sz w:val="20"/>
          <w:szCs w:val="20"/>
          <w:color w:val="auto"/>
        </w:rPr>
      </w:pPr>
    </w:p>
    <w:p>
      <w:pPr>
        <w:ind w:left="512" w:right="20"/>
        <w:spacing w:after="0" w:line="277" w:lineRule="auto"/>
        <w:rPr>
          <w:sz w:val="20"/>
          <w:szCs w:val="20"/>
          <w:color w:val="auto"/>
        </w:rPr>
      </w:pPr>
      <w:r>
        <w:rPr>
          <w:rFonts w:ascii="Arial" w:cs="Arial" w:eastAsia="Arial" w:hAnsi="Arial"/>
          <w:sz w:val="18"/>
          <w:szCs w:val="18"/>
          <w:color w:val="auto"/>
        </w:rPr>
        <w:t>Retirement and health care plan expense is based on valuations performed by plan actuaries as of the beginning of each fiscal year. The components of the expense consisted of the following:</w:t>
      </w:r>
    </w:p>
    <w:p>
      <w:pPr>
        <w:spacing w:after="0" w:line="176" w:lineRule="exact"/>
        <w:rPr>
          <w:sz w:val="20"/>
          <w:szCs w:val="20"/>
          <w:color w:val="auto"/>
        </w:rPr>
      </w:pPr>
    </w:p>
    <w:tbl>
      <w:tblPr>
        <w:tblLayout w:type="fixed"/>
        <w:tblInd w:w="572" w:type="dxa"/>
        <w:tblCellMar>
          <w:top w:w="0" w:type="dxa"/>
          <w:left w:w="0" w:type="dxa"/>
          <w:bottom w:w="0" w:type="dxa"/>
          <w:right w:w="0" w:type="dxa"/>
        </w:tblCellMar>
      </w:tblPr>
      <w:tr>
        <w:trPr>
          <w:trHeight w:val="171"/>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180" w:type="dxa"/>
            <w:vAlign w:val="bottom"/>
          </w:tcPr>
          <w:p>
            <w:pPr>
              <w:spacing w:after="0"/>
              <w:rPr>
                <w:sz w:val="14"/>
                <w:szCs w:val="14"/>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14"/>
                <w:szCs w:val="14"/>
                <w:color w:val="auto"/>
              </w:rPr>
            </w:pPr>
          </w:p>
        </w:tc>
        <w:tc>
          <w:tcPr>
            <w:tcW w:w="2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6"/>
        </w:trPr>
        <w:tc>
          <w:tcPr>
            <w:tcW w:w="4600" w:type="dxa"/>
            <w:vAlign w:val="bottom"/>
            <w:tcBorders>
              <w:bottom w:val="single" w:sz="8" w:color="CFF0FC"/>
            </w:tcBorders>
            <w:vMerge w:val="continue"/>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Pension plan:</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298</w:t>
            </w:r>
          </w:p>
        </w:tc>
        <w:tc>
          <w:tcPr>
            <w:tcW w:w="2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(378)</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 (gain)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Health care plan:</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Amortization of loss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12"/>
        <w:spacing w:after="0" w:line="279" w:lineRule="auto"/>
        <w:rPr>
          <w:sz w:val="20"/>
          <w:szCs w:val="20"/>
          <w:color w:val="auto"/>
        </w:rPr>
      </w:pPr>
      <w:r>
        <w:rPr>
          <w:rFonts w:ascii="Arial" w:cs="Arial" w:eastAsia="Arial" w:hAnsi="Arial"/>
          <w:sz w:val="17"/>
          <w:szCs w:val="17"/>
          <w:color w:val="auto"/>
        </w:rPr>
        <w:t>We made contributions to our defined benefit plans during the nine-months ended September 30, 2019 and 2018 totaling $0.4 million and $0.6 million, respectively. We anticipate $0.3 million and $24,000 of further contributions to fund the pension plan and the retiree health care plan, respectively, during the remainder of 2019. The unfunded liability of the plans of $8.7 million and $8.8 million as of September 30, 2019 and December 31, 2018, respectively, is included in “Other liabilities” on our Condensed Consolidated Balance Sheets.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92"/>
          </w:cols>
          <w:pgMar w:left="248" w:top="125" w:right="259" w:bottom="1440" w:gutter="0" w:footer="0" w:header="0"/>
        </w:sectPr>
      </w:pPr>
    </w:p>
    <w:bookmarkStart w:id="13" w:name="page14"/>
    <w:bookmarkEnd w:id="13"/>
    <w:p>
      <w:pPr>
        <w:ind w:left="520" w:hanging="512"/>
        <w:spacing w:after="0"/>
        <w:tabs>
          <w:tab w:leader="none" w:pos="52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220" w:lineRule="exact"/>
        <w:rPr>
          <w:rFonts w:ascii="Arial" w:cs="Arial" w:eastAsia="Arial" w:hAnsi="Arial"/>
          <w:sz w:val="16"/>
          <w:szCs w:val="16"/>
          <w:b w:val="1"/>
          <w:bCs w:val="1"/>
          <w:color w:val="auto"/>
        </w:rPr>
      </w:pPr>
    </w:p>
    <w:p>
      <w:pPr>
        <w:ind w:left="520" w:right="160"/>
        <w:spacing w:after="0" w:line="293" w:lineRule="auto"/>
        <w:rPr>
          <w:rFonts w:ascii="Arial" w:cs="Arial" w:eastAsia="Arial" w:hAnsi="Arial"/>
          <w:sz w:val="16"/>
          <w:szCs w:val="16"/>
          <w:b w:val="1"/>
          <w:bCs w:val="1"/>
          <w:color w:val="auto"/>
        </w:rPr>
      </w:pPr>
      <w:r>
        <w:rPr>
          <w:rFonts w:ascii="Arial" w:cs="Arial" w:eastAsia="Arial" w:hAnsi="Arial"/>
          <w:sz w:val="16"/>
          <w:szCs w:val="16"/>
          <w:color w:val="auto"/>
        </w:rPr>
        <w:t>Our leasing activity is primarily related to buildings used for manufacturing, warehousing, sales, and administrative activities. We determine if an arrangement is a lease at inception. Many of our lease agreements contain renewal options; however, we do not recognize ROU assets or lease liabilities for renewal periods unless it is determined that we are reasonably certain of renewing the lease at inception or when a triggering event occurs. Some of our lease agreements contain rent escalation clauses, free-rent periods, or other lease concessions. We recognize our minimum rental expense on a straight-line basis based on the fixed components of a lease arrangement. Variable lease costs represent amounts that are not fixed in nature and are not tied to an index or rate, and are recognized as incurred. Our variable lease costs are not material.</w:t>
      </w:r>
    </w:p>
    <w:p>
      <w:pPr>
        <w:spacing w:after="0" w:line="164" w:lineRule="exact"/>
        <w:rPr>
          <w:rFonts w:ascii="Arial" w:cs="Arial" w:eastAsia="Arial" w:hAnsi="Arial"/>
          <w:sz w:val="16"/>
          <w:szCs w:val="16"/>
          <w:b w:val="1"/>
          <w:bCs w:val="1"/>
          <w:color w:val="auto"/>
        </w:rPr>
      </w:pPr>
    </w:p>
    <w:p>
      <w:pPr>
        <w:ind w:left="520" w:right="6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In determining our ROU assets and lease liabilities, we apply a discount rate to the minimum lease payments within each lease agreement. ASU 2016-02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we consider, among other factors, interest rates on our existing credit facilities, risk-free rates, the types of assets being leased, and the term of the leases.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7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three months ended September</w:t>
            </w:r>
          </w:p>
        </w:tc>
        <w:tc>
          <w:tcPr>
            <w:tcW w:w="2620" w:type="dxa"/>
            <w:vAlign w:val="bottom"/>
            <w:gridSpan w:val="3"/>
          </w:tcPr>
          <w:p>
            <w:pPr>
              <w:ind w:left="80"/>
              <w:spacing w:after="0"/>
              <w:rPr>
                <w:sz w:val="20"/>
                <w:szCs w:val="20"/>
                <w:color w:val="auto"/>
              </w:rPr>
            </w:pPr>
            <w:r>
              <w:rPr>
                <w:rFonts w:ascii="Arial" w:cs="Arial" w:eastAsia="Arial" w:hAnsi="Arial"/>
                <w:sz w:val="14"/>
                <w:szCs w:val="14"/>
                <w:b w:val="1"/>
                <w:bCs w:val="1"/>
                <w:color w:val="auto"/>
                <w:w w:val="98"/>
              </w:rPr>
              <w:t>For the nine months ended September</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30, 2019</w:t>
            </w: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30, 2019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Operating lease cost (a)</w:t>
            </w: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540" w:type="dxa"/>
            <w:vAlign w:val="bottom"/>
            <w:shd w:val="clear" w:color="auto" w:fill="CFF0FC"/>
          </w:tcPr>
          <w:p>
            <w:pPr>
              <w:spacing w:after="0"/>
              <w:rPr>
                <w:sz w:val="19"/>
                <w:szCs w:val="19"/>
                <w:color w:val="auto"/>
              </w:rPr>
            </w:pPr>
          </w:p>
        </w:tc>
        <w:tc>
          <w:tcPr>
            <w:tcW w:w="1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5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on lease liability</w:t>
            </w:r>
          </w:p>
        </w:tc>
        <w:tc>
          <w:tcPr>
            <w:tcW w:w="5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8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finance lease cost</w:t>
            </w:r>
          </w:p>
        </w:tc>
        <w:tc>
          <w:tcPr>
            <w:tcW w:w="5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54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6"/>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right="5940" w:firstLine="59"/>
        <w:spacing w:after="0" w:line="431" w:lineRule="auto"/>
        <w:tabs>
          <w:tab w:leader="none" w:pos="817"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variable lease costs which are immaterial Supplemental cash flow information related to leases was as follows:</w:t>
      </w:r>
    </w:p>
    <w:tbl>
      <w:tblPr>
        <w:tblLayout w:type="fixed"/>
        <w:tblInd w:w="0" w:type="dxa"/>
        <w:tblCellMar>
          <w:top w:w="0" w:type="dxa"/>
          <w:left w:w="0" w:type="dxa"/>
          <w:bottom w:w="0" w:type="dxa"/>
          <w:right w:w="0" w:type="dxa"/>
        </w:tblCellMar>
      </w:tblPr>
      <w:tr>
        <w:trPr>
          <w:trHeight w:val="140"/>
        </w:trPr>
        <w:tc>
          <w:tcPr>
            <w:tcW w:w="580" w:type="dxa"/>
            <w:vAlign w:val="bottom"/>
          </w:tcPr>
          <w:p>
            <w:pPr>
              <w:spacing w:after="0"/>
              <w:rPr>
                <w:sz w:val="12"/>
                <w:szCs w:val="12"/>
                <w:color w:val="auto"/>
              </w:rPr>
            </w:pPr>
          </w:p>
        </w:tc>
        <w:tc>
          <w:tcPr>
            <w:tcW w:w="7640" w:type="dxa"/>
            <w:vAlign w:val="bottom"/>
            <w:vMerge w:val="restart"/>
          </w:tcPr>
          <w:p>
            <w:pPr>
              <w:spacing w:after="0"/>
              <w:rPr>
                <w:sz w:val="20"/>
                <w:szCs w:val="20"/>
                <w:color w:val="auto"/>
              </w:rPr>
            </w:pPr>
            <w:r>
              <w:rPr>
                <w:rFonts w:ascii="Arial" w:cs="Arial" w:eastAsia="Arial" w:hAnsi="Arial"/>
                <w:sz w:val="14"/>
                <w:szCs w:val="14"/>
                <w:b w:val="1"/>
                <w:bCs w:val="1"/>
                <w:color w:val="auto"/>
              </w:rPr>
              <w:t>(table only in thousands)</w:t>
            </w:r>
          </w:p>
        </w:tc>
        <w:tc>
          <w:tcPr>
            <w:tcW w:w="20" w:type="dxa"/>
            <w:vAlign w:val="bottom"/>
          </w:tcPr>
          <w:p>
            <w:pPr>
              <w:spacing w:after="0"/>
              <w:rPr>
                <w:sz w:val="12"/>
                <w:szCs w:val="12"/>
                <w:color w:val="auto"/>
              </w:rPr>
            </w:pPr>
          </w:p>
        </w:tc>
        <w:tc>
          <w:tcPr>
            <w:tcW w:w="260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1"/>
              </w:rPr>
              <w:t>For the nine months ended September</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7640" w:type="dxa"/>
            <w:vAlign w:val="bottom"/>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1"/>
              </w:rPr>
              <w:t>30, 2019</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Borders>
              <w:bottom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w:t>
            </w: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40" w:type="dxa"/>
            <w:vAlign w:val="bottom"/>
            <w:vMerge w:val="restart"/>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40" w:type="dxa"/>
            <w:vAlign w:val="bottom"/>
            <w:tcBorders>
              <w:bottom w:val="single" w:sz="8" w:color="CFF0FC"/>
            </w:tcBorders>
            <w:vMerge w:val="continue"/>
          </w:tcPr>
          <w:p>
            <w:pPr>
              <w:spacing w:after="0"/>
              <w:rPr>
                <w:sz w:val="21"/>
                <w:szCs w:val="21"/>
                <w:color w:val="auto"/>
              </w:rPr>
            </w:pPr>
          </w:p>
        </w:tc>
        <w:tc>
          <w:tcPr>
            <w:tcW w:w="380" w:type="dxa"/>
            <w:vAlign w:val="bottom"/>
            <w:tcBorders>
              <w:bottom w:val="single" w:sz="8" w:color="auto"/>
            </w:tcBorders>
            <w:gridSpan w:val="2"/>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FF0FC"/>
            </w:tcBorders>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Borders>
              <w:bottom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40" w:type="dxa"/>
            <w:vAlign w:val="bottom"/>
            <w:vMerge w:val="restart"/>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auto"/>
            </w:tcBorders>
            <w:gridSpan w:val="2"/>
            <w:shd w:val="clear" w:color="auto" w:fill="CFF0FC"/>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jc w:val="right"/>
              <w:ind w:right="2372"/>
              <w:spacing w:after="0"/>
              <w:rPr>
                <w:sz w:val="20"/>
                <w:szCs w:val="20"/>
                <w:color w:val="auto"/>
              </w:rPr>
            </w:pPr>
            <w:r>
              <w:rPr>
                <w:rFonts w:ascii="Arial" w:cs="Arial" w:eastAsia="Arial" w:hAnsi="Arial"/>
                <w:sz w:val="18"/>
                <w:szCs w:val="18"/>
                <w:color w:val="auto"/>
                <w:w w:val="98"/>
              </w:rPr>
              <w:t>Supplemental balance sheet information related to leases was as follows:</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0" w:type="dxa"/>
            <w:vAlign w:val="bottom"/>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 2019</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from operating leases</w:t>
            </w:r>
          </w:p>
        </w:tc>
        <w:tc>
          <w:tcPr>
            <w:tcW w:w="380" w:type="dxa"/>
            <w:vAlign w:val="bottom"/>
            <w:gridSpan w:val="2"/>
            <w:shd w:val="clear" w:color="auto" w:fill="CFF0FC"/>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shd w:val="clear" w:color="auto" w:fill="CFF0FC"/>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2,606</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11,328</w:t>
            </w:r>
          </w:p>
        </w:tc>
        <w:tc>
          <w:tcPr>
            <w:tcW w:w="100" w:type="dxa"/>
            <w:vAlign w:val="bottom"/>
            <w:tcBorders>
              <w:bottom w:val="single" w:sz="8" w:color="CFF0FC"/>
            </w:tcBorders>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13,934</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gridSpan w:val="2"/>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380" w:type="dxa"/>
            <w:vAlign w:val="bottom"/>
            <w:gridSpan w:val="2"/>
          </w:tcPr>
          <w:p>
            <w:pPr>
              <w:jc w:val="right"/>
              <w:ind w:right="206"/>
              <w:spacing w:after="0"/>
              <w:rPr>
                <w:sz w:val="20"/>
                <w:szCs w:val="20"/>
                <w:color w:val="auto"/>
              </w:rPr>
            </w:pPr>
            <w:r>
              <w:rPr>
                <w:rFonts w:ascii="Arial" w:cs="Arial" w:eastAsia="Arial" w:hAnsi="Arial"/>
                <w:sz w:val="18"/>
                <w:szCs w:val="18"/>
                <w:color w:val="auto"/>
                <w:w w:val="79"/>
              </w:rPr>
              <w:t>$</w:t>
            </w:r>
          </w:p>
        </w:tc>
        <w:tc>
          <w:tcPr>
            <w:tcW w:w="214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7,473</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7640" w:type="dxa"/>
            <w:vAlign w:val="bottom"/>
          </w:tcPr>
          <w:p>
            <w:pPr>
              <w:ind w:left="220"/>
              <w:spacing w:after="0"/>
              <w:rPr>
                <w:sz w:val="20"/>
                <w:szCs w:val="20"/>
                <w:color w:val="auto"/>
              </w:rPr>
            </w:pPr>
            <w:r>
              <w:rPr>
                <w:rFonts w:ascii="Arial" w:cs="Arial" w:eastAsia="Arial" w:hAnsi="Arial"/>
                <w:sz w:val="18"/>
                <w:szCs w:val="18"/>
                <w:color w:val="auto"/>
              </w:rPr>
              <w:t>Total finance lease liabilities</w:t>
            </w: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8220" w:type="dxa"/>
            <w:vAlign w:val="bottom"/>
            <w:gridSpan w:val="2"/>
          </w:tcPr>
          <w:p>
            <w:pPr>
              <w:jc w:val="right"/>
              <w:ind w:right="2332"/>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31" w:right="219" w:bottom="1440" w:gutter="0" w:footer="0" w:header="0"/>
        </w:sectPr>
      </w:pPr>
    </w:p>
    <w:bookmarkStart w:id="14" w:name="page15"/>
    <w:bookmarkEnd w:id="14"/>
    <w:tbl>
      <w:tblPr>
        <w:tblLayout w:type="fixed"/>
        <w:tblInd w:w="512" w:type="dxa"/>
        <w:tblCellMar>
          <w:top w:w="0" w:type="dxa"/>
          <w:left w:w="0" w:type="dxa"/>
          <w:bottom w:w="0" w:type="dxa"/>
          <w:right w:w="0" w:type="dxa"/>
        </w:tblCellMar>
      </w:tblP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w:t>
            </w:r>
          </w:p>
        </w:tc>
        <w:tc>
          <w:tcPr>
            <w:tcW w:w="5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tcBorders>
              <w:left w:val="single" w:sz="8" w:color="CFF0FC"/>
            </w:tcBorders>
            <w:shd w:val="clear" w:color="auto" w:fill="CFF0FC"/>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60" w:type="dxa"/>
            <w:vAlign w:val="bottom"/>
            <w:gridSpan w:val="3"/>
          </w:tcPr>
          <w:p>
            <w:pPr>
              <w:jc w:val="center"/>
              <w:ind w:right="700"/>
              <w:spacing w:after="0"/>
              <w:rPr>
                <w:sz w:val="20"/>
                <w:szCs w:val="20"/>
                <w:color w:val="auto"/>
              </w:rPr>
            </w:pPr>
            <w:r>
              <w:rPr>
                <w:rFonts w:ascii="Arial" w:cs="Arial" w:eastAsia="Arial" w:hAnsi="Arial"/>
                <w:sz w:val="18"/>
                <w:szCs w:val="18"/>
                <w:color w:val="auto"/>
                <w:w w:val="88"/>
              </w:rPr>
              <w:t>9 years</w:t>
            </w: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center"/>
              <w:ind w:right="400"/>
              <w:spacing w:after="0"/>
              <w:rPr>
                <w:sz w:val="20"/>
                <w:szCs w:val="20"/>
                <w:color w:val="auto"/>
              </w:rPr>
            </w:pPr>
            <w:r>
              <w:rPr>
                <w:rFonts w:ascii="Arial" w:cs="Arial" w:eastAsia="Arial" w:hAnsi="Arial"/>
                <w:sz w:val="18"/>
                <w:szCs w:val="18"/>
                <w:color w:val="auto"/>
                <w:w w:val="86"/>
              </w:rPr>
              <w:t>12 years</w:t>
            </w:r>
          </w:p>
        </w:tc>
        <w:tc>
          <w:tcPr>
            <w:tcW w:w="300" w:type="dxa"/>
            <w:vAlign w:val="bottom"/>
            <w:tcBorders>
              <w:left w:val="single" w:sz="8" w:color="CFF0FC"/>
            </w:tcBorders>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leases</w:t>
            </w:r>
          </w:p>
        </w:tc>
        <w:tc>
          <w:tcPr>
            <w:tcW w:w="52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jc w:val="center"/>
              <w:ind w:right="211"/>
              <w:spacing w:after="0"/>
              <w:rPr>
                <w:sz w:val="20"/>
                <w:szCs w:val="20"/>
                <w:color w:val="auto"/>
              </w:rPr>
            </w:pPr>
            <w:r>
              <w:rPr>
                <w:rFonts w:ascii="Arial" w:cs="Arial" w:eastAsia="Arial" w:hAnsi="Arial"/>
                <w:sz w:val="18"/>
                <w:szCs w:val="18"/>
                <w:color w:val="auto"/>
                <w:w w:val="87"/>
              </w:rPr>
              <w:t>5.3%</w:t>
            </w:r>
          </w:p>
        </w:tc>
        <w:tc>
          <w:tcPr>
            <w:tcW w:w="100" w:type="dxa"/>
            <w:vAlign w:val="bottom"/>
            <w:shd w:val="clear" w:color="auto" w:fill="CFF0FC"/>
          </w:tcPr>
          <w:p>
            <w:pPr>
              <w:spacing w:after="0"/>
              <w:rPr>
                <w:sz w:val="19"/>
                <w:szCs w:val="19"/>
                <w:color w:val="auto"/>
              </w:rPr>
            </w:pPr>
          </w:p>
        </w:tc>
        <w:tc>
          <w:tcPr>
            <w:tcW w:w="300" w:type="dxa"/>
            <w:vAlign w:val="bottom"/>
            <w:tcBorders>
              <w:left w:val="single" w:sz="8" w:color="CFF0FC"/>
            </w:tcBorders>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48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60" w:type="dxa"/>
            <w:vAlign w:val="bottom"/>
          </w:tcPr>
          <w:p>
            <w:pPr>
              <w:jc w:val="center"/>
              <w:ind w:right="211"/>
              <w:spacing w:after="0"/>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431"/>
        </w:trPr>
        <w:tc>
          <w:tcPr>
            <w:tcW w:w="5420" w:type="dxa"/>
            <w:vAlign w:val="bottom"/>
            <w:gridSpan w:val="3"/>
          </w:tcPr>
          <w:p>
            <w:pPr>
              <w:jc w:val="right"/>
              <w:ind w:right="90"/>
              <w:spacing w:after="0"/>
              <w:rPr>
                <w:sz w:val="20"/>
                <w:szCs w:val="20"/>
                <w:color w:val="auto"/>
              </w:rPr>
            </w:pPr>
            <w:r>
              <w:rPr>
                <w:rFonts w:ascii="Arial" w:cs="Arial" w:eastAsia="Arial" w:hAnsi="Arial"/>
                <w:sz w:val="18"/>
                <w:szCs w:val="18"/>
                <w:color w:val="auto"/>
                <w:w w:val="91"/>
              </w:rPr>
              <w:t>As of September 30, 2019, maturities of lease liabilities were as follows:</w:t>
            </w: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46"/>
        </w:trPr>
        <w:tc>
          <w:tcPr>
            <w:tcW w:w="6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520" w:type="dxa"/>
            <w:vAlign w:val="bottom"/>
          </w:tcPr>
          <w:p>
            <w:pPr>
              <w:spacing w:after="0"/>
              <w:rPr>
                <w:sz w:val="24"/>
                <w:szCs w:val="24"/>
                <w:color w:val="auto"/>
              </w:rPr>
            </w:pPr>
          </w:p>
        </w:tc>
        <w:tc>
          <w:tcPr>
            <w:tcW w:w="23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Pr>
          <w:p>
            <w:pPr>
              <w:spacing w:after="0"/>
              <w:rPr>
                <w:sz w:val="24"/>
                <w:szCs w:val="24"/>
                <w:color w:val="auto"/>
              </w:rPr>
            </w:pPr>
          </w:p>
        </w:tc>
        <w:tc>
          <w:tcPr>
            <w:tcW w:w="2460" w:type="dxa"/>
            <w:vAlign w:val="bottom"/>
            <w:gridSpan w:val="3"/>
          </w:tcPr>
          <w:p>
            <w:pPr>
              <w:ind w:left="34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49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32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2,633</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1,857</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3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6,409</w:t>
            </w:r>
          </w:p>
        </w:tc>
        <w:tc>
          <w:tcPr>
            <w:tcW w:w="10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16,751</w:t>
            </w:r>
          </w:p>
        </w:tc>
        <w:tc>
          <w:tcPr>
            <w:tcW w:w="3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520" w:type="dxa"/>
            <w:vAlign w:val="bottom"/>
            <w:shd w:val="clear" w:color="auto" w:fill="CFF0FC"/>
          </w:tcPr>
          <w:p>
            <w:pPr>
              <w:spacing w:after="0"/>
              <w:rPr>
                <w:sz w:val="19"/>
                <w:szCs w:val="19"/>
                <w:color w:val="auto"/>
              </w:rPr>
            </w:pPr>
          </w:p>
        </w:tc>
        <w:tc>
          <w:tcPr>
            <w:tcW w:w="2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(2,817)</w:t>
            </w:r>
          </w:p>
        </w:tc>
        <w:tc>
          <w:tcPr>
            <w:tcW w:w="440" w:type="dxa"/>
            <w:vAlign w:val="bottom"/>
            <w:shd w:val="clear" w:color="auto" w:fill="CFF0FC"/>
          </w:tcPr>
          <w:p>
            <w:pPr>
              <w:spacing w:after="0"/>
              <w:rPr>
                <w:sz w:val="19"/>
                <w:szCs w:val="19"/>
                <w:color w:val="auto"/>
              </w:rPr>
            </w:pPr>
          </w:p>
        </w:tc>
        <w:tc>
          <w:tcPr>
            <w:tcW w:w="2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w:t>
            </w:r>
          </w:p>
        </w:tc>
        <w:tc>
          <w:tcPr>
            <w:tcW w:w="300" w:type="dxa"/>
            <w:vAlign w:val="bottom"/>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Lease liability</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13,934</w:t>
            </w: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12" w:right="100"/>
        <w:spacing w:after="0" w:line="264" w:lineRule="auto"/>
        <w:rPr>
          <w:sz w:val="20"/>
          <w:szCs w:val="20"/>
          <w:color w:val="auto"/>
        </w:rPr>
      </w:pPr>
      <w:r>
        <w:rPr>
          <w:rFonts w:ascii="Arial" w:cs="Arial" w:eastAsia="Arial" w:hAnsi="Arial"/>
          <w:sz w:val="18"/>
          <w:szCs w:val="18"/>
          <w:color w:val="auto"/>
        </w:rPr>
        <w:t>As previously disclosed in our Annual Report on Form 10-K for the year ended December 31, 2018 and under previous lease accounting standards, future minimum lease payments for operating leases having initial or remaining noncancelable lease terms in excess of one year would have been as follows:</w:t>
      </w:r>
    </w:p>
    <w:p>
      <w:pPr>
        <w:spacing w:after="0" w:line="254" w:lineRule="exact"/>
        <w:rPr>
          <w:sz w:val="20"/>
          <w:szCs w:val="20"/>
          <w:color w:val="auto"/>
        </w:rPr>
      </w:pPr>
    </w:p>
    <w:tbl>
      <w:tblPr>
        <w:tblLayout w:type="fixed"/>
        <w:tblInd w:w="472" w:type="dxa"/>
        <w:tblCellMar>
          <w:top w:w="0" w:type="dxa"/>
          <w:left w:w="0" w:type="dxa"/>
          <w:bottom w:w="0" w:type="dxa"/>
          <w:right w:w="0" w:type="dxa"/>
        </w:tblCellMar>
      </w:tblPr>
      <w:tr>
        <w:trPr>
          <w:trHeight w:val="171"/>
        </w:trPr>
        <w:tc>
          <w:tcPr>
            <w:tcW w:w="774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400" w:type="dxa"/>
            <w:vAlign w:val="bottom"/>
          </w:tcPr>
          <w:p>
            <w:pPr>
              <w:spacing w:after="0"/>
              <w:rPr>
                <w:sz w:val="14"/>
                <w:szCs w:val="14"/>
                <w:color w:val="auto"/>
              </w:rPr>
            </w:pPr>
          </w:p>
        </w:tc>
        <w:tc>
          <w:tcPr>
            <w:tcW w:w="2320" w:type="dxa"/>
            <w:vAlign w:val="bottom"/>
            <w:gridSpan w:val="2"/>
          </w:tcPr>
          <w:p>
            <w:pPr>
              <w:ind w:left="3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2019</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2,745</w:t>
            </w:r>
          </w:p>
        </w:tc>
        <w:tc>
          <w:tcPr>
            <w:tcW w:w="12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19"/>
                <w:szCs w:val="19"/>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shd w:val="clear" w:color="auto" w:fill="CFF0FC"/>
          </w:tcPr>
          <w:p>
            <w:pPr>
              <w:spacing w:after="0"/>
              <w:rPr>
                <w:sz w:val="19"/>
                <w:szCs w:val="19"/>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12" w:hanging="512"/>
        <w:spacing w:after="0"/>
        <w:tabs>
          <w:tab w:leader="none" w:pos="51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12"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file income tax returns in various federal, state and local jurisdictions. Tax years from 2014 forward remain open for examination by Federal authorities. Tax years from 2014 forward remain open for all significant state and foreign authorities.</w:t>
      </w:r>
    </w:p>
    <w:p>
      <w:pPr>
        <w:spacing w:after="0" w:line="170" w:lineRule="exact"/>
        <w:rPr>
          <w:rFonts w:ascii="Arial" w:cs="Arial" w:eastAsia="Arial" w:hAnsi="Arial"/>
          <w:sz w:val="18"/>
          <w:szCs w:val="18"/>
          <w:b w:val="1"/>
          <w:bCs w:val="1"/>
          <w:color w:val="auto"/>
        </w:rPr>
      </w:pPr>
    </w:p>
    <w:p>
      <w:pPr>
        <w:ind w:left="512"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account for uncertain tax positions pursuant to ASC Topic 740, “Income Taxes.” As of September 30, 2019 and December 31, 2018, the liability for uncertain tax positions totaled approximately $0.5 and $0.9 million, respectively, which is included in “Other liabilities” on our Condensed Consolidated Balance Sheets. We recognize accrued interest related to uncertain tax positions and penalties, if any, in income tax expense within the Condensed Consolidated Statements of Operations.</w:t>
      </w:r>
    </w:p>
    <w:p>
      <w:pPr>
        <w:spacing w:after="0" w:line="186" w:lineRule="exact"/>
        <w:rPr>
          <w:rFonts w:ascii="Arial" w:cs="Arial" w:eastAsia="Arial" w:hAnsi="Arial"/>
          <w:sz w:val="18"/>
          <w:szCs w:val="18"/>
          <w:b w:val="1"/>
          <w:bCs w:val="1"/>
          <w:color w:val="auto"/>
        </w:rPr>
      </w:pPr>
    </w:p>
    <w:p>
      <w:pPr>
        <w:ind w:left="51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Certain of the Company’s undistributed earnings of our foreign subsidiaries are not permanently reinvested. Since foreign earnings have already been subject to U.S. income tax in 2017 as a result of the 2017 Tax Cuts and Jobs Act, we intend to repatriate foreign-held cash as needed. We record deferred income tax attributable to foreign withholding taxes that would become payable should we decide to repatriate cash held in our foreign operations. As of September 30, 2019 and December 31, 2018, we have recorded deferred income taxes of approximately zero and $0.6 million, respectively, on the undistributed earnings of our foreign subsidiaries. A significant portion of the previously undistributed earnings to which the deferred income taxes were attributable were repatriated in 2019.</w:t>
      </w:r>
    </w:p>
    <w:p>
      <w:pPr>
        <w:spacing w:after="0" w:line="17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92"/>
          </w:cols>
          <w:pgMar w:left="248" w:top="1004" w:right="359" w:bottom="1440" w:gutter="0" w:footer="0" w:header="0"/>
        </w:sectPr>
      </w:pPr>
    </w:p>
    <w:bookmarkStart w:id="15" w:name="page16"/>
    <w:bookmarkEnd w:id="15"/>
    <w:p>
      <w:pPr>
        <w:ind w:left="512" w:right="20"/>
        <w:spacing w:after="0" w:line="289" w:lineRule="auto"/>
        <w:rPr>
          <w:sz w:val="20"/>
          <w:szCs w:val="20"/>
          <w:color w:val="auto"/>
        </w:rPr>
      </w:pPr>
      <w:r>
        <w:rPr>
          <w:rFonts w:ascii="Arial" w:cs="Arial" w:eastAsia="Arial" w:hAnsi="Arial"/>
          <w:sz w:val="16"/>
          <w:szCs w:val="16"/>
          <w:color w:val="auto"/>
        </w:rPr>
        <w:t>Income tax expense (benefit) was $0.7 million for the third quarter of 2019 and $(2.6) million for the first nine months of 2019, compared with income tax expense of $1.3 million for the third quarter of 2018 and $6.8 million for the first nine months of 2018. The effective income tax rate for the third quarter of 2019 was 27.7% compared with (11.5)% for third quarter of 2018. The effective income tax rate was (38.1)% for the first nine months of 2019, compared with (524.7)% for the first nine months of 2018. The effective income tax rate for the nine months ended September 30, 2019 was negative (i.e. income tax benefits), despite pre-tax income, due primarily to a tax benefit of $4.4 million upon finalization of a tax position related to the 2018 divestiture of Jiangyin Zhongli Industrial Technology Co. Ltd (“Zhongli”). That benefit was recorded as a discrete item in the second quarter of 2019. Our effective tax rate is affected by certain other permanent differences, including state income taxes, non-deductible incentive stock-based compensation, the Global Intangible Low-Taxed Income inclusion and Foreign-Derived Intangible Income deduction, tax credits, return-to-provision adjustments, and differences in tax rates among the jurisdictions in which we operate.</w:t>
      </w:r>
    </w:p>
    <w:p>
      <w:pPr>
        <w:spacing w:after="0" w:line="365" w:lineRule="exact"/>
        <w:rPr>
          <w:sz w:val="20"/>
          <w:szCs w:val="20"/>
          <w:color w:val="auto"/>
        </w:rPr>
      </w:pPr>
    </w:p>
    <w:p>
      <w:pPr>
        <w:ind w:left="512" w:hanging="512"/>
        <w:spacing w:after="0"/>
        <w:tabs>
          <w:tab w:leader="none" w:pos="512"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512"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financial instruments consist primarily of investments in cash and cash equivalents, receivables and certain other assets, foreign debt and accounts payable, which approximate fair value at September 30, 2019 and December 31, 2018, due to their short-term nature or variable, market-driven interest rates.</w:t>
      </w:r>
    </w:p>
    <w:p>
      <w:pPr>
        <w:spacing w:after="0" w:line="181" w:lineRule="exact"/>
        <w:rPr>
          <w:rFonts w:ascii="Arial" w:cs="Arial" w:eastAsia="Arial" w:hAnsi="Arial"/>
          <w:sz w:val="18"/>
          <w:szCs w:val="18"/>
          <w:b w:val="1"/>
          <w:bCs w:val="1"/>
          <w:color w:val="auto"/>
        </w:rPr>
      </w:pPr>
    </w:p>
    <w:p>
      <w:pPr>
        <w:ind w:left="512"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fair value of the debt issued under the Credit Facility was $69.4 million and $76.1 million at September 30, 2019 and December 31, 2018, respectively. The fair value of the note payable was $1.7 million at December 31, 2018.</w:t>
      </w:r>
    </w:p>
    <w:p>
      <w:pPr>
        <w:spacing w:after="0" w:line="170" w:lineRule="exact"/>
        <w:rPr>
          <w:rFonts w:ascii="Arial" w:cs="Arial" w:eastAsia="Arial" w:hAnsi="Arial"/>
          <w:sz w:val="18"/>
          <w:szCs w:val="18"/>
          <w:b w:val="1"/>
          <w:bCs w:val="1"/>
          <w:color w:val="auto"/>
        </w:rPr>
      </w:pPr>
    </w:p>
    <w:p>
      <w:pPr>
        <w:ind w:left="51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At September 30, 2019 and December 31, 2018, the Company had cash and cash equivalents of $29.0 million and $43.7 million, respectively, of which $21.5 million and $23.3 million, respectively, was held outside of the United States, principally in the Netherlands, United Kingdom, China, and Canada.</w:t>
      </w:r>
    </w:p>
    <w:p>
      <w:pPr>
        <w:spacing w:after="0" w:line="163" w:lineRule="exact"/>
        <w:rPr>
          <w:rFonts w:ascii="Arial" w:cs="Arial" w:eastAsia="Arial" w:hAnsi="Arial"/>
          <w:sz w:val="18"/>
          <w:szCs w:val="18"/>
          <w:b w:val="1"/>
          <w:bCs w:val="1"/>
          <w:color w:val="auto"/>
        </w:rPr>
      </w:pPr>
    </w:p>
    <w:p>
      <w:pPr>
        <w:ind w:left="512" w:right="7080" w:hanging="512"/>
        <w:spacing w:after="0" w:line="378" w:lineRule="auto"/>
        <w:tabs>
          <w:tab w:leader="none" w:pos="507"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 Legal Matters </w:t>
      </w:r>
      <w:r>
        <w:rPr>
          <w:rFonts w:ascii="Arial" w:cs="Arial" w:eastAsia="Arial" w:hAnsi="Arial"/>
          <w:sz w:val="18"/>
          <w:szCs w:val="18"/>
          <w:i w:val="1"/>
          <w:iCs w:val="1"/>
          <w:color w:val="auto"/>
        </w:rPr>
        <w:t>Asbestos cases</w:t>
      </w:r>
    </w:p>
    <w:p>
      <w:pPr>
        <w:ind w:left="512" w:right="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Our subsidiary, Met-Pro Technologies LLC (“Met-Pro”), beginning in 2002, began to be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September 30, 2019 for cases involving asbestos-related claims were $3.0 million, of which, together with all legal fees other than corporate counsel expenses, $2.8 million has been paid by the Company’s insurers. The average cost per settled claim, excluding legal fees, was approximately $35,000.</w:t>
      </w:r>
    </w:p>
    <w:p>
      <w:pPr>
        <w:spacing w:after="0" w:line="182" w:lineRule="exact"/>
        <w:rPr>
          <w:rFonts w:ascii="Arial" w:cs="Arial" w:eastAsia="Arial" w:hAnsi="Arial"/>
          <w:sz w:val="18"/>
          <w:szCs w:val="18"/>
          <w:b w:val="1"/>
          <w:bCs w:val="1"/>
          <w:color w:val="auto"/>
        </w:rPr>
      </w:pPr>
    </w:p>
    <w:p>
      <w:pPr>
        <w:ind w:left="512"/>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Based upon the most recent information available to the Company regarding such claims, there were a total of 206 cases pending against the Company as of September 30, 2019 (with Illinois, New York, Pennsylvania and West Virginia having the largest number of cases), as compared with 208 cases that were pending as of December 31, 2018. During the nine-months ended September 30, 2019, 51 new cases were filed against the Company, and the Company was dismissed from 45 cases and settled eight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8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Summary</w:t>
      </w:r>
    </w:p>
    <w:p>
      <w:pPr>
        <w:spacing w:after="0" w:line="225" w:lineRule="exact"/>
        <w:rPr>
          <w:rFonts w:ascii="Arial" w:cs="Arial" w:eastAsia="Arial" w:hAnsi="Arial"/>
          <w:sz w:val="18"/>
          <w:szCs w:val="18"/>
          <w:b w:val="1"/>
          <w:bCs w:val="1"/>
          <w:color w:val="auto"/>
        </w:rPr>
      </w:pPr>
    </w:p>
    <w:p>
      <w:pPr>
        <w:ind w:left="512"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16" w:name="page17"/>
    <w:bookmarkEnd w:id="16"/>
    <w:p>
      <w:pPr>
        <w:ind w:left="520" w:right="200"/>
        <w:spacing w:after="0" w:line="259" w:lineRule="auto"/>
        <w:rPr>
          <w:sz w:val="20"/>
          <w:szCs w:val="20"/>
          <w:color w:val="auto"/>
        </w:rPr>
      </w:pPr>
      <w:r>
        <w:rPr>
          <w:rFonts w:ascii="Arial" w:cs="Arial" w:eastAsia="Arial" w:hAnsi="Arial"/>
          <w:sz w:val="18"/>
          <w:szCs w:val="18"/>
          <w:color w:val="auto"/>
        </w:rPr>
        <w:t>The final outcome and impact of open matters, and related claims and investigations that may be brought in the future, are subject to many variables, and cannot be predicted. In accordance with ASC 450, “Contingencies”, and related guidance, we record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7"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We are not aware of any pending claims or assessments, other than as described above, which may have a material adverse impact on our liquidity, financial position, results of operations, or cash flows.</w:t>
      </w:r>
    </w:p>
    <w:p>
      <w:pPr>
        <w:spacing w:after="0" w:line="356"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 Information</w:t>
      </w:r>
    </w:p>
    <w:p>
      <w:pPr>
        <w:spacing w:after="0" w:line="121" w:lineRule="exact"/>
        <w:rPr>
          <w:rFonts w:ascii="Arial" w:cs="Arial" w:eastAsia="Arial" w:hAnsi="Arial"/>
          <w:sz w:val="18"/>
          <w:szCs w:val="18"/>
          <w:b w:val="1"/>
          <w:bCs w:val="1"/>
          <w:color w:val="auto"/>
        </w:rPr>
      </w:pPr>
    </w:p>
    <w:p>
      <w:pPr>
        <w:ind w:left="52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the “Income (loss) from operations” line on the Consolidated Statements of Operations.</w:t>
      </w:r>
    </w:p>
    <w:p>
      <w:pPr>
        <w:spacing w:after="0" w:line="73" w:lineRule="exact"/>
        <w:rPr>
          <w:rFonts w:ascii="Arial" w:cs="Arial" w:eastAsia="Arial" w:hAnsi="Arial"/>
          <w:sz w:val="18"/>
          <w:szCs w:val="18"/>
          <w:b w:val="1"/>
          <w:bCs w:val="1"/>
          <w:color w:val="auto"/>
        </w:rPr>
      </w:pPr>
    </w:p>
    <w:p>
      <w:pPr>
        <w:ind w:left="52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the first quarter of 2019, as a result of further evaluating the Company’s operating structure, management determined that a minor realignment of the Company’s segments would help maximize growth and improve customer experience. As a result of this minor realignment, the operating results of the reportable segments Fluid Handling Solutions and Industrial Solutions have been reclassified to have their results align for the three-month and nine-month periods ended September 30, 2019 and 2018.</w:t>
      </w:r>
    </w:p>
    <w:p>
      <w:pPr>
        <w:spacing w:after="0" w:line="7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reportable segments are organized as groups of similar products and services, as described as follows:</w:t>
      </w:r>
    </w:p>
    <w:p>
      <w:pPr>
        <w:spacing w:after="0" w:line="221" w:lineRule="exact"/>
        <w:rPr>
          <w:rFonts w:ascii="Arial" w:cs="Arial" w:eastAsia="Arial" w:hAnsi="Arial"/>
          <w:sz w:val="18"/>
          <w:szCs w:val="18"/>
          <w:b w:val="1"/>
          <w:bCs w:val="1"/>
          <w:color w:val="auto"/>
        </w:rPr>
      </w:pPr>
    </w:p>
    <w:p>
      <w:pPr>
        <w:ind w:left="520" w:right="8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Energy Solutions segment: </w:t>
      </w:r>
      <w:r>
        <w:rPr>
          <w:rFonts w:ascii="Arial" w:cs="Arial" w:eastAsia="Arial" w:hAnsi="Arial"/>
          <w:sz w:val="18"/>
          <w:szCs w:val="18"/>
          <w:color w:val="auto"/>
        </w:rPr>
        <w:t>Our Energy Solutions segment serves the Energy market, where we are a key part of helping meet the global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Clean Energy with products and services that support our customers with efficient solutions and technologies to keep the world clean and safe. Our offerings improve air quality and solves fluid handling needs with market leading, highly engineered, and customized solutions for the power generation, oil &amp; gas, and petrochemical industries.</w:t>
      </w:r>
    </w:p>
    <w:p>
      <w:pPr>
        <w:spacing w:after="0" w:line="180" w:lineRule="exact"/>
        <w:rPr>
          <w:rFonts w:ascii="Arial" w:cs="Arial" w:eastAsia="Arial" w:hAnsi="Arial"/>
          <w:sz w:val="18"/>
          <w:szCs w:val="18"/>
          <w:b w:val="1"/>
          <w:bCs w:val="1"/>
          <w:color w:val="auto"/>
        </w:rPr>
      </w:pPr>
    </w:p>
    <w:p>
      <w:pPr>
        <w:ind w:left="520" w:right="80"/>
        <w:spacing w:after="0" w:line="30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Industrial Solutions segment: </w:t>
      </w:r>
      <w:r>
        <w:rPr>
          <w:rFonts w:ascii="Arial" w:cs="Arial" w:eastAsia="Arial" w:hAnsi="Arial"/>
          <w:sz w:val="16"/>
          <w:szCs w:val="16"/>
          <w:color w:val="auto"/>
        </w:rPr>
        <w:t>Our Industrial Solutions segment serves the Industrial Pollution Control market where our aim is to address the</w:t>
      </w:r>
      <w:r>
        <w:rPr>
          <w:rFonts w:ascii="Arial" w:cs="Arial" w:eastAsia="Arial" w:hAnsi="Arial"/>
          <w:sz w:val="16"/>
          <w:szCs w:val="16"/>
          <w:b w:val="1"/>
          <w:bCs w:val="1"/>
          <w:color w:val="auto"/>
        </w:rPr>
        <w:t xml:space="preserve"> </w:t>
      </w:r>
      <w:r>
        <w:rPr>
          <w:rFonts w:ascii="Arial" w:cs="Arial" w:eastAsia="Arial" w:hAnsi="Arial"/>
          <w:sz w:val="16"/>
          <w:szCs w:val="16"/>
          <w:color w:val="auto"/>
        </w:rPr>
        <w:t>growing need to protect the air we breathe and help our customers’ desires for sustainability upgrades beyond carbon footprint issues. Our offerings improve air quality with a compelling solution set of air pollution control technologies that enable our customers to reduce their carbon footprint, lower energy consumption, minimize waste and meet compliance targets for toxic emissions, fumes, volatile organic compounds, and industrial odors.</w:t>
      </w:r>
    </w:p>
    <w:p>
      <w:pPr>
        <w:spacing w:after="0" w:line="151" w:lineRule="exact"/>
        <w:rPr>
          <w:rFonts w:ascii="Arial" w:cs="Arial" w:eastAsia="Arial" w:hAnsi="Arial"/>
          <w:sz w:val="18"/>
          <w:szCs w:val="18"/>
          <w:b w:val="1"/>
          <w:bCs w:val="1"/>
          <w:color w:val="auto"/>
        </w:rPr>
      </w:pPr>
    </w:p>
    <w:p>
      <w:pPr>
        <w:ind w:left="520" w:right="8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Fluid Handling Solutions segment: </w:t>
      </w:r>
      <w:r>
        <w:rPr>
          <w:rFonts w:ascii="Arial" w:cs="Arial" w:eastAsia="Arial" w:hAnsi="Arial"/>
          <w:sz w:val="18"/>
          <w:szCs w:val="18"/>
          <w:color w:val="auto"/>
        </w:rPr>
        <w:t>Our Fluid Handling Solutions segment offers unique pump and filtration solutions that maintain safe and clean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in some of the most harsh and toxic environments. In this market, we provide solutions for mission-critical applications to a wide variety of industries including, but not limited to, plating and metal finishing, automotive, food and beverage, chemical, petrochemical, pharmaceutical, wastewater treatment, desalination and the aquarium &amp; aquaculture markets.</w:t>
      </w:r>
    </w:p>
    <w:p>
      <w:pPr>
        <w:spacing w:after="0" w:line="3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segment information is presented in the following tables: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6"/>
              </w:rPr>
              <w:t>Three months ended September 30,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7"/>
              </w:rPr>
              <w:t>Nine months ended September 30,</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200" w:type="dxa"/>
            <w:vAlign w:val="bottom"/>
            <w:tcBorders>
              <w:bottom w:val="single" w:sz="8" w:color="CFF0FC"/>
            </w:tcBorders>
            <w:vMerge w:val="continue"/>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inter-segment sales)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20" w:type="dxa"/>
            <w:vAlign w:val="bottom"/>
            <w:gridSpan w:val="2"/>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48,847</w:t>
            </w:r>
          </w:p>
        </w:tc>
        <w:tc>
          <w:tcPr>
            <w:tcW w:w="22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56,552</w:t>
            </w:r>
          </w:p>
        </w:tc>
        <w:tc>
          <w:tcPr>
            <w:tcW w:w="18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154,606</w:t>
            </w:r>
          </w:p>
        </w:tc>
        <w:tc>
          <w:tcPr>
            <w:tcW w:w="180" w:type="dxa"/>
            <w:vAlign w:val="bottom"/>
          </w:tcPr>
          <w:p>
            <w:pPr>
              <w:spacing w:after="0"/>
              <w:rPr>
                <w:sz w:val="19"/>
                <w:szCs w:val="19"/>
                <w:color w:val="auto"/>
              </w:rPr>
            </w:pPr>
          </w:p>
        </w:tc>
        <w:tc>
          <w:tcPr>
            <w:tcW w:w="320" w:type="dxa"/>
            <w:vAlign w:val="bottom"/>
            <w:gridSpan w:val="2"/>
          </w:tcPr>
          <w:p>
            <w:pPr>
              <w:jc w:val="right"/>
              <w:ind w:right="125"/>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147,661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21,868</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65,920</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59,833</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Fluid Handling Solutions Segment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9,836</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31,930</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35,991</w:t>
            </w:r>
          </w:p>
        </w:tc>
        <w:tc>
          <w:tcPr>
            <w:tcW w:w="100" w:type="dxa"/>
            <w:vAlign w:val="bottom"/>
            <w:tcBorders>
              <w:bottom w:val="single" w:sz="8" w:color="CFF0FC"/>
            </w:tcBorders>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85,266</w:t>
            </w: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88,256</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252,456</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243,485</w:t>
            </w:r>
          </w:p>
        </w:tc>
        <w:tc>
          <w:tcPr>
            <w:tcW w:w="100" w:type="dxa"/>
            <w:vAlign w:val="bottom"/>
            <w:tcBorders>
              <w:bottom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 w:type="dxa"/>
            <w:vAlign w:val="bottom"/>
          </w:tcPr>
          <w:p>
            <w:pPr>
              <w:spacing w:after="0"/>
              <w:rPr>
                <w:sz w:val="24"/>
                <w:szCs w:val="24"/>
                <w:color w:val="auto"/>
              </w:rPr>
            </w:pPr>
          </w:p>
        </w:tc>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6"/>
              </w:rPr>
              <w:t>Three months ended September 30,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5"/>
              </w:rPr>
              <w:t>Nine months ended September 30,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20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Operations</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7,633</w:t>
            </w:r>
          </w:p>
        </w:tc>
        <w:tc>
          <w:tcPr>
            <w:tcW w:w="220" w:type="dxa"/>
            <w:vAlign w:val="bottom"/>
          </w:tcPr>
          <w:p>
            <w:pPr>
              <w:spacing w:after="0"/>
              <w:rPr>
                <w:sz w:val="19"/>
                <w:szCs w:val="19"/>
                <w:color w:val="auto"/>
              </w:rPr>
            </w:pPr>
          </w:p>
        </w:tc>
        <w:tc>
          <w:tcPr>
            <w:tcW w:w="32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8,157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23,275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10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(7,186)</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(22,666)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(20,878)</w:t>
            </w: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(24,691)</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Eliminations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(10,441)</w:t>
            </w: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10,965</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215"/>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7" w:name="page18"/>
    <w:bookmarkEnd w:id="17"/>
    <w:p>
      <w:pPr>
        <w:ind w:left="520" w:right="360" w:hanging="512"/>
        <w:spacing w:after="0" w:line="264" w:lineRule="auto"/>
        <w:tabs>
          <w:tab w:leader="none" w:pos="520" w:val="left"/>
        </w:tabs>
        <w:numPr>
          <w:ilvl w:val="0"/>
          <w:numId w:val="13"/>
        </w:numPr>
        <w:rPr>
          <w:rFonts w:ascii="Arial" w:cs="Arial" w:eastAsia="Arial" w:hAnsi="Arial"/>
          <w:sz w:val="15"/>
          <w:szCs w:val="15"/>
          <w:color w:val="auto"/>
        </w:rPr>
      </w:pPr>
      <w:r>
        <w:rPr>
          <w:rFonts w:ascii="Arial" w:cs="Arial" w:eastAsia="Arial" w:hAnsi="Arial"/>
          <w:sz w:val="18"/>
          <w:szCs w:val="18"/>
          <w:color w:val="auto"/>
        </w:rPr>
        <w:t>Includes gain (loss) on divestitures, net of selling costs (see Note 17 – Divestitures), corporate compensation, professional services, information technology, and other general and administrative corporate expenses. This figure excludes earnout expenses, which are recorded in the segment in which the expense occurs.</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2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4"/>
                <w:szCs w:val="14"/>
                <w:color w:val="auto"/>
              </w:rPr>
            </w:pPr>
          </w:p>
        </w:tc>
        <w:tc>
          <w:tcPr>
            <w:tcW w:w="2740" w:type="dxa"/>
            <w:vAlign w:val="bottom"/>
            <w:gridSpan w:val="7"/>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Property and Equipment Additions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w w:val="86"/>
              </w:rPr>
              <w:t>218</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222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2,135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2,624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682</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Property and equipment additions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1,306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3,746</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28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4"/>
                <w:szCs w:val="24"/>
                <w:color w:val="auto"/>
              </w:rPr>
            </w:pPr>
          </w:p>
        </w:tc>
        <w:tc>
          <w:tcPr>
            <w:tcW w:w="2740" w:type="dxa"/>
            <w:vAlign w:val="bottom"/>
            <w:gridSpan w:val="7"/>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220" w:type="dxa"/>
            <w:vAlign w:val="bottom"/>
            <w:tcBorders>
              <w:bottom w:val="single" w:sz="8" w:color="CFF0FC"/>
            </w:tcBorders>
            <w:vMerge w:val="continue"/>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1,544</w:t>
            </w:r>
          </w:p>
        </w:tc>
        <w:tc>
          <w:tcPr>
            <w:tcW w:w="2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2,379</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4,684</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6"/>
              </w:rPr>
              <w:t>998</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6"/>
              </w:rPr>
              <w:t>331</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3,937</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8,153</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2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September 30, 2019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Identifiable Assets</w:t>
            </w: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246,630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58,250</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71,778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(2)</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12,982</w:t>
            </w:r>
          </w:p>
        </w:tc>
        <w:tc>
          <w:tcPr>
            <w:tcW w:w="1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500"/>
              <w:spacing w:after="0"/>
              <w:rPr>
                <w:sz w:val="20"/>
                <w:szCs w:val="20"/>
                <w:color w:val="auto"/>
              </w:rPr>
            </w:pPr>
            <w:r>
              <w:rPr>
                <w:rFonts w:ascii="Arial" w:cs="Arial" w:eastAsia="Arial" w:hAnsi="Arial"/>
                <w:sz w:val="18"/>
                <w:szCs w:val="18"/>
                <w:color w:val="auto"/>
              </w:rPr>
              <w:t>Identifiable 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389,640</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Corporate and Other assets consist primarily of cash and income tax related assets.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8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Goodwill</w:t>
            </w:r>
          </w:p>
        </w:tc>
        <w:tc>
          <w:tcPr>
            <w:tcW w:w="18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8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96,956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97,143</w:t>
            </w:r>
          </w:p>
        </w:tc>
        <w:tc>
          <w:tcPr>
            <w:tcW w:w="100" w:type="dxa"/>
            <w:vAlign w:val="bottom"/>
          </w:tcPr>
          <w:p>
            <w:pPr>
              <w:spacing w:after="0"/>
              <w:rPr>
                <w:sz w:val="19"/>
                <w:szCs w:val="19"/>
                <w:color w:val="auto"/>
              </w:rPr>
            </w:pPr>
          </w:p>
        </w:tc>
      </w:tr>
      <w:tr>
        <w:trPr>
          <w:trHeight w:val="230"/>
        </w:trPr>
        <w:tc>
          <w:tcPr>
            <w:tcW w:w="6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23,436</w:t>
            </w:r>
          </w:p>
        </w:tc>
        <w:tc>
          <w:tcPr>
            <w:tcW w:w="100" w:type="dxa"/>
            <w:vAlign w:val="bottom"/>
            <w:shd w:val="clear" w:color="auto" w:fill="CFF0FC"/>
          </w:tcPr>
          <w:p>
            <w:pPr>
              <w:spacing w:after="0"/>
              <w:rPr>
                <w:sz w:val="19"/>
                <w:szCs w:val="19"/>
                <w:color w:val="auto"/>
              </w:rPr>
            </w:pPr>
          </w:p>
        </w:tc>
      </w:tr>
      <w:tr>
        <w:trPr>
          <w:trHeight w:val="230"/>
        </w:trPr>
        <w:tc>
          <w:tcPr>
            <w:tcW w:w="6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Fluid Handling Solutions Segment</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31,577</w:t>
            </w:r>
          </w:p>
        </w:tc>
        <w:tc>
          <w:tcPr>
            <w:tcW w:w="100" w:type="dxa"/>
            <w:vAlign w:val="bottom"/>
            <w:tcBorders>
              <w:bottom w:val="single" w:sz="8" w:color="CFF0FC"/>
            </w:tcBorders>
          </w:tcPr>
          <w:p>
            <w:pPr>
              <w:spacing w:after="0"/>
              <w:rPr>
                <w:sz w:val="19"/>
                <w:szCs w:val="19"/>
                <w:color w:val="auto"/>
              </w:rPr>
            </w:pPr>
          </w:p>
        </w:tc>
      </w:tr>
      <w:tr>
        <w:trPr>
          <w:trHeight w:val="223"/>
        </w:trPr>
        <w:tc>
          <w:tcPr>
            <w:tcW w:w="65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151,969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Intra-segment and Inter-segment Revenues</w:t>
      </w:r>
    </w:p>
    <w:p>
      <w:pPr>
        <w:spacing w:after="0" w:line="121"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The Company has multiple divisions that sell to each other within segments (intra-segment sales) and between segments (inter-segment sales) as indicated in the following tables: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Three months ended September 30, 2019</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Intra-</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7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Net Sales to</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2"/>
                <w:szCs w:val="12"/>
                <w:color w:val="auto"/>
              </w:rPr>
            </w:pPr>
          </w:p>
        </w:tc>
        <w:tc>
          <w:tcPr>
            <w:tcW w:w="1060" w:type="dxa"/>
            <w:vAlign w:val="bottom"/>
            <w:gridSpan w:val="2"/>
            <w:vMerge w:val="restart"/>
          </w:tcPr>
          <w:p>
            <w:pPr>
              <w:jc w:val="right"/>
              <w:ind w:right="368"/>
              <w:spacing w:after="0"/>
              <w:rPr>
                <w:sz w:val="20"/>
                <w:szCs w:val="20"/>
                <w:color w:val="auto"/>
              </w:rPr>
            </w:pPr>
            <w:r>
              <w:rPr>
                <w:rFonts w:ascii="Arial" w:cs="Arial" w:eastAsia="Arial" w:hAnsi="Arial"/>
                <w:sz w:val="14"/>
                <w:szCs w:val="14"/>
                <w:b w:val="1"/>
                <w:bCs w:val="1"/>
                <w:color w:val="auto"/>
                <w:w w:val="95"/>
              </w:rPr>
              <w:t>Industrial</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Energy</w:t>
            </w:r>
          </w:p>
        </w:tc>
        <w:tc>
          <w:tcPr>
            <w:tcW w:w="20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Fluid</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Outside</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Customers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51,083</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(102)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48,847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26,983</w:t>
            </w:r>
          </w:p>
        </w:tc>
        <w:tc>
          <w:tcPr>
            <w:tcW w:w="80" w:type="dxa"/>
            <w:vAlign w:val="bottom"/>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9,436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90,175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85,266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58"/>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82" w:right="219" w:bottom="1440" w:gutter="0" w:footer="0" w:header="0"/>
        </w:sectPr>
      </w:pPr>
    </w:p>
    <w:bookmarkStart w:id="18" w:name="page19"/>
    <w:bookmarkEnd w:id="18"/>
    <w:tbl>
      <w:tblPr>
        <w:tblLayout w:type="fixed"/>
        <w:tblInd w:w="572"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4"/>
                <w:szCs w:val="14"/>
                <w:b w:val="1"/>
                <w:bCs w:val="1"/>
                <w:color w:val="auto"/>
              </w:rPr>
              <w:t>Three months ended September 30, 2018</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362"/>
              <w:spacing w:after="0"/>
              <w:rPr>
                <w:sz w:val="20"/>
                <w:szCs w:val="20"/>
                <w:color w:val="auto"/>
              </w:rPr>
            </w:pPr>
            <w:r>
              <w:rPr>
                <w:rFonts w:ascii="Arial" w:cs="Arial" w:eastAsia="Arial" w:hAnsi="Arial"/>
                <w:sz w:val="14"/>
                <w:szCs w:val="14"/>
                <w:b w:val="1"/>
                <w:bCs w:val="1"/>
                <w:color w:val="auto"/>
              </w:rPr>
              <w:t>Intra-</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8"/>
              </w:rPr>
              <w:t>Industrial</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Energy</w:t>
            </w:r>
          </w:p>
        </w:tc>
        <w:tc>
          <w:tcPr>
            <w:tcW w:w="20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Fluid</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4"/>
                <w:szCs w:val="14"/>
                <w:color w:val="auto"/>
              </w:rPr>
            </w:pPr>
          </w:p>
        </w:tc>
        <w:tc>
          <w:tcPr>
            <w:tcW w:w="1040" w:type="dxa"/>
            <w:vAlign w:val="bottom"/>
            <w:gridSpan w:val="2"/>
          </w:tcPr>
          <w:p>
            <w:pPr>
              <w:jc w:val="center"/>
              <w:ind w:right="362"/>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58,561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(1,453)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(556)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10,226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91,196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2"/>
              </w:rPr>
              <w:t>Nine months ended September 30, 2019</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362"/>
              <w:spacing w:after="0"/>
              <w:rPr>
                <w:sz w:val="20"/>
                <w:szCs w:val="20"/>
                <w:color w:val="auto"/>
              </w:rPr>
            </w:pPr>
            <w:r>
              <w:rPr>
                <w:rFonts w:ascii="Arial" w:cs="Arial" w:eastAsia="Arial" w:hAnsi="Arial"/>
                <w:sz w:val="14"/>
                <w:szCs w:val="14"/>
                <w:b w:val="1"/>
                <w:bCs w:val="1"/>
                <w:color w:val="auto"/>
              </w:rPr>
              <w:t>Intra-</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8"/>
              </w:rPr>
              <w:t>Industrial</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Energy</w:t>
            </w:r>
          </w:p>
        </w:tc>
        <w:tc>
          <w:tcPr>
            <w:tcW w:w="20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Fluid</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4"/>
                <w:szCs w:val="14"/>
                <w:color w:val="auto"/>
              </w:rPr>
            </w:pPr>
          </w:p>
        </w:tc>
        <w:tc>
          <w:tcPr>
            <w:tcW w:w="1040" w:type="dxa"/>
            <w:vAlign w:val="bottom"/>
            <w:gridSpan w:val="2"/>
          </w:tcPr>
          <w:p>
            <w:pPr>
              <w:jc w:val="center"/>
              <w:ind w:right="362"/>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158,888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(3,998)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(272)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73,794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(6,204)</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9"/>
                <w:szCs w:val="19"/>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265,871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(11,298</w:t>
            </w:r>
          </w:p>
        </w:tc>
        <w:tc>
          <w:tcPr>
            <w:tcW w:w="300" w:type="dxa"/>
            <w:vAlign w:val="bottom"/>
            <w:tcBorders>
              <w:top w:val="single" w:sz="8" w:color="CFF0FC"/>
              <w:bottom w:val="single" w:sz="8" w:color="CFF0FC"/>
            </w:tcBorders>
            <w:shd w:val="clear" w:color="auto" w:fill="CFF0FC"/>
          </w:tcPr>
          <w:p>
            <w:pPr>
              <w:jc w:val="right"/>
              <w:ind w:right="142"/>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252,456</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6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4"/>
                <w:szCs w:val="14"/>
                <w:b w:val="1"/>
                <w:bCs w:val="1"/>
                <w:color w:val="auto"/>
                <w:w w:val="92"/>
              </w:rPr>
              <w:t>Nine months ended September 30, 2018</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jc w:val="center"/>
              <w:ind w:right="362"/>
              <w:spacing w:after="0"/>
              <w:rPr>
                <w:sz w:val="20"/>
                <w:szCs w:val="20"/>
                <w:color w:val="auto"/>
              </w:rPr>
            </w:pPr>
            <w:r>
              <w:rPr>
                <w:rFonts w:ascii="Arial" w:cs="Arial" w:eastAsia="Arial" w:hAnsi="Arial"/>
                <w:sz w:val="14"/>
                <w:szCs w:val="14"/>
                <w:b w:val="1"/>
                <w:bCs w:val="1"/>
                <w:color w:val="auto"/>
              </w:rPr>
              <w:t>Intra-</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1"/>
              </w:rPr>
              <w:t>Less Inter-Segment Sales</w:t>
            </w: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Net Sales to</w:t>
            </w: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62"/>
              <w:spacing w:after="0" w:line="149" w:lineRule="exact"/>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8"/>
              </w:rPr>
              <w:t>Industrial</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Energy</w:t>
            </w:r>
          </w:p>
        </w:tc>
        <w:tc>
          <w:tcPr>
            <w:tcW w:w="200" w:type="dxa"/>
            <w:vAlign w:val="bottom"/>
          </w:tcPr>
          <w:p>
            <w:pPr>
              <w:spacing w:after="0"/>
              <w:rPr>
                <w:sz w:val="12"/>
                <w:szCs w:val="12"/>
                <w:color w:val="auto"/>
              </w:rPr>
            </w:pPr>
          </w:p>
        </w:tc>
        <w:tc>
          <w:tcPr>
            <w:tcW w:w="8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Fluid</w:t>
            </w: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Outside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4"/>
                <w:szCs w:val="14"/>
                <w:color w:val="auto"/>
              </w:rPr>
            </w:pPr>
          </w:p>
        </w:tc>
        <w:tc>
          <w:tcPr>
            <w:tcW w:w="1040" w:type="dxa"/>
            <w:vAlign w:val="bottom"/>
            <w:gridSpan w:val="2"/>
          </w:tcPr>
          <w:p>
            <w:pPr>
              <w:jc w:val="center"/>
              <w:ind w:right="362"/>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Customers</w:t>
            </w: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Energy Solutions Segment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155,011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(5,851)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(1,494)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147,661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Industrial Solutions Segment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(2,178)</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40"/>
              <w:spacing w:after="0"/>
              <w:rPr>
                <w:sz w:val="20"/>
                <w:szCs w:val="20"/>
                <w:color w:val="auto"/>
              </w:rPr>
            </w:pPr>
            <w:r>
              <w:rPr>
                <w:rFonts w:ascii="Arial" w:cs="Arial" w:eastAsia="Arial" w:hAnsi="Arial"/>
                <w:sz w:val="18"/>
                <w:szCs w:val="18"/>
                <w:color w:val="auto"/>
              </w:rPr>
              <w:t>Fluid Handling Solutions Segment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37,557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(1,208)</w:t>
            </w:r>
          </w:p>
        </w:tc>
        <w:tc>
          <w:tcPr>
            <w:tcW w:w="100" w:type="dxa"/>
            <w:vAlign w:val="bottom"/>
          </w:tcPr>
          <w:p>
            <w:pPr>
              <w:spacing w:after="0"/>
              <w:rPr>
                <w:sz w:val="19"/>
                <w:szCs w:val="19"/>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35,991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255,220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243,485</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512" w:hanging="512"/>
        <w:spacing w:after="0"/>
        <w:tabs>
          <w:tab w:leader="none" w:pos="51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Divestitures</w:t>
      </w:r>
    </w:p>
    <w:p>
      <w:pPr>
        <w:spacing w:after="0" w:line="215"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Strobic Air Corporation</w:t>
      </w:r>
    </w:p>
    <w:p>
      <w:pPr>
        <w:spacing w:after="0" w:line="23" w:lineRule="exact"/>
        <w:rPr>
          <w:rFonts w:ascii="Arial" w:cs="Arial" w:eastAsia="Arial" w:hAnsi="Arial"/>
          <w:sz w:val="18"/>
          <w:szCs w:val="18"/>
          <w:b w:val="1"/>
          <w:bCs w:val="1"/>
          <w:color w:val="auto"/>
        </w:rPr>
      </w:pPr>
    </w:p>
    <w:p>
      <w:pPr>
        <w:ind w:left="512" w:right="1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March 30, 2018, the Company completed the sale of Strobic Air Corporation (“Strobic”) as part of its strategic decision to exit brands that do not align with the CECO portfolio to increase focus on better serving the energy and industrial solutions and fluid handling markets. The sales price was $28.5 million, subject to post-closing purchase price adjustments. The disposition resulted in a gain of $6.9 million recorded in the first quarter of 2018, comprised of $27.9 million of net proceeds received as consideration after estimated post-closing purchase price adjustments less net assets disposed of $18.8 million and transaction costs of $2.2 million. The net assets disposed were primarily comprised of $13.0 million of goodwill, $2.3 million of definite-lived intangible assets and $1.2 million of indefinite-lived intangible assets allocated to the Strobic business. In the first quarter of 2018, Strobic reported $4.2 million in net sales and $1.1 million in income from operations. Strobic results through the date of disposition are included within income before income taxes in the Condensed Consolidated Statements of Operations and are reported within the Fluid Handling Solutions segment. The sale of Strobic did not constitute a significant strategic shift that will have a material impact on the Company’s ongoing operations and financial results.</w:t>
      </w:r>
    </w:p>
    <w:p>
      <w:pPr>
        <w:spacing w:after="0" w:line="179" w:lineRule="exact"/>
        <w:rPr>
          <w:rFonts w:ascii="Arial" w:cs="Arial" w:eastAsia="Arial" w:hAnsi="Arial"/>
          <w:sz w:val="18"/>
          <w:szCs w:val="18"/>
          <w:b w:val="1"/>
          <w:bCs w:val="1"/>
          <w:color w:val="auto"/>
        </w:rPr>
      </w:pPr>
    </w:p>
    <w:p>
      <w:pPr>
        <w:ind w:left="512"/>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Keystone Filter</w:t>
      </w:r>
    </w:p>
    <w:p>
      <w:pPr>
        <w:spacing w:after="0" w:line="23" w:lineRule="exact"/>
        <w:rPr>
          <w:rFonts w:ascii="Arial" w:cs="Arial" w:eastAsia="Arial" w:hAnsi="Arial"/>
          <w:sz w:val="18"/>
          <w:szCs w:val="18"/>
          <w:b w:val="1"/>
          <w:bCs w:val="1"/>
          <w:color w:val="auto"/>
        </w:rPr>
      </w:pPr>
    </w:p>
    <w:p>
      <w:pPr>
        <w:ind w:left="512"/>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On February 28, 2018, the Company completed the sale of the Keystone Filter brand (“Keystone”). The sales price was $7.5 million, subject to post-closing purchase price adjustments. The disposition resulted in a gain of $4.3 million recorded in the first quarter of 2018, comprised of $7.2 million of net proceeds received as consideration after estimated post-closing purchase price adjustments less net assets disposed of $2.7 million and transaction costs of $0.2 million. Keystone’s results are reported within the Fluid Handling Solutions segment through the date of disposition.</w:t>
      </w:r>
    </w:p>
    <w:p>
      <w:pPr>
        <w:spacing w:after="0" w:line="162" w:lineRule="exact"/>
        <w:rPr>
          <w:sz w:val="20"/>
          <w:szCs w:val="20"/>
          <w:color w:val="auto"/>
        </w:rPr>
      </w:pPr>
    </w:p>
    <w:p>
      <w:pPr>
        <w:ind w:left="512"/>
        <w:spacing w:after="0"/>
        <w:rPr>
          <w:sz w:val="20"/>
          <w:szCs w:val="20"/>
          <w:color w:val="auto"/>
        </w:rPr>
      </w:pPr>
      <w:r>
        <w:rPr>
          <w:rFonts w:ascii="Arial" w:cs="Arial" w:eastAsia="Arial" w:hAnsi="Arial"/>
          <w:sz w:val="18"/>
          <w:szCs w:val="18"/>
          <w:i w:val="1"/>
          <w:iCs w:val="1"/>
          <w:color w:val="auto"/>
        </w:rPr>
        <w:t>Zhongli</w:t>
      </w:r>
    </w:p>
    <w:p>
      <w:pPr>
        <w:spacing w:after="0" w:line="23" w:lineRule="exact"/>
        <w:rPr>
          <w:sz w:val="20"/>
          <w:szCs w:val="20"/>
          <w:color w:val="auto"/>
        </w:rPr>
      </w:pPr>
    </w:p>
    <w:p>
      <w:pPr>
        <w:ind w:left="512" w:right="300"/>
        <w:spacing w:after="0" w:line="255" w:lineRule="auto"/>
        <w:rPr>
          <w:sz w:val="20"/>
          <w:szCs w:val="20"/>
          <w:color w:val="auto"/>
        </w:rPr>
      </w:pPr>
      <w:r>
        <w:rPr>
          <w:rFonts w:ascii="Arial" w:cs="Arial" w:eastAsia="Arial" w:hAnsi="Arial"/>
          <w:sz w:val="18"/>
          <w:szCs w:val="18"/>
          <w:color w:val="auto"/>
        </w:rPr>
        <w:t>On November 27, 2018, the Company completed the sale of Zhongli, a business in our Energy Solutions segment operating in China, for a price of $3.6 million. In the third quarter of 2018, we classified the assets and liabilities of Zhongli as held-for-sale. In connection with classifying this business as held-for-sale, GAAP required us to assess impairment by comparing the</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30" w:right="239" w:bottom="1440" w:gutter="0" w:footer="0" w:header="0"/>
        </w:sectPr>
      </w:pPr>
    </w:p>
    <w:bookmarkStart w:id="19" w:name="page20"/>
    <w:bookmarkEnd w:id="19"/>
    <w:p>
      <w:pPr>
        <w:jc w:val="both"/>
        <w:spacing w:after="0" w:line="302" w:lineRule="auto"/>
        <w:rPr>
          <w:sz w:val="20"/>
          <w:szCs w:val="20"/>
          <w:color w:val="auto"/>
        </w:rPr>
      </w:pPr>
      <w:r>
        <w:rPr>
          <w:rFonts w:ascii="Arial" w:cs="Arial" w:eastAsia="Arial" w:hAnsi="Arial"/>
          <w:sz w:val="16"/>
          <w:szCs w:val="16"/>
          <w:color w:val="auto"/>
        </w:rPr>
        <w:t>estimated selling price, less cost to sell to our carrying value in Zhongli. Based on this analysis, we recorded a $15.1 million estimated loss. The disposal of this business does not constitute a significant strategic shift that will have a material impact on the Company’s ongoing operations and financial results. During the three-month and nine-month periods ended September 30, 2018, Zhongli reported net sales of $1.6 million and $4.5 million, respectively. Zhongli’s results are reported within the Energy Solutions segment through the date of disposition.</w:t>
      </w:r>
    </w:p>
    <w:p>
      <w:pPr>
        <w:spacing w:after="0" w:line="37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00"/>
          </w:cols>
          <w:pgMar w:left="760" w:top="125" w:right="639" w:bottom="1440" w:gutter="0" w:footer="0" w:header="0"/>
        </w:sectPr>
      </w:pPr>
    </w:p>
    <w:bookmarkStart w:id="20" w:name="page21"/>
    <w:bookmarkEnd w:id="20"/>
    <w:p>
      <w:pPr>
        <w:jc w:val="center"/>
        <w:ind w:right="20"/>
        <w:spacing w:after="0" w:line="264" w:lineRule="auto"/>
        <w:rPr>
          <w:sz w:val="20"/>
          <w:szCs w:val="20"/>
          <w:color w:val="auto"/>
        </w:rPr>
      </w:pPr>
      <w:r>
        <w:rPr>
          <w:rFonts w:ascii="Arial" w:cs="Arial" w:eastAsia="Arial" w:hAnsi="Arial"/>
          <w:sz w:val="18"/>
          <w:szCs w:val="18"/>
          <w:u w:val="single" w:color="auto"/>
          <w:color w:val="auto"/>
        </w:rPr>
        <w:t>CECO ENVIRONMENTAL CORP. AND SUBSIDIARIES MANAGEMENT’S DISCUSSION AND ANALYSIS OF FINANCIAL CONDITION AND RESULTS OF OPERATIONS</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Condensed Consolidated Statements of Operations for the three-month and nine-month periods ended September 30, 2019 and 2018 reflect the consolidated operations of the Company and its subsidiaries.</w:t>
      </w:r>
    </w:p>
    <w:p>
      <w:pPr>
        <w:spacing w:after="0" w:line="17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CECO is a global leader in industrial air quality and fluid handling serving the energy, industrial and other niche markets through an attractive asset-light business model. CECO provides innovative technology and application expertise that helps companies grow their businesses with safe, clean, and more efficient solutions to help protect our shared environment.</w:t>
      </w:r>
    </w:p>
    <w:p>
      <w:pPr>
        <w:spacing w:after="0" w:line="181"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CECO serves diverse industries globally by working to improve air quality, optimize the energy value chain, and provide customized engineered solutions in our customer’s mission critical applications. The secular growth industries CECO serves include oil &amp; gas, power generation, water and wastewater, battery production, poly silicon fabrication, and chemical and petrochemical processing, along with a wide range of other industries.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Use of Non-GAAP Financial Measures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Company’s unaudited condensed consolidated financial statements are prepared in accordance with accounting principles generally accepted in the United States (“GAAP”). These GAAP financial statements include certain charges the Company believes are not indicative of its core ongoing operational performance.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supplemental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the acquisition and divestitures. While the Company cannot predict the exact timing or amounts of such charges, it does expect to treat the financial impact of these transactions as special items in its future presentation of non-GAAP results.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Condensed Consolidated Statements of Operations for the three-month and nine-month periods ended September 30, 2019 and 2018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4"/>
                <w:szCs w:val="14"/>
                <w:color w:val="auto"/>
              </w:rPr>
            </w:pPr>
          </w:p>
        </w:tc>
        <w:tc>
          <w:tcPr>
            <w:tcW w:w="29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w w:val="98"/>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Borders>
              <w:bottom w:val="single" w:sz="8" w:color="CFF0FC"/>
            </w:tcBorders>
            <w:vMerge w:val="continue"/>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3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33.8%</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32.5%</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33.3%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Selling and administrative expenses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60"/>
              <w:spacing w:after="0"/>
              <w:rPr>
                <w:sz w:val="20"/>
                <w:szCs w:val="20"/>
                <w:color w:val="auto"/>
              </w:rPr>
            </w:pPr>
            <w:r>
              <w:rPr>
                <w:rFonts w:ascii="Arial" w:cs="Arial" w:eastAsia="Arial" w:hAnsi="Arial"/>
                <w:sz w:val="18"/>
                <w:szCs w:val="18"/>
                <w:i w:val="1"/>
                <w:iCs w:val="1"/>
                <w:color w:val="auto"/>
              </w:rPr>
              <w:t>Percent of sales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25.6%</w:t>
            </w:r>
          </w:p>
        </w:tc>
        <w:tc>
          <w:tcPr>
            <w:tcW w:w="3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25.1%</w:t>
            </w:r>
          </w:p>
        </w:tc>
        <w:tc>
          <w:tcPr>
            <w:tcW w:w="26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i w:val="1"/>
                <w:iCs w:val="1"/>
                <w:color w:val="auto"/>
              </w:rPr>
              <w:t>25.9%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Amortization and earnout expenses</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Loss on divestitures, net of selling costs</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Restructuring expense (income), net</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Operating margin</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i w:val="1"/>
                <w:iCs w:val="1"/>
                <w:color w:val="auto"/>
              </w:rPr>
              <w:t>4.8%</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i w:val="1"/>
                <w:iCs w:val="1"/>
                <w:color w:val="auto"/>
              </w:rPr>
              <w:t>(11.8)%</w:t>
            </w:r>
          </w:p>
        </w:tc>
        <w:tc>
          <w:tcPr>
            <w:tcW w:w="2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i w:val="1"/>
                <w:iCs w:val="1"/>
                <w:color w:val="auto"/>
              </w:rPr>
              <w:t>4.4%</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73"/>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1" w:name="page22"/>
    <w:bookmarkEnd w:id="21"/>
    <w:p>
      <w:pPr>
        <w:ind w:right="100"/>
        <w:spacing w:after="0" w:line="288" w:lineRule="auto"/>
        <w:rPr>
          <w:sz w:val="20"/>
          <w:szCs w:val="20"/>
          <w:color w:val="auto"/>
        </w:rPr>
      </w:pPr>
      <w:r>
        <w:rPr>
          <w:rFonts w:ascii="Arial" w:cs="Arial" w:eastAsia="Arial" w:hAnsi="Arial"/>
          <w:sz w:val="16"/>
          <w:szCs w:val="16"/>
          <w:color w:val="auto"/>
        </w:rPr>
        <w:t>To compare operating performance between the three-month and nine-month periods ended September 30, 2019 and 2018, the Company has adjusted GAAP operating income to exclude (1) loss on divestitures, net of selling costs necessary to complete the divestiture such as legal, accounting and compliance, (2) amortization and contingent acquisition expenses, including amortization of acquisition related intangibles, retention, severance, and earnout expenses, and</w:t>
      </w:r>
    </w:p>
    <w:p>
      <w:pPr>
        <w:ind w:right="80" w:firstLine="8"/>
        <w:spacing w:after="0" w:line="261"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restructuring expense (income), net. See “Note Regarding Use of Non-GAAP Financial Measures” above. The following table presents the reconciliation of GAAP operating income and GAAP operating margin to non-GAAP operating income and non-GAAP operating margin: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7"/>
              </w:rPr>
              <w:t>Three months ended September 30,</w:t>
            </w:r>
          </w:p>
        </w:tc>
        <w:tc>
          <w:tcPr>
            <w:tcW w:w="260" w:type="dxa"/>
            <w:vAlign w:val="bottom"/>
          </w:tcPr>
          <w:p>
            <w:pPr>
              <w:spacing w:after="0"/>
              <w:rPr>
                <w:sz w:val="14"/>
                <w:szCs w:val="14"/>
                <w:color w:val="auto"/>
              </w:rPr>
            </w:pPr>
          </w:p>
        </w:tc>
        <w:tc>
          <w:tcPr>
            <w:tcW w:w="29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56"/>
        </w:trPr>
        <w:tc>
          <w:tcPr>
            <w:tcW w:w="4480" w:type="dxa"/>
            <w:vAlign w:val="bottom"/>
            <w:tcBorders>
              <w:bottom w:val="single" w:sz="8" w:color="CFF0FC"/>
            </w:tcBorders>
            <w:vMerge w:val="continue"/>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w w:val="99"/>
              </w:rPr>
              <w:t>Operating income as reported in accordance with GAAP</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(10.4)</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i w:val="1"/>
                <w:iCs w:val="1"/>
                <w:color w:val="auto"/>
              </w:rPr>
              <w:t>Operating margin in accordance with GAAP</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4.8%</w:t>
            </w:r>
          </w:p>
        </w:tc>
        <w:tc>
          <w:tcPr>
            <w:tcW w:w="3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(11.8)%</w:t>
            </w:r>
          </w:p>
        </w:tc>
        <w:tc>
          <w:tcPr>
            <w:tcW w:w="26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4.4%</w:t>
            </w:r>
          </w:p>
        </w:tc>
        <w:tc>
          <w:tcPr>
            <w:tcW w:w="32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1.8%</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and earnout expenses</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500"/>
              <w:spacing w:after="0"/>
              <w:rPr>
                <w:sz w:val="20"/>
                <w:szCs w:val="20"/>
                <w:color w:val="auto"/>
              </w:rPr>
            </w:pPr>
            <w:r>
              <w:rPr>
                <w:rFonts w:ascii="Arial" w:cs="Arial" w:eastAsia="Arial" w:hAnsi="Arial"/>
                <w:sz w:val="18"/>
                <w:szCs w:val="18"/>
                <w:color w:val="auto"/>
              </w:rPr>
              <w:t>Loss on divestitures, net of selling costs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Restructuring expense (income), net</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4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i w:val="1"/>
                <w:iCs w:val="1"/>
                <w:color w:val="auto"/>
              </w:rPr>
              <w:t>Non-GAAP operating margin</w:t>
            </w: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i w:val="1"/>
                <w:iCs w:val="1"/>
                <w:color w:val="auto"/>
              </w:rPr>
              <w:t>8.2%</w:t>
            </w: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i w:val="1"/>
                <w:iCs w:val="1"/>
                <w:color w:val="auto"/>
              </w:rPr>
              <w:t>7.4%</w:t>
            </w:r>
          </w:p>
        </w:tc>
        <w:tc>
          <w:tcPr>
            <w:tcW w:w="2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i w:val="1"/>
                <w:iCs w:val="1"/>
                <w:color w:val="auto"/>
              </w:rPr>
              <w:t>7.4%</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2018, we divested three non-core businesses; Keystone filter brand (“Keystone”) and Strobic Air Corporation (“Strobic”) in the first quarter and Jiangyin Zhongli Industrial Technology Co. Ltd. (“Zhongli”) in the fourth quarter (collectively, the “Divestitures”). The exclusion of the operating results of the Divestitures subsequent to their disposition impacts the comparability of our consolidated and segment operating results.</w:t>
      </w:r>
    </w:p>
    <w:p>
      <w:pPr>
        <w:spacing w:after="0" w:line="23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Consolidated sales for the third quarter of 2019 decreased $3.0 million, or 3.4%, to $85.3 million compared with $88.3 million in the third quarter of 2018. The decrease is primarily attributable to the impact of the divested Zhongli business. Excluding the impact of Zhongli, sales decreased $1.4 million, or 1.6% due to a decrease in the Company’s selective catalytic reduction (“SCR”) solutions.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Consolidated sales for the first nine months of 2019 increased $9.0 million, or 3.7%, to $252.5 million compared with $243.5 million in the first nine months of 2018. The increase is primarily attributable to volume growth for the Company’s refinery-related products, industrial air pollution products, power generated natural gas and midstream oil &amp; gas products, partially offset by the impact of the Divestitures. Excluding the impact of 2018 Divestitures, sales grew organically by $18.2 million, or 7.8%.</w:t>
      </w:r>
    </w:p>
    <w:p>
      <w:pPr>
        <w:spacing w:after="0" w:line="187"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Gross profit increased $0.1 million, or 0.3%, to $28.8 million in the third quarter of 2019 compared with $28.7 million in the same period of 2018. Gross profit as a percentage of sales increased to 33.8% in the third quarter of 2019 compared with 32.5% in the third quarter of 2018 due to product mix.</w:t>
      </w:r>
    </w:p>
    <w:p>
      <w:pPr>
        <w:spacing w:after="0" w:line="124"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Gross profit increased $2.3 million, or 2.8%, to $84.1 million in the first nine months of 2019 compared with $81.8 million in the same period of 2018. The increase in gross profit is primarily attributable to sales volume increases period over period. Gross profit as a percentage of sales decreased to 33.3% in the first nine months of 2019 compared with 33.6% in the first nine months of 2018. The decrease is primarily attributable to product mix.</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Orders booked were $115.7 million during the third quarter of 2019 and $316.0 million during the first nine months of 2019 as compared with $97.5 million during the third quarter of 2018 and $292.9 million during the first nine months of 2018. Excluding the impact of 2018 Divestitures, bookings grew organically by $18.6 million and $29.5 million during the third quarter of 2019 and the first nine months of 2019, respectively.</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Selling and administrative expenses were $21.8 million for the third quarter of 2019 compared with $22.2 million for the third quarter of 2018. The decrease in administrative expenses is primarily attributable to the impact of the divested businesses in 2018. Selling and administrative expenses increased as a percentage of sales to 25.6% in the third quarter of 2019 compared with 25.1% in the third quarter of 2018.</w:t>
      </w:r>
    </w:p>
    <w:p>
      <w:pPr>
        <w:spacing w:after="0" w:line="181"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Selling and administrative expenses were $65.5 million for the first nine months of 2019 compared with $66.1 million for the first nine months of 2018. Selling and administrative expenses decreased as a percentage of sales to 25.9% in the first nine months of 2019 compared with 27.1% in the first nine months of 2018. The decrease in selling and administrative expenses as a percentage of sales is primarily attributable to the increase in sales.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and earnout expense was $2.2 million for the third quarter of 2019 compared with $2.0 million for the third quarter of 2018. The increase in expense is primarily attributable to earnout income of $0.3 million in the third quarter 2018, which did not recur in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09" w:right="239" w:bottom="1440" w:gutter="0" w:footer="0" w:header="0"/>
        </w:sectPr>
      </w:pPr>
    </w:p>
    <w:bookmarkStart w:id="22" w:name="page23"/>
    <w:bookmarkEnd w:id="22"/>
    <w:p>
      <w:pPr>
        <w:ind w:right="520"/>
        <w:spacing w:after="0" w:line="277" w:lineRule="auto"/>
        <w:rPr>
          <w:sz w:val="20"/>
          <w:szCs w:val="20"/>
          <w:color w:val="auto"/>
        </w:rPr>
      </w:pPr>
      <w:r>
        <w:rPr>
          <w:rFonts w:ascii="Arial" w:cs="Arial" w:eastAsia="Arial" w:hAnsi="Arial"/>
          <w:sz w:val="18"/>
          <w:szCs w:val="18"/>
          <w:color w:val="auto"/>
        </w:rPr>
        <w:t>Amortization and earnout expense was $6.5 million for the first nine months of 2019 compared with $7.4 million for the first nine months of 2018. The decrease in expense is attributable to $0.9 million decrease in definite-lived asset amortization.</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Operating income increased $14.5 million to $4.1 million in the third quarter of 2019 compared with operating loss of $(10.4) million during the third quarter of 2018. Operating loss in the third quarter 2018 included a $15.1 million non-cash impairment charge related to the divested businesses. This loss is included in the loss on divestiture, net of selling costs on the Condensed Consolidated Statement of Operations. Operating income increased $6.7 million to $11.0 million in the first nine months of 2019 compared with $4.3 million during the first nine months of 2018. The increase is due primarily to the net loss on divested businesses in the first nine months of 2018 outlined in Note 17 to the unaudited condensed consolidated financial statements within Item 1 of this Quarterly Report on Form 10-Q, as well as the factors described above.</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Non-GAAP operating income was $7.0 million for the third quarter of 2019 compared with $6.5 million for the third quarter of 2018. The increase in non-GAAP operating income is primarily attributable to higher gross margins and lower administration expenses. Non-GAAP operating income as a percentage of sales increased to 8.2% for the third quarter of 2019 from 7.4% for the third quarter of 2018.</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Non-GAAP operating income was $18.6 million for the first nine months of 2019 compared with $15.7 million for the first nine months of 2018. The increase in non-GAAP operating income is primarily attributable to higher sales, which led to an increase in gross profit. Non-GAAP operating income as a percentage of sales increased to 7.4% for the first nine months of 2019 from 6.4% for the first nine months of 2018.</w:t>
      </w:r>
    </w:p>
    <w:p>
      <w:pPr>
        <w:spacing w:after="0" w:line="18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Interest expense decreased to $1.3 million in the third quarter of 2019 and $4.3 million for the first nine months of 2019 compared with $1.7 million in the third quarter of 2019 and $5.4 million for the first nine months of 2018. The decrease is primarily due to a reduced debt balance in 2019 in comparison to 2018, resulting in lower interest expense incurred.</w:t>
      </w:r>
    </w:p>
    <w:p>
      <w:pPr>
        <w:spacing w:after="0" w:line="18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Income tax expense (benefit) was $0.7 million for the third quarter of 2019 and $(2.6) million for the first nine months of 2019, compared with income tax expense of $1.3 million for the third quarter of 2018 and $6.8 million for the first nine months of 2018. The effective income tax rate for the third quarter of 2019 was 27.7% compared with (11.5)% for third quarter of 2018. The effective income tax rate was (38.1)% for the first nine months of 2019, compared with (524.7)% for the first nine months of 2018. The effective income tax rate for the nine months ended September 30, 2019 was negative (i.e., income tax benefits), despite pre-tax income, due primarily to a tax benefit of $4.4 million upon finalization of a tax position related to the 2018 divestiture of Zhongli. That benefit was recorded as a discrete item in the second quarter of 2019. Our effective tax rate is affected by certain other permanent differences, including state income taxes, non-deductible incentive stock-based compensation, the Global Intangible Low-Taxed Income inclusion and Foreign-Derived Intangible Income deduction, tax credits, return-to-provision adjustments, and differences in tax rates among the jurisdictions in which we operate.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Company’s operations are organized and reviewed by management along its product lines or end market that the segment serves and are presented in three reportable segments. The results of the segments are reviewed through “Income from operations” on the unaudited Condensed Consolidated Statements of Operations.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274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w w:val="96"/>
              </w:rPr>
              <w:t>Three months ended September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Sales (less intra- and inter-segment sales)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48,847</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56,552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154,606</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147,661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26,983</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65,920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Fluid Handling Solutions Segment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35,991</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85,266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88,256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252,456</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243,485</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555"/>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28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Energy Solutions Segment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7,633</w:t>
            </w:r>
          </w:p>
        </w:tc>
        <w:tc>
          <w:tcPr>
            <w:tcW w:w="140" w:type="dxa"/>
            <w:vAlign w:val="bottom"/>
          </w:tcPr>
          <w:p>
            <w:pPr>
              <w:spacing w:after="0"/>
              <w:rPr>
                <w:sz w:val="19"/>
                <w:szCs w:val="19"/>
                <w:color w:val="auto"/>
              </w:rPr>
            </w:pP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8,157</w:t>
            </w:r>
          </w:p>
        </w:tc>
        <w:tc>
          <w:tcPr>
            <w:tcW w:w="140" w:type="dxa"/>
            <w:vAlign w:val="bottom"/>
          </w:tcPr>
          <w:p>
            <w:pPr>
              <w:spacing w:after="0"/>
              <w:rPr>
                <w:sz w:val="19"/>
                <w:szCs w:val="19"/>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23,275</w:t>
            </w:r>
          </w:p>
        </w:tc>
        <w:tc>
          <w:tcPr>
            <w:tcW w:w="14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Industrial Solutions Segment</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Fluid Handling Solutions Segment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(7,186)</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(22,666)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(20,878)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(24,691)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(10,441)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10,965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520" w:right="880" w:hanging="512"/>
        <w:spacing w:after="0" w:line="238" w:lineRule="auto"/>
        <w:tabs>
          <w:tab w:leader="none" w:pos="520" w:val="left"/>
        </w:tabs>
        <w:numPr>
          <w:ilvl w:val="0"/>
          <w:numId w:val="17"/>
        </w:numPr>
        <w:rPr>
          <w:rFonts w:ascii="Arial" w:cs="Arial" w:eastAsia="Arial" w:hAnsi="Arial"/>
          <w:sz w:val="15"/>
          <w:szCs w:val="15"/>
          <w:color w:val="auto"/>
        </w:rPr>
      </w:pPr>
      <w:r>
        <w:rPr>
          <w:rFonts w:ascii="Arial" w:cs="Arial" w:eastAsia="Arial" w:hAnsi="Arial"/>
          <w:sz w:val="14"/>
          <w:szCs w:val="14"/>
          <w:color w:val="auto"/>
        </w:rPr>
        <w:t>Includes (loss) gain on divestitures, net of selling costs, corporate compensation, professional services, information technology and other general and administrative corporate expenses. This amount excludes earnout adjustments, which are recorded in the segment in which the adjustment occurs.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Energy Solutions Segment</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Energy Solutions segment net sales decreased $7.8 million to $48.8 million in the third quarter of 2019 compared with $56.6 million in the same period of 2018. Excluding the divested division Zhongli, net sales decreased $6.2 million in the third quarter 2019 from $55.0 million in the same period of 2018. The decrease is primarily attributable to volume decreases in the Company’s SCR solutions and related services period over period that serves the power generation markets.</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Energy Solutions segment net sales increased $6.9 million to $154.6 million in the first nine months of 2019 compared with $147.7 million in the same period of 2018. Excluding the divested division Zhongli, net sales increased $11.4 million in the first nine months of 2019. The increase is due primarily to volume increases for the Company’s refinery related products and separation equipment serving the midstream oil &amp; gas markets offset by volume decreases in the SCR solutions serving power generation markets.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Operating income for the Energy Solutions segment decreased $0.6 million to $7.6 million in the third quarter of 2019 compared with $8.2 million in the same period of 2018. The change is primarily attributable to a $0.4 million decrease in gross profit driven by lowered sales and an increase of $0.5 million in restructuring expense offset by a decrease of $0.6 million in administrative expenses related to divested businesses.</w:t>
      </w:r>
    </w:p>
    <w:p>
      <w:pPr>
        <w:spacing w:after="0" w:line="166"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Operating income for the Energy Solutions segment increased $5.6 million to $23.3 million in the first nine months of 2019 compared with $17.7 million in the same period of 2018. The increase is primarily attributable to increased sales in the first nine months of 2019 related to products and markets described above offset by a $0.5 million increase in restructuring expense and $0.3 million in earnout income in 2018, which did not recur in 2019.</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Industrial Solutions Segment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Industrial Solutions segment net sales increased $5.1 million to $27.0 million in the third quarter of 2019 compared with $21.9 million in the third quarter of 2018. The increase is primarily attributable to increased sales for the Company’s clean air pollution control technologies.</w:t>
      </w:r>
    </w:p>
    <w:p>
      <w:pPr>
        <w:spacing w:after="0" w:line="170" w:lineRule="exact"/>
        <w:rPr>
          <w:sz w:val="20"/>
          <w:szCs w:val="20"/>
          <w:color w:val="auto"/>
        </w:rPr>
      </w:pPr>
    </w:p>
    <w:p>
      <w:pPr>
        <w:jc w:val="both"/>
        <w:ind w:right="200"/>
        <w:spacing w:after="0" w:line="308" w:lineRule="auto"/>
        <w:rPr>
          <w:sz w:val="20"/>
          <w:szCs w:val="20"/>
          <w:color w:val="auto"/>
        </w:rPr>
      </w:pPr>
      <w:r>
        <w:rPr>
          <w:rFonts w:ascii="Arial" w:cs="Arial" w:eastAsia="Arial" w:hAnsi="Arial"/>
          <w:sz w:val="17"/>
          <w:szCs w:val="17"/>
          <w:color w:val="auto"/>
        </w:rPr>
        <w:t>Our Industrial Solutions segment net sales increased $6.1 million to $65.9 million in the first nine months of 2019 compared with $59.8 million in the same period of 2018. The increase is primarily attributable to volume increases for the Company’s clean air pollution control technologies.</w:t>
      </w:r>
    </w:p>
    <w:p>
      <w:pPr>
        <w:spacing w:after="0" w:line="14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Operating income for the Industrial Solutions segment increased $0.7 million to $2.8 million in the third quarter of 2019 compared with $2.1 million in the third quarter of 2018. The increase is primarily attributable to increased sales offset by $0.4 million increase in selling expenses related to the investment in sales &amp; marketing personnel and customer focused product innovation.</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Operating income for the Industrial Solutions segment decreased $0.9 million to $3.9 million in the first nine months of 2019 compared with $4.8 million in the first nine months of 2018. The decrease is attributable to $1.4 million increase in selling expenses related to the investment in sales &amp; marketing personnel and customer focused product innovation offset by a $0.6 million increase in gross profit due to favorable product sales volume.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Fluid Handling Solutions Segment</w:t>
      </w:r>
    </w:p>
    <w:p>
      <w:pPr>
        <w:spacing w:after="0" w:line="11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Fluid Handling Solutions segment net sales decreased $0.4 million to $9.4 million in the third quarter of 2019 compared with $9.8 million in the third quarter of 2018. The decrease is primarily attributable to volume decreases in the Company’s filtration and pump solutions.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98" w:right="239" w:bottom="1440" w:gutter="0" w:footer="0" w:header="0"/>
        </w:sectPr>
      </w:pPr>
    </w:p>
    <w:bookmarkStart w:id="24" w:name="page25"/>
    <w:bookmarkEnd w:id="24"/>
    <w:p>
      <w:pPr>
        <w:ind w:right="120"/>
        <w:spacing w:after="0" w:line="259" w:lineRule="auto"/>
        <w:rPr>
          <w:sz w:val="20"/>
          <w:szCs w:val="20"/>
          <w:color w:val="auto"/>
        </w:rPr>
      </w:pPr>
      <w:r>
        <w:rPr>
          <w:rFonts w:ascii="Arial" w:cs="Arial" w:eastAsia="Arial" w:hAnsi="Arial"/>
          <w:sz w:val="18"/>
          <w:szCs w:val="18"/>
          <w:color w:val="auto"/>
        </w:rPr>
        <w:t>Our Fluid Handling Solutions segment net sales decreased $4.1 million to $31.9 million in the first nine months of 2019 compared with $36.0 million in the first nine months of 2018. The sales decrease was primarily attributable to $4.8 million of revenue in the same period of 2018 from the Keystone and Strobic divested businesses, which did not recur in the first nine months of 2019. Excluding the divested Keystone and Strobic businesses, segment sales increased $0.7 million.</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income for the Fluid Handling Solutions segment decreased $0.6 million to $0.8 million in the third quarter of 2019 compared with $1.4 million in the third quarter of 2018. The decrease is primarily attributable to a $0.5 million decrease in gross profit due to product mix and an increase in plant investment expense.</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for the Fluid Handling Solutions segment decreased $2.0 million to $4.7 million in the first nine months of 2019 compared with $6.7 million in the first nine months of 2018. The decrease is attributable to the decrease in sales and operating income of $1.2 million from the divestitures of Keystone and Strobic. Excluding the divested Keystone and Strobic businesses, segment operating income decreased by $0.8 million due to volume and plant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 Segment</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Operating expense for the Corporate and Other segment decreased $15.5 million to $7.2 million in the third quarter of 2019 compared with $22.7 million in the third quarter of 2018. The decrease is primarily attributable to a $15.1 million impairment loss related to the Zhongli business in the third quarter of 2018, which did not recur in 2019.</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Operating expense for the Corporate and Other segment was $20.9 million in the first nine months of 2019 compared with $24.7 million in the first nine months of 2018. The decrease in operating expenses is primarily attributable to the net loss of $4.0 million on divested businesses in the first nine months of 2018 outlined in Note 17 to the unaudited condensed consolidated financial statements within Item 1 of this Quarterly Report on Form 10-Q, which did not recur in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Backlog (i.e., unfulfilled or remaining performance obligations) represents the sales we expect to recognize for our products and services for which control has not yet transferred to the customer. Our customers may have the right to cancel a given order. Our backlog as of September 30, 2019, was $237.8 million compared with $182.1 million as of December 31, 2018. During the first nine months of 2019, the Company removed $6.7 million of orders that were previously disclosed as backlog in prior quarters, due to cancellations by customers. Backlog is adjusted on a quarterly basis for adjustments in foreign currency exchange rates. Backlog is not defined by GAAP and our methodology for calculating backlog may not be consistent with methodologies used by other companies.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information regarding recent accounting pronouncements, see Note 2 to the unaudited condensed consolidated financial statements within Item 1 of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principal sources of liquidity are cash flow from operations and available borrowings under our Credit Facility (as defined below). Our principal uses of cash are operating costs, payment of principal and interest on our outstanding debt, working capital and other corporate requirements.</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work to achieve this by obtaining initial down payments, progress billing contracts, utilizing extended payment terms from material suppliers when possible, and paying sub-contractors after payment from our customers, which is an industry practice. Our investment in net working capital is funded by cash flow from operations and by our revolving line of credit.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30, 2019, the Company had working capital of $54.5 million, compared with $57.0 million at December 31, 2018. The ratio of current assets to current liabilities was 1.53 to 1 on September 30, 2019, as compared with a ratio of 1.55 to 1 at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line="264" w:lineRule="auto"/>
        <w:rPr>
          <w:sz w:val="20"/>
          <w:szCs w:val="20"/>
          <w:color w:val="auto"/>
        </w:rPr>
      </w:pPr>
      <w:r>
        <w:rPr>
          <w:rFonts w:ascii="Arial" w:cs="Arial" w:eastAsia="Arial" w:hAnsi="Arial"/>
          <w:sz w:val="18"/>
          <w:szCs w:val="18"/>
          <w:color w:val="auto"/>
        </w:rPr>
        <w:t>At September 30, 2019 and December 31, 2018, cash and cash equivalents totaled $29.0 million and $43.7 million, respectively. As of September 30, 2019 and December 31, 2018, $21.5 million and $23.3 million, respectively, of our cash and cash equivalents were held by certain non-U.S. subsidiaries, as well as being denominated in foreign currencies.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consisted of the following at September 30, 2019 and December 31, 2018:</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500" w:type="dxa"/>
            <w:vAlign w:val="bottom"/>
          </w:tcPr>
          <w:p>
            <w:pPr>
              <w:spacing w:after="0"/>
              <w:rPr>
                <w:sz w:val="20"/>
                <w:szCs w:val="20"/>
                <w:color w:val="auto"/>
              </w:rPr>
            </w:pPr>
            <w:r>
              <w:rPr>
                <w:rFonts w:ascii="Arial" w:cs="Arial" w:eastAsia="Arial" w:hAnsi="Arial"/>
                <w:sz w:val="14"/>
                <w:szCs w:val="14"/>
                <w:b w:val="1"/>
                <w:bCs w:val="1"/>
                <w:color w:val="auto"/>
              </w:rPr>
              <w:t>(table only in thousands)</w:t>
            </w:r>
          </w:p>
        </w:tc>
        <w:tc>
          <w:tcPr>
            <w:tcW w:w="180" w:type="dxa"/>
            <w:vAlign w:val="bottom"/>
          </w:tcPr>
          <w:p>
            <w:pPr>
              <w:spacing w:after="0"/>
              <w:rPr>
                <w:sz w:val="14"/>
                <w:szCs w:val="14"/>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September 30, 2019</w:t>
            </w:r>
          </w:p>
        </w:tc>
        <w:tc>
          <w:tcPr>
            <w:tcW w:w="18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2018</w:t>
            </w:r>
          </w:p>
        </w:tc>
      </w:tr>
      <w:tr>
        <w:trPr>
          <w:trHeight w:val="209"/>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borrowings under the Credit Facility (defined below).</w:t>
            </w: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Term loan payable in quarterly principal installments of $0.6 million</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through June 2021, $0.9 million through June 2023, and $1.3 million</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thereafter with balance due upon maturity in June 2024.</w:t>
            </w: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500" w:type="dxa"/>
            <w:vAlign w:val="bottom"/>
          </w:tcPr>
          <w:p>
            <w:pPr>
              <w:ind w:left="120"/>
              <w:spacing w:after="0"/>
              <w:rPr>
                <w:sz w:val="20"/>
                <w:szCs w:val="20"/>
                <w:color w:val="auto"/>
              </w:rPr>
            </w:pPr>
            <w:r>
              <w:rPr>
                <w:rFonts w:ascii="Arial" w:cs="Arial" w:eastAsia="Arial" w:hAnsi="Arial"/>
                <w:sz w:val="18"/>
                <w:szCs w:val="18"/>
                <w:color w:val="auto"/>
              </w:rPr>
              <w:t>- 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49,375</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76,147</w:t>
            </w: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Revolving Credit Loan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120"/>
              <w:spacing w:after="0"/>
              <w:rPr>
                <w:sz w:val="20"/>
                <w:szCs w:val="20"/>
                <w:color w:val="auto"/>
              </w:rPr>
            </w:pPr>
            <w:r>
              <w:rPr>
                <w:rFonts w:ascii="Arial" w:cs="Arial" w:eastAsia="Arial" w:hAnsi="Arial"/>
                <w:sz w:val="18"/>
                <w:szCs w:val="18"/>
                <w:color w:val="auto"/>
              </w:rPr>
              <w:t>- Unamortized debt discount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(1,880)</w:t>
            </w: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(1,691)</w:t>
            </w: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outstanding borrowings under the Credit Facility</w:t>
            </w: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67,495</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debt, less current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64,995</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74,456</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Facility</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Company’s outstanding borrowings in the United States consist of senior secured term loan and a senior secured revolver loan with sub-facilities for letters of credit, swing-line loans and multi-currency loans (collectively, the “Credit Facility”). As of September 30, 2019 and December 31, 2018, the Company was in compliance with all related financial and other restrictive covenants under the Credit Facility.</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See Note 8 to the unaudited condensed consolidated financial statements within Item 1 of this Quarterly Report on Form 10-Q for further information on the Company’s debt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unused credit availability under our existing Credit Facility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6500" w:type="dxa"/>
            <w:vAlign w:val="bottom"/>
          </w:tcPr>
          <w:p>
            <w:pPr>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4"/>
                <w:szCs w:val="1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September 30, 2019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Facility, revolving loans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Draw down</w:t>
            </w:r>
          </w:p>
        </w:tc>
        <w:tc>
          <w:tcPr>
            <w:tcW w:w="16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Letters of credit open</w:t>
            </w: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unused credit availability</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 available based on borrowing limitations</w:t>
            </w: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Overview of Cash Flows and Liquidity</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0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24"/>
                <w:szCs w:val="24"/>
                <w:color w:val="auto"/>
              </w:rPr>
            </w:pPr>
          </w:p>
        </w:tc>
        <w:tc>
          <w:tcPr>
            <w:tcW w:w="3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50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61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(3,237)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(9,881)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(37,636)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9"/>
                <w:szCs w:val="19"/>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the nine months ended September 30, 2019, $0.6 million of cash was used in operating activities compared with $3.6 million provided by operating activities in the prior year period, a $4.2 million decrease. Net earnings adjusted for non-cash items increased $14.9 million primarily due to a favorable $9.3 million change in income tax provision and $2.3 million increase in gross profit. Cash flow from operating activities in the first nine months of 2019 was negative primarily due to certain increases and decreases in net working capital items such as increases in accounts receivable and prepaids and decreases in accounts payable and accrued expenses as reflected in the Condensed Consolidated Statements of Cash Flows.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 the nine months ended September 30, 2019, net cash used in investing activities was $3.2 million compared with net cash provided by investing activities of $37.5 million in the prior year period. In the first nine months of 2019, cash used in investing activities was primarily the result of cash used for the acquisitions of property and equipment totaling $3.7 million and cash provided by proceeds from the sale of property and equipment totaling $0.5 million. In the prior year period, cash provided by investing activities was the result of cash proceeds from divestitures totaling $33.1 million, cash proceeds from the sale of property and equipment totaling $6.3 million and cash used for the acquisitions of property and equipment totaling $1.9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For the nine months ended September 30, 2019, net cash used in financing activities was $9.9 million due principally to note payable repayments of $1.7 million, payment of financing fees related to the refinancing of our Credit Facility of $1.1 million, payment on our loan of $0.6 million and payment of our revolving credit loan of $7.0 million offset by net borrowings under the Credit Facility of $0.8 million. For the nine months ended September 30, 2018, net cash used in financing activities was $37.6 million due principally to net term loan repayments of $34.3 million and $3.8 million in net revolving credit line repayments and term loan repayments.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earnout liabilities,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the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 believes there have been no changes during the nine-month period ended September 30, 2019, other than disclosed in Note 2 to the condensed consolidated financial statements within Item 1 of this quarterly Report on Form 10-Q, to the items that the Company disclosed as its critical accounting policies and estimates in Management’s Discussion and Analysis of Financial Condition and Results of Operations in the Company’s Annual Report on Form 10-K for the year ended December 31, 2018.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Quarterly Report on Form 10-Q are forward-looking.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among others, that could cause actual results to differ materially are discussed under “Part I – Item 1A. Risk Factors” of the Company’s Annual Report on Form 10-K for the fiscal year ended December 31, 2018 and include, but are not limited to: our ability to successfully realize the expected benefits of our restructuring program; our ability to successfully integrate acquired businesses and realize the synergies from acquisitions, as well as a number of factors related to our business, including economic and financial market conditions generally and economic conditions in CECO’s service areas; dependence on fixed price contracts and the risks associated therewith, including actual costs exceeding estimates; fluctuations in operating results from period to period due to cyclicality or seasonality of the business; the effect of growth on CECO’s infrastructure, resources, and existing sales; the ability to expand operations in both new and existing markets; the potential for contract delay or cancellation;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acquisitions and our ability to repay or refinance it or incur additional debt in the future; the impact of federal, state or local government regulations; economic and political conditions generally; and the effect of competition in the Industrial Solutions segment, Energy Solutions segment and Fluid Handling Solutions segment industries. Many of these risks are beyond management’s ability to control or predict. Should one or more of these risks or uncertainties materialize, or should the assumptions prove incorrect, actual results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7" w:name="page28"/>
    <w:bookmarkEnd w:id="27"/>
    <w:p>
      <w:pPr>
        <w:ind w:right="340"/>
        <w:spacing w:after="0" w:line="259" w:lineRule="auto"/>
        <w:rPr>
          <w:sz w:val="20"/>
          <w:szCs w:val="20"/>
          <w:color w:val="auto"/>
        </w:rPr>
      </w:pPr>
      <w:r>
        <w:rPr>
          <w:rFonts w:ascii="Arial" w:cs="Arial" w:eastAsia="Arial" w:hAnsi="Arial"/>
          <w:sz w:val="18"/>
          <w:szCs w:val="18"/>
          <w:color w:val="auto"/>
        </w:rPr>
        <w:t>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200" w:lineRule="exact"/>
        <w:rPr>
          <w:sz w:val="20"/>
          <w:szCs w:val="20"/>
          <w:color w:val="auto"/>
        </w:rPr>
      </w:pPr>
    </w:p>
    <w:p>
      <w:pPr>
        <w:spacing w:after="0" w:line="29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carrying value of the Company’s long-term debt and current maturities of long-term debt was $69.4 million at September 30, 2019. Market risk was estimated as the potential decrease (increase) in future earnings and cash flows resulting from a hypothetical 10% increase (decrease) in the Company’s estimated weighted average borrowing rate at September 30, 2019. Most of the interest on the Company’s debt is indexed to either the LIBOR or EURIBOR market rates. The estimated impact of a hypothetical 10% change in the estimated weighted average borrowing rate at September 30, 2019 is $0.3 million on an annual basis.</w:t>
      </w:r>
    </w:p>
    <w:p>
      <w:pPr>
        <w:spacing w:after="0" w:line="18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has wholly-owned subsidiaries located in the Netherlands, Canada, the People’s Republic of China, Mexico, United Kingdom, Singapore, and Chile. In the past, we have not hedged our foreign currency exposure, and fluctuations in exchange rates have not materially affected our operating results. Future changes in exchange rates may positively or negatively impact our revenues, operating expenses and earnings.</w:t>
      </w:r>
    </w:p>
    <w:p>
      <w:pPr>
        <w:spacing w:after="0" w:line="14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2019. Management believes that the condensed consolidated financial statements included in this report fairly present in all material respects the Company’s financial condition, results of operations and cash flows for each of the periods presented in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were no changes in the Company’s internal control over financial reporting (as defined in Rule 13a-15(f) of the Exchange Act) during the fiscal quarter ended September 30, 2019, that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Information with respect to legal proceedings can be found in Note 15 “Commitments and Contingencies – Legal Matters” to the unaudited Condensed Consolidated Financial Statements contained in Part I, Item 1 of this Quarterly Report on Form 10-Q.</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the Company’s risk factors that we disclosed in “Part I – Item 1A. Risk Factors” of our Annual Report on Form 10-K for the year ended December 31, 2018.</w:t>
      </w:r>
    </w:p>
    <w:p>
      <w:pPr>
        <w:spacing w:after="0" w:line="35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gridSpan w:val="4"/>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1060" w:type="dxa"/>
            <w:vAlign w:val="bottom"/>
          </w:tcPr>
          <w:p>
            <w:pPr>
              <w:ind w:left="140"/>
              <w:spacing w:after="0"/>
              <w:rPr>
                <w:sz w:val="20"/>
                <w:szCs w:val="20"/>
                <w:color w:val="auto"/>
              </w:rPr>
            </w:pPr>
            <w:r>
              <w:rPr>
                <w:rFonts w:ascii="Arial" w:cs="Arial" w:eastAsia="Arial" w:hAnsi="Arial"/>
                <w:sz w:val="18"/>
                <w:szCs w:val="18"/>
                <w:color w:val="auto"/>
              </w:rPr>
              <w:t>31.1</w:t>
            </w:r>
          </w:p>
        </w:tc>
        <w:tc>
          <w:tcPr>
            <w:tcW w:w="4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Rule 13(a)/15d-14(a) Certification by Chief Executive Officer</w:t>
            </w:r>
          </w:p>
        </w:tc>
        <w:tc>
          <w:tcPr>
            <w:tcW w:w="100" w:type="dxa"/>
            <w:vAlign w:val="bottom"/>
            <w:gridSpan w:val="2"/>
          </w:tcPr>
          <w:p>
            <w:pPr>
              <w:spacing w:after="0"/>
              <w:rPr>
                <w:sz w:val="24"/>
                <w:szCs w:val="24"/>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31.2</w:t>
            </w:r>
          </w:p>
        </w:tc>
        <w:tc>
          <w:tcPr>
            <w:tcW w:w="4580" w:type="dxa"/>
            <w:vAlign w:val="bottom"/>
            <w:gridSpan w:val="4"/>
          </w:tcPr>
          <w:p>
            <w:pPr>
              <w:spacing w:after="0"/>
              <w:rPr>
                <w:sz w:val="20"/>
                <w:szCs w:val="20"/>
                <w:color w:val="auto"/>
              </w:rPr>
            </w:pPr>
            <w:r>
              <w:rPr>
                <w:rFonts w:ascii="Arial" w:cs="Arial" w:eastAsia="Arial" w:hAnsi="Arial"/>
                <w:sz w:val="18"/>
                <w:szCs w:val="18"/>
                <w:color w:val="0000EE"/>
                <w:w w:val="96"/>
              </w:rPr>
              <w:t>Rule 13(a)/15d-14(a) Certification by Chief Financial Officer</w:t>
            </w:r>
          </w:p>
        </w:tc>
      </w:tr>
      <w:tr>
        <w:trPr>
          <w:trHeight w:val="20"/>
        </w:trPr>
        <w:tc>
          <w:tcPr>
            <w:tcW w:w="106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32.1</w:t>
            </w:r>
          </w:p>
        </w:tc>
        <w:tc>
          <w:tcPr>
            <w:tcW w:w="4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Chief Executive Officer (18 U.S. Section 1350)</w:t>
            </w:r>
          </w:p>
        </w:tc>
      </w:tr>
      <w:tr>
        <w:trPr>
          <w:trHeight w:val="318"/>
        </w:trPr>
        <w:tc>
          <w:tcPr>
            <w:tcW w:w="1060" w:type="dxa"/>
            <w:vAlign w:val="bottom"/>
          </w:tcPr>
          <w:p>
            <w:pPr>
              <w:ind w:left="140"/>
              <w:spacing w:after="0"/>
              <w:rPr>
                <w:sz w:val="20"/>
                <w:szCs w:val="20"/>
                <w:color w:val="auto"/>
              </w:rPr>
            </w:pPr>
            <w:r>
              <w:rPr>
                <w:rFonts w:ascii="Arial" w:cs="Arial" w:eastAsia="Arial" w:hAnsi="Arial"/>
                <w:sz w:val="18"/>
                <w:szCs w:val="18"/>
                <w:color w:val="auto"/>
              </w:rPr>
              <w:t>32.2</w:t>
            </w:r>
          </w:p>
        </w:tc>
        <w:tc>
          <w:tcPr>
            <w:tcW w:w="4580" w:type="dxa"/>
            <w:vAlign w:val="bottom"/>
            <w:gridSpan w:val="4"/>
          </w:tcPr>
          <w:p>
            <w:pPr>
              <w:spacing w:after="0"/>
              <w:rPr>
                <w:sz w:val="20"/>
                <w:szCs w:val="20"/>
                <w:color w:val="auto"/>
              </w:rPr>
            </w:pPr>
            <w:r>
              <w:rPr>
                <w:rFonts w:ascii="Arial" w:cs="Arial" w:eastAsia="Arial" w:hAnsi="Arial"/>
                <w:sz w:val="18"/>
                <w:szCs w:val="18"/>
                <w:color w:val="0000EE"/>
                <w:w w:val="94"/>
              </w:rPr>
              <w:t>Certification of Chief Financial Officer (18 U.S. Section 1350)</w:t>
            </w:r>
          </w:p>
        </w:tc>
      </w:tr>
      <w:tr>
        <w:trPr>
          <w:trHeight w:val="574"/>
        </w:trPr>
        <w:tc>
          <w:tcPr>
            <w:tcW w:w="1060" w:type="dxa"/>
            <w:vAlign w:val="bottom"/>
          </w:tcPr>
          <w:p>
            <w:pPr>
              <w:ind w:left="140"/>
              <w:spacing w:after="0"/>
              <w:rPr>
                <w:sz w:val="20"/>
                <w:szCs w:val="20"/>
                <w:color w:val="auto"/>
              </w:rPr>
            </w:pPr>
            <w:r>
              <w:rPr>
                <w:rFonts w:ascii="Arial" w:cs="Arial" w:eastAsia="Arial" w:hAnsi="Arial"/>
                <w:sz w:val="18"/>
                <w:szCs w:val="18"/>
                <w:color w:val="auto"/>
              </w:rPr>
              <w:t>101.INS</w:t>
            </w:r>
          </w:p>
        </w:tc>
        <w:tc>
          <w:tcPr>
            <w:tcW w:w="45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0" w:type="dxa"/>
            <w:vAlign w:val="bottom"/>
          </w:tcPr>
          <w:p>
            <w:pPr>
              <w:spacing w:after="0"/>
              <w:rPr>
                <w:sz w:val="24"/>
                <w:szCs w:val="24"/>
                <w:color w:val="auto"/>
              </w:rPr>
            </w:pP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101.SCH</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101.CAL</w:t>
            </w:r>
          </w:p>
        </w:tc>
        <w:tc>
          <w:tcPr>
            <w:tcW w:w="4580" w:type="dxa"/>
            <w:vAlign w:val="bottom"/>
            <w:gridSpan w:val="4"/>
          </w:tcPr>
          <w:p>
            <w:pPr>
              <w:spacing w:after="0"/>
              <w:rPr>
                <w:sz w:val="20"/>
                <w:szCs w:val="20"/>
                <w:color w:val="auto"/>
              </w:rPr>
            </w:pPr>
            <w:r>
              <w:rPr>
                <w:rFonts w:ascii="Arial" w:cs="Arial" w:eastAsia="Arial" w:hAnsi="Arial"/>
                <w:sz w:val="18"/>
                <w:szCs w:val="18"/>
                <w:color w:val="auto"/>
                <w:w w:val="95"/>
              </w:rPr>
              <w:t>XBRL Taxonomy Extension Calculation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101.DEF</w:t>
            </w:r>
          </w:p>
        </w:tc>
        <w:tc>
          <w:tcPr>
            <w:tcW w:w="4580" w:type="dxa"/>
            <w:vAlign w:val="bottom"/>
            <w:gridSpan w:val="4"/>
          </w:tcPr>
          <w:p>
            <w:pPr>
              <w:spacing w:after="0"/>
              <w:rPr>
                <w:sz w:val="20"/>
                <w:szCs w:val="20"/>
                <w:color w:val="auto"/>
              </w:rPr>
            </w:pPr>
            <w:r>
              <w:rPr>
                <w:rFonts w:ascii="Arial" w:cs="Arial" w:eastAsia="Arial" w:hAnsi="Arial"/>
                <w:sz w:val="18"/>
                <w:szCs w:val="18"/>
                <w:color w:val="auto"/>
                <w:w w:val="98"/>
              </w:rPr>
              <w:t>XBRL Taxonomy Extension Definition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101.LAB</w:t>
            </w:r>
          </w:p>
        </w:tc>
        <w:tc>
          <w:tcPr>
            <w:tcW w:w="45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60" w:type="dxa"/>
            <w:vAlign w:val="bottom"/>
          </w:tcPr>
          <w:p>
            <w:pPr>
              <w:ind w:left="140"/>
              <w:spacing w:after="0"/>
              <w:rPr>
                <w:sz w:val="20"/>
                <w:szCs w:val="20"/>
                <w:color w:val="auto"/>
              </w:rPr>
            </w:pPr>
            <w:r>
              <w:rPr>
                <w:rFonts w:ascii="Arial" w:cs="Arial" w:eastAsia="Arial" w:hAnsi="Arial"/>
                <w:sz w:val="18"/>
                <w:szCs w:val="18"/>
                <w:color w:val="auto"/>
              </w:rPr>
              <w:t>101.PRE</w:t>
            </w:r>
          </w:p>
        </w:tc>
        <w:tc>
          <w:tcPr>
            <w:tcW w:w="4580" w:type="dxa"/>
            <w:vAlign w:val="bottom"/>
            <w:gridSpan w:val="4"/>
          </w:tcPr>
          <w:p>
            <w:pPr>
              <w:spacing w:after="0"/>
              <w:rPr>
                <w:sz w:val="20"/>
                <w:szCs w:val="20"/>
                <w:color w:val="auto"/>
              </w:rPr>
            </w:pPr>
            <w:r>
              <w:rPr>
                <w:rFonts w:ascii="Arial" w:cs="Arial" w:eastAsia="Arial" w:hAnsi="Arial"/>
                <w:sz w:val="18"/>
                <w:szCs w:val="18"/>
                <w:color w:val="auto"/>
                <w:w w:val="93"/>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0" w:name="page31"/>
    <w:bookmarkEnd w:id="30"/>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CECO Environmental Corp.</w:t>
      </w:r>
    </w:p>
    <w:p>
      <w:pPr>
        <w:spacing w:after="0" w:line="266" w:lineRule="exact"/>
        <w:rPr>
          <w:sz w:val="20"/>
          <w:szCs w:val="20"/>
          <w:color w:val="auto"/>
        </w:rPr>
      </w:pPr>
    </w:p>
    <w:p>
      <w:pPr>
        <w:ind w:left="7280"/>
        <w:spacing w:after="0"/>
        <w:tabs>
          <w:tab w:leader="none" w:pos="8800" w:val="left"/>
          <w:tab w:leader="none" w:pos="9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Matthew Eckl</w:t>
      </w:r>
    </w:p>
    <w:p>
      <w:pPr>
        <w:spacing w:after="0" w:line="2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-130810</wp:posOffset>
            </wp:positionV>
            <wp:extent cx="24269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121" w:right="4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Dennis Sadlowski, certify that:</w:t>
      </w:r>
    </w:p>
    <w:p>
      <w:pPr>
        <w:spacing w:after="0" w:line="117"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Matthew Eckl, certify that:</w:t>
      </w:r>
    </w:p>
    <w:p>
      <w:pPr>
        <w:spacing w:after="0" w:line="117"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CECO Environmental Corp.;</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80" w:hanging="519"/>
        <w:spacing w:after="0" w:line="342" w:lineRule="auto"/>
        <w:tabs>
          <w:tab w:leader="none" w:pos="10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Quarterly Report of CECO Environmental Corp. (the “Company”) on Form 10-Q for the nine-month period ended September 30, 2019 as filed with the Securities and Exchange Commission on the date hereof (the “Report”), I, Dennis Sadlowski, Chief Executive Officer of the Company, certify, pursuant to 18 U.S.C. § 1350, as adopted pursuant to § 906 of the Sarbanes-Oxley Act of 2002, to the best of his knowledge and belief, that:</w:t>
      </w:r>
    </w:p>
    <w:p>
      <w:pPr>
        <w:spacing w:after="0" w:line="39"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Dennis Sadlowski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Dennis Sadlowski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Quarterly Report of CECO Environmental Corp. (the “Company”) on Form 10-Q for the nine-month period ended September 30, 2019 as filed with the Securities and Exchange Commission on the date hereof (the “Report”), I, Matthew Eckl, Chief Financial Officer of the Company, certify, pursuant to 18 U.S.C. § 1350, as adopted pursuant to § 906 of the Sarbanes-Oxley Act of 2002, to the best of his knowledge and belief, that:</w:t>
      </w:r>
    </w:p>
    <w:p>
      <w:pPr>
        <w:spacing w:after="0" w:line="5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Matthew Eckl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8"/>
    </w:lvl>
  </w:abstractNum>
  <w:abstractNum w:abstractNumId="5">
    <w:nsid w:val="109CF92E"/>
    <w:multiLevelType w:val="hybridMultilevel"/>
    <w:lvl w:ilvl="0">
      <w:lvlJc w:val="left"/>
      <w:lvlText w:val="%1."/>
      <w:numFmt w:val="decimal"/>
      <w:start w:val="9"/>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2"/>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1."/>
      <w:numFmt w:val="decimal"/>
      <w:start w:val="13"/>
    </w:lvl>
  </w:abstractNum>
  <w:abstractNum w:abstractNumId="10">
    <w:nsid w:val="6B68079A"/>
    <w:multiLevelType w:val="hybridMultilevel"/>
    <w:lvl w:ilvl="0">
      <w:lvlJc w:val="left"/>
      <w:lvlText w:val="%1."/>
      <w:numFmt w:val="decimal"/>
      <w:start w:val="14"/>
    </w:lvl>
  </w:abstractNum>
  <w:abstractNum w:abstractNumId="11">
    <w:nsid w:val="4E6AFB66"/>
    <w:multiLevelType w:val="hybridMultilevel"/>
    <w:lvl w:ilvl="0">
      <w:lvlJc w:val="left"/>
      <w:lvlText w:val="%1."/>
      <w:numFmt w:val="decimal"/>
      <w:start w:val="16"/>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17"/>
    </w:lvl>
  </w:abstractNum>
  <w:abstractNum w:abstractNumId="15">
    <w:nsid w:val="3F2DBA31"/>
    <w:multiLevelType w:val="hybridMultilevel"/>
    <w:lvl w:ilvl="0">
      <w:lvlJc w:val="left"/>
      <w:lvlText w:val="(%1)"/>
      <w:numFmt w:val="decimal"/>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2020-01-09T07:17:12Z</dcterms:created>
  <dcterms:modified xsi:type="dcterms:W3CDTF">2020-01-09T07:17:12Z</dcterms:modified>
</cp:coreProperties>
</file>