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920" w:type="dxa"/>
            <w:vAlign w:val="bottom"/>
            <w:gridSpan w:val="1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jc w:val="center"/>
              <w:ind w:right="1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Section 16. Form 4 or Form 5</w:t>
            </w: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920" w:type="dxa"/>
            <w:vAlign w:val="bottom"/>
            <w:gridSpan w:val="17"/>
            <w:vMerge w:val="restart"/>
          </w:tcPr>
          <w:p>
            <w:pPr>
              <w:jc w:val="center"/>
              <w:ind w:right="6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92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  <w:vMerge w:val="restart"/>
          </w:tcPr>
          <w:p>
            <w:pPr>
              <w:jc w:val="center"/>
              <w:ind w:left="1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DEZWIREK PHILLIP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</w:t>
            </w: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2300 YONGE STREET, SUITE 1710</w:t>
            </w: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12/31/2010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A6</w:t>
            </w:r>
          </w:p>
        </w:tc>
        <w:tc>
          <w:tcPr>
            <w:tcW w:w="1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M4P 1E4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2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7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950,596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Investment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03/24/2008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6.75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970,596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Investment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7.33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971,596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Investment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991,596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Investment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10/03/2008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53,337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3.85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1,044,933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Investment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1,055,933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Investment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10/09/2008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20,300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1,076,233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Investment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10/09/2008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313,061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1,389,294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Investment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10/10/2008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8,500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1,397,794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Investment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10/14/2008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S4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1,395,794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Investment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S4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8,196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00"/>
                <w:w w:val="99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w w:val="99"/>
                <w:vertAlign w:val="subscript"/>
              </w:rPr>
              <w:t>3.67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9"/>
              </w:rPr>
              <w:t>(8)(9)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1,387,598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Investment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10/23/2008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3.35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1,387,698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Investment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10/24/2008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2.72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1,389,198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Investment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-10011410</wp:posOffset>
            </wp:positionV>
            <wp:extent cx="7272020" cy="101168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011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05156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2.6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1,391,198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2.57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1,399,198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2.71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(12)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1,399,598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(13)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1,400,598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S4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(8)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1,398,098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56,448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1.92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(14)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1,454,546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44,299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1.74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(15)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1,498,845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01/08/2009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2.74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1,499,045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2.97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1,499,245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2.4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1,499,345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02/06/2009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5,100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2.55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(16)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1,504,445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2.67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(17)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1,507,445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2.8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(18)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1,507,745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17,000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2.51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(19)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1,524,745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18,157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2.79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(20)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1,542,902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11,986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2.72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(21)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1,554,888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9,806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2.35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(22)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1,564,694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(23)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188" w:right="239" w:bottom="892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1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40" w:type="dxa"/>
            <w:vAlign w:val="bottom"/>
            <w:gridSpan w:val="8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ind w:right="39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ind w:right="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684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684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1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1.</w:t>
            </w:r>
          </w:p>
        </w:tc>
        <w:tc>
          <w:tcPr>
            <w:tcW w:w="111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73"/>
              </w:rPr>
              <w:t>The price reported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3"/>
              </w:rPr>
              <w:t>Secur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3"/>
              </w:rPr>
              <w:t>in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3"/>
              </w:rPr>
              <w:t>ty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3"/>
              </w:rPr>
              <w:t xml:space="preserve"> column 4 is a weighted average price. These shares were purchased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3"/>
              </w:rPr>
              <w:t>(A)or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3"/>
              </w:rPr>
              <w:t>in multiple transactions at prices ranging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3"/>
              </w:rPr>
              <w:t>Security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3"/>
              </w:rPr>
              <w:t>from$6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3"/>
              </w:rPr>
              <w:t>(Instr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3"/>
              </w:rPr>
              <w:t>.75to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3"/>
              </w:rPr>
              <w:t>.3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3"/>
              </w:rPr>
              <w:t xml:space="preserve">$6.80, inclusive.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3"/>
              </w:rPr>
              <w:t>Following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3"/>
              </w:rPr>
              <w:t>Thereporting person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3"/>
              </w:rPr>
              <w:t>(I)(Instr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3"/>
              </w:rPr>
              <w:t>undertakes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3"/>
              </w:rPr>
              <w:t>.4)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3"/>
              </w:rPr>
              <w:t xml:space="preserve"> to provide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ind w:left="46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20" w:type="dxa"/>
            <w:vAlign w:val="bottom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4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1260" w:type="dxa"/>
            <w:vAlign w:val="bottom"/>
            <w:gridSpan w:val="4"/>
          </w:tcPr>
          <w:p>
            <w:pPr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8000"/>
              </w:rPr>
              <w:t>to CECO Environmental Corp., any security holder of CECO Environmental Corp., or the staff of the Securities Exchange Commission, upon request, full information regarding the number of shares sold or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ind w:left="46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3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8000"/>
              </w:rPr>
              <w:t>purchased, as applicable, at each separate price within the ranges set forth in footnotes 1 through 5, footnote 7, and footnotes 9 through 22 to this Form 5.</w:t>
            </w:r>
          </w:p>
        </w:tc>
        <w:tc>
          <w:tcPr>
            <w:tcW w:w="2640" w:type="dxa"/>
            <w:vAlign w:val="bottom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2.</w:t>
            </w:r>
          </w:p>
        </w:tc>
        <w:tc>
          <w:tcPr>
            <w:tcW w:w="6080" w:type="dxa"/>
            <w:vAlign w:val="bottom"/>
          </w:tcPr>
          <w:p>
            <w:pPr>
              <w:ind w:left="46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140" w:type="dxa"/>
            <w:vAlign w:val="bottom"/>
            <w:gridSpan w:val="3"/>
          </w:tcPr>
          <w:p>
            <w:pPr>
              <w:ind w:left="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8000"/>
              </w:rPr>
              <w:t>The price reported in Column 4 is a weighted average price. These shares were purchased in multiple transactions at prices ranging from $6.50 to $6.65, inclusive.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ind w:left="46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5)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80" w:hanging="131"/>
        <w:spacing w:after="0" w:line="182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purchased in multiple transactions at prices ranging from $3.72 to $4.14, inclusive.</w:t>
      </w:r>
    </w:p>
    <w:p>
      <w:pPr>
        <w:ind w:left="7620"/>
        <w:spacing w:after="0" w:line="185" w:lineRule="auto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Amount</w:t>
      </w:r>
    </w:p>
    <w:p>
      <w:pPr>
        <w:ind w:left="180" w:hanging="131"/>
        <w:spacing w:after="0" w:line="189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price reported in Column 4 is a weighted average price. These shares were purchased in multiple transactions at prices ranging from $</w:t>
      </w:r>
      <w:r>
        <w:rPr>
          <w:rFonts w:ascii="Arial" w:cs="Arial" w:eastAsia="Arial" w:hAnsi="Arial"/>
          <w:sz w:val="19"/>
          <w:szCs w:val="19"/>
          <w:b w:val="1"/>
          <w:bCs w:val="1"/>
          <w:color w:val="000000"/>
          <w:vertAlign w:val="subscript"/>
        </w:rPr>
        <w:t>or</w:t>
      </w:r>
      <w:r>
        <w:rPr>
          <w:rFonts w:ascii="Arial" w:cs="Arial" w:eastAsia="Arial" w:hAnsi="Arial"/>
          <w:sz w:val="11"/>
          <w:szCs w:val="11"/>
          <w:color w:val="008000"/>
        </w:rPr>
        <w:t>2.65 to $2.70, inclusive.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0"/>
        </w:trPr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8000"/>
                <w:w w:val="79"/>
              </w:rPr>
              <w:t>5.</w:t>
            </w: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8000"/>
              </w:rPr>
              <w:t>The price reported in Column 4 is a weighted average price. These shares were purchased in multiple transactions at prices ranging from $2.62 to $2.70, inclusive.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8000"/>
                <w:w w:val="79"/>
              </w:rPr>
              <w:t>6.</w:t>
            </w: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0" w:type="dxa"/>
            <w:vAlign w:val="bottom"/>
            <w:gridSpan w:val="6"/>
          </w:tcPr>
          <w:p>
            <w:pPr>
              <w:ind w:left="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8000"/>
              </w:rPr>
              <w:t>This transaction was originally reported as purchased by filer directly, instead of indirectly by Icarus Investment Corp., in a Form 4 filed October 10, 2008.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ind w:left="46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1460" w:type="dxa"/>
            <w:vAlign w:val="bottom"/>
          </w:tcPr>
          <w:p>
            <w:pPr>
              <w:ind w:left="1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7. The price reported in Column 4 is a weighted average price. These shares were purchased in multiple transactions at prices ranging from $2.40 to $2.50, inclusive.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8. In connection with this transaction, Icarus Investment Corp. has voluntarily remitted appropriate profits to CECO Environmental Corp., pursuant to Section 16(b) of the Securities Exchange Act of 1934.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9. The price reported in Column 4 is a weighted average price. These shares were sold in multiple transactions at prices ranging from $3.65 to $3.76, inclusive.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10. The price reported in Column 4 is a weighted average price. These shares were purchased in multiple transactions at prices ranging from $2.66 to $2.86, inclusive.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11. The price reported in Column 4 is a weighted average price. These shares were purchased in multiple transactions at prices ranging from $2.49 to $2.71, inclusive.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12. The price reported in Column 4 is a weighted average price. These shares were purchased in multiple transactions at prices ranging from $2.40 to $2.80, inclusive.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13. The price reported in Column 4 is a weighted average price. These shares were purchased in multiple transactions at prices ranging from $2.76 to $2.77, inclusive.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14. The price reported in Column 4 is a weighted average price. These shares were purchased in multiple transactions at prices ranging from $1.81 to $1.98, inclusive.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15. The price reported in Column 4 is a weighted average price. These shares were purchased in multiple transactions at prices ranging from $1.65 to $1.80, inclusive.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16. The price reported in Column 4 is a weighted average price. These shares were purchased in multiple transactions at prices ranging from $2.47 to $2.59, inclusive.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17. The price reported in Column 4 is a weighted average price. These shares were purchased in multiple transactions at prices ranging from $2.58 to $2.74, inclusive.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18. The price reported in Column 4 is a weighted average price. These shares were purchased in multiple transactions at prices ranging from $2.70 to $2.85, inclusive.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19. The price reported in Column 4 is a weighted average price. These shares were purchased in multiple transactions at prices ranging from $2.45 to $2.63, inclusive.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20. The price reported in Column 4 is a weighted average price. These shares were purchased in multiple transactions at prices ranging from $2.63 to $2.94, inclusive.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21. The price reported in Column 4 is a weighted average price. These shares were purchased in multiple transactions at prices ranging from $2.63 to $2.77, inclusive.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22. The price reported in Column 4 is a weighted average price. These shares were purchased in multiple transactions at prices ranging from $2.30 to $2.55, inclusive.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23. Filer is President of Icarus Investment Corp. and disclaims beneficial ownership of these securities except to the extent of his pecuniary interest, if any, therein.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 of 8.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Phillip DeZwirek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05/31/2011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8" Type="http://schemas.openxmlformats.org/officeDocument/2006/relationships/hyperlink" Target="http://www.sec.gov/cgi-bin/browse-edgar?action=getcompany&amp;CIK=0000897715" TargetMode="External"/><Relationship Id="rId9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2020-01-29T05:29:50Z</dcterms:created>
  <dcterms:modified xsi:type="dcterms:W3CDTF">2020-01-29T05:29:50Z</dcterms:modified>
</cp:coreProperties>
</file>