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HorizontalLine"/>
        <w:pBdr>
          <w:bottom w:val="single" w:sz="18" w:space="0" w:color="000000"/>
        </w:pBdr>
        <w:rPr/>
      </w:pPr>
      <w:r>
        <w:rPr/>
      </w:r>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TextBody"/>
        <w:spacing w:before="0" w:after="0"/>
        <w:rPr>
          <w:rFonts w:ascii="Times New Roman" w:hAnsi="Times New Roman"/>
          <w:b/>
          <w:sz w:val="24"/>
        </w:rPr>
      </w:pPr>
      <w:r>
        <w:rPr>
          <w:rFonts w:ascii="Times New Roman" w:hAnsi="Times New Roman"/>
          <w:b/>
          <w:sz w:val="24"/>
        </w:rPr>
        <w:t xml:space="preserve">QUARTERLY REPORT UNDER SECTION 13 OR 15(d) OF THE SECURITIES EXCHANGE ACT OF 1934 FOR THE QUARTERLY PERIOD ENDED SEPTEMBER 30, 2003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Commission File No. 0-7099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7"/>
        <w:gridCol w:w="510"/>
        <w:gridCol w:w="4848"/>
      </w:tblGrid>
      <w:tr>
        <w:trPr/>
        <w:tc>
          <w:tcPr>
            <w:tcW w:w="484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510" w:type="dxa"/>
            <w:tcBorders/>
            <w:shd w:fill="auto" w:val="clear"/>
            <w:vAlign w:val="bottom"/>
          </w:tcPr>
          <w:p>
            <w:pPr>
              <w:pStyle w:val="TableContents"/>
              <w:spacing w:before="0" w:after="283"/>
              <w:rPr/>
            </w:pPr>
            <w:r>
              <w:rPr/>
              <w:t> </w:t>
            </w:r>
          </w:p>
        </w:tc>
        <w:tc>
          <w:tcPr>
            <w:tcW w:w="484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484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0"/>
              <w:jc w:val="center"/>
              <w:rPr>
                <w:rFonts w:ascii="Times New Roman" w:hAnsi="Times New Roman"/>
                <w:b/>
                <w:sz w:val="14"/>
              </w:rPr>
            </w:pPr>
            <w:r>
              <w:rPr>
                <w:rFonts w:ascii="Times New Roman" w:hAnsi="Times New Roman"/>
                <w:b/>
                <w:sz w:val="14"/>
              </w:rPr>
              <w:t>incorporation or organization)</w:t>
            </w:r>
          </w:p>
        </w:tc>
        <w:tc>
          <w:tcPr>
            <w:tcW w:w="510" w:type="dxa"/>
            <w:tcBorders/>
            <w:shd w:fill="auto" w:val="clear"/>
            <w:vAlign w:val="bottom"/>
          </w:tcPr>
          <w:p>
            <w:pPr>
              <w:pStyle w:val="TableContents"/>
              <w:spacing w:before="0" w:after="283"/>
              <w:rPr/>
            </w:pPr>
            <w:r>
              <w:rPr/>
              <w:t> </w:t>
            </w:r>
          </w:p>
        </w:tc>
        <w:tc>
          <w:tcPr>
            <w:tcW w:w="484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0"/>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3120 Forrer Street, Cincinnati, Ohio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513-458-2600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the past 90 days.    ☒  Yes    </w:t>
      </w:r>
      <w:r>
        <w:rPr>
          <w:color w:val="000000"/>
        </w:rPr>
        <w:t>☐</w:t>
      </w:r>
      <w:r>
        <w:rPr/>
        <w:t>  </w:t>
      </w:r>
      <w:r>
        <w:rPr>
          <w:rFonts w:ascii="Times New Roman" w:hAnsi="Times New Roman"/>
          <w:sz w:val="20"/>
        </w:rPr>
        <w:t xml:space="preserve">No </w:t>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is an accelerated filer (as defined in Rule 12b-2 of the Exchange Act)    </w:t>
      </w:r>
      <w:r>
        <w:rPr>
          <w:color w:val="000000"/>
        </w:rPr>
        <w:t>☐</w:t>
      </w:r>
      <w:r>
        <w:rPr/>
        <w:t>  </w:t>
      </w:r>
      <w:r>
        <w:rPr>
          <w:rFonts w:ascii="Times New Roman" w:hAnsi="Times New Roman"/>
          <w:sz w:val="20"/>
        </w:rPr>
        <w:t xml:space="preserve">Yes     ☒  No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the number of shares outstanding of each of the issuers classes of common stock as of latest practical date.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Class: Common, par value $.01 per share outstanding at November 12, 2003 - 9,978,835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QUARTERLY REPORT UNDER SECTION 13 OR 15(d) </w:t>
      </w:r>
    </w:p>
    <w:p>
      <w:pPr>
        <w:pStyle w:val="TextBody"/>
        <w:spacing w:before="0" w:after="0"/>
        <w:jc w:val="center"/>
        <w:rPr>
          <w:rFonts w:ascii="Times New Roman" w:hAnsi="Times New Roman"/>
          <w:sz w:val="20"/>
        </w:rPr>
      </w:pPr>
      <w:r>
        <w:rPr>
          <w:rFonts w:ascii="Times New Roman" w:hAnsi="Times New Roman"/>
          <w:sz w:val="20"/>
        </w:rPr>
        <w:t xml:space="preserve">OF THE SECURITIES EXCHANGE ACT OF 1934 </w:t>
      </w:r>
    </w:p>
    <w:p>
      <w:pPr>
        <w:pStyle w:val="TextBody"/>
        <w:spacing w:before="0" w:after="0"/>
        <w:jc w:val="center"/>
        <w:rPr>
          <w:rFonts w:ascii="Times New Roman" w:hAnsi="Times New Roman"/>
          <w:sz w:val="20"/>
        </w:rPr>
      </w:pPr>
      <w:r>
        <w:rPr>
          <w:rFonts w:ascii="Times New Roman" w:hAnsi="Times New Roman"/>
          <w:sz w:val="20"/>
        </w:rPr>
        <w:t xml:space="preserve">SEPTEMBER 30, 2003 </w:t>
      </w:r>
    </w:p>
    <w:p>
      <w:pPr>
        <w:pStyle w:val="HorizontalLine"/>
        <w:pBdr>
          <w:bottom w:val="single" w:sz="6"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bookmarkStart w:id="2" w:name="toc"/>
      <w:bookmarkEnd w:id="2"/>
      <w:r>
        <w:rPr>
          <w:rFonts w:ascii="Times New Roman" w:hAnsi="Times New Roman"/>
          <w:sz w:val="20"/>
          <w:u w:val="single"/>
        </w:rPr>
        <w:t>INDEX</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
        <w:gridCol w:w="213"/>
        <w:gridCol w:w="568"/>
        <w:gridCol w:w="213"/>
        <w:gridCol w:w="8705"/>
        <w:gridCol w:w="213"/>
        <w:gridCol w:w="234"/>
      </w:tblGrid>
      <w:tr>
        <w:trPr/>
        <w:tc>
          <w:tcPr>
            <w:tcW w:w="9758"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Part I - Financial Information:</w:t>
            </w:r>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auto" w:val="clear"/>
            <w:vAlign w:val="center"/>
          </w:tcPr>
          <w:p>
            <w:pPr>
              <w:pStyle w:val="TableContents"/>
              <w:spacing w:before="0" w:after="283"/>
              <w:rPr>
                <w:sz w:val="4"/>
                <w:szCs w:val="4"/>
              </w:rPr>
            </w:pPr>
            <w:r>
              <w:rPr>
                <w:sz w:val="4"/>
                <w:szCs w:val="4"/>
              </w:rPr>
            </w:r>
          </w:p>
        </w:tc>
        <w:tc>
          <w:tcPr>
            <w:tcW w:w="8918"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1.</w:t>
            </w:r>
          </w:p>
        </w:tc>
        <w:tc>
          <w:tcPr>
            <w:tcW w:w="213" w:type="dxa"/>
            <w:tcBorders/>
            <w:shd w:fill="auto" w:val="clear"/>
            <w:vAlign w:val="bottom"/>
          </w:tcPr>
          <w:p>
            <w:pPr>
              <w:pStyle w:val="TableContents"/>
              <w:spacing w:before="0" w:after="283"/>
              <w:rPr/>
            </w:pPr>
            <w:r>
              <w:rPr/>
              <w:t>  </w:t>
            </w:r>
          </w:p>
        </w:tc>
        <w:tc>
          <w:tcPr>
            <w:tcW w:w="8705" w:type="dxa"/>
            <w:tcBorders/>
            <w:shd w:fill="auto" w:val="clear"/>
            <w:vAlign w:val="bottom"/>
          </w:tcPr>
          <w:p>
            <w:pPr>
              <w:pStyle w:val="TableContents"/>
              <w:spacing w:before="0" w:after="283"/>
              <w:rPr/>
            </w:pPr>
            <w:hyperlink w:anchor="tx16502_1">
              <w:r>
                <w:rPr>
                  <w:rStyle w:val="InternetLink"/>
                  <w:rFonts w:ascii="Times New Roman" w:hAnsi="Times New Roman"/>
                  <w:sz w:val="20"/>
                </w:rPr>
                <w:t>Condensed consolidated balance sheets as of September 30, 2003 and December 31, 2002</w:t>
              </w:r>
            </w:hyperlink>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auto" w:val="clear"/>
            <w:vAlign w:val="center"/>
          </w:tcPr>
          <w:p>
            <w:pPr>
              <w:pStyle w:val="TableContents"/>
              <w:spacing w:before="0" w:after="283"/>
              <w:rPr>
                <w:sz w:val="4"/>
                <w:szCs w:val="4"/>
              </w:rPr>
            </w:pPr>
            <w:r>
              <w:rPr>
                <w:sz w:val="4"/>
                <w:szCs w:val="4"/>
              </w:rPr>
            </w:r>
          </w:p>
        </w:tc>
        <w:tc>
          <w:tcPr>
            <w:tcW w:w="8918"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05" w:type="dxa"/>
            <w:tcBorders/>
            <w:shd w:fill="auto" w:val="clear"/>
            <w:vAlign w:val="bottom"/>
          </w:tcPr>
          <w:p>
            <w:pPr>
              <w:pStyle w:val="TableContents"/>
              <w:spacing w:before="0" w:after="283"/>
              <w:rPr/>
            </w:pPr>
            <w:hyperlink w:anchor="tx16502_2">
              <w:r>
                <w:rPr>
                  <w:rStyle w:val="InternetLink"/>
                  <w:rFonts w:ascii="Times New Roman" w:hAnsi="Times New Roman"/>
                  <w:sz w:val="20"/>
                </w:rPr>
                <w:t>Condensed consolidated statements of operations for the three-month and nine-month periods ended September 30, 2003 and 2002</w:t>
              </w:r>
            </w:hyperlink>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auto" w:val="clear"/>
            <w:vAlign w:val="center"/>
          </w:tcPr>
          <w:p>
            <w:pPr>
              <w:pStyle w:val="TableContents"/>
              <w:spacing w:before="0" w:after="283"/>
              <w:rPr>
                <w:sz w:val="4"/>
                <w:szCs w:val="4"/>
              </w:rPr>
            </w:pPr>
            <w:r>
              <w:rPr>
                <w:sz w:val="4"/>
                <w:szCs w:val="4"/>
              </w:rPr>
            </w:r>
          </w:p>
        </w:tc>
        <w:tc>
          <w:tcPr>
            <w:tcW w:w="8918"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05" w:type="dxa"/>
            <w:tcBorders/>
            <w:shd w:fill="auto" w:val="clear"/>
            <w:vAlign w:val="bottom"/>
          </w:tcPr>
          <w:p>
            <w:pPr>
              <w:pStyle w:val="TableContents"/>
              <w:spacing w:before="0" w:after="283"/>
              <w:rPr/>
            </w:pPr>
            <w:hyperlink w:anchor="tx16502_3">
              <w:r>
                <w:rPr>
                  <w:rStyle w:val="InternetLink"/>
                  <w:rFonts w:ascii="Times New Roman" w:hAnsi="Times New Roman"/>
                  <w:sz w:val="20"/>
                </w:rPr>
                <w:t>Condensed consolidated statements of cash flows for the nine-month periods ended September 30, 2003 and 2002</w:t>
              </w:r>
            </w:hyperlink>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auto" w:val="clear"/>
            <w:vAlign w:val="center"/>
          </w:tcPr>
          <w:p>
            <w:pPr>
              <w:pStyle w:val="TableContents"/>
              <w:spacing w:before="0" w:after="283"/>
              <w:rPr>
                <w:sz w:val="4"/>
                <w:szCs w:val="4"/>
              </w:rPr>
            </w:pPr>
            <w:r>
              <w:rPr>
                <w:sz w:val="4"/>
                <w:szCs w:val="4"/>
              </w:rPr>
            </w:r>
          </w:p>
        </w:tc>
        <w:tc>
          <w:tcPr>
            <w:tcW w:w="8918"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05" w:type="dxa"/>
            <w:tcBorders/>
            <w:shd w:fill="auto" w:val="clear"/>
            <w:vAlign w:val="bottom"/>
          </w:tcPr>
          <w:p>
            <w:pPr>
              <w:pStyle w:val="TableContents"/>
              <w:spacing w:before="0" w:after="283"/>
              <w:rPr/>
            </w:pPr>
            <w:hyperlink w:anchor="tx16502_4">
              <w:r>
                <w:rPr>
                  <w:rStyle w:val="InternetLink"/>
                  <w:rFonts w:ascii="Times New Roman" w:hAnsi="Times New Roman"/>
                  <w:sz w:val="20"/>
                </w:rPr>
                <w:t>Notes to condensed consolidated financial statements</w:t>
              </w:r>
            </w:hyperlink>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auto" w:val="clear"/>
            <w:vAlign w:val="center"/>
          </w:tcPr>
          <w:p>
            <w:pPr>
              <w:pStyle w:val="TableContents"/>
              <w:spacing w:before="0" w:after="283"/>
              <w:rPr>
                <w:sz w:val="4"/>
                <w:szCs w:val="4"/>
              </w:rPr>
            </w:pPr>
            <w:r>
              <w:rPr>
                <w:sz w:val="4"/>
                <w:szCs w:val="4"/>
              </w:rPr>
            </w:r>
          </w:p>
        </w:tc>
        <w:tc>
          <w:tcPr>
            <w:tcW w:w="8918"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2.</w:t>
            </w:r>
          </w:p>
        </w:tc>
        <w:tc>
          <w:tcPr>
            <w:tcW w:w="213" w:type="dxa"/>
            <w:tcBorders/>
            <w:shd w:fill="auto" w:val="clear"/>
            <w:vAlign w:val="bottom"/>
          </w:tcPr>
          <w:p>
            <w:pPr>
              <w:pStyle w:val="TableContents"/>
              <w:spacing w:before="0" w:after="283"/>
              <w:rPr/>
            </w:pPr>
            <w:r>
              <w:rPr/>
              <w:t>  </w:t>
            </w:r>
          </w:p>
        </w:tc>
        <w:tc>
          <w:tcPr>
            <w:tcW w:w="8705" w:type="dxa"/>
            <w:tcBorders/>
            <w:shd w:fill="auto" w:val="clear"/>
            <w:vAlign w:val="bottom"/>
          </w:tcPr>
          <w:p>
            <w:pPr>
              <w:pStyle w:val="TableContents"/>
              <w:spacing w:before="0" w:after="283"/>
              <w:rPr/>
            </w:pPr>
            <w:hyperlink w:anchor="tx16502_5">
              <w:r>
                <w:rPr>
                  <w:rStyle w:val="InternetLink"/>
                  <w:rFonts w:ascii="Times New Roman" w:hAnsi="Times New Roman"/>
                  <w:sz w:val="20"/>
                </w:rPr>
                <w:t>Managements discussion and analysis of financial condition and results of operations</w:t>
              </w:r>
            </w:hyperlink>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auto" w:val="clear"/>
            <w:vAlign w:val="center"/>
          </w:tcPr>
          <w:p>
            <w:pPr>
              <w:pStyle w:val="TableContents"/>
              <w:spacing w:before="0" w:after="283"/>
              <w:rPr>
                <w:sz w:val="4"/>
                <w:szCs w:val="4"/>
              </w:rPr>
            </w:pPr>
            <w:r>
              <w:rPr>
                <w:sz w:val="4"/>
                <w:szCs w:val="4"/>
              </w:rPr>
            </w:r>
          </w:p>
        </w:tc>
        <w:tc>
          <w:tcPr>
            <w:tcW w:w="8918"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3.</w:t>
            </w:r>
          </w:p>
        </w:tc>
        <w:tc>
          <w:tcPr>
            <w:tcW w:w="213" w:type="dxa"/>
            <w:tcBorders/>
            <w:shd w:fill="auto" w:val="clear"/>
            <w:vAlign w:val="bottom"/>
          </w:tcPr>
          <w:p>
            <w:pPr>
              <w:pStyle w:val="TableContents"/>
              <w:spacing w:before="0" w:after="283"/>
              <w:rPr/>
            </w:pPr>
            <w:r>
              <w:rPr/>
              <w:t>  </w:t>
            </w:r>
          </w:p>
        </w:tc>
        <w:tc>
          <w:tcPr>
            <w:tcW w:w="8705" w:type="dxa"/>
            <w:tcBorders/>
            <w:shd w:fill="auto" w:val="clear"/>
            <w:vAlign w:val="bottom"/>
          </w:tcPr>
          <w:p>
            <w:pPr>
              <w:pStyle w:val="TableContents"/>
              <w:spacing w:before="0" w:after="283"/>
              <w:rPr/>
            </w:pPr>
            <w:hyperlink w:anchor="tx16502_6">
              <w:r>
                <w:rPr>
                  <w:rStyle w:val="InternetLink"/>
                  <w:rFonts w:ascii="Times New Roman" w:hAnsi="Times New Roman"/>
                  <w:sz w:val="20"/>
                </w:rPr>
                <w:t>Quantitative and Qualitative Disclosure about Market Risk</w:t>
              </w:r>
            </w:hyperlink>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auto" w:val="clear"/>
            <w:vAlign w:val="center"/>
          </w:tcPr>
          <w:p>
            <w:pPr>
              <w:pStyle w:val="TableContents"/>
              <w:spacing w:before="0" w:after="283"/>
              <w:rPr>
                <w:sz w:val="4"/>
                <w:szCs w:val="4"/>
              </w:rPr>
            </w:pPr>
            <w:r>
              <w:rPr>
                <w:sz w:val="4"/>
                <w:szCs w:val="4"/>
              </w:rPr>
            </w:r>
          </w:p>
        </w:tc>
        <w:tc>
          <w:tcPr>
            <w:tcW w:w="8918"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4.</w:t>
            </w:r>
          </w:p>
        </w:tc>
        <w:tc>
          <w:tcPr>
            <w:tcW w:w="213" w:type="dxa"/>
            <w:tcBorders/>
            <w:shd w:fill="auto" w:val="clear"/>
            <w:vAlign w:val="bottom"/>
          </w:tcPr>
          <w:p>
            <w:pPr>
              <w:pStyle w:val="TableContents"/>
              <w:spacing w:before="0" w:after="283"/>
              <w:rPr/>
            </w:pPr>
            <w:r>
              <w:rPr/>
              <w:t>  </w:t>
            </w:r>
          </w:p>
        </w:tc>
        <w:tc>
          <w:tcPr>
            <w:tcW w:w="8705" w:type="dxa"/>
            <w:tcBorders/>
            <w:shd w:fill="auto" w:val="clear"/>
            <w:vAlign w:val="bottom"/>
          </w:tcPr>
          <w:p>
            <w:pPr>
              <w:pStyle w:val="TableContents"/>
              <w:spacing w:before="0" w:after="283"/>
              <w:rPr/>
            </w:pPr>
            <w:hyperlink w:anchor="tx16502_7">
              <w:r>
                <w:rPr>
                  <w:rStyle w:val="InternetLink"/>
                  <w:rFonts w:ascii="Times New Roman" w:hAnsi="Times New Roman"/>
                  <w:sz w:val="20"/>
                </w:rPr>
                <w:t>Controls and Procedures</w:t>
              </w:r>
            </w:hyperlink>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rHeight w:val="120" w:hRule="atLeast"/>
        </w:trPr>
        <w:tc>
          <w:tcPr>
            <w:tcW w:w="9758" w:type="dxa"/>
            <w:gridSpan w:val="5"/>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9758"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Part II - Other Information</w:t>
            </w:r>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auto" w:val="clear"/>
            <w:vAlign w:val="center"/>
          </w:tcPr>
          <w:p>
            <w:pPr>
              <w:pStyle w:val="TableContents"/>
              <w:spacing w:before="0" w:after="283"/>
              <w:rPr>
                <w:sz w:val="4"/>
                <w:szCs w:val="4"/>
              </w:rPr>
            </w:pPr>
            <w:r>
              <w:rPr>
                <w:sz w:val="4"/>
                <w:szCs w:val="4"/>
              </w:rPr>
            </w:r>
          </w:p>
        </w:tc>
        <w:tc>
          <w:tcPr>
            <w:tcW w:w="8918"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6.</w:t>
            </w:r>
          </w:p>
        </w:tc>
        <w:tc>
          <w:tcPr>
            <w:tcW w:w="213" w:type="dxa"/>
            <w:tcBorders/>
            <w:shd w:fill="auto" w:val="clear"/>
            <w:vAlign w:val="bottom"/>
          </w:tcPr>
          <w:p>
            <w:pPr>
              <w:pStyle w:val="TableContents"/>
              <w:spacing w:before="0" w:after="283"/>
              <w:rPr/>
            </w:pPr>
            <w:r>
              <w:rPr/>
              <w:t>  </w:t>
            </w:r>
          </w:p>
        </w:tc>
        <w:tc>
          <w:tcPr>
            <w:tcW w:w="8705" w:type="dxa"/>
            <w:tcBorders/>
            <w:shd w:fill="auto" w:val="clear"/>
            <w:vAlign w:val="bottom"/>
          </w:tcPr>
          <w:p>
            <w:pPr>
              <w:pStyle w:val="TableContents"/>
              <w:spacing w:before="0" w:after="283"/>
              <w:rPr/>
            </w:pPr>
            <w:hyperlink w:anchor="tx16502_8">
              <w:r>
                <w:rPr>
                  <w:rStyle w:val="InternetLink"/>
                  <w:rFonts w:ascii="Times New Roman" w:hAnsi="Times New Roman"/>
                  <w:sz w:val="20"/>
                </w:rPr>
                <w:t xml:space="preserve">Exhibits and reports on Form 8-K </w:t>
              </w:r>
            </w:hyperlink>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rHeight w:val="120" w:hRule="atLeast"/>
        </w:trPr>
        <w:tc>
          <w:tcPr>
            <w:tcW w:w="9758" w:type="dxa"/>
            <w:gridSpan w:val="5"/>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r>
      <w:tr>
        <w:trPr/>
        <w:tc>
          <w:tcPr>
            <w:tcW w:w="9758" w:type="dxa"/>
            <w:gridSpan w:val="5"/>
            <w:tcBorders/>
            <w:shd w:fill="auto" w:val="clear"/>
          </w:tcPr>
          <w:p>
            <w:pPr>
              <w:pStyle w:val="TableContents"/>
              <w:spacing w:before="0" w:after="283"/>
              <w:rPr/>
            </w:pPr>
            <w:hyperlink w:anchor="tx16502_9">
              <w:r>
                <w:rPr>
                  <w:rStyle w:val="InternetLink"/>
                  <w:rFonts w:ascii="Times New Roman" w:hAnsi="Times New Roman"/>
                  <w:sz w:val="20"/>
                </w:rPr>
                <w:t xml:space="preserve">Signature </w:t>
              </w:r>
            </w:hyperlink>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3" w:name="tx16502_1"/>
      <w:bookmarkEnd w:id="3"/>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BALANCE SHEETS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except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19"/>
        <w:gridCol w:w="812"/>
        <w:gridCol w:w="203"/>
        <w:gridCol w:w="838"/>
        <w:gridCol w:w="131"/>
        <w:gridCol w:w="768"/>
        <w:gridCol w:w="195"/>
        <w:gridCol w:w="801"/>
        <w:gridCol w:w="138"/>
      </w:tblGrid>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04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SEPTEMBER 30,</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9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38" w:type="dxa"/>
            <w:tcBorders/>
            <w:shd w:fill="auto" w:val="clear"/>
            <w:vAlign w:val="bottom"/>
          </w:tcPr>
          <w:p>
            <w:pPr>
              <w:pStyle w:val="TableContents"/>
              <w:spacing w:before="0" w:after="283"/>
              <w:rPr/>
            </w:pPr>
            <w:r>
              <w:rPr/>
              <w:t> </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04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96" w:type="dxa"/>
            <w:gridSpan w:val="2"/>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ASSETS</w:t>
            </w:r>
          </w:p>
        </w:tc>
        <w:tc>
          <w:tcPr>
            <w:tcW w:w="812" w:type="dxa"/>
            <w:tcBorders/>
            <w:shd w:fill="CCEEFF" w:val="clear"/>
            <w:vAlign w:val="bottom"/>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838"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801" w:type="dxa"/>
            <w:tcBorders/>
            <w:shd w:fill="CCEEFF" w:val="clear"/>
          </w:tcPr>
          <w:p>
            <w:pPr>
              <w:pStyle w:val="TableContents"/>
              <w:spacing w:before="0" w:after="283"/>
              <w:rPr/>
            </w:pPr>
            <w:r>
              <w:rPr/>
              <w:t> </w:t>
            </w:r>
          </w:p>
        </w:tc>
        <w:tc>
          <w:tcPr>
            <w:tcW w:w="138" w:type="dxa"/>
            <w:tcBorders/>
            <w:shd w:fill="CCEEFF" w:val="clear"/>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13,643</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12,037</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4,605</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5,287</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1,829</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2,055</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2,373</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2,151</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838"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801"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22,531</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21,724</w:t>
            </w:r>
          </w:p>
        </w:tc>
        <w:tc>
          <w:tcPr>
            <w:tcW w:w="138" w:type="dxa"/>
            <w:tcBorders/>
            <w:shd w:fill="CCEEFF" w:val="clear"/>
            <w:vAlign w:val="bottom"/>
          </w:tcPr>
          <w:p>
            <w:pPr>
              <w:pStyle w:val="TableContents"/>
              <w:spacing w:before="0" w:after="283"/>
              <w:rPr/>
            </w:pPr>
            <w:r>
              <w:rPr/>
              <w:t> </w:t>
            </w:r>
          </w:p>
        </w:tc>
      </w:tr>
      <w:tr>
        <w:trPr>
          <w:trHeight w:val="120" w:hRule="atLeast"/>
        </w:trPr>
        <w:tc>
          <w:tcPr>
            <w:tcW w:w="6319" w:type="dxa"/>
            <w:tcBorders/>
            <w:shd w:fill="auto" w:val="clear"/>
            <w:vAlign w:val="center"/>
          </w:tcPr>
          <w:p>
            <w:pPr>
              <w:pStyle w:val="TableContents"/>
              <w:spacing w:before="0" w:after="283"/>
              <w:rPr>
                <w:sz w:val="4"/>
                <w:szCs w:val="4"/>
              </w:rPr>
            </w:pPr>
            <w:r>
              <w:rPr>
                <w:sz w:val="4"/>
                <w:szCs w:val="4"/>
              </w:rPr>
            </w:r>
          </w:p>
        </w:tc>
        <w:tc>
          <w:tcPr>
            <w:tcW w:w="1984" w:type="dxa"/>
            <w:gridSpan w:val="4"/>
            <w:tcBorders/>
            <w:shd w:fill="auto" w:val="clear"/>
            <w:vAlign w:val="center"/>
          </w:tcPr>
          <w:p>
            <w:pPr>
              <w:pStyle w:val="TableContents"/>
              <w:spacing w:before="0" w:after="283"/>
              <w:rPr>
                <w:sz w:val="4"/>
                <w:szCs w:val="4"/>
              </w:rPr>
            </w:pPr>
            <w:r>
              <w:rPr>
                <w:sz w:val="4"/>
                <w:szCs w:val="4"/>
              </w:rPr>
            </w:r>
          </w:p>
        </w:tc>
        <w:tc>
          <w:tcPr>
            <w:tcW w:w="1902" w:type="dxa"/>
            <w:gridSpan w:val="4"/>
            <w:tcBorders/>
            <w:shd w:fill="auto" w:val="clear"/>
            <w:vAlign w:val="center"/>
          </w:tcPr>
          <w:p>
            <w:pPr>
              <w:pStyle w:val="TableContents"/>
              <w:spacing w:before="0" w:after="283"/>
              <w:rPr>
                <w:sz w:val="4"/>
                <w:szCs w:val="4"/>
              </w:rPr>
            </w:pPr>
            <w:r>
              <w:rPr>
                <w:sz w:val="4"/>
                <w:szCs w:val="4"/>
              </w:rPr>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10,234</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12,122</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net</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Intangibles  finite life, net</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835</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Intangibles  indefinite life</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1,011</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1,015</w:t>
            </w:r>
          </w:p>
        </w:tc>
        <w:tc>
          <w:tcPr>
            <w:tcW w:w="138" w:type="dxa"/>
            <w:tcBorders/>
            <w:shd w:fill="auto" w:val="clear"/>
            <w:vAlign w:val="bottom"/>
          </w:tcPr>
          <w:p>
            <w:pPr>
              <w:pStyle w:val="TableContents"/>
              <w:spacing w:before="0" w:after="283"/>
              <w:rPr/>
            </w:pPr>
            <w:r>
              <w:rPr/>
              <w:t> </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838"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801"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6319" w:type="dxa"/>
            <w:tcBorders/>
            <w:shd w:fill="CCEEFF" w:val="clear"/>
          </w:tcPr>
          <w:p>
            <w:pPr>
              <w:pStyle w:val="TableContents"/>
              <w:spacing w:before="0" w:after="283"/>
              <w:rPr/>
            </w:pPr>
            <w:r>
              <w:rPr/>
              <w:t> </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45,533</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46,677</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18" w:space="0" w:color="000000"/>
              </w:pBdr>
              <w:spacing w:before="0" w:after="283"/>
              <w:rPr/>
            </w:pPr>
            <w:r>
              <w:rPr/>
            </w:r>
          </w:p>
        </w:tc>
        <w:tc>
          <w:tcPr>
            <w:tcW w:w="838"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18" w:space="0" w:color="000000"/>
              </w:pBdr>
              <w:spacing w:before="0" w:after="283"/>
              <w:rPr/>
            </w:pPr>
            <w:r>
              <w:rPr/>
            </w:r>
          </w:p>
        </w:tc>
        <w:tc>
          <w:tcPr>
            <w:tcW w:w="801"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r>
      <w:tr>
        <w:trPr/>
        <w:tc>
          <w:tcPr>
            <w:tcW w:w="6319"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LIABILITIES AND SHAREHOLDERS EQUITY</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2,120</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10,458</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11,675</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3,265</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1,652</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838"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801"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15,817</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15,447</w:t>
            </w:r>
          </w:p>
        </w:tc>
        <w:tc>
          <w:tcPr>
            <w:tcW w:w="138" w:type="dxa"/>
            <w:tcBorders/>
            <w:shd w:fill="CCEEFF" w:val="clear"/>
            <w:vAlign w:val="bottom"/>
          </w:tcPr>
          <w:p>
            <w:pPr>
              <w:pStyle w:val="TableContents"/>
              <w:spacing w:before="0" w:after="283"/>
              <w:rPr/>
            </w:pPr>
            <w:r>
              <w:rPr/>
              <w:t> </w:t>
            </w:r>
          </w:p>
        </w:tc>
      </w:tr>
      <w:tr>
        <w:trPr>
          <w:trHeight w:val="120" w:hRule="atLeast"/>
        </w:trPr>
        <w:tc>
          <w:tcPr>
            <w:tcW w:w="6319" w:type="dxa"/>
            <w:tcBorders/>
            <w:shd w:fill="auto" w:val="clear"/>
            <w:vAlign w:val="center"/>
          </w:tcPr>
          <w:p>
            <w:pPr>
              <w:pStyle w:val="TableContents"/>
              <w:spacing w:before="0" w:after="283"/>
              <w:rPr>
                <w:sz w:val="4"/>
                <w:szCs w:val="4"/>
              </w:rPr>
            </w:pPr>
            <w:r>
              <w:rPr>
                <w:sz w:val="4"/>
                <w:szCs w:val="4"/>
              </w:rPr>
            </w:r>
          </w:p>
        </w:tc>
        <w:tc>
          <w:tcPr>
            <w:tcW w:w="1984" w:type="dxa"/>
            <w:gridSpan w:val="4"/>
            <w:tcBorders/>
            <w:shd w:fill="auto" w:val="clear"/>
            <w:vAlign w:val="center"/>
          </w:tcPr>
          <w:p>
            <w:pPr>
              <w:pStyle w:val="TableContents"/>
              <w:spacing w:before="0" w:after="283"/>
              <w:rPr>
                <w:sz w:val="4"/>
                <w:szCs w:val="4"/>
              </w:rPr>
            </w:pPr>
            <w:r>
              <w:rPr>
                <w:sz w:val="4"/>
                <w:szCs w:val="4"/>
              </w:rPr>
            </w:r>
          </w:p>
        </w:tc>
        <w:tc>
          <w:tcPr>
            <w:tcW w:w="1902" w:type="dxa"/>
            <w:gridSpan w:val="4"/>
            <w:tcBorders/>
            <w:shd w:fill="auto" w:val="clear"/>
            <w:vAlign w:val="center"/>
          </w:tcPr>
          <w:p>
            <w:pPr>
              <w:pStyle w:val="TableContents"/>
              <w:spacing w:before="0" w:after="283"/>
              <w:rPr>
                <w:sz w:val="4"/>
                <w:szCs w:val="4"/>
              </w:rPr>
            </w:pPr>
            <w:r>
              <w:rPr>
                <w:sz w:val="4"/>
                <w:szCs w:val="4"/>
              </w:rPr>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2,443</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2,137</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9,012</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12,164</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3,480</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3,480</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(related party - $5,028 and $3,634, respectively)</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5,453</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4,038</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838"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801"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36,205</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37,266</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838"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801"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$0.01 par value; 100,000,000 shares authorized, 10,780,055 shares issued at September 30, 2003 and 10,390,956 shares issued at December 31, 2002</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31"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38" w:type="dxa"/>
            <w:tcBorders/>
            <w:shd w:fill="auto" w:val="clear"/>
            <w:vAlign w:val="bottom"/>
          </w:tcPr>
          <w:p>
            <w:pPr>
              <w:pStyle w:val="TableContents"/>
              <w:spacing w:before="0" w:after="283"/>
              <w:rPr/>
            </w:pPr>
            <w:r>
              <w:rPr/>
              <w:t> </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16,324</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16,313</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(4,431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(4,337</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838"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801"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6319" w:type="dxa"/>
            <w:tcBorders/>
            <w:shd w:fill="CCEEFF" w:val="clear"/>
          </w:tcPr>
          <w:p>
            <w:pPr>
              <w:pStyle w:val="TableContents"/>
              <w:spacing w:before="0" w:after="283"/>
              <w:rPr/>
            </w:pPr>
            <w:r>
              <w:rPr/>
              <w:t> </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11,132</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11,215</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801,220 shares in 2003 and 2002</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838"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801"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6319"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9,328</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9,411</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838"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801"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6319" w:type="dxa"/>
            <w:tcBorders/>
            <w:shd w:fill="CCEEFF" w:val="clear"/>
          </w:tcPr>
          <w:p>
            <w:pPr>
              <w:pStyle w:val="TableContents"/>
              <w:spacing w:before="0" w:after="283"/>
              <w:rPr/>
            </w:pPr>
            <w:r>
              <w:rPr/>
              <w:t> </w:t>
            </w:r>
          </w:p>
        </w:tc>
        <w:tc>
          <w:tcPr>
            <w:tcW w:w="81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45,533</w:t>
            </w:r>
          </w:p>
        </w:tc>
        <w:tc>
          <w:tcPr>
            <w:tcW w:w="131"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46,677</w:t>
            </w:r>
          </w:p>
        </w:tc>
        <w:tc>
          <w:tcPr>
            <w:tcW w:w="138" w:type="dxa"/>
            <w:tcBorders/>
            <w:shd w:fill="CCEEFF" w:val="clear"/>
            <w:vAlign w:val="bottom"/>
          </w:tcPr>
          <w:p>
            <w:pPr>
              <w:pStyle w:val="TableContents"/>
              <w:spacing w:before="0" w:after="283"/>
              <w:rPr/>
            </w:pPr>
            <w:r>
              <w:rPr/>
              <w:t> </w:t>
            </w:r>
          </w:p>
        </w:tc>
      </w:tr>
      <w:tr>
        <w:trPr/>
        <w:tc>
          <w:tcPr>
            <w:tcW w:w="63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18" w:space="0" w:color="000000"/>
              </w:pBdr>
              <w:spacing w:before="0" w:after="283"/>
              <w:rPr/>
            </w:pPr>
            <w:r>
              <w:rPr/>
            </w:r>
          </w:p>
        </w:tc>
        <w:tc>
          <w:tcPr>
            <w:tcW w:w="838"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FFFFFF"/>
              </w:pBdr>
              <w:spacing w:before="0" w:after="283"/>
              <w:rPr/>
            </w:pPr>
            <w:r>
              <w:rPr/>
            </w:r>
          </w:p>
        </w:tc>
        <w:tc>
          <w:tcPr>
            <w:tcW w:w="7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18" w:space="0" w:color="000000"/>
              </w:pBdr>
              <w:spacing w:before="0" w:after="283"/>
              <w:rPr/>
            </w:pPr>
            <w:r>
              <w:rPr/>
            </w:r>
          </w:p>
        </w:tc>
        <w:tc>
          <w:tcPr>
            <w:tcW w:w="801"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4" w:name="tx16502_2"/>
      <w:bookmarkEnd w:id="4"/>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88"/>
        <w:gridCol w:w="476"/>
        <w:gridCol w:w="157"/>
        <w:gridCol w:w="952"/>
        <w:gridCol w:w="120"/>
        <w:gridCol w:w="426"/>
        <w:gridCol w:w="157"/>
        <w:gridCol w:w="865"/>
        <w:gridCol w:w="120"/>
        <w:gridCol w:w="426"/>
        <w:gridCol w:w="157"/>
        <w:gridCol w:w="864"/>
        <w:gridCol w:w="120"/>
        <w:gridCol w:w="426"/>
        <w:gridCol w:w="157"/>
        <w:gridCol w:w="865"/>
        <w:gridCol w:w="129"/>
      </w:tblGrid>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2677"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589"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br/>
              <w:t>SEPTEMBER 30,</w:t>
            </w:r>
          </w:p>
          <w:p>
            <w:pPr>
              <w:pStyle w:val="HorizontalLine"/>
              <w:pBdr>
                <w:bottom w:val="single" w:sz="6" w:space="0" w:color="000000"/>
              </w:pBdr>
              <w:spacing w:before="0" w:after="283"/>
              <w:rPr/>
            </w:pPr>
            <w:r>
              <w:rPr/>
            </w:r>
          </w:p>
        </w:tc>
        <w:tc>
          <w:tcPr>
            <w:tcW w:w="129" w:type="dxa"/>
            <w:tcBorders/>
            <w:shd w:fill="auto" w:val="clear"/>
            <w:vAlign w:val="bottom"/>
          </w:tcPr>
          <w:p>
            <w:pPr>
              <w:pStyle w:val="TableContents"/>
              <w:spacing w:before="0" w:after="283"/>
              <w:rPr/>
            </w:pPr>
            <w:r>
              <w:rPr/>
              <w:t> </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10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02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0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02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9" w:type="dxa"/>
            <w:tcBorders/>
            <w:shd w:fill="auto" w:val="clear"/>
            <w:vAlign w:val="bottom"/>
          </w:tcPr>
          <w:p>
            <w:pPr>
              <w:pStyle w:val="TableContents"/>
              <w:spacing w:before="0" w:after="283"/>
              <w:rPr/>
            </w:pPr>
            <w:r>
              <w:rPr/>
              <w:t> </w:t>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17,039</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19,581</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49,994</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57,046</w:t>
            </w:r>
          </w:p>
        </w:tc>
        <w:tc>
          <w:tcPr>
            <w:tcW w:w="129" w:type="dxa"/>
            <w:tcBorders/>
            <w:shd w:fill="CCEEFF" w:val="clear"/>
            <w:vAlign w:val="bottom"/>
          </w:tcPr>
          <w:p>
            <w:pPr>
              <w:pStyle w:val="TableContents"/>
              <w:spacing w:before="0" w:after="283"/>
              <w:rPr/>
            </w:pPr>
            <w:r>
              <w:rPr/>
              <w:t> </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952"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4"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3788"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13,543</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15,790</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40,267</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45,780</w:t>
            </w:r>
          </w:p>
        </w:tc>
        <w:tc>
          <w:tcPr>
            <w:tcW w:w="129" w:type="dxa"/>
            <w:tcBorders/>
            <w:shd w:fill="auto" w:val="clear"/>
            <w:vAlign w:val="bottom"/>
          </w:tcPr>
          <w:p>
            <w:pPr>
              <w:pStyle w:val="TableContents"/>
              <w:spacing w:before="0" w:after="283"/>
              <w:rPr/>
            </w:pPr>
            <w:r>
              <w:rPr/>
              <w:t> </w:t>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2,443</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2,867</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7,531</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9,002</w:t>
            </w:r>
          </w:p>
        </w:tc>
        <w:tc>
          <w:tcPr>
            <w:tcW w:w="129" w:type="dxa"/>
            <w:tcBorders/>
            <w:shd w:fill="CCEEFF" w:val="clear"/>
            <w:vAlign w:val="bottom"/>
          </w:tcPr>
          <w:p>
            <w:pPr>
              <w:pStyle w:val="TableContents"/>
              <w:spacing w:before="0" w:after="283"/>
              <w:rPr/>
            </w:pPr>
            <w:r>
              <w:rPr/>
              <w:t> </w:t>
            </w:r>
          </w:p>
        </w:tc>
      </w:tr>
      <w:tr>
        <w:trPr/>
        <w:tc>
          <w:tcPr>
            <w:tcW w:w="378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1,191</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1,316</w:t>
            </w:r>
          </w:p>
        </w:tc>
        <w:tc>
          <w:tcPr>
            <w:tcW w:w="129" w:type="dxa"/>
            <w:tcBorders/>
            <w:shd w:fill="auto" w:val="clear"/>
            <w:vAlign w:val="bottom"/>
          </w:tcPr>
          <w:p>
            <w:pPr>
              <w:pStyle w:val="TableContents"/>
              <w:spacing w:before="0" w:after="283"/>
              <w:rPr/>
            </w:pPr>
            <w:r>
              <w:rPr/>
              <w:t> </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952"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4"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3788" w:type="dxa"/>
            <w:tcBorders/>
            <w:shd w:fill="CCEEFF" w:val="clear"/>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16,378</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19,063</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48,989</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56,098</w:t>
            </w:r>
          </w:p>
        </w:tc>
        <w:tc>
          <w:tcPr>
            <w:tcW w:w="129" w:type="dxa"/>
            <w:tcBorders/>
            <w:shd w:fill="CCEEFF" w:val="clear"/>
            <w:vAlign w:val="bottom"/>
          </w:tcPr>
          <w:p>
            <w:pPr>
              <w:pStyle w:val="TableContents"/>
              <w:spacing w:before="0" w:after="283"/>
              <w:rPr/>
            </w:pPr>
            <w:r>
              <w:rPr/>
              <w:t> </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952"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4"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 before other income and interest expense</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661</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518</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1,005</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w:t>
            </w:r>
          </w:p>
        </w:tc>
        <w:tc>
          <w:tcPr>
            <w:tcW w:w="129" w:type="dxa"/>
            <w:tcBorders/>
            <w:shd w:fill="CCEEFF" w:val="clear"/>
            <w:vAlign w:val="bottom"/>
          </w:tcPr>
          <w:p>
            <w:pPr>
              <w:pStyle w:val="TableContents"/>
              <w:spacing w:before="0" w:after="283"/>
              <w:rPr/>
            </w:pPr>
            <w:r>
              <w:rPr/>
              <w:t> </w:t>
            </w:r>
          </w:p>
        </w:tc>
      </w:tr>
      <w:tr>
        <w:trPr/>
        <w:tc>
          <w:tcPr>
            <w:tcW w:w="3788"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29" w:type="dxa"/>
            <w:tcBorders/>
            <w:shd w:fill="auto" w:val="clear"/>
            <w:vAlign w:val="bottom"/>
          </w:tcPr>
          <w:p>
            <w:pPr>
              <w:pStyle w:val="TableContents"/>
              <w:spacing w:before="0" w:after="283"/>
              <w:rPr/>
            </w:pPr>
            <w:r>
              <w:rPr/>
              <w:t> </w:t>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$199 for each three-month and $595 for each nine-month period, respectively)</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(703</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(1,742</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952"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4"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 before income taxes</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788"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952"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4"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865"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952"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4"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9" w:type="dxa"/>
            <w:tcBorders/>
            <w:shd w:fill="auto" w:val="clear"/>
            <w:vAlign w:val="bottom"/>
          </w:tcPr>
          <w:p>
            <w:pPr>
              <w:pStyle w:val="HorizontalLine"/>
              <w:pBdr>
                <w:bottom w:val="single" w:sz="18" w:space="0" w:color="FFFFFF"/>
              </w:pBdr>
              <w:spacing w:before="0" w:after="283"/>
              <w:rPr/>
            </w:pPr>
            <w:r>
              <w:rPr/>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3788"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 (loss)</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952"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4"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9" w:type="dxa"/>
            <w:tcBorders/>
            <w:shd w:fill="auto" w:val="clear"/>
            <w:vAlign w:val="bottom"/>
          </w:tcPr>
          <w:p>
            <w:pPr>
              <w:pStyle w:val="HorizontalLine"/>
              <w:pBdr>
                <w:bottom w:val="single" w:sz="18" w:space="0" w:color="FFFFFF"/>
              </w:pBdr>
              <w:spacing w:before="0" w:after="283"/>
              <w:rPr/>
            </w:pPr>
            <w:r>
              <w:rPr/>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 (loss)</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952"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4"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9" w:type="dxa"/>
            <w:tcBorders/>
            <w:shd w:fill="auto" w:val="clear"/>
            <w:vAlign w:val="bottom"/>
          </w:tcPr>
          <w:p>
            <w:pPr>
              <w:pStyle w:val="HorizontalLine"/>
              <w:pBdr>
                <w:bottom w:val="single" w:sz="18" w:space="0" w:color="FFFFFF"/>
              </w:pBdr>
              <w:spacing w:before="0" w:after="283"/>
              <w:rPr/>
            </w:pPr>
            <w:r>
              <w:rPr/>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3788"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9,978,835</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9,581,983</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9,808,574</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9,580,686</w:t>
            </w:r>
          </w:p>
        </w:tc>
        <w:tc>
          <w:tcPr>
            <w:tcW w:w="129" w:type="dxa"/>
            <w:tcBorders/>
            <w:shd w:fill="auto" w:val="clear"/>
            <w:vAlign w:val="bottom"/>
          </w:tcPr>
          <w:p>
            <w:pPr>
              <w:pStyle w:val="TableContents"/>
              <w:spacing w:before="0" w:after="283"/>
              <w:rPr/>
            </w:pPr>
            <w:r>
              <w:rPr/>
              <w:t> </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952"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4"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9" w:type="dxa"/>
            <w:tcBorders/>
            <w:shd w:fill="auto" w:val="clear"/>
            <w:vAlign w:val="bottom"/>
          </w:tcPr>
          <w:p>
            <w:pPr>
              <w:pStyle w:val="HorizontalLine"/>
              <w:pBdr>
                <w:bottom w:val="single" w:sz="18" w:space="0" w:color="FFFFFF"/>
              </w:pBdr>
              <w:spacing w:before="0" w:after="283"/>
              <w:rPr/>
            </w:pPr>
            <w:r>
              <w:rPr/>
            </w:r>
          </w:p>
        </w:tc>
      </w:tr>
      <w:tr>
        <w:trPr/>
        <w:tc>
          <w:tcPr>
            <w:tcW w:w="3788"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47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10,021,741</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9,723,595</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9,808,574</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9,580,686</w:t>
            </w:r>
          </w:p>
        </w:tc>
        <w:tc>
          <w:tcPr>
            <w:tcW w:w="129" w:type="dxa"/>
            <w:tcBorders/>
            <w:shd w:fill="CCEEFF" w:val="clear"/>
            <w:vAlign w:val="bottom"/>
          </w:tcPr>
          <w:p>
            <w:pPr>
              <w:pStyle w:val="TableContents"/>
              <w:spacing w:before="0" w:after="283"/>
              <w:rPr/>
            </w:pPr>
            <w:r>
              <w:rPr/>
              <w:t> </w:t>
            </w:r>
          </w:p>
        </w:tc>
      </w:tr>
      <w:tr>
        <w:trPr/>
        <w:tc>
          <w:tcPr>
            <w:tcW w:w="378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952"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4"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6"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865" w:type="dxa"/>
            <w:tcBorders/>
            <w:shd w:fill="auto" w:val="clear"/>
            <w:vAlign w:val="bottom"/>
          </w:tcPr>
          <w:p>
            <w:pPr>
              <w:pStyle w:val="HorizontalLine"/>
              <w:pBdr>
                <w:bottom w:val="single" w:sz="18" w:space="0" w:color="000000"/>
              </w:pBdr>
              <w:spacing w:before="0" w:after="283"/>
              <w:rPr/>
            </w:pPr>
            <w:r>
              <w:rPr/>
            </w:r>
          </w:p>
        </w:tc>
        <w:tc>
          <w:tcPr>
            <w:tcW w:w="129"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5" w:name="tx16502_3"/>
      <w:bookmarkEnd w:id="5"/>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STATEMENTS OF CASH FLOWS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539"/>
        <w:gridCol w:w="497"/>
        <w:gridCol w:w="170"/>
        <w:gridCol w:w="547"/>
        <w:gridCol w:w="138"/>
        <w:gridCol w:w="455"/>
        <w:gridCol w:w="170"/>
        <w:gridCol w:w="547"/>
        <w:gridCol w:w="142"/>
      </w:tblGrid>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2027"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w:t>
              <w:br/>
              <w:t>ENDED</w:t>
            </w:r>
          </w:p>
          <w:p>
            <w:pPr>
              <w:pStyle w:val="TableContents"/>
              <w:spacing w:before="0" w:after="0"/>
              <w:jc w:val="center"/>
              <w:rPr>
                <w:rFonts w:ascii="Times New Roman" w:hAnsi="Times New Roman"/>
                <w:b/>
                <w:sz w:val="14"/>
              </w:rPr>
            </w:pPr>
            <w:r>
              <w:rPr>
                <w:rFonts w:ascii="Times New Roman" w:hAnsi="Times New Roman"/>
                <w:b/>
                <w:sz w:val="14"/>
              </w:rPr>
              <w:t>SEPTEMBER 30,</w:t>
            </w:r>
          </w:p>
          <w:p>
            <w:pPr>
              <w:pStyle w:val="HorizontalLine"/>
              <w:pBdr>
                <w:bottom w:val="single" w:sz="6" w:space="0" w:color="000000"/>
              </w:pBdr>
              <w:spacing w:before="0" w:after="283"/>
              <w:rPr/>
            </w:pPr>
            <w:r>
              <w:rPr/>
            </w:r>
          </w:p>
        </w:tc>
        <w:tc>
          <w:tcPr>
            <w:tcW w:w="142" w:type="dxa"/>
            <w:tcBorders/>
            <w:shd w:fill="auto" w:val="clear"/>
            <w:vAlign w:val="bottom"/>
          </w:tcPr>
          <w:p>
            <w:pPr>
              <w:pStyle w:val="TableContents"/>
              <w:spacing w:before="0" w:after="283"/>
              <w:rPr/>
            </w:pPr>
            <w:r>
              <w:rPr/>
              <w:t> </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7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7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42" w:type="dxa"/>
            <w:tcBorders/>
            <w:shd w:fill="auto" w:val="clear"/>
            <w:vAlign w:val="bottom"/>
          </w:tcPr>
          <w:p>
            <w:pPr>
              <w:pStyle w:val="TableContents"/>
              <w:spacing w:before="0" w:after="283"/>
              <w:rPr/>
            </w:pPr>
            <w:r>
              <w:rPr/>
              <w:t> </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to net cash provided by operating activities: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1,191</w:t>
            </w:r>
          </w:p>
        </w:tc>
        <w:tc>
          <w:tcPr>
            <w:tcW w:w="1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1,316</w:t>
            </w:r>
          </w:p>
        </w:tc>
        <w:tc>
          <w:tcPr>
            <w:tcW w:w="142" w:type="dxa"/>
            <w:tcBorders/>
            <w:shd w:fill="auto" w:val="clear"/>
            <w:vAlign w:val="bottom"/>
          </w:tcPr>
          <w:p>
            <w:pPr>
              <w:pStyle w:val="TableContents"/>
              <w:spacing w:before="0" w:after="283"/>
              <w:rPr/>
            </w:pPr>
            <w:r>
              <w:rPr/>
              <w:t> </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 cash gains included in net loss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(1,606</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4,313</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(1,217</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(2,577</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1,613</w:t>
            </w:r>
          </w:p>
        </w:tc>
        <w:tc>
          <w:tcPr>
            <w:tcW w:w="1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42" w:type="dxa"/>
            <w:tcBorders/>
            <w:shd w:fill="auto" w:val="clear"/>
            <w:vAlign w:val="bottom"/>
          </w:tcPr>
          <w:p>
            <w:pPr>
              <w:pStyle w:val="HorizontalLine"/>
              <w:pBdr>
                <w:bottom w:val="single" w:sz="6" w:space="0" w:color="FFFFFF"/>
              </w:pBdr>
              <w:spacing w:before="0" w:after="283"/>
              <w:rPr/>
            </w:pPr>
            <w:r>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1,185</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42" w:type="dxa"/>
            <w:tcBorders/>
            <w:shd w:fill="auto" w:val="clear"/>
            <w:vAlign w:val="bottom"/>
          </w:tcPr>
          <w:p>
            <w:pPr>
              <w:pStyle w:val="HorizontalLine"/>
              <w:pBdr>
                <w:bottom w:val="single" w:sz="6" w:space="0" w:color="FFFFFF"/>
              </w:pBdr>
              <w:spacing w:before="0" w:after="283"/>
              <w:rPr/>
            </w:pPr>
            <w:r>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equipment</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sale of property</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42" w:type="dxa"/>
            <w:tcBorders/>
            <w:shd w:fill="auto" w:val="clear"/>
            <w:vAlign w:val="bottom"/>
          </w:tcPr>
          <w:p>
            <w:pPr>
              <w:pStyle w:val="HorizontalLine"/>
              <w:pBdr>
                <w:bottom w:val="single" w:sz="6" w:space="0" w:color="FFFFFF"/>
              </w:pBdr>
              <w:spacing w:before="0" w:after="283"/>
              <w:rPr/>
            </w:pPr>
            <w:r>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investing activities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1,480</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42" w:type="dxa"/>
            <w:tcBorders/>
            <w:shd w:fill="auto" w:val="clear"/>
            <w:vAlign w:val="bottom"/>
          </w:tcPr>
          <w:p>
            <w:pPr>
              <w:pStyle w:val="HorizontalLine"/>
              <w:pBdr>
                <w:bottom w:val="single" w:sz="6" w:space="0" w:color="FFFFFF"/>
              </w:pBdr>
              <w:spacing w:before="0" w:after="283"/>
              <w:rPr/>
            </w:pPr>
            <w:r>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Stock repurchases</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employee stock purchase plan</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Stock issuance expenses</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subordinated debt</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Net (repayments) borrowings on revolving credit line and (repayments) of debt</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(3,178</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(647</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42" w:type="dxa"/>
            <w:tcBorders/>
            <w:shd w:fill="auto" w:val="clear"/>
            <w:vAlign w:val="bottom"/>
          </w:tcPr>
          <w:p>
            <w:pPr>
              <w:pStyle w:val="HorizontalLine"/>
              <w:pBdr>
                <w:bottom w:val="single" w:sz="6" w:space="0" w:color="FFFFFF"/>
              </w:pBdr>
              <w:spacing w:before="0" w:after="283"/>
              <w:rPr/>
            </w:pPr>
            <w:r>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(1,967</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(881</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42" w:type="dxa"/>
            <w:tcBorders/>
            <w:shd w:fill="auto" w:val="clear"/>
            <w:vAlign w:val="bottom"/>
          </w:tcPr>
          <w:p>
            <w:pPr>
              <w:pStyle w:val="HorizontalLine"/>
              <w:pBdr>
                <w:bottom w:val="single" w:sz="6" w:space="0" w:color="FFFFFF"/>
              </w:pBdr>
              <w:spacing w:before="0" w:after="283"/>
              <w:rPr/>
            </w:pPr>
            <w:r>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Net (decrease) increase in cash</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the period</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42" w:type="dxa"/>
            <w:tcBorders/>
            <w:shd w:fill="auto" w:val="clear"/>
            <w:vAlign w:val="bottom"/>
          </w:tcPr>
          <w:p>
            <w:pPr>
              <w:pStyle w:val="TableContents"/>
              <w:spacing w:before="0" w:after="283"/>
              <w:rPr/>
            </w:pPr>
            <w:r>
              <w:rPr/>
              <w:t> </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42" w:type="dxa"/>
            <w:tcBorders/>
            <w:shd w:fill="auto" w:val="clear"/>
            <w:vAlign w:val="bottom"/>
          </w:tcPr>
          <w:p>
            <w:pPr>
              <w:pStyle w:val="HorizontalLine"/>
              <w:pBdr>
                <w:bottom w:val="single" w:sz="6" w:space="0" w:color="FFFFFF"/>
              </w:pBdr>
              <w:spacing w:before="0" w:after="283"/>
              <w:rPr/>
            </w:pPr>
            <w:r>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the period</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547"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547" w:type="dxa"/>
            <w:tcBorders/>
            <w:shd w:fill="auto" w:val="clear"/>
            <w:vAlign w:val="bottom"/>
          </w:tcPr>
          <w:p>
            <w:pPr>
              <w:pStyle w:val="HorizontalLine"/>
              <w:pBdr>
                <w:bottom w:val="single" w:sz="18" w:space="0" w:color="000000"/>
              </w:pBdr>
              <w:spacing w:before="0" w:after="283"/>
              <w:rPr/>
            </w:pPr>
            <w:r>
              <w:rPr/>
            </w:r>
          </w:p>
        </w:tc>
        <w:tc>
          <w:tcPr>
            <w:tcW w:w="142"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Pr>
          <w:p>
            <w:pPr>
              <w:pStyle w:val="TableContents"/>
              <w:spacing w:before="0" w:after="283"/>
              <w:jc w:val="center"/>
              <w:rPr>
                <w:rFonts w:ascii="Times New Roman" w:hAnsi="Times New Roman"/>
                <w:sz w:val="20"/>
              </w:rPr>
            </w:pPr>
            <w:r>
              <w:rPr>
                <w:rFonts w:ascii="Times New Roman" w:hAnsi="Times New Roman"/>
                <w:sz w:val="20"/>
              </w:rPr>
              <w:t>SUPPLEMENTAL DISCLOSURES OF CASH FLOW INFORMATION</w:t>
            </w:r>
          </w:p>
        </w:tc>
      </w:tr>
      <w:tr>
        <w:trPr>
          <w:trHeight w:val="240" w:hRule="atLeast"/>
        </w:trPr>
        <w:tc>
          <w:tcPr>
            <w:tcW w:w="7539" w:type="dxa"/>
            <w:tcBorders/>
            <w:shd w:fill="auto" w:val="clear"/>
            <w:vAlign w:val="center"/>
          </w:tcPr>
          <w:p>
            <w:pPr>
              <w:pStyle w:val="TableContents"/>
              <w:spacing w:before="0" w:after="283"/>
              <w:rPr>
                <w:sz w:val="4"/>
                <w:szCs w:val="4"/>
              </w:rPr>
            </w:pPr>
            <w:r>
              <w:rPr>
                <w:sz w:val="4"/>
                <w:szCs w:val="4"/>
              </w:rPr>
            </w:r>
          </w:p>
        </w:tc>
        <w:tc>
          <w:tcPr>
            <w:tcW w:w="1352" w:type="dxa"/>
            <w:gridSpan w:val="4"/>
            <w:tcBorders/>
            <w:shd w:fill="auto" w:val="clear"/>
            <w:vAlign w:val="center"/>
          </w:tcPr>
          <w:p>
            <w:pPr>
              <w:pStyle w:val="TableContents"/>
              <w:spacing w:before="0" w:after="283"/>
              <w:rPr>
                <w:sz w:val="4"/>
                <w:szCs w:val="4"/>
              </w:rPr>
            </w:pPr>
            <w:r>
              <w:rPr>
                <w:sz w:val="4"/>
                <w:szCs w:val="4"/>
              </w:rPr>
            </w:r>
          </w:p>
        </w:tc>
        <w:tc>
          <w:tcPr>
            <w:tcW w:w="1314" w:type="dxa"/>
            <w:gridSpan w:val="4"/>
            <w:tcBorders/>
            <w:shd w:fill="auto" w:val="clear"/>
            <w:vAlign w:val="center"/>
          </w:tcPr>
          <w:p>
            <w:pPr>
              <w:pStyle w:val="TableContents"/>
              <w:spacing w:before="0" w:after="283"/>
              <w:rPr>
                <w:sz w:val="4"/>
                <w:szCs w:val="4"/>
              </w:rPr>
            </w:pPr>
            <w:r>
              <w:rPr>
                <w:sz w:val="4"/>
                <w:szCs w:val="4"/>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(refunded) during the period for:</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Interest</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1,124</w:t>
            </w:r>
          </w:p>
        </w:tc>
        <w:tc>
          <w:tcPr>
            <w:tcW w:w="13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2,211</w:t>
            </w:r>
          </w:p>
        </w:tc>
        <w:tc>
          <w:tcPr>
            <w:tcW w:w="142" w:type="dxa"/>
            <w:tcBorders/>
            <w:shd w:fill="auto" w:val="clear"/>
            <w:vAlign w:val="bottom"/>
          </w:tcPr>
          <w:p>
            <w:pPr>
              <w:pStyle w:val="TableContents"/>
              <w:spacing w:before="0" w:after="283"/>
              <w:rPr/>
            </w:pPr>
            <w:r>
              <w:rPr/>
              <w:t> </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547"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547" w:type="dxa"/>
            <w:tcBorders/>
            <w:shd w:fill="auto" w:val="clear"/>
            <w:vAlign w:val="bottom"/>
          </w:tcPr>
          <w:p>
            <w:pPr>
              <w:pStyle w:val="HorizontalLine"/>
              <w:pBdr>
                <w:bottom w:val="single" w:sz="18" w:space="0" w:color="000000"/>
              </w:pBdr>
              <w:spacing w:before="0" w:after="283"/>
              <w:rPr/>
            </w:pPr>
            <w:r>
              <w:rPr/>
            </w:r>
          </w:p>
        </w:tc>
        <w:tc>
          <w:tcPr>
            <w:tcW w:w="142" w:type="dxa"/>
            <w:tcBorders/>
            <w:shd w:fill="auto" w:val="clear"/>
            <w:vAlign w:val="bottom"/>
          </w:tcPr>
          <w:p>
            <w:pPr>
              <w:pStyle w:val="HorizontalLine"/>
              <w:pBdr>
                <w:bottom w:val="single" w:sz="18" w:space="0" w:color="FFFFFF"/>
              </w:pBdr>
              <w:spacing w:before="0" w:after="283"/>
              <w:rPr/>
            </w:pPr>
            <w:r>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4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42" w:type="dxa"/>
            <w:tcBorders/>
            <w:shd w:fill="CCEEFF" w:val="clear"/>
            <w:vAlign w:val="bottom"/>
          </w:tcPr>
          <w:p>
            <w:pPr>
              <w:pStyle w:val="TableContents"/>
              <w:spacing w:before="0" w:after="283"/>
              <w:rPr/>
            </w:pPr>
            <w:r>
              <w:rPr/>
              <w:t> </w:t>
            </w:r>
          </w:p>
        </w:tc>
      </w:tr>
      <w:tr>
        <w:trPr/>
        <w:tc>
          <w:tcPr>
            <w:tcW w:w="753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547"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c>
          <w:tcPr>
            <w:tcW w:w="455"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547" w:type="dxa"/>
            <w:tcBorders/>
            <w:shd w:fill="auto" w:val="clear"/>
            <w:vAlign w:val="bottom"/>
          </w:tcPr>
          <w:p>
            <w:pPr>
              <w:pStyle w:val="HorizontalLine"/>
              <w:pBdr>
                <w:bottom w:val="single" w:sz="18" w:space="0" w:color="000000"/>
              </w:pBdr>
              <w:spacing w:before="0" w:after="283"/>
              <w:rPr/>
            </w:pPr>
            <w:r>
              <w:rPr/>
            </w:r>
          </w:p>
        </w:tc>
        <w:tc>
          <w:tcPr>
            <w:tcW w:w="14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6" w:name="tx16502_4"/>
      <w:bookmarkEnd w:id="6"/>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Basis of reporting for condensed consolidated financial statements.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September 30, 2003 and December 31, 2002 and the results of operations for the three-month and nine-month periods ended September 30, 2003 and 2002 and of cash flows for the nine-month periods ended September 30, 2003 and 2002. The results of operations for the three-month and nine-month periods ended September 30, 2003 are not necessarily indicative of the results to be expected for the full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These financial statements should be read in conjunction with the audited financial statements and notes thereto in our Annual Report on Form 10-K filed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recognize any compensation expense in 2003 or 2002 related to our stock option plans. We adopted the disclosure-only provisions of SFAS No. 123, Accounting for Stock-Based Compensation and related pronouncements.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compares 2003 and 2002 as reported to the pro forma results, considering both options and warrants discussed in Note 11 in our 2002 Annual Report filed on Form 10-K, had we adopted the expense recognition provision of SFAS No. 123: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4710"/>
        <w:gridCol w:w="523"/>
        <w:gridCol w:w="166"/>
        <w:gridCol w:w="345"/>
        <w:gridCol w:w="128"/>
        <w:gridCol w:w="412"/>
        <w:gridCol w:w="166"/>
        <w:gridCol w:w="395"/>
        <w:gridCol w:w="128"/>
        <w:gridCol w:w="412"/>
        <w:gridCol w:w="166"/>
        <w:gridCol w:w="396"/>
        <w:gridCol w:w="127"/>
        <w:gridCol w:w="412"/>
        <w:gridCol w:w="166"/>
        <w:gridCol w:w="396"/>
        <w:gridCol w:w="136"/>
      </w:tblGrid>
      <w:tr>
        <w:trPr/>
        <w:tc>
          <w:tcPr>
            <w:tcW w:w="471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612"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w:t>
            </w:r>
          </w:p>
          <w:p>
            <w:pPr>
              <w:pStyle w:val="TableContents"/>
              <w:spacing w:before="0" w:after="0"/>
              <w:jc w:val="center"/>
              <w:rPr>
                <w:rFonts w:ascii="Times New Roman" w:hAnsi="Times New Roman"/>
                <w:b/>
                <w:sz w:val="14"/>
              </w:rPr>
            </w:pPr>
            <w:r>
              <w:rPr>
                <w:rFonts w:ascii="Times New Roman" w:hAnsi="Times New Roman"/>
                <w:b/>
                <w:sz w:val="14"/>
              </w:rPr>
              <w:t>Ended</w:t>
            </w:r>
          </w:p>
          <w:p>
            <w:pPr>
              <w:pStyle w:val="TableContents"/>
              <w:spacing w:before="0" w:after="0"/>
              <w:jc w:val="center"/>
              <w:rPr>
                <w:rFonts w:ascii="Times New Roman" w:hAnsi="Times New Roman"/>
                <w:b/>
                <w:sz w:val="14"/>
              </w:rPr>
            </w:pPr>
            <w:r>
              <w:rPr>
                <w:rFonts w:ascii="Times New Roman" w:hAnsi="Times New Roman"/>
                <w:b/>
                <w:sz w:val="14"/>
              </w:rPr>
              <w:t>September 30,</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6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w:t>
            </w:r>
          </w:p>
          <w:p>
            <w:pPr>
              <w:pStyle w:val="TableContents"/>
              <w:spacing w:before="0" w:after="0"/>
              <w:jc w:val="center"/>
              <w:rPr>
                <w:rFonts w:ascii="Times New Roman" w:hAnsi="Times New Roman"/>
                <w:b/>
                <w:sz w:val="14"/>
              </w:rPr>
            </w:pPr>
            <w:r>
              <w:rPr>
                <w:rFonts w:ascii="Times New Roman" w:hAnsi="Times New Roman"/>
                <w:b/>
                <w:sz w:val="14"/>
              </w:rPr>
              <w:t>Ended</w:t>
            </w:r>
          </w:p>
          <w:p>
            <w:pPr>
              <w:pStyle w:val="TableContents"/>
              <w:spacing w:before="0" w:after="0"/>
              <w:jc w:val="center"/>
              <w:rPr>
                <w:rFonts w:ascii="Times New Roman" w:hAnsi="Times New Roman"/>
                <w:b/>
                <w:sz w:val="14"/>
              </w:rPr>
            </w:pPr>
            <w:r>
              <w:rPr>
                <w:rFonts w:ascii="Times New Roman" w:hAnsi="Times New Roman"/>
                <w:b/>
                <w:sz w:val="14"/>
              </w:rPr>
              <w:t>September 30,</w:t>
            </w:r>
          </w:p>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471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51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6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6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6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471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as reported</w:t>
            </w:r>
          </w:p>
        </w:tc>
        <w:tc>
          <w:tcPr>
            <w:tcW w:w="5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8"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8"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10" w:type="dxa"/>
            <w:tcBorders/>
            <w:shd w:fill="auto" w:val="clear"/>
          </w:tcPr>
          <w:p>
            <w:pPr>
              <w:pStyle w:val="TableContents"/>
              <w:spacing w:before="0" w:after="283"/>
              <w:rPr>
                <w:rFonts w:ascii="Times New Roman" w:hAnsi="Times New Roman"/>
                <w:sz w:val="20"/>
              </w:rPr>
            </w:pPr>
            <w:r>
              <w:rPr>
                <w:rFonts w:ascii="Times New Roman" w:hAnsi="Times New Roman"/>
                <w:sz w:val="20"/>
              </w:rPr>
              <w:t>Deduct: compensation cost based on fair value recognition, net of tax</w:t>
            </w:r>
          </w:p>
        </w:tc>
        <w:tc>
          <w:tcPr>
            <w:tcW w:w="5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1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6" w:space="0" w:color="000000"/>
              </w:pBdr>
              <w:spacing w:before="0" w:after="283"/>
              <w:rPr/>
            </w:pPr>
            <w:r>
              <w:rPr/>
            </w:r>
          </w:p>
        </w:tc>
        <w:tc>
          <w:tcPr>
            <w:tcW w:w="345"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6" w:space="0" w:color="000000"/>
              </w:pBdr>
              <w:spacing w:before="0" w:after="283"/>
              <w:rPr/>
            </w:pPr>
            <w:r>
              <w:rPr/>
            </w:r>
          </w:p>
        </w:tc>
        <w:tc>
          <w:tcPr>
            <w:tcW w:w="396"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6" w:space="0" w:color="000000"/>
              </w:pBdr>
              <w:spacing w:before="0" w:after="283"/>
              <w:rPr/>
            </w:pPr>
            <w:r>
              <w:rPr/>
            </w:r>
          </w:p>
        </w:tc>
        <w:tc>
          <w:tcPr>
            <w:tcW w:w="396" w:type="dxa"/>
            <w:tcBorders/>
            <w:shd w:fill="auto" w:val="clear"/>
            <w:vAlign w:val="bottom"/>
          </w:tcPr>
          <w:p>
            <w:pPr>
              <w:pStyle w:val="HorizontalLine"/>
              <w:pBdr>
                <w:bottom w:val="single" w:sz="6" w:space="0" w:color="000000"/>
              </w:pBdr>
              <w:spacing w:before="0" w:after="283"/>
              <w:rPr/>
            </w:pPr>
            <w:r>
              <w:rPr/>
            </w:r>
          </w:p>
        </w:tc>
        <w:tc>
          <w:tcPr>
            <w:tcW w:w="136" w:type="dxa"/>
            <w:tcBorders/>
            <w:shd w:fill="auto" w:val="clear"/>
            <w:vAlign w:val="bottom"/>
          </w:tcPr>
          <w:p>
            <w:pPr>
              <w:pStyle w:val="HorizontalLine"/>
              <w:pBdr>
                <w:bottom w:val="single" w:sz="6" w:space="0" w:color="FFFFFF"/>
              </w:pBdr>
              <w:spacing w:before="0" w:after="283"/>
              <w:rPr/>
            </w:pPr>
            <w:r>
              <w:rPr/>
            </w:r>
          </w:p>
        </w:tc>
      </w:tr>
      <w:tr>
        <w:trPr/>
        <w:tc>
          <w:tcPr>
            <w:tcW w:w="4710"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net income (loss) under SFAS No. 123</w:t>
            </w:r>
          </w:p>
        </w:tc>
        <w:tc>
          <w:tcPr>
            <w:tcW w:w="5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28"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(659</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1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345"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396" w:type="dxa"/>
            <w:tcBorders/>
            <w:shd w:fill="auto" w:val="clear"/>
            <w:vAlign w:val="bottom"/>
          </w:tcPr>
          <w:p>
            <w:pPr>
              <w:pStyle w:val="HorizontalLine"/>
              <w:pBdr>
                <w:bottom w:val="single" w:sz="18" w:space="0" w:color="000000"/>
              </w:pBdr>
              <w:spacing w:before="0" w:after="283"/>
              <w:rPr/>
            </w:pPr>
            <w:r>
              <w:rPr/>
            </w:r>
          </w:p>
        </w:tc>
        <w:tc>
          <w:tcPr>
            <w:tcW w:w="127" w:type="dxa"/>
            <w:tcBorders/>
            <w:shd w:fill="auto" w:val="clear"/>
            <w:vAlign w:val="bottom"/>
          </w:tcPr>
          <w:p>
            <w:pPr>
              <w:pStyle w:val="HorizontalLine"/>
              <w:pBdr>
                <w:bottom w:val="single" w:sz="18" w:space="0" w:color="FFFFFF"/>
              </w:pBdr>
              <w:spacing w:before="0" w:after="283"/>
              <w:rPr/>
            </w:pPr>
            <w:r>
              <w:rPr/>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396" w:type="dxa"/>
            <w:tcBorders/>
            <w:shd w:fill="auto" w:val="clear"/>
            <w:vAlign w:val="bottom"/>
          </w:tcPr>
          <w:p>
            <w:pPr>
              <w:pStyle w:val="HorizontalLine"/>
              <w:pBdr>
                <w:bottom w:val="single" w:sz="18" w:space="0" w:color="000000"/>
              </w:pBdr>
              <w:spacing w:before="0" w:after="283"/>
              <w:rPr/>
            </w:pPr>
            <w:r>
              <w:rPr/>
            </w:r>
          </w:p>
        </w:tc>
        <w:tc>
          <w:tcPr>
            <w:tcW w:w="136" w:type="dxa"/>
            <w:tcBorders/>
            <w:shd w:fill="auto" w:val="clear"/>
            <w:vAlign w:val="bottom"/>
          </w:tcPr>
          <w:p>
            <w:pPr>
              <w:pStyle w:val="HorizontalLine"/>
              <w:pBdr>
                <w:bottom w:val="single" w:sz="18" w:space="0" w:color="FFFFFF"/>
              </w:pBdr>
              <w:spacing w:before="0" w:after="283"/>
              <w:rPr/>
            </w:pPr>
            <w:r>
              <w:rPr/>
            </w:r>
          </w:p>
        </w:tc>
      </w:tr>
      <w:tr>
        <w:trPr/>
        <w:tc>
          <w:tcPr>
            <w:tcW w:w="471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loss per share:</w:t>
            </w:r>
          </w:p>
        </w:tc>
        <w:tc>
          <w:tcPr>
            <w:tcW w:w="5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4710" w:type="dxa"/>
            <w:tcBorders/>
            <w:shd w:fill="auto" w:val="clear"/>
          </w:tcPr>
          <w:p>
            <w:pPr>
              <w:pStyle w:val="TableContents"/>
              <w:spacing w:before="0" w:after="283"/>
              <w:rPr>
                <w:rFonts w:ascii="Times New Roman" w:hAnsi="Times New Roman"/>
                <w:sz w:val="20"/>
              </w:rPr>
            </w:pPr>
            <w:r>
              <w:rPr>
                <w:rFonts w:ascii="Times New Roman" w:hAnsi="Times New Roman"/>
                <w:sz w:val="20"/>
              </w:rPr>
              <w:t>Basic as reported</w:t>
            </w:r>
          </w:p>
        </w:tc>
        <w:tc>
          <w:tcPr>
            <w:tcW w:w="5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10" w:type="dxa"/>
            <w:tcBorders/>
            <w:shd w:fill="CCEEFF" w:val="clear"/>
          </w:tcPr>
          <w:p>
            <w:pPr>
              <w:pStyle w:val="TableContents"/>
              <w:spacing w:before="0" w:after="283"/>
              <w:rPr>
                <w:rFonts w:ascii="Times New Roman" w:hAnsi="Times New Roman"/>
                <w:sz w:val="20"/>
              </w:rPr>
            </w:pPr>
            <w:r>
              <w:rPr>
                <w:rFonts w:ascii="Times New Roman" w:hAnsi="Times New Roman"/>
                <w:sz w:val="20"/>
              </w:rPr>
              <w:t>Basic pro forma under SFAS No. 123</w:t>
            </w:r>
          </w:p>
        </w:tc>
        <w:tc>
          <w:tcPr>
            <w:tcW w:w="5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8"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28"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10" w:type="dxa"/>
            <w:tcBorders/>
            <w:shd w:fill="auto" w:val="clear"/>
          </w:tcPr>
          <w:p>
            <w:pPr>
              <w:pStyle w:val="TableContents"/>
              <w:spacing w:before="0" w:after="283"/>
              <w:rPr>
                <w:rFonts w:ascii="Times New Roman" w:hAnsi="Times New Roman"/>
                <w:sz w:val="20"/>
              </w:rPr>
            </w:pPr>
            <w:r>
              <w:rPr>
                <w:rFonts w:ascii="Times New Roman" w:hAnsi="Times New Roman"/>
                <w:sz w:val="20"/>
              </w:rPr>
              <w:t>Diluted as reported</w:t>
            </w:r>
          </w:p>
        </w:tc>
        <w:tc>
          <w:tcPr>
            <w:tcW w:w="5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10"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pro forma under SFAS No. 123</w:t>
            </w:r>
          </w:p>
        </w:tc>
        <w:tc>
          <w:tcPr>
            <w:tcW w:w="5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8"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28"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Certain amounts in the September 30, 2002 financial statements have been reclassified to conform to the September 30, 2003 presentation.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New Accounting Standards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June 2001, the Financial Accounting Standards Board (FASB) issued Statement of Financial Accounting Standards (SFAS) No. 143, Accounting for Asset Retirement Obligations, requiring that the fair value of a liability for an asset retirement obligation be recognized in the period in which it is incurred if a reasonable estimate of fair value can be made. The associated asset retirement costs are capitalized as part of the carrying amount of the long-lived asset. The adoption of this statement on January 1, 2003 did not have an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April 2002, the FASB issued Statement No. 145, Rescission of FASB Statements No. 4, 44 and 64, Amendment of FASB Statement No. 13, and Technical Corrections. Among other amendments to previous pronouncements, which have already taken effect, a provision in the Statement requires certain gains and losses from extinguishment of debt to be reclassified from extraordinary items. The adoption of this statement on January 1, 2003 did not have an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June 2002, the FASB issued SFAS No. 146, Accounting for Costs Associated with Exit or Disposal Activities, which is effective for exit or disposal activities initiated after December 31, 2002. SFAS No. 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2002, the FASB issued Statement No. 148, Accounting for Stock-Based Compensation  Transition and Disclosure which we adopted January 1, 2003. The Statement provides alternative methods of transition for a voluntary change in the fair value method. We adopted the disclosure requirements effective December 31, 2002 and we are currently evaluating the voluntary change to the fair value method.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April 30,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for hedging relationships designated after June 30, 2003, and to certain pre-existing contracts. We adopted SFAS No. 149 on a prospective basis at its effective date on July 1, 2003.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is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affected by this statement. We do not expect the adoption of this statement will have a material impact on our financial condition or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 issued Interpretation No. 45 (FIN 45) Guarantors Accounting and Disclosure Requirements for Guarantees, Including Indirect Guarantees of Indebtedness of Others. FIN 45 elaborates on the existing disclosure requirements for most guarantees, including loan guarantees. It also clarifies that at the time a company issues a guarantee, the company must recognize an initial liability for the fair value, or market value, of the obligations, it assumes under that guarantee. However, the provisions do not apply to product warranties or to guarantees accounted for as derivatives. The initial recognition and initial measurement provisions, which apply on a prospective basis beginning January 1, 2003, had no effect on our financial statements in 2003 because there were no guarantees issued or modified during this period. The disclosure requirements of FIN 45 were adopted December 31, 2002 and had no effect on our financial statement disclosures for the third quarter of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the FASB issued Interpretation No. 46 (FIN 46) Consolidation of Variable Interest Entities. FIN 46 requires a variable interest entity to be consolidated by a company if that company is subject to a majority of the risk of loss from the variable interest entitys activities or entitled to receive a majority of the entitys residual returns. FIN 46 applies to variable interest entities created after January 31, 2003, and to variable interest entities in which an enterprise obtains an interest in after that date. The adoption of this interpretation on January 1, 2004 currently is not expected to affect our financial condition or results of operations, as we do not have any variable interest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FASBs Emerging Issues Task Force (EITF) reached a consensus on EITF Issue No. 00-21, Revenue Arrangements with Multiple Deliverables. EITF No. 00-21 provided guidance for revenue arrangements that involve the delivery or performance of multiple products or services where performance may occur at different points or over different periods of time. EITF No. 00-21 is effective for revenue arrangements entered into in fiscal periods beginning after June 15, 2003 (i.e., the Companys fiscal 2004). The Company has not yet completed its assessment of the anticipated adoption, if any, of EITF Issue No. 00-21.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Inventories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Inventories consist of the following: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5894"/>
        <w:gridCol w:w="814"/>
        <w:gridCol w:w="170"/>
        <w:gridCol w:w="672"/>
        <w:gridCol w:w="814"/>
        <w:gridCol w:w="165"/>
        <w:gridCol w:w="655"/>
      </w:tblGrid>
      <w:tr>
        <w:trPr/>
        <w:tc>
          <w:tcPr>
            <w:tcW w:w="5894" w:type="dxa"/>
            <w:vMerge w:val="restart"/>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842"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September 30,</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14" w:type="dxa"/>
            <w:tcBorders/>
            <w:shd w:fill="auto" w:val="clear"/>
            <w:vAlign w:val="bottom"/>
          </w:tcPr>
          <w:p>
            <w:pPr>
              <w:pStyle w:val="TableContents"/>
              <w:spacing w:before="0" w:after="283"/>
              <w:rPr/>
            </w:pPr>
            <w:r>
              <w:rPr/>
              <w:t>  </w:t>
            </w:r>
          </w:p>
        </w:tc>
        <w:tc>
          <w:tcPr>
            <w:tcW w:w="820"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5894" w:type="dxa"/>
            <w:vMerge w:val="continue"/>
            <w:tcBorders/>
            <w:shd w:fill="auto" w:val="clear"/>
            <w:vAlign w:val="bottom"/>
          </w:tcPr>
          <w:p>
            <w:pPr>
              <w:pStyle w:val="Normal"/>
              <w:rPr/>
            </w:pPr>
            <w:r>
              <w:rPr/>
            </w:r>
          </w:p>
        </w:tc>
        <w:tc>
          <w:tcPr>
            <w:tcW w:w="814" w:type="dxa"/>
            <w:tcBorders/>
            <w:shd w:fill="auto" w:val="clear"/>
            <w:vAlign w:val="bottom"/>
          </w:tcPr>
          <w:p>
            <w:pPr>
              <w:pStyle w:val="TableContents"/>
              <w:spacing w:before="0" w:after="283"/>
              <w:rPr/>
            </w:pPr>
            <w:r>
              <w:rPr/>
              <w:t>  </w:t>
            </w:r>
          </w:p>
        </w:tc>
        <w:tc>
          <w:tcPr>
            <w:tcW w:w="842" w:type="dxa"/>
            <w:gridSpan w:val="2"/>
            <w:vMerge w:val="continue"/>
            <w:tcBorders/>
            <w:shd w:fill="auto" w:val="clear"/>
            <w:vAlign w:val="bottom"/>
          </w:tcPr>
          <w:p>
            <w:pPr>
              <w:pStyle w:val="Normal"/>
              <w:rPr/>
            </w:pPr>
            <w:r>
              <w:rPr/>
            </w:r>
          </w:p>
        </w:tc>
        <w:tc>
          <w:tcPr>
            <w:tcW w:w="814" w:type="dxa"/>
            <w:tcBorders/>
            <w:shd w:fill="auto" w:val="clear"/>
            <w:vAlign w:val="bottom"/>
          </w:tcPr>
          <w:p>
            <w:pPr>
              <w:pStyle w:val="TableContents"/>
              <w:spacing w:before="0" w:after="283"/>
              <w:rPr/>
            </w:pPr>
            <w:r>
              <w:rPr/>
              <w:t>  </w:t>
            </w:r>
          </w:p>
        </w:tc>
        <w:tc>
          <w:tcPr>
            <w:tcW w:w="820" w:type="dxa"/>
            <w:gridSpan w:val="2"/>
            <w:vMerge w:val="continue"/>
            <w:tcBorders/>
            <w:shd w:fill="auto" w:val="clear"/>
            <w:vAlign w:val="bottom"/>
          </w:tcPr>
          <w:p>
            <w:pPr>
              <w:pStyle w:val="Normal"/>
              <w:rPr/>
            </w:pPr>
            <w:r>
              <w:rPr/>
            </w:r>
          </w:p>
        </w:tc>
      </w:tr>
      <w:tr>
        <w:trPr/>
        <w:tc>
          <w:tcPr>
            <w:tcW w:w="5894"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 and subassemblies</w:t>
            </w:r>
          </w:p>
        </w:tc>
        <w:tc>
          <w:tcPr>
            <w:tcW w:w="81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989</w:t>
            </w:r>
          </w:p>
        </w:tc>
        <w:tc>
          <w:tcPr>
            <w:tcW w:w="814"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1,202</w:t>
            </w:r>
          </w:p>
        </w:tc>
      </w:tr>
      <w:tr>
        <w:trPr/>
        <w:tc>
          <w:tcPr>
            <w:tcW w:w="5894"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81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81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r>
      <w:tr>
        <w:trPr/>
        <w:tc>
          <w:tcPr>
            <w:tcW w:w="5894"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81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814"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w:t>
            </w:r>
          </w:p>
        </w:tc>
      </w:tr>
      <w:tr>
        <w:trPr/>
        <w:tc>
          <w:tcPr>
            <w:tcW w:w="5894"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672" w:type="dxa"/>
            <w:tcBorders/>
            <w:shd w:fill="auto" w:val="clear"/>
            <w:vAlign w:val="bottom"/>
          </w:tcPr>
          <w:p>
            <w:pPr>
              <w:pStyle w:val="HorizontalLine"/>
              <w:pBdr>
                <w:bottom w:val="single" w:sz="6" w:space="0" w:color="000000"/>
              </w:pBdr>
              <w:spacing w:before="0" w:after="283"/>
              <w:rPr/>
            </w:pPr>
            <w:r>
              <w:rPr/>
            </w:r>
          </w:p>
        </w:tc>
        <w:tc>
          <w:tcPr>
            <w:tcW w:w="814"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r>
      <w:tr>
        <w:trPr/>
        <w:tc>
          <w:tcPr>
            <w:tcW w:w="5894" w:type="dxa"/>
            <w:tcBorders/>
            <w:shd w:fill="CCEEFF" w:val="clear"/>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1,829</w:t>
            </w:r>
          </w:p>
        </w:tc>
        <w:tc>
          <w:tcPr>
            <w:tcW w:w="814"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2,055</w:t>
            </w:r>
          </w:p>
        </w:tc>
      </w:tr>
      <w:tr>
        <w:trPr/>
        <w:tc>
          <w:tcPr>
            <w:tcW w:w="5894"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672" w:type="dxa"/>
            <w:tcBorders/>
            <w:shd w:fill="auto" w:val="clear"/>
            <w:vAlign w:val="bottom"/>
          </w:tcPr>
          <w:p>
            <w:pPr>
              <w:pStyle w:val="HorizontalLine"/>
              <w:pBdr>
                <w:bottom w:val="single" w:sz="18" w:space="0" w:color="000000"/>
              </w:pBdr>
              <w:spacing w:before="0" w:after="283"/>
              <w:rPr/>
            </w:pPr>
            <w:r>
              <w:rPr/>
            </w:r>
          </w:p>
        </w:tc>
        <w:tc>
          <w:tcPr>
            <w:tcW w:w="814"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18" w:space="0" w:color="000000"/>
              </w:pBdr>
              <w:spacing w:before="0" w:after="283"/>
              <w:rPr/>
            </w:pPr>
            <w:r>
              <w:rPr/>
            </w:r>
          </w:p>
        </w:tc>
        <w:tc>
          <w:tcPr>
            <w:tcW w:w="655"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Business Segment Information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Earnings Per Share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reconciles basic weighted average shares outstanding to diluted weighted average shares outstanding for the three months ended September 30, 2003 and 2002. There were no adjustments to net income for the basic or diluted earnings per share (EPS) computations.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6516"/>
        <w:gridCol w:w="365"/>
        <w:gridCol w:w="1018"/>
        <w:gridCol w:w="367"/>
        <w:gridCol w:w="918"/>
      </w:tblGrid>
      <w:tr>
        <w:trPr/>
        <w:tc>
          <w:tcPr>
            <w:tcW w:w="6516"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03"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 September 30,</w:t>
            </w:r>
          </w:p>
          <w:p>
            <w:pPr>
              <w:pStyle w:val="HorizontalLine"/>
              <w:pBdr>
                <w:bottom w:val="single" w:sz="6" w:space="0" w:color="000000"/>
              </w:pBdr>
              <w:spacing w:before="0" w:after="283"/>
              <w:rPr/>
            </w:pPr>
            <w:r>
              <w:rPr/>
            </w:r>
          </w:p>
        </w:tc>
      </w:tr>
      <w:tr>
        <w:trPr/>
        <w:tc>
          <w:tcPr>
            <w:tcW w:w="6516"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67"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6516" w:type="dxa"/>
            <w:tcBorders/>
            <w:shd w:fill="CCEEFF" w:val="clear"/>
          </w:tcPr>
          <w:p>
            <w:pPr>
              <w:pStyle w:val="TableContents"/>
              <w:spacing w:before="0" w:after="283"/>
              <w:rPr>
                <w:rFonts w:ascii="Times New Roman" w:hAnsi="Times New Roman"/>
                <w:sz w:val="20"/>
              </w:rPr>
            </w:pPr>
            <w:r>
              <w:rPr>
                <w:rFonts w:ascii="Times New Roman" w:hAnsi="Times New Roman"/>
                <w:sz w:val="20"/>
              </w:rPr>
              <w:t>Basic weighted average number of common shares outstanding</w:t>
            </w:r>
          </w:p>
        </w:tc>
        <w:tc>
          <w:tcPr>
            <w:tcW w:w="365"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9,978,835</w:t>
            </w:r>
          </w:p>
        </w:tc>
        <w:tc>
          <w:tcPr>
            <w:tcW w:w="367"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9,581,983</w:t>
            </w:r>
          </w:p>
        </w:tc>
      </w:tr>
      <w:tr>
        <w:trPr/>
        <w:tc>
          <w:tcPr>
            <w:tcW w:w="6516"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dilutive securities</w:t>
            </w:r>
          </w:p>
        </w:tc>
        <w:tc>
          <w:tcPr>
            <w:tcW w:w="365"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42,906</w:t>
            </w:r>
          </w:p>
        </w:tc>
        <w:tc>
          <w:tcPr>
            <w:tcW w:w="367"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141,612</w:t>
            </w:r>
          </w:p>
        </w:tc>
      </w:tr>
      <w:tr>
        <w:trPr/>
        <w:tc>
          <w:tcPr>
            <w:tcW w:w="6516"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018" w:type="dxa"/>
            <w:tcBorders/>
            <w:shd w:fill="auto" w:val="clear"/>
            <w:vAlign w:val="bottom"/>
          </w:tcPr>
          <w:p>
            <w:pPr>
              <w:pStyle w:val="HorizontalLine"/>
              <w:pBdr>
                <w:bottom w:val="single" w:sz="6" w:space="0" w:color="000000"/>
              </w:pBdr>
              <w:spacing w:before="0" w:after="283"/>
              <w:rPr/>
            </w:pPr>
            <w:r>
              <w:rPr/>
            </w:r>
          </w:p>
        </w:tc>
        <w:tc>
          <w:tcPr>
            <w:tcW w:w="367" w:type="dxa"/>
            <w:tcBorders/>
            <w:shd w:fill="auto" w:val="clear"/>
            <w:vAlign w:val="bottom"/>
          </w:tcPr>
          <w:p>
            <w:pPr>
              <w:pStyle w:val="TableContents"/>
              <w:spacing w:before="0" w:after="283"/>
              <w:rPr/>
            </w:pPr>
            <w:r>
              <w:rPr/>
              <w:t>  </w:t>
            </w:r>
          </w:p>
        </w:tc>
        <w:tc>
          <w:tcPr>
            <w:tcW w:w="918" w:type="dxa"/>
            <w:tcBorders/>
            <w:shd w:fill="auto" w:val="clear"/>
            <w:vAlign w:val="bottom"/>
          </w:tcPr>
          <w:p>
            <w:pPr>
              <w:pStyle w:val="HorizontalLine"/>
              <w:pBdr>
                <w:bottom w:val="single" w:sz="6" w:space="0" w:color="000000"/>
              </w:pBdr>
              <w:spacing w:before="0" w:after="283"/>
              <w:rPr/>
            </w:pPr>
            <w:r>
              <w:rPr/>
            </w:r>
          </w:p>
        </w:tc>
      </w:tr>
      <w:tr>
        <w:trPr/>
        <w:tc>
          <w:tcPr>
            <w:tcW w:w="6516"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weighted average number of common shares outstanding</w:t>
            </w:r>
          </w:p>
        </w:tc>
        <w:tc>
          <w:tcPr>
            <w:tcW w:w="365"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10,021,741</w:t>
            </w:r>
          </w:p>
        </w:tc>
        <w:tc>
          <w:tcPr>
            <w:tcW w:w="367"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9,723,595</w:t>
            </w:r>
          </w:p>
        </w:tc>
      </w:tr>
      <w:tr>
        <w:trPr/>
        <w:tc>
          <w:tcPr>
            <w:tcW w:w="6516"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018" w:type="dxa"/>
            <w:tcBorders/>
            <w:shd w:fill="auto" w:val="clear"/>
            <w:vAlign w:val="bottom"/>
          </w:tcPr>
          <w:p>
            <w:pPr>
              <w:pStyle w:val="HorizontalLine"/>
              <w:pBdr>
                <w:bottom w:val="single" w:sz="18" w:space="0" w:color="000000"/>
              </w:pBdr>
              <w:spacing w:before="0" w:after="283"/>
              <w:rPr/>
            </w:pPr>
            <w:r>
              <w:rPr/>
            </w:r>
          </w:p>
        </w:tc>
        <w:tc>
          <w:tcPr>
            <w:tcW w:w="367" w:type="dxa"/>
            <w:tcBorders/>
            <w:shd w:fill="auto" w:val="clear"/>
            <w:vAlign w:val="bottom"/>
          </w:tcPr>
          <w:p>
            <w:pPr>
              <w:pStyle w:val="TableContents"/>
              <w:spacing w:before="0" w:after="283"/>
              <w:rPr/>
            </w:pPr>
            <w:r>
              <w:rPr/>
              <w:t>  </w:t>
            </w:r>
          </w:p>
        </w:tc>
        <w:tc>
          <w:tcPr>
            <w:tcW w:w="918"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consider outstanding options and warrants in computing diluted net loss per share only when they are dilutive. Options and warrants to purchase 3,446,000 and 3,488,500 shares for the nine-month periods ended September 30, 2003 and 2002, respectively, were not included in the computation of diluted earnings per share due to their having an anti-dilutive effect. Options and warrants to purchase 2,446,000 and 2,488,500 shares for the three-month periods ended September 30, 2003 and 2002, respectively, were not included in the computation of diluted earnings per share because their exercise prices were greater than the average market price of the common shares. There were no adjustments to net income (loss) for the basic or diluted earnings per share computations.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Comprehensive Income (Loss)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currently records as other comprehensive income (loss) the changes in the additional minimum pension liability, and the change in fair value of the interest rate swap that matured in November 2002. A reconciliation of net income (loss) to total comprehensive income (loss) is as follows: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4860"/>
        <w:gridCol w:w="265"/>
        <w:gridCol w:w="186"/>
        <w:gridCol w:w="463"/>
        <w:gridCol w:w="286"/>
        <w:gridCol w:w="186"/>
        <w:gridCol w:w="465"/>
        <w:gridCol w:w="265"/>
        <w:gridCol w:w="240"/>
        <w:gridCol w:w="265"/>
        <w:gridCol w:w="663"/>
        <w:gridCol w:w="279"/>
        <w:gridCol w:w="177"/>
        <w:gridCol w:w="453"/>
        <w:gridCol w:w="131"/>
      </w:tblGrid>
      <w:tr>
        <w:trPr/>
        <w:tc>
          <w:tcPr>
            <w:tcW w:w="48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586"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r>
          </w:p>
          <w:p>
            <w:pPr>
              <w:pStyle w:val="TableContents"/>
              <w:spacing w:before="0" w:after="0"/>
              <w:jc w:val="center"/>
              <w:rPr>
                <w:rFonts w:ascii="Times New Roman" w:hAnsi="Times New Roman"/>
                <w:b/>
                <w:sz w:val="14"/>
              </w:rPr>
            </w:pPr>
            <w:r>
              <w:rPr>
                <w:rFonts w:ascii="Times New Roman" w:hAnsi="Times New Roman"/>
                <w:b/>
                <w:sz w:val="14"/>
              </w:rPr>
              <w:t>September 30,</w:t>
            </w:r>
          </w:p>
          <w:p>
            <w:pPr>
              <w:pStyle w:val="HorizontalLine"/>
              <w:pBdr>
                <w:bottom w:val="single" w:sz="6" w:space="0" w:color="000000"/>
              </w:pBdr>
              <w:spacing w:before="0" w:after="283"/>
              <w:rPr/>
            </w:pPr>
            <w:r>
              <w:rPr/>
            </w:r>
          </w:p>
        </w:tc>
        <w:tc>
          <w:tcPr>
            <w:tcW w:w="26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0"/>
              <w:jc w:val="center"/>
              <w:rPr/>
            </w:pPr>
            <w:r>
              <w:rPr/>
              <w:t>    </w:t>
            </w:r>
          </w:p>
        </w:tc>
        <w:tc>
          <w:tcPr>
            <w:tcW w:w="265" w:type="dxa"/>
            <w:tcBorders/>
            <w:shd w:fill="auto" w:val="clear"/>
            <w:vAlign w:val="bottom"/>
          </w:tcPr>
          <w:p>
            <w:pPr>
              <w:pStyle w:val="TableContents"/>
              <w:spacing w:before="0" w:after="283"/>
              <w:rPr/>
            </w:pPr>
            <w:r>
              <w:rPr/>
              <w:t>  </w:t>
            </w:r>
          </w:p>
        </w:tc>
        <w:tc>
          <w:tcPr>
            <w:tcW w:w="1572" w:type="dxa"/>
            <w:gridSpan w:val="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r>
          </w:p>
          <w:p>
            <w:pPr>
              <w:pStyle w:val="TableContents"/>
              <w:spacing w:before="0" w:after="0"/>
              <w:jc w:val="center"/>
              <w:rPr>
                <w:rFonts w:ascii="Times New Roman" w:hAnsi="Times New Roman"/>
                <w:b/>
                <w:sz w:val="14"/>
              </w:rPr>
            </w:pPr>
            <w:r>
              <w:rPr>
                <w:rFonts w:ascii="Times New Roman" w:hAnsi="Times New Roman"/>
                <w:b/>
                <w:sz w:val="14"/>
              </w:rPr>
              <w:t>September 30,</w:t>
            </w:r>
          </w:p>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r>
      <w:tr>
        <w:trPr/>
        <w:tc>
          <w:tcPr>
            <w:tcW w:w="48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64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286" w:type="dxa"/>
            <w:tcBorders/>
            <w:shd w:fill="auto" w:val="clear"/>
            <w:vAlign w:val="bottom"/>
          </w:tcPr>
          <w:p>
            <w:pPr>
              <w:pStyle w:val="TableContents"/>
              <w:spacing w:before="0" w:after="283"/>
              <w:rPr/>
            </w:pPr>
            <w:r>
              <w:rPr/>
              <w:t>  </w:t>
            </w:r>
          </w:p>
        </w:tc>
        <w:tc>
          <w:tcPr>
            <w:tcW w:w="65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26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279" w:type="dxa"/>
            <w:tcBorders/>
            <w:shd w:fill="auto" w:val="clear"/>
            <w:vAlign w:val="bottom"/>
          </w:tcPr>
          <w:p>
            <w:pPr>
              <w:pStyle w:val="TableContents"/>
              <w:spacing w:before="0" w:after="283"/>
              <w:rPr/>
            </w:pPr>
            <w:r>
              <w:rPr/>
              <w:t>  </w:t>
            </w:r>
          </w:p>
        </w:tc>
        <w:tc>
          <w:tcPr>
            <w:tcW w:w="6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r>
      <w:tr>
        <w:trPr/>
        <w:tc>
          <w:tcPr>
            <w:tcW w:w="486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26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28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26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27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860"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fair value of swap, net of tax</w:t>
            </w:r>
          </w:p>
        </w:tc>
        <w:tc>
          <w:tcPr>
            <w:tcW w:w="26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86"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26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31" w:type="dxa"/>
            <w:tcBorders/>
            <w:shd w:fill="auto" w:val="clear"/>
            <w:vAlign w:val="bottom"/>
          </w:tcPr>
          <w:p>
            <w:pPr>
              <w:pStyle w:val="TableContents"/>
              <w:spacing w:before="0" w:after="283"/>
              <w:rPr/>
            </w:pPr>
            <w:r>
              <w:rPr/>
              <w:t> </w:t>
            </w:r>
          </w:p>
        </w:tc>
      </w:tr>
      <w:tr>
        <w:trPr/>
        <w:tc>
          <w:tcPr>
            <w:tcW w:w="48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86" w:type="dxa"/>
            <w:tcBorders/>
            <w:shd w:fill="auto" w:val="clear"/>
            <w:vAlign w:val="bottom"/>
          </w:tcPr>
          <w:p>
            <w:pPr>
              <w:pStyle w:val="HorizontalLine"/>
              <w:pBdr>
                <w:bottom w:val="single" w:sz="6" w:space="0" w:color="000000"/>
              </w:pBdr>
              <w:spacing w:before="0" w:after="283"/>
              <w:rPr/>
            </w:pPr>
            <w:r>
              <w:rPr/>
            </w:r>
          </w:p>
        </w:tc>
        <w:tc>
          <w:tcPr>
            <w:tcW w:w="463" w:type="dxa"/>
            <w:tcBorders/>
            <w:shd w:fill="auto" w:val="clear"/>
            <w:vAlign w:val="bottom"/>
          </w:tcPr>
          <w:p>
            <w:pPr>
              <w:pStyle w:val="HorizontalLine"/>
              <w:pBdr>
                <w:bottom w:val="single" w:sz="6" w:space="0" w:color="000000"/>
              </w:pBdr>
              <w:spacing w:before="0" w:after="283"/>
              <w:rPr/>
            </w:pPr>
            <w:r>
              <w:rPr/>
            </w:r>
          </w:p>
        </w:tc>
        <w:tc>
          <w:tcPr>
            <w:tcW w:w="286" w:type="dxa"/>
            <w:tcBorders/>
            <w:shd w:fill="auto" w:val="clear"/>
            <w:vAlign w:val="bottom"/>
          </w:tcPr>
          <w:p>
            <w:pPr>
              <w:pStyle w:val="TableContents"/>
              <w:spacing w:before="0" w:after="283"/>
              <w:rPr/>
            </w:pPr>
            <w:r>
              <w:rPr/>
              <w:t>  </w:t>
            </w:r>
          </w:p>
        </w:tc>
        <w:tc>
          <w:tcPr>
            <w:tcW w:w="186" w:type="dxa"/>
            <w:tcBorders/>
            <w:shd w:fill="auto" w:val="clear"/>
            <w:vAlign w:val="bottom"/>
          </w:tcPr>
          <w:p>
            <w:pPr>
              <w:pStyle w:val="HorizontalLine"/>
              <w:pBdr>
                <w:bottom w:val="single" w:sz="6" w:space="0" w:color="000000"/>
              </w:pBdr>
              <w:spacing w:before="0" w:after="283"/>
              <w:rPr/>
            </w:pPr>
            <w:r>
              <w:rPr/>
            </w:r>
          </w:p>
        </w:tc>
        <w:tc>
          <w:tcPr>
            <w:tcW w:w="465" w:type="dxa"/>
            <w:tcBorders/>
            <w:shd w:fill="auto" w:val="clear"/>
            <w:vAlign w:val="bottom"/>
          </w:tcPr>
          <w:p>
            <w:pPr>
              <w:pStyle w:val="HorizontalLine"/>
              <w:pBdr>
                <w:bottom w:val="single" w:sz="6" w:space="0" w:color="000000"/>
              </w:pBdr>
              <w:spacing w:before="0" w:after="283"/>
              <w:rPr/>
            </w:pPr>
            <w:r>
              <w:rPr/>
            </w:r>
          </w:p>
        </w:tc>
        <w:tc>
          <w:tcPr>
            <w:tcW w:w="26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663" w:type="dxa"/>
            <w:tcBorders/>
            <w:shd w:fill="auto" w:val="clear"/>
            <w:vAlign w:val="bottom"/>
          </w:tcPr>
          <w:p>
            <w:pPr>
              <w:pStyle w:val="HorizontalLine"/>
              <w:pBdr>
                <w:bottom w:val="single" w:sz="6" w:space="0" w:color="000000"/>
              </w:pBdr>
              <w:spacing w:before="0" w:after="283"/>
              <w:rPr/>
            </w:pPr>
            <w:r>
              <w:rPr/>
            </w:r>
          </w:p>
        </w:tc>
        <w:tc>
          <w:tcPr>
            <w:tcW w:w="279" w:type="dxa"/>
            <w:tcBorders/>
            <w:shd w:fill="auto" w:val="clear"/>
            <w:vAlign w:val="bottom"/>
          </w:tcPr>
          <w:p>
            <w:pPr>
              <w:pStyle w:val="TableContents"/>
              <w:spacing w:before="0" w:after="283"/>
              <w:rPr/>
            </w:pPr>
            <w:r>
              <w:rPr/>
              <w:t>  </w:t>
            </w:r>
          </w:p>
        </w:tc>
        <w:tc>
          <w:tcPr>
            <w:tcW w:w="177" w:type="dxa"/>
            <w:tcBorders/>
            <w:shd w:fill="auto" w:val="clear"/>
            <w:vAlign w:val="bottom"/>
          </w:tcPr>
          <w:p>
            <w:pPr>
              <w:pStyle w:val="HorizontalLine"/>
              <w:pBdr>
                <w:bottom w:val="single" w:sz="6" w:space="0" w:color="000000"/>
              </w:pBdr>
              <w:spacing w:before="0" w:after="283"/>
              <w:rPr/>
            </w:pPr>
            <w:r>
              <w:rPr/>
            </w:r>
          </w:p>
        </w:tc>
        <w:tc>
          <w:tcPr>
            <w:tcW w:w="453"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r>
      <w:tr>
        <w:trPr/>
        <w:tc>
          <w:tcPr>
            <w:tcW w:w="486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comprehensive income (loss)</w:t>
            </w:r>
          </w:p>
        </w:tc>
        <w:tc>
          <w:tcPr>
            <w:tcW w:w="26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28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26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27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8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86" w:type="dxa"/>
            <w:tcBorders/>
            <w:shd w:fill="auto" w:val="clear"/>
            <w:vAlign w:val="bottom"/>
          </w:tcPr>
          <w:p>
            <w:pPr>
              <w:pStyle w:val="HorizontalLine"/>
              <w:pBdr>
                <w:bottom w:val="single" w:sz="18" w:space="0" w:color="000000"/>
              </w:pBdr>
              <w:spacing w:before="0" w:after="283"/>
              <w:rPr/>
            </w:pPr>
            <w:r>
              <w:rPr/>
            </w:r>
          </w:p>
        </w:tc>
        <w:tc>
          <w:tcPr>
            <w:tcW w:w="463" w:type="dxa"/>
            <w:tcBorders/>
            <w:shd w:fill="auto" w:val="clear"/>
            <w:vAlign w:val="bottom"/>
          </w:tcPr>
          <w:p>
            <w:pPr>
              <w:pStyle w:val="HorizontalLine"/>
              <w:pBdr>
                <w:bottom w:val="single" w:sz="18" w:space="0" w:color="000000"/>
              </w:pBdr>
              <w:spacing w:before="0" w:after="283"/>
              <w:rPr/>
            </w:pPr>
            <w:r>
              <w:rPr/>
            </w:r>
          </w:p>
        </w:tc>
        <w:tc>
          <w:tcPr>
            <w:tcW w:w="286" w:type="dxa"/>
            <w:tcBorders/>
            <w:shd w:fill="auto" w:val="clear"/>
            <w:vAlign w:val="bottom"/>
          </w:tcPr>
          <w:p>
            <w:pPr>
              <w:pStyle w:val="TableContents"/>
              <w:spacing w:before="0" w:after="283"/>
              <w:rPr/>
            </w:pPr>
            <w:r>
              <w:rPr/>
              <w:t>  </w:t>
            </w:r>
          </w:p>
        </w:tc>
        <w:tc>
          <w:tcPr>
            <w:tcW w:w="186" w:type="dxa"/>
            <w:tcBorders/>
            <w:shd w:fill="auto" w:val="clear"/>
            <w:vAlign w:val="bottom"/>
          </w:tcPr>
          <w:p>
            <w:pPr>
              <w:pStyle w:val="HorizontalLine"/>
              <w:pBdr>
                <w:bottom w:val="single" w:sz="18" w:space="0" w:color="000000"/>
              </w:pBdr>
              <w:spacing w:before="0" w:after="283"/>
              <w:rPr/>
            </w:pPr>
            <w:r>
              <w:rPr/>
            </w:r>
          </w:p>
        </w:tc>
        <w:tc>
          <w:tcPr>
            <w:tcW w:w="465" w:type="dxa"/>
            <w:tcBorders/>
            <w:shd w:fill="auto" w:val="clear"/>
            <w:vAlign w:val="bottom"/>
          </w:tcPr>
          <w:p>
            <w:pPr>
              <w:pStyle w:val="HorizontalLine"/>
              <w:pBdr>
                <w:bottom w:val="single" w:sz="18" w:space="0" w:color="000000"/>
              </w:pBdr>
              <w:spacing w:before="0" w:after="283"/>
              <w:rPr/>
            </w:pPr>
            <w:r>
              <w:rPr/>
            </w:r>
          </w:p>
        </w:tc>
        <w:tc>
          <w:tcPr>
            <w:tcW w:w="26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663" w:type="dxa"/>
            <w:tcBorders/>
            <w:shd w:fill="auto" w:val="clear"/>
            <w:vAlign w:val="bottom"/>
          </w:tcPr>
          <w:p>
            <w:pPr>
              <w:pStyle w:val="HorizontalLine"/>
              <w:pBdr>
                <w:bottom w:val="single" w:sz="18" w:space="0" w:color="000000"/>
              </w:pBdr>
              <w:spacing w:before="0" w:after="283"/>
              <w:rPr/>
            </w:pPr>
            <w:r>
              <w:rPr/>
            </w:r>
          </w:p>
        </w:tc>
        <w:tc>
          <w:tcPr>
            <w:tcW w:w="279" w:type="dxa"/>
            <w:tcBorders/>
            <w:shd w:fill="auto" w:val="clear"/>
            <w:vAlign w:val="bottom"/>
          </w:tcPr>
          <w:p>
            <w:pPr>
              <w:pStyle w:val="TableContents"/>
              <w:spacing w:before="0" w:after="283"/>
              <w:rPr/>
            </w:pPr>
            <w:r>
              <w:rPr/>
              <w:t>  </w:t>
            </w:r>
          </w:p>
        </w:tc>
        <w:tc>
          <w:tcPr>
            <w:tcW w:w="177" w:type="dxa"/>
            <w:tcBorders/>
            <w:shd w:fill="auto" w:val="clear"/>
            <w:vAlign w:val="bottom"/>
          </w:tcPr>
          <w:p>
            <w:pPr>
              <w:pStyle w:val="HorizontalLine"/>
              <w:pBdr>
                <w:bottom w:val="single" w:sz="18" w:space="0" w:color="000000"/>
              </w:pBdr>
              <w:spacing w:before="0" w:after="283"/>
              <w:rPr/>
            </w:pPr>
            <w:r>
              <w:rPr/>
            </w:r>
          </w:p>
        </w:tc>
        <w:tc>
          <w:tcPr>
            <w:tcW w:w="453"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Debt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Debt-continued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opted to amend the existing agreement rather than refinance the entire credit facility as discussed in the second quarter because of current market conditions. However, we will continue to monitor such market conditions and could consider refinancing alternatives in future periods.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30, 2003, $1,200 of subordinated debt was raised from a related party with a maturity of April 30, 2005 and interest rate of 6% per annum. This debt is subordinated to the bank credit facility and the subordinated debt originally issued in December 1999. The entire principal balance of this obligation will be due upon maturity. Proceeds were used to reduce the revolving line of credit.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May 7, 2003, we received approximately $1,600 in cash proceeds from the sale and leaseback of our Conshohocken, Pennsylvania property. Approximately, $700 was used to reduce the revolving line of credit and the balance was used to reduce term debt. In addition, in February 2003, we accepted an offer to sell our property in Cincinnati, Ohio where the buyer had the option to cancel the agreement through September 30, 2003. The buyer did not exercise the option to consummate the sale of the property. Accordingly, the agreement was effectively cancelled as of the termination date, September 30,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7" w:name="tx16502_5"/>
      <w:bookmarkEnd w:id="7"/>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Critical Accounting Policies are discussed in Item 7. Managements Discussion and Analysis of Financial Condition and Results of Operations to our Annual Report on Form 10-K for the year ended December 31,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condensed consolidated statements of operations for the three-month and nine-month periods ended September 30, 2003 and September 30, 2002 reflect the operations of the Company consolidated with the operations of its subsidiaries.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Consolidated net sales for the third quarter were $17,039,000, a decrease of $2,542,000 compared to the same quarter in 2002. Consolidated net sales for the first nine months of 2003 were $49,994,000, a decrease of $7,052,000 compared to the same period in 2002. The driving factors for this decline were: a) several large projects included in our December 31, 2001 backlog that were completed in 2002 (including work performed for ethanol processing facilities and a specialty textile manufacturer), b) sales generated by large orders booked in 2002 (including work performed for a large testing facility, a cement manufacturing facility and a major automotive manufacturer) and c) the continuing weakness in the United States economy. Net sales during the third quarter and nine months ended September 30, 2002 also included $160,000 and $550,000 revenue generated from operations divested in 2002,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Orders booked were $16,500,000 during the third quarter of 2003 and $47,800,000 for the first nine months of 2003, as compared to $20,500,000 during the third quarter of 2002 and $58,100,000 in the nine months of 2002. The decline in bookings was due to the weakness in the economy coupled with several large orders booked in the first nine-months of 2002 that were not replaced with comparably sized orders in 2003 (including orders booked for a rockwool insulation manufacturing plant, a large testing facility, a cement manufacturing facility and for a major automotive manufacturer). We have experienced an increased level of customer inquiry and quoting activities relative to the first and second quarters of 2003. This may be partially attributable to a perceived improvement in the economy by our customers which could result in increased air-quality related capital spending. This favorable trend could lead to an increase in our future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Third quarter 2003 gross profit was $3,496,000. This compares to gross profit of $3,791,000 during the same period in 2002. Gross profit as a percentage of revenues improved during the three-month period ended September 30, 2003 to 20.5% compared with 19.4% for the comparable period in 2002. This improvement was due to our product line mix and higher margins realized in our contracting operations coupled with lower fixed factory overhead costs. Gross profit was $9,727,000 for the first nine months of 2003, a decrease of $1,539,000 compared to the same period in 2002. Gross profit as a percentage of revenues for the first nine months of 2003 was 19.5% compared with 19.7% for the comparable period in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Selling and administrative expenses decreased by $424,000 or 14.8% to $2,443,000 during the third quarter of 2003 from $2,867,000 in the same period of 2002. Selling and administrative expenses decreased by $1,471,000 or 16.3% to $7,531,000 during the first nine months of 2003 from $9,002,000 in the same period of 2002. In light of the lower revenue in 2002 and weakness in the economy, we implemented cost reduction initiatives in May 2002, September 2002 and May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which are expected to generate an annualized operating cost savings of approximately $2,800,000. These cost savings, which are primarily due to a reduction in our workforce, and our cost containment efforts, were the principal reasons for the decrease in selling and administrative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and amortization decreased by $14,000 to $392,000 during the third quarter of 2003 from $406,000 in the same period of 2002. Depreciation and amortization decreased by $125,000 to $1,191,000 in the first nine months of 2003 from $1,316,000 in the same period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income for the three-month and nine-month periods ended September 30, 2003 was $17,000 compared with $0 in the comparable period in 2002. Other income for the nine-month period ended September 30, 2003 was $239,000 compared with $204,000 in the comparable period in 2002. The other income during the third quarter and nine-months ended September 30, 2003 is the result of the gain recognized from the sale and leaseback of our Conshohocken, Pennsylvania property. A deferred gain of $200,000 will be recognized over the ensuing three-year leaseback period. The other income during the second quarter of 2002 is the result of a fair market value adjustment to a liability recorded in connection with detachable stock warrants to purchase 353,334 shares of common stock at an initial exercise price of $3.60 per share. These warrants were issued along with the Companys stock issuance of 706,668 shares of common stock on December 31, 2001 to a group of private investors. This liability is accounted for at fair market value and adjustments in future quarters could result in an increase to the liability and a corresponding charge to income.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expense decreased by $149,000 to $554,000 from $703,000 during the third quarter of 2003. Interest expense decreased by $314,000 to $1,742,000 from $2,056,000. The decrease was due to lower debt outstanding during the quarter that was partially offset by higher interest rates.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Federal and state income tax benefit was $113,000 during the third quarter of 2003 compared with a tax benefit of $246,000 for the same period in 2002. Federal and state income tax benefit was $404,000 for the first nine months of 2003, a decrease of $159,000 from the comparable period in 2002. The federal and state income tax benefit in the third quarter was 91% and first nine months of 2003 was 81%, which reflects the estimated effective tax rate for 2003 based on a reduction in our estimated pretax income for calendar year 2003. Our statutory income tax rate is affected by certain permanent differences including non-deductible interest expense, which has a greater effect on our effective tax rate at lower amounts of pretax income.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income for the quarter ended September 30, 2003 was $237,000 compared with net income of $61,000 for the same period in 2002. Net loss for the nine months ended September 30, 2003 was ($94,000) compared with a net loss of ($341,000) for the same period in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Backlog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consists of orders we have received for products and services we expect to ship and deliver within the next 12 months. Our backlog, as of September 30, 2003 was $13,000,000 compared to $14,600,000 as of December 31, 2002. There can be no assurances that backlog will be replicated or increased or translated into higher revenues in the future. The success of our business depends on a multitude of factors that are out of our control. Our operating results can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affected by the introduction of new products, new manufacturing technologies, rapid change of the demand for its products, decrease in average selling prices over the life of the product as competition increases and our dependence to some degree on efforts of intermediaries to sell a portion of our product.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Financial Condition, Liquidity and Capital Resources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first nine months of 2003, net cash provided by operating activities was $374,000 compared with net cash provided by operating activities of $1,185,000 in the first nine months of 2002. In the first nine months of 2003, cash was used in operating activities resulting from an increase in accounts receivable of $1,606,000, primarily due to an increase in days sales outstanding (which is a relative measure of accounts receivable turnover into cash). Cash used in operating activities was also the result of a reduction in accounts payable and accrued expenses of $1,217,000 primarily due to reduced purchases on lower sales volume. Cash was provided by a reduction in costs and earnings in excess of billings and billings in excess of costs and earnings on uncompleted projects of $2,295,000 due to increased billings during the current quarter. A reduction in inventories of $226,000 due to reductions in raw materials and subassemblies also provided cash from operating activities. Other changes in working capital items provided cash used cash of $222,000.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Significant changes in cash flows from operating activities in the first nine months of 2002 included a decrease in accounts receivable providing cash of $4,313,000, primarily due to decreased sales relative to the fourth quarter of 2001. Cash used in operating activities was the result of an increase in inventories of $396,000 primarily due to an increase in raw materials, subassemblies and finished goods. Cash was also used as a result of an increase in costs and earnings in excess of billings and billings in excess of costs and earnings on uncompleted projects of $349,000 due to decreased billings during the third quarter of 2002. Decreases in accounts payable and accrued expenses used cash of $2,577,000 primarily due to reduced purchases on lower sales volume and payments for accrued compensation and accrued interest during the first nine months of 2002. Other changes in working capital items used cash of $767,000.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September 30, 2003 and December 31, 2002, cash and cash equivalents totaled $81,000 and $194,000,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as of September 30, 2003 was $11,106,000 as compared to $14,284,000 at December 31, 2002, a decrease of $3,178,000, due to net payments under the bank credit facilities.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Unused credit availability under our revolving line of credit at September 30, 2003 was $3,700,000. 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 We opted to amend the existing agreement rather than refinance the entire credit facility as discussed in the second quarter because of current market conditions. However, we will continue to monitor such market conditions and could consider refinancing alternatives in future periods. On September 30, 2003, $1,200,000 of subordinated debt was raised from a related party with a maturity of April 30, 2005 and interest rate of 6% per annum. This debt is subordinated to the bank credit facility and the subordinated debt originally issued in December 1999. The entire principal balance of this obligation will be due upon maturity. Proceeds were used to reduce the revolving line of credit.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May 7, 2003, we received approximately $1,600,000 in cash proceeds from the sale and leaseback of our Conshohocken, Pennsylvania property. Approximately, $700,000 was used to reduce the revolving line of credit and the balance was used to reduce term debt. Also, in February 2003, we accepted an offer to sell our property in Cincinnati, Ohio where the buyer had the option to cancel the agreement through September 30, 2003. The buyer did not exercise the option to consummate the sale of the property. Accordingly, the agreement was effectively cancelled as of the termination date, September 30,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cash used in investing activities related to the acquisition of capital expenditures for property and equipment was $88,000 for the first nine months of 2003 compared with $241,000 for the same period in 2002. We are managing our capital expenditure spending in light of the current level of sales. Capital expenditures for property and equipment are anticipated to be in the range of $100,000 to $300,000 for 2003 and will be funded by cash from operations and/or line of credit borrowing. In addition as discussed above, we received cash proceeds of approximately $1,600,000 from the sale of our Conshohocken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Financing activities used cash of $1,967,000 during the first nine months of 2003 compared with cash used of $881,000 during the same period of 2002. Current year financing activities included net payments under the bank credit facility and $1,200,000 from proceeds received under a new subordinated debt obligation discussed earlier.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fourth quarter of 2001, we received gross proceeds of $2,120,000 and issued 706,668 shares of common stock to a group of accredited investors. Under the subscription agreement, we were required to issue shares of our common stock based on an earnings formula (as set forth in the subscription agreement) computed from fiscal year 2002 results. As a result, we issued approximately 382,000 shares of common stock to these investors during April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Pension Plans</w:t>
      </w:r>
      <w:r>
        <w:rPr>
          <w:rFonts w:ascii="Times New Roman" w:hAnsi="Times New Roman"/>
          <w:sz w:val="20"/>
        </w:rPr>
        <w:t xml:space="preserve">  The funded status of our pension plans is dependent upon various factors, including returns on invested assets and long-term interest rates, which influence the discount rate used to determine the benefit obligation. The declines in the performance of the U.S. financial markets during 2002 combined with lower long term interest rates at our measurement date of December 31, 2002, increased the under funded status of our pension plans at December 31, 2002 and we were required to record an adjustment to increase our minimum pension liability at December 31, 2002 by approximately $750,000. The updated measurement of the plans funded status will be determined in the fourth quarter of 2003 and will be affected by the performance of plan assets and the long term interest rates at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economic factors existing at September 30, 2003, primarily the return on invested assets and the long term interest rates, it is possible that we may have to increase our minimum pension liability at December 31, 2003, by recording a non-cash, non-income statement adjustment to Shareholders Equity. Regardless of the outcome, at this time we do not expect to make any additional regulatory mandated plan contributions in 2003, however there can be no assurance that regulatory mandated plan contributions would not be required in future periods.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Forward-Looking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desire to take advantage of the safe harbor provisions of the Private Securities Litigation Reform Act of 1995 and are making this cautionary statement in connection with such safe harbor legislation. This Form 10-Q, the Annual Report to Shareholders, Form 10-K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 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8" w:name="tx16502_6"/>
      <w:bookmarkEnd w:id="8"/>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3. QUANTITATIVE AND QUALITATIVE DISCLOSURE ABOUT MARKET RISK </w:t>
      </w:r>
    </w:p>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Risk Management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exposed to market risk including changes in interest and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Rate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may use interest rate swap contracts or other interest rate derivatives to adjust the proportion of our total debt that is subject to variable interest rates. Our interest rate swap contract matured in 2002 and was not renewed. Under the swap, we agreed to pay an amount equal to a specified fixed-rate of interest for a certain notional amount and received in return an amount equal to a variable-rate. This interest rate swap contract was designated as a cash flow hedge against changes in the amount of future cash flow associated with our interest payments on variable-rate debt. When outstanding, interest rate swap contracts are reflected at fair value in our balance sheets. This swap effectively changed the interest rate exposure of $9.8 million of our floating rate debt to a weighted fixed rate of 6.96% plus the applicable spread during the period in which the interest rate swap was outstanding.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part of our ongoing control procedures, we monitor concentrations of credit risk associated with financial institutions with which it conducts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9" w:name="tx16502_7"/>
      <w:bookmarkEnd w:id="9"/>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4. CONTROLS AND PROCEDURES </w:t>
      </w:r>
    </w:p>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Within ninety days prior to the filing of this Report, the Companys Chief Executive Officer and Chief Financial Officer evaluated the effectiveness of the design and operation of the Companys disclosure controls and procedures, which are designed to ensure that the Company records, processes, summarizes and reports in a timely and effective manner the information required to be disclosed in the reports filed with or submitted to the Securities and Exchange Commission. Based upon this evaluation, they concluded that, as of the date of the evaluation, the Companys disclosure controls are effective. Since the date of this evaluation, there have been no significant changes in the Companys internal controls or in other factors that could significantly affect those controls.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PART II -OTHER INFORMATION </w:t>
      </w:r>
    </w:p>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102"/>
        <w:gridCol w:w="9288"/>
      </w:tblGrid>
      <w:tr>
        <w:trPr/>
        <w:tc>
          <w:tcPr>
            <w:tcW w:w="815" w:type="dxa"/>
            <w:tcBorders/>
            <w:shd w:fill="auto" w:val="clear"/>
          </w:tcPr>
          <w:p>
            <w:pPr>
              <w:pStyle w:val="TableContents"/>
              <w:spacing w:before="0" w:after="283"/>
              <w:jc w:val="left"/>
              <w:rPr>
                <w:rFonts w:ascii="Times New Roman" w:hAnsi="Times New Roman"/>
                <w:sz w:val="20"/>
              </w:rPr>
            </w:pPr>
            <w:bookmarkStart w:id="10" w:name="tx16502_8"/>
            <w:bookmarkEnd w:id="10"/>
            <w:r>
              <w:rPr>
                <w:rFonts w:ascii="Times New Roman" w:hAnsi="Times New Roman"/>
                <w:sz w:val="20"/>
              </w:rPr>
              <w:t>ITEM 6.</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AND REPORTS ON FORM 8-K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31.1 Rule 13a-14a/15d-14(a) Certification of Chief Executive Officer (Section 302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31.2 Rule 13a-14a/15d-14(a) Certification of Chief Financial Officer (Section 302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32.1 Certification Pursuant to 18 U.S.C. Section 1350, as Adopted Pursuant to 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32.2 Certification Pursuant to 18 U.S.C. Section 1350, as Adopted Pursuant to Section 906 of the Sarbanes-Oxley Act of 2002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Reports on Form 8-K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did not file any Form 8-K during the third quarter of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11" w:name="tx16502_9"/>
      <w:bookmarkEnd w:id="11"/>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w:t>
      </w:r>
    </w:p>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V.P. - Finance and Administration</w:t>
            </w:r>
          </w:p>
          <w:p>
            <w:pPr>
              <w:pStyle w:val="TableContents"/>
              <w:spacing w:before="0" w:after="0"/>
              <w:rPr>
                <w:rFonts w:ascii="Times New Roman" w:hAnsi="Times New Roman"/>
                <w:sz w:val="20"/>
              </w:rPr>
            </w:pPr>
            <w:r>
              <w:rPr>
                <w:rFonts w:ascii="Times New Roman" w:hAnsi="Times New Roman"/>
                <w:sz w:val="20"/>
              </w:rPr>
              <w:t>and Chief Financial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 November 13,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TextBody"/>
        <w:spacing w:before="0" w:after="0"/>
        <w:jc w:val="right"/>
        <w:rPr>
          <w:rFonts w:ascii="Times New Roman" w:hAnsi="Times New Roman"/>
          <w:sz w:val="20"/>
        </w:rPr>
      </w:pPr>
      <w:bookmarkStart w:id="12" w:name="dex311.htm"/>
      <w:bookmarkStart w:id="13" w:name="ksdex311"/>
      <w:bookmarkEnd w:id="12"/>
      <w:bookmarkEnd w:id="13"/>
      <w:r>
        <w:rPr>
          <w:rFonts w:ascii="Times New Roman" w:hAnsi="Times New Roman"/>
          <w:sz w:val="20"/>
        </w:rPr>
        <w:t xml:space="preserve">Exhibit 31.1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in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 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13, 2003</w:t>
            </w:r>
          </w:p>
        </w:tc>
      </w:tr>
    </w:tbl>
    <w:p>
      <w:pPr>
        <w:pStyle w:val="TextBody"/>
        <w:spacing w:before="0" w:after="0"/>
        <w:jc w:val="right"/>
        <w:rPr>
          <w:rFonts w:ascii="Times New Roman" w:hAnsi="Times New Roman"/>
          <w:sz w:val="20"/>
        </w:rPr>
      </w:pPr>
      <w:r>
        <w:br w:type="page"/>
      </w:r>
      <w:bookmarkStart w:id="14" w:name="dex312.htm"/>
      <w:bookmarkStart w:id="15" w:name="ksdex312"/>
      <w:bookmarkEnd w:id="14"/>
      <w:bookmarkEnd w:id="15"/>
      <w:r>
        <w:rPr>
          <w:rFonts w:ascii="Times New Roman" w:hAnsi="Times New Roman"/>
          <w:sz w:val="20"/>
        </w:rPr>
        <w:t xml:space="preserve">Exhibit 31.2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Marshall J. Morris,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in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V.P.  Finance and Administration and</w:t>
            </w:r>
          </w:p>
          <w:p>
            <w:pPr>
              <w:pStyle w:val="TableContents"/>
              <w:spacing w:before="0" w:after="0"/>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13, 2003</w:t>
            </w:r>
          </w:p>
        </w:tc>
      </w:tr>
    </w:tbl>
    <w:p>
      <w:pPr>
        <w:pStyle w:val="TextBody"/>
        <w:spacing w:before="0" w:after="0"/>
        <w:jc w:val="right"/>
        <w:rPr>
          <w:rFonts w:ascii="Times New Roman" w:hAnsi="Times New Roman"/>
          <w:sz w:val="20"/>
        </w:rPr>
      </w:pPr>
      <w:r>
        <w:br w:type="page"/>
      </w:r>
      <w:bookmarkStart w:id="16" w:name="dex321.htm"/>
      <w:bookmarkStart w:id="17" w:name="ksdex321"/>
      <w:bookmarkEnd w:id="16"/>
      <w:bookmarkEnd w:id="17"/>
      <w:r>
        <w:rPr>
          <w:rFonts w:ascii="Times New Roman" w:hAnsi="Times New Roman"/>
          <w:sz w:val="20"/>
        </w:rPr>
        <w:t xml:space="preserve">Exhibit 32.1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September 30, 2003 as filed with the Securities and Exchange Commission on the date hereof (the Report), I, Phillip DeZwirek, Chairman of the Board and Chief Executive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Chairman of the Board and</w:t>
            </w:r>
          </w:p>
          <w:p>
            <w:pPr>
              <w:pStyle w:val="TableContents"/>
              <w:spacing w:before="0" w:after="0"/>
              <w:rPr>
                <w:rFonts w:ascii="Times New Roman" w:hAnsi="Times New Roman"/>
                <w:sz w:val="20"/>
              </w:rPr>
            </w:pPr>
            <w:r>
              <w:rPr>
                <w:rFonts w:ascii="Times New Roman" w:hAnsi="Times New Roman"/>
                <w:sz w:val="20"/>
              </w:rPr>
              <w:t>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13, 2003</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r>
        <w:br w:type="page"/>
      </w:r>
    </w:p>
    <w:p>
      <w:pPr>
        <w:pStyle w:val="TextBody"/>
        <w:spacing w:before="0" w:after="0"/>
        <w:jc w:val="right"/>
        <w:rPr>
          <w:rFonts w:ascii="Times New Roman" w:hAnsi="Times New Roman"/>
          <w:sz w:val="20"/>
        </w:rPr>
      </w:pPr>
      <w:bookmarkStart w:id="18" w:name="dex322.htm"/>
      <w:bookmarkStart w:id="19" w:name="ksdex322"/>
      <w:bookmarkEnd w:id="18"/>
      <w:bookmarkEnd w:id="19"/>
      <w:r>
        <w:rPr>
          <w:rFonts w:ascii="Times New Roman" w:hAnsi="Times New Roman"/>
          <w:sz w:val="20"/>
        </w:rPr>
        <w:t xml:space="preserve">Exhibit 32.2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September 30, 2003 as filed with the Securities and Exchange Commission on the date hereof (the Report), I, Marshall J. Morris, V.P.  Finance and Administration and Chief Financial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5105" w:type="dxa"/>
        <w:jc w:val="left"/>
        <w:tblInd w:w="0" w:type="dxa"/>
        <w:tblCellMar>
          <w:top w:w="0" w:type="dxa"/>
          <w:left w:w="0" w:type="dxa"/>
          <w:bottom w:w="0" w:type="dxa"/>
          <w:right w:w="0" w:type="dxa"/>
        </w:tblCellMar>
      </w:tblPr>
      <w:tblGrid>
        <w:gridCol w:w="5105"/>
      </w:tblGrid>
      <w:tr>
        <w:trPr/>
        <w:tc>
          <w:tcPr>
            <w:tcW w:w="5105"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5105"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5105"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 Chief Financial Officer</w:t>
            </w:r>
          </w:p>
        </w:tc>
      </w:tr>
      <w:tr>
        <w:trPr/>
        <w:tc>
          <w:tcPr>
            <w:tcW w:w="5105"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13, 2003</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8012</Words>
  <CharactersWithSpaces>50991</CharactersWithSpaces>
  <Paragraphs>1950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Certification Pursuant to 18 U.S.C. Section 1350</dc:title>
</cp:coreProperties>
</file>