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124460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155575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149225</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133350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080"/>
          </w:cols>
          <w:pgMar w:left="320" w:top="385" w:right="4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000-7099</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12" w:lineRule="exact"/>
        <w:rPr>
          <w:sz w:val="24"/>
          <w:szCs w:val="24"/>
          <w:color w:val="auto"/>
        </w:rPr>
      </w:pPr>
    </w:p>
    <w:p>
      <w:pPr>
        <w:sectPr>
          <w:pgSz w:w="11900" w:h="16838" w:orient="portrait"/>
          <w:cols w:equalWidth="0" w:num="3">
            <w:col w:w="4580" w:space="720"/>
            <w:col w:w="2980" w:space="720"/>
            <w:col w:w="2080"/>
          </w:cols>
          <w:pgMar w:left="320" w:top="385" w:right="49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500" w:space="720"/>
            <w:col w:w="2940" w:space="720"/>
            <w:col w:w="2200"/>
          </w:cols>
          <w:pgMar w:left="320" w:top="385" w:right="499" w:bottom="1440" w:gutter="0" w:footer="0" w:header="0"/>
          <w:type w:val="continuous"/>
        </w:sectPr>
      </w:pPr>
    </w:p>
    <w:p>
      <w:pPr>
        <w:jc w:val="center"/>
        <w:ind w:right="5560"/>
        <w:spacing w:after="0"/>
        <w:rPr>
          <w:sz w:val="20"/>
          <w:szCs w:val="20"/>
          <w:color w:val="auto"/>
        </w:rPr>
      </w:pPr>
      <w:r>
        <w:rPr>
          <w:rFonts w:ascii="Times New Roman" w:cs="Times New Roman" w:eastAsia="Times New Roman" w:hAnsi="Times New Roman"/>
          <w:sz w:val="17"/>
          <w:szCs w:val="17"/>
          <w:b w:val="1"/>
          <w:bCs w:val="1"/>
          <w:color w:val="auto"/>
        </w:rPr>
        <w:t>14651 North Dallas Parkway</w:t>
      </w:r>
    </w:p>
    <w:p>
      <w:pPr>
        <w:spacing w:after="0" w:line="43" w:lineRule="exact"/>
        <w:rPr>
          <w:sz w:val="24"/>
          <w:szCs w:val="24"/>
          <w:color w:val="auto"/>
        </w:rPr>
      </w:pPr>
    </w:p>
    <w:p>
      <w:pPr>
        <w:jc w:val="center"/>
        <w:ind w:right="5560"/>
        <w:spacing w:after="0"/>
        <w:rPr>
          <w:sz w:val="20"/>
          <w:szCs w:val="20"/>
          <w:color w:val="auto"/>
        </w:rPr>
      </w:pPr>
      <w:r>
        <w:rPr>
          <w:rFonts w:ascii="Times New Roman" w:cs="Times New Roman" w:eastAsia="Times New Roman" w:hAnsi="Times New Roman"/>
          <w:sz w:val="18"/>
          <w:szCs w:val="18"/>
          <w:b w:val="1"/>
          <w:bCs w:val="1"/>
          <w:color w:val="auto"/>
        </w:rPr>
        <w:t>Suite 500</w:t>
      </w:r>
    </w:p>
    <w:p>
      <w:pPr>
        <w:sectPr>
          <w:pgSz w:w="11900" w:h="16838" w:orient="portrait"/>
          <w:cols w:equalWidth="0" w:num="1">
            <w:col w:w="11080"/>
          </w:cols>
          <w:pgMar w:left="320" w:top="385" w:right="499" w:bottom="1440" w:gutter="0" w:footer="0" w:header="0"/>
          <w:type w:val="continuous"/>
        </w:sectPr>
      </w:pPr>
    </w:p>
    <w:p>
      <w:pPr>
        <w:spacing w:after="0" w:line="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Dallas</w:t>
      </w:r>
      <w:r>
        <w:rPr>
          <w:rFonts w:ascii="Times New Roman" w:cs="Times New Roman" w:eastAsia="Times New Roman" w:hAnsi="Times New Roman"/>
          <w:sz w:val="19"/>
          <w:szCs w:val="19"/>
          <w:b w:val="1"/>
          <w:bCs w:val="1"/>
          <w:color w:val="auto"/>
        </w:rPr>
        <w:t>, 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75254</w:t>
      </w:r>
    </w:p>
    <w:p>
      <w:pPr>
        <w:spacing w:after="0" w:line="27" w:lineRule="exact"/>
        <w:rPr>
          <w:sz w:val="24"/>
          <w:szCs w:val="24"/>
          <w:color w:val="auto"/>
        </w:rPr>
      </w:pPr>
    </w:p>
    <w:p>
      <w:pPr>
        <w:sectPr>
          <w:pgSz w:w="11900" w:h="16838" w:orient="portrait"/>
          <w:cols w:equalWidth="0" w:num="2">
            <w:col w:w="7540" w:space="720"/>
            <w:col w:w="2820"/>
          </w:cols>
          <w:pgMar w:left="320" w:top="385" w:right="49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3" w:lineRule="exact"/>
        <w:rPr>
          <w:sz w:val="24"/>
          <w:szCs w:val="24"/>
          <w:color w:val="auto"/>
        </w:rPr>
      </w:pPr>
    </w:p>
    <w:p>
      <w:pPr>
        <w:sectPr>
          <w:pgSz w:w="11900" w:h="16838" w:orient="portrait"/>
          <w:cols w:equalWidth="0" w:num="2">
            <w:col w:w="7440" w:space="720"/>
            <w:col w:w="2920"/>
          </w:cols>
          <w:pgMar w:left="320" w:top="385"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460" w:hanging="3552"/>
        <w:spacing w:after="0" w:line="380" w:lineRule="auto"/>
        <w:tabs>
          <w:tab w:leader="none" w:pos="59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3"/>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CECE</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-241935</wp:posOffset>
            </wp:positionV>
            <wp:extent cx="672084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266065"/>
                    </a:xfrm>
                    <a:prstGeom prst="rect">
                      <a:avLst/>
                    </a:prstGeom>
                    <a:noFill/>
                  </pic:spPr>
                </pic:pic>
              </a:graphicData>
            </a:graphic>
          </wp:anchor>
        </w:drawing>
      </w:r>
    </w:p>
    <w:p>
      <w:pPr>
        <w:spacing w:after="0" w:line="16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85"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On November 4, 2020, CECO Environmental Corp., a Delaware corporation, issued a press release announcing its financial results for the three and nine months ended September 30, 2020. A copy of the press release is furnished as Exhibit 99.1 to this report and is incorporated herein by reference.</w:t>
      </w:r>
    </w:p>
    <w:p>
      <w:pPr>
        <w:spacing w:after="0" w:line="162"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1022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November 4, 2020</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790"/>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8"/>
          <w:szCs w:val="18"/>
          <w:color w:val="auto"/>
        </w:rPr>
        <w:t>Date: November 4, 2020</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78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Matthew Eckl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880"/>
          </w:cols>
          <w:pgMar w:left="320" w:top="117"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9728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Third Quarter and Year-to-Date 2020 Results;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Proactive Cost-Out Programs as CECO Navigates Covid-19 Related Challenges in Energy Markets</w:t>
      </w:r>
    </w:p>
    <w:p>
      <w:pPr>
        <w:spacing w:after="0" w:line="225" w:lineRule="exact"/>
        <w:rPr>
          <w:sz w:val="20"/>
          <w:szCs w:val="20"/>
          <w:color w:val="auto"/>
        </w:rPr>
      </w:pPr>
    </w:p>
    <w:p>
      <w:pPr>
        <w:jc w:val="both"/>
        <w:ind w:left="120" w:right="60"/>
        <w:spacing w:after="0" w:line="246" w:lineRule="auto"/>
        <w:rPr>
          <w:sz w:val="20"/>
          <w:szCs w:val="20"/>
          <w:color w:val="auto"/>
        </w:rPr>
      </w:pPr>
      <w:r>
        <w:rPr>
          <w:rFonts w:ascii="Arial" w:cs="Arial" w:eastAsia="Arial" w:hAnsi="Arial"/>
          <w:sz w:val="20"/>
          <w:szCs w:val="20"/>
          <w:b w:val="1"/>
          <w:bCs w:val="1"/>
          <w:color w:val="auto"/>
        </w:rPr>
        <w:t xml:space="preserve">DALLAS, Texas, November 4, 2020 -- CECO Environmental Corp. (Nasdaq: CECE), </w:t>
      </w:r>
      <w:r>
        <w:rPr>
          <w:rFonts w:ascii="Arial" w:cs="Arial" w:eastAsia="Arial" w:hAnsi="Arial"/>
          <w:sz w:val="20"/>
          <w:szCs w:val="20"/>
          <w:color w:val="auto"/>
        </w:rPr>
        <w:t>a leading global air quality and fluid</w:t>
      </w:r>
      <w:r>
        <w:rPr>
          <w:rFonts w:ascii="Arial" w:cs="Arial" w:eastAsia="Arial" w:hAnsi="Arial"/>
          <w:sz w:val="20"/>
          <w:szCs w:val="20"/>
          <w:b w:val="1"/>
          <w:bCs w:val="1"/>
          <w:color w:val="auto"/>
        </w:rPr>
        <w:t xml:space="preserve"> </w:t>
      </w:r>
      <w:r>
        <w:rPr>
          <w:rFonts w:ascii="Arial" w:cs="Arial" w:eastAsia="Arial" w:hAnsi="Arial"/>
          <w:sz w:val="20"/>
          <w:szCs w:val="20"/>
          <w:color w:val="auto"/>
        </w:rPr>
        <w:t>handling company serving the energy, industrial and other niche markets, today reported its financial results for the third quarter and year-to-date of 2020.</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Third Quarter 2020*</w:t>
      </w:r>
    </w:p>
    <w:p>
      <w:pPr>
        <w:spacing w:after="0" w:line="11" w:lineRule="exact"/>
        <w:rPr>
          <w:sz w:val="20"/>
          <w:szCs w:val="20"/>
          <w:color w:val="auto"/>
        </w:rPr>
      </w:pPr>
    </w:p>
    <w:p>
      <w:pPr>
        <w:ind w:left="740" w:hanging="368"/>
        <w:spacing w:after="0"/>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Revenue of $77.4 million, compared with $85.3 million</w:t>
      </w:r>
    </w:p>
    <w:p>
      <w:pPr>
        <w:ind w:left="740" w:hanging="368"/>
        <w:spacing w:after="0" w:line="224" w:lineRule="auto"/>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of $24.8 million (32.0% margin), compared with $28.8 million (33.8% margin)</w:t>
      </w:r>
    </w:p>
    <w:p>
      <w:pPr>
        <w:ind w:left="740" w:hanging="368"/>
        <w:spacing w:after="0" w:line="224" w:lineRule="auto"/>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income of $1.0 million, compared with $4.1 million</w:t>
      </w:r>
    </w:p>
    <w:p>
      <w:pPr>
        <w:ind w:left="740" w:hanging="368"/>
        <w:spacing w:after="0" w:line="224" w:lineRule="auto"/>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Non-GAAP operating income of $5.9 million, compared with $7.0 million</w:t>
      </w:r>
    </w:p>
    <w:p>
      <w:pPr>
        <w:ind w:left="740" w:hanging="368"/>
        <w:spacing w:after="0" w:line="224" w:lineRule="auto"/>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of $(0.2) million, compared with net income $1.9 million</w:t>
      </w:r>
    </w:p>
    <w:p>
      <w:pPr>
        <w:ind w:left="740" w:hanging="368"/>
        <w:spacing w:after="0" w:line="224" w:lineRule="auto"/>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of $3.8 million, compared with $4.2 million</w:t>
      </w:r>
    </w:p>
    <w:p>
      <w:pPr>
        <w:ind w:left="740" w:hanging="368"/>
        <w:spacing w:after="0" w:line="224" w:lineRule="auto"/>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of $7.3 million, compared with $8.4 million</w:t>
      </w:r>
    </w:p>
    <w:p>
      <w:pPr>
        <w:ind w:left="740" w:hanging="368"/>
        <w:spacing w:after="0" w:line="224" w:lineRule="auto"/>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per diluted share was $(0.01), compared with net income per diluted share of $0.05</w:t>
      </w:r>
    </w:p>
    <w:p>
      <w:pPr>
        <w:ind w:left="740" w:hanging="368"/>
        <w:spacing w:after="0" w:line="224" w:lineRule="auto"/>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per diluted share of $0.11, compared with $0.12</w:t>
      </w:r>
    </w:p>
    <w:p>
      <w:pPr>
        <w:ind w:left="740" w:hanging="368"/>
        <w:spacing w:after="0" w:line="224" w:lineRule="auto"/>
        <w:tabs>
          <w:tab w:leader="none" w:pos="74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Bookings of $66.8 million, compared with $115.7 million</w:t>
      </w:r>
    </w:p>
    <w:p>
      <w:pPr>
        <w:ind w:right="3900" w:firstLine="372"/>
        <w:spacing w:after="0" w:line="443" w:lineRule="auto"/>
        <w:tabs>
          <w:tab w:leader="none" w:pos="729"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Backlog of $189.1 million, compared with $204.6 million as of June 30, 2020 * </w:t>
      </w:r>
      <w:r>
        <w:rPr>
          <w:rFonts w:ascii="Arial" w:cs="Arial" w:eastAsia="Arial" w:hAnsi="Arial"/>
          <w:sz w:val="16"/>
          <w:szCs w:val="16"/>
          <w:color w:val="auto"/>
        </w:rPr>
        <w:t>All comparisons are versus the comparable prior-year period, unless otherwise stated</w:t>
      </w:r>
    </w:p>
    <w:p>
      <w:pPr>
        <w:spacing w:after="0" w:line="1" w:lineRule="exact"/>
        <w:rPr>
          <w:sz w:val="20"/>
          <w:szCs w:val="20"/>
          <w:color w:val="auto"/>
        </w:rPr>
      </w:pPr>
    </w:p>
    <w:p>
      <w:pPr>
        <w:ind w:left="120" w:right="520"/>
        <w:spacing w:after="0" w:line="234" w:lineRule="auto"/>
        <w:rPr>
          <w:sz w:val="20"/>
          <w:szCs w:val="20"/>
          <w:color w:val="auto"/>
        </w:rPr>
      </w:pPr>
      <w:r>
        <w:rPr>
          <w:rFonts w:ascii="Arial" w:cs="Arial" w:eastAsia="Arial" w:hAnsi="Arial"/>
          <w:sz w:val="20"/>
          <w:szCs w:val="20"/>
          <w:color w:val="auto"/>
        </w:rPr>
        <w:t>Todd Gleason, CECO’s Chief Executive Officer, commented, “During the third quarter, the CECO team continued to deliver solid execution for our customers and the company started to see emerging momentum in various industrial markets. Additionally, the company maintained its focus on streamlining costs which partially offset declines in</w:t>
      </w:r>
    </w:p>
    <w:p>
      <w:pPr>
        <w:spacing w:after="0" w:line="1" w:lineRule="exact"/>
        <w:rPr>
          <w:sz w:val="20"/>
          <w:szCs w:val="20"/>
          <w:color w:val="auto"/>
        </w:rPr>
      </w:pPr>
    </w:p>
    <w:p>
      <w:pPr>
        <w:ind w:left="120" w:right="520"/>
        <w:spacing w:after="0" w:line="239" w:lineRule="auto"/>
        <w:rPr>
          <w:sz w:val="20"/>
          <w:szCs w:val="20"/>
          <w:color w:val="auto"/>
        </w:rPr>
      </w:pPr>
      <w:r>
        <w:rPr>
          <w:rFonts w:ascii="Arial" w:cs="Arial" w:eastAsia="Arial" w:hAnsi="Arial"/>
          <w:sz w:val="20"/>
          <w:szCs w:val="20"/>
          <w:color w:val="auto"/>
        </w:rPr>
        <w:t>revenue. Unfortunately, the energy markets remain challenged as global capital spending continues to be disrupted by the impact of the COVID-19 pandemic.”</w:t>
      </w:r>
    </w:p>
    <w:p>
      <w:pPr>
        <w:spacing w:after="0" w:line="177" w:lineRule="exact"/>
        <w:rPr>
          <w:sz w:val="20"/>
          <w:szCs w:val="20"/>
          <w:color w:val="auto"/>
        </w:rPr>
      </w:pPr>
    </w:p>
    <w:p>
      <w:pPr>
        <w:ind w:left="120" w:right="180"/>
        <w:spacing w:after="0" w:line="236" w:lineRule="auto"/>
        <w:rPr>
          <w:sz w:val="20"/>
          <w:szCs w:val="20"/>
          <w:color w:val="auto"/>
        </w:rPr>
      </w:pPr>
      <w:r>
        <w:rPr>
          <w:rFonts w:ascii="Arial" w:cs="Arial" w:eastAsia="Arial" w:hAnsi="Arial"/>
          <w:sz w:val="20"/>
          <w:szCs w:val="20"/>
          <w:color w:val="auto"/>
        </w:rPr>
        <w:t>Mr. Gleason added, “We expect the markets to remain choppy and uncertain in the near-term, but we believe we can maintain our customer-focused execution and cost management to deliver future solid results. The company is also launching new strategic growth programs to expand into adjacent markets and more repeatable revenue streams. Furthermore, the company has kicked-off our Environmental, Social and Governance (ESG) program which will highlight the many good and important areas of leadership CECO drives and is committed to advance across each component.”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THIRD QUARTER RESULTS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in the third quarter of 2020 was $77.4 million, down 9.3% from $85.3 million in the prior-year period.</w:t>
      </w:r>
    </w:p>
    <w:p>
      <w:pPr>
        <w:spacing w:after="0" w:line="216" w:lineRule="exact"/>
        <w:rPr>
          <w:sz w:val="20"/>
          <w:szCs w:val="20"/>
          <w:color w:val="auto"/>
        </w:rPr>
      </w:pPr>
    </w:p>
    <w:p>
      <w:pPr>
        <w:jc w:val="both"/>
        <w:ind w:left="120" w:right="80"/>
        <w:spacing w:after="0" w:line="245" w:lineRule="auto"/>
        <w:rPr>
          <w:sz w:val="20"/>
          <w:szCs w:val="20"/>
          <w:color w:val="auto"/>
        </w:rPr>
      </w:pPr>
      <w:r>
        <w:rPr>
          <w:rFonts w:ascii="Arial" w:cs="Arial" w:eastAsia="Arial" w:hAnsi="Arial"/>
          <w:sz w:val="20"/>
          <w:szCs w:val="20"/>
          <w:color w:val="auto"/>
        </w:rPr>
        <w:t>Operating income was $1.0 million for the third quarter of 2020, compared with $4.1 million in the prior-year period. Non-GAAP operating income was $5.9 million for the third quarter of 2020 (7.6% margin), compared with $7.0 million in the prior-year period (8.2% margin).</w:t>
      </w:r>
    </w:p>
    <w:p>
      <w:pPr>
        <w:spacing w:after="0" w:line="173" w:lineRule="exact"/>
        <w:rPr>
          <w:sz w:val="20"/>
          <w:szCs w:val="20"/>
          <w:color w:val="auto"/>
        </w:rPr>
      </w:pPr>
    </w:p>
    <w:p>
      <w:pPr>
        <w:jc w:val="both"/>
        <w:ind w:left="120" w:right="100"/>
        <w:spacing w:after="0" w:line="245" w:lineRule="auto"/>
        <w:rPr>
          <w:sz w:val="20"/>
          <w:szCs w:val="20"/>
          <w:color w:val="auto"/>
        </w:rPr>
      </w:pPr>
      <w:r>
        <w:rPr>
          <w:rFonts w:ascii="Arial" w:cs="Arial" w:eastAsia="Arial" w:hAnsi="Arial"/>
          <w:sz w:val="20"/>
          <w:szCs w:val="20"/>
          <w:color w:val="auto"/>
        </w:rPr>
        <w:t>Net loss was $ (0.2) million for the third quarter of 2020, compared with net income $1.9 million in the prior-year period. Net loss per diluted share was $(0.01) for the third quarter 2020, compared with net income per diluted share of $0.05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0360"/>
        <w:spacing w:after="0"/>
        <w:rPr>
          <w:sz w:val="20"/>
          <w:szCs w:val="20"/>
          <w:color w:val="auto"/>
        </w:rPr>
      </w:pPr>
      <w:r>
        <w:rPr>
          <w:rFonts w:ascii="Times New Roman" w:cs="Times New Roman" w:eastAsia="Times New Roman" w:hAnsi="Times New Roman"/>
          <w:sz w:val="17"/>
          <w:szCs w:val="17"/>
          <w:color w:val="auto"/>
        </w:rPr>
        <w:t>Exhibit 99.1</w:t>
      </w:r>
    </w:p>
    <w:p>
      <w:pPr>
        <w:spacing w:after="0" w:line="35" w:lineRule="exact"/>
        <w:rPr>
          <w:sz w:val="20"/>
          <w:szCs w:val="20"/>
          <w:color w:val="auto"/>
        </w:rPr>
      </w:pPr>
    </w:p>
    <w:p>
      <w:pPr>
        <w:jc w:val="both"/>
        <w:ind w:left="120" w:right="100"/>
        <w:spacing w:after="0" w:line="234" w:lineRule="auto"/>
        <w:rPr>
          <w:sz w:val="20"/>
          <w:szCs w:val="20"/>
          <w:color w:val="auto"/>
        </w:rPr>
      </w:pPr>
      <w:r>
        <w:rPr>
          <w:rFonts w:ascii="Arial" w:cs="Arial" w:eastAsia="Arial" w:hAnsi="Arial"/>
          <w:sz w:val="20"/>
          <w:szCs w:val="20"/>
          <w:color w:val="auto"/>
        </w:rPr>
        <w:t>Net income on a non-GAAP basis was $3.8 million for the third quarter of 2020, compared with $4.2 million in the prior-year period. Non-GAAP net income per diluted share was $0.11 for the third quarter of 2020, compared with $0.12 for the prior-year period.</w:t>
      </w:r>
    </w:p>
    <w:p>
      <w:pPr>
        <w:spacing w:after="0" w:line="179"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20"/>
          <w:szCs w:val="20"/>
          <w:color w:val="auto"/>
        </w:rPr>
        <w:t>Cash and cash equivalents were $44.5 million and bank debt was $77.9 million as of September 30, 2020, compared with $41.5 million and $79.5 million, respectively, as of June 30, 2020.</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18"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20"/>
          <w:szCs w:val="20"/>
          <w:color w:val="auto"/>
        </w:rPr>
        <w:t>Total backlog at September 30, 2020 was $189.1 million as compared with $204.6 million on June 30, 2020 and $237.8 million on September 30, 2019. Backlog acquired from the Effox-Mader joint venture was $1.0 million.</w:t>
      </w:r>
    </w:p>
    <w:p>
      <w:pPr>
        <w:spacing w:after="0" w:line="152"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20"/>
          <w:szCs w:val="20"/>
          <w:color w:val="auto"/>
        </w:rPr>
        <w:t>Bookings were $66.8 million for the third quarter of 2020, compared with $115.7 million in the prior-year period. Bookings were $202.4 million for the first nine months of 2020, compared with $316.0 million in the prior year period.</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YEAR-TO-DATE RESULTS</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Revenue in the first nine months of 2020 was $233.1 million, down 7.7% from $252.5 million in the prior-year period.</w:t>
      </w:r>
    </w:p>
    <w:p>
      <w:pPr>
        <w:spacing w:after="0" w:line="202" w:lineRule="exact"/>
        <w:rPr>
          <w:sz w:val="20"/>
          <w:szCs w:val="20"/>
          <w:color w:val="auto"/>
        </w:rPr>
      </w:pPr>
    </w:p>
    <w:p>
      <w:pPr>
        <w:jc w:val="both"/>
        <w:ind w:left="100" w:right="60"/>
        <w:spacing w:after="0" w:line="245" w:lineRule="auto"/>
        <w:rPr>
          <w:sz w:val="20"/>
          <w:szCs w:val="20"/>
          <w:color w:val="auto"/>
        </w:rPr>
      </w:pPr>
      <w:r>
        <w:rPr>
          <w:rFonts w:ascii="Arial" w:cs="Arial" w:eastAsia="Arial" w:hAnsi="Arial"/>
          <w:sz w:val="20"/>
          <w:szCs w:val="20"/>
          <w:color w:val="auto"/>
        </w:rPr>
        <w:t>Operating income was $9.7 million for the first nine months of 2020 (4.2% margin), compared with $11.0 million in the prior-year period (4.4% margin). Operating income on a non-GAAP basis was $19.6 million for the first nine months of 2020 (8.4% margin), compared with $18.6 million in the prior-year period (7.4% margin).</w:t>
      </w:r>
    </w:p>
    <w:p>
      <w:pPr>
        <w:spacing w:after="0" w:line="173" w:lineRule="exact"/>
        <w:rPr>
          <w:sz w:val="20"/>
          <w:szCs w:val="20"/>
          <w:color w:val="auto"/>
        </w:rPr>
      </w:pPr>
    </w:p>
    <w:p>
      <w:pPr>
        <w:jc w:val="both"/>
        <w:ind w:left="100" w:right="60"/>
        <w:spacing w:after="0" w:line="266" w:lineRule="auto"/>
        <w:rPr>
          <w:sz w:val="20"/>
          <w:szCs w:val="20"/>
          <w:color w:val="auto"/>
        </w:rPr>
      </w:pPr>
      <w:r>
        <w:rPr>
          <w:rFonts w:ascii="Arial" w:cs="Arial" w:eastAsia="Arial" w:hAnsi="Arial"/>
          <w:sz w:val="20"/>
          <w:szCs w:val="20"/>
          <w:color w:val="auto"/>
        </w:rPr>
        <w:t>Net income was $6.4 million for the first nine months of 2020, compared with $9.3 million in the prior-year period. Net income per diluted share was $0.18 for the first nine months of 2020, compared with $0.26 in the prior-year period.</w:t>
      </w:r>
    </w:p>
    <w:p>
      <w:pPr>
        <w:spacing w:after="0" w:line="152" w:lineRule="exact"/>
        <w:rPr>
          <w:sz w:val="20"/>
          <w:szCs w:val="20"/>
          <w:color w:val="auto"/>
        </w:rPr>
      </w:pPr>
    </w:p>
    <w:p>
      <w:pPr>
        <w:jc w:val="both"/>
        <w:ind w:left="100" w:right="80"/>
        <w:spacing w:after="0" w:line="245" w:lineRule="auto"/>
        <w:rPr>
          <w:sz w:val="20"/>
          <w:szCs w:val="20"/>
          <w:color w:val="auto"/>
        </w:rPr>
      </w:pPr>
      <w:r>
        <w:rPr>
          <w:rFonts w:ascii="Arial" w:cs="Arial" w:eastAsia="Arial" w:hAnsi="Arial"/>
          <w:sz w:val="20"/>
          <w:szCs w:val="20"/>
          <w:color w:val="auto"/>
        </w:rPr>
        <w:t>Net income on a non-GAAP basis was $14.0 million for the first nine months of 2020, compared with $11.3 million in the prior-year period. Non-GAAP net income per diluted share was $0.40 for the first nine months of 2020, compared with $0.32 for the prior-year period.</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 conference call is scheduled for today at 8:30 a.m. ET to discuss the third quarter 2020 financial results.</w:t>
      </w:r>
    </w:p>
    <w:p>
      <w:pPr>
        <w:spacing w:after="0" w:line="216" w:lineRule="exact"/>
        <w:rPr>
          <w:sz w:val="20"/>
          <w:szCs w:val="20"/>
          <w:color w:val="auto"/>
        </w:rPr>
      </w:pPr>
    </w:p>
    <w:p>
      <w:pPr>
        <w:jc w:val="both"/>
        <w:ind w:left="120"/>
        <w:spacing w:after="0" w:line="245" w:lineRule="auto"/>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r>
        <w:rPr>
          <w:rFonts w:ascii="Arial" w:cs="Arial" w:eastAsia="Arial" w:hAnsi="Arial"/>
          <w:sz w:val="20"/>
          <w:szCs w:val="20"/>
          <w:color w:val="auto"/>
        </w:rPr>
        <w:t>. In addition, the conference call may also be accessed by dialing (888) 346-4547 (Toll-Free) within the U.S., (855) 669-9657 (Toll-Free) within Canada or Toll/International (412) 317-5251.</w:t>
      </w:r>
    </w:p>
    <w:p>
      <w:pPr>
        <w:spacing w:after="0" w:line="173" w:lineRule="exact"/>
        <w:rPr>
          <w:sz w:val="20"/>
          <w:szCs w:val="20"/>
          <w:color w:val="auto"/>
        </w:rPr>
      </w:pPr>
    </w:p>
    <w:p>
      <w:pPr>
        <w:ind w:left="120" w:right="140"/>
        <w:spacing w:after="0" w:line="266" w:lineRule="auto"/>
        <w:rPr>
          <w:sz w:val="20"/>
          <w:szCs w:val="20"/>
          <w:color w:val="auto"/>
        </w:rPr>
      </w:pPr>
      <w:r>
        <w:rPr>
          <w:rFonts w:ascii="Arial" w:cs="Arial" w:eastAsia="Arial" w:hAnsi="Arial"/>
          <w:sz w:val="20"/>
          <w:szCs w:val="20"/>
          <w:color w:val="auto"/>
        </w:rPr>
        <w:t>A replay of the conference call will be available on the Company’s website for 7 days. The replay may be accessed by dialing toll free (877) 344-7529 within North America or Toll/International (412) 317-0088 and entering passcode 10148467.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190" w:lineRule="exact"/>
        <w:rPr>
          <w:sz w:val="20"/>
          <w:szCs w:val="20"/>
          <w:color w:val="auto"/>
        </w:rPr>
      </w:pPr>
    </w:p>
    <w:p>
      <w:pPr>
        <w:jc w:val="both"/>
        <w:ind w:left="120" w:right="80"/>
        <w:spacing w:after="0" w:line="233"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spacing w:after="0" w:line="12" w:lineRule="exact"/>
        <w:rPr>
          <w:sz w:val="20"/>
          <w:szCs w:val="20"/>
          <w:color w:val="auto"/>
        </w:rPr>
      </w:pPr>
    </w:p>
    <w:p>
      <w:pPr>
        <w:ind w:right="8360" w:firstLine="8"/>
        <w:spacing w:after="0" w:line="264"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5637530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5791835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080" w:type="dxa"/>
            <w:vAlign w:val="bottom"/>
            <w:gridSpan w:val="3"/>
            <w:vMerge w:val="restart"/>
          </w:tcPr>
          <w:p>
            <w:pPr>
              <w:ind w:left="336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Exhibit 99.1</w:t>
            </w:r>
          </w:p>
        </w:tc>
        <w:tc>
          <w:tcPr>
            <w:tcW w:w="0" w:type="dxa"/>
            <w:vAlign w:val="bottom"/>
          </w:tcPr>
          <w:p>
            <w:pPr>
              <w:spacing w:after="0"/>
              <w:rPr>
                <w:sz w:val="1"/>
                <w:szCs w:val="1"/>
                <w:color w:val="auto"/>
              </w:rPr>
            </w:pPr>
          </w:p>
        </w:tc>
      </w:tr>
      <w:tr>
        <w:trPr>
          <w:trHeight w:val="194"/>
        </w:trPr>
        <w:tc>
          <w:tcPr>
            <w:tcW w:w="8080" w:type="dxa"/>
            <w:vAlign w:val="bottom"/>
            <w:gridSpan w:val="3"/>
            <w:vMerge w:val="continue"/>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0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7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73"/>
        </w:trPr>
        <w:tc>
          <w:tcPr>
            <w:tcW w:w="7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00" w:type="dxa"/>
            <w:vAlign w:val="bottom"/>
            <w:tcBorders>
              <w:top w:val="single" w:sz="8" w:color="CFF0FC"/>
            </w:tcBorders>
            <w:shd w:val="clear" w:color="auto" w:fill="CFF0FC"/>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income taxes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Assets held for sale</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184,090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422,090</w:t>
            </w:r>
          </w:p>
        </w:tc>
        <w:tc>
          <w:tcPr>
            <w:tcW w:w="2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408,637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FF0FC"/>
          </w:tcPr>
          <w:p>
            <w:pPr>
              <w:ind w:left="19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debt</w:t>
            </w:r>
          </w:p>
        </w:tc>
        <w:tc>
          <w:tcPr>
            <w:tcW w:w="2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220,494</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35,504,757 and</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35,275,465 shares issued and outstanding at September 30, 2020 and</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254,771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loss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(39,921)</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(46,344)</w:t>
            </w:r>
          </w:p>
        </w:tc>
        <w:tc>
          <w:tcPr>
            <w:tcW w:w="0" w:type="dxa"/>
            <w:vAlign w:val="bottom"/>
          </w:tcPr>
          <w:p>
            <w:pPr>
              <w:spacing w:after="0"/>
              <w:rPr>
                <w:sz w:val="1"/>
                <w:szCs w:val="1"/>
                <w:color w:val="auto"/>
              </w:rPr>
            </w:pPr>
          </w:p>
        </w:tc>
      </w:tr>
      <w:tr>
        <w:trPr>
          <w:trHeight w:val="230"/>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(14,234)</w:t>
            </w: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(14,505)</w:t>
            </w:r>
          </w:p>
        </w:tc>
        <w:tc>
          <w:tcPr>
            <w:tcW w:w="0" w:type="dxa"/>
            <w:vAlign w:val="bottom"/>
          </w:tcPr>
          <w:p>
            <w:pPr>
              <w:spacing w:after="0"/>
              <w:rPr>
                <w:sz w:val="1"/>
                <w:szCs w:val="1"/>
                <w:color w:val="auto"/>
              </w:rPr>
            </w:pPr>
          </w:p>
        </w:tc>
      </w:tr>
      <w:tr>
        <w:trPr>
          <w:trHeight w:val="223"/>
        </w:trPr>
        <w:tc>
          <w:tcPr>
            <w:tcW w:w="78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200,971</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treasury stock, at cost, 137,920 shares at September 30, 2020 and December 31, 2019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78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200,615</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201,596</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422,090</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ind w:left="10360"/>
        <w:spacing w:after="0"/>
        <w:rPr>
          <w:sz w:val="20"/>
          <w:szCs w:val="20"/>
          <w:color w:val="auto"/>
        </w:rPr>
      </w:pPr>
      <w:r>
        <w:rPr>
          <w:rFonts w:ascii="Times New Roman" w:cs="Times New Roman" w:eastAsia="Times New Roman" w:hAnsi="Times New Roman"/>
          <w:sz w:val="17"/>
          <w:szCs w:val="17"/>
          <w:color w:val="auto"/>
        </w:rPr>
        <w:t>Exhibit 99.1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60" w:type="dxa"/>
            <w:vAlign w:val="bottom"/>
          </w:tcPr>
          <w:p>
            <w:pPr>
              <w:spacing w:after="0"/>
              <w:rPr>
                <w:sz w:val="15"/>
                <w:szCs w:val="15"/>
                <w:color w:val="auto"/>
              </w:rPr>
            </w:pPr>
          </w:p>
        </w:tc>
        <w:tc>
          <w:tcPr>
            <w:tcW w:w="29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780" w:type="dxa"/>
            <w:vAlign w:val="bottom"/>
            <w:tcBorders>
              <w:top w:val="single" w:sz="8" w:color="CFF0FC"/>
            </w:tcBorders>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Net (loss) income attributable to CECO Environmental</w:t>
            </w:r>
          </w:p>
        </w:tc>
        <w:tc>
          <w:tcPr>
            <w:tcW w:w="2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35,358,913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35,070,449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35,263,688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35,358,913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35,624,590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35,471,551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35,522,568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1.3%</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4.8%</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4.2%</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4.4%</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80" w:type="dxa"/>
            <w:vAlign w:val="bottom"/>
          </w:tcPr>
          <w:p>
            <w:pPr>
              <w:spacing w:after="0"/>
              <w:rPr>
                <w:sz w:val="19"/>
                <w:szCs w:val="19"/>
                <w:color w:val="auto"/>
              </w:rPr>
            </w:pPr>
          </w:p>
        </w:tc>
        <w:tc>
          <w:tcPr>
            <w:tcW w:w="98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7.6%</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8.2%</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8.4%</w:t>
            </w: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54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as reported in accordance with GAAP</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Restructuring expenses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financing fee adjustment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Tax benefit of 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Zhongli tax benefit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income per share: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177"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Non-GAAP operating income, non-GAAP net income, non-GAAP operating margin, non-GAAP net income per basic and diluted share and adjusted EBITDA, as we present them in the financial data included in this press release, have been adjusted to exclude the effects of amortization expenses for acquisition related intangible assets, contingent retention and earnout expenses, restructuring expenses primarily relating to severance and legal expenses, acquisition and integration expenses which include retention, legal, accounting, banking, and other expenses, executive transition expenses, loss on divestitures, net of selling costs necessary to complete the divestiture such as legal, accounting and compliance, and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77"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Non-GAAP operating income, non-GAAP net income, non-GAAP operating margin, non-GAAP net income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79"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and non-GAAP net income per basic and diluted share and adjusted EBITDA stated in the tables above are reconciled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176" w:lineRule="exact"/>
        <w:rPr>
          <w:sz w:val="20"/>
          <w:szCs w:val="20"/>
          <w:color w:val="auto"/>
        </w:rPr>
      </w:pPr>
    </w:p>
    <w:p>
      <w:pPr>
        <w:jc w:val="both"/>
        <w:ind w:firstLine="472"/>
        <w:spacing w:after="0"/>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2019 and “Part II</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 Item 1.A. Risk Factors” of the Quarterly Report on Form 10-Q for the quarters ended March 31 and June 30, 2020 and of the Quarterly Report on Form 10-Q for the quarter ended September 30, 2020,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strategic transactions; 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714375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decimal"/>
      <w:start w:val="888"/>
    </w:lvl>
  </w:abstractNum>
  <w:abstractNum w:abstractNumId="4">
    <w:nsid w:val="46E87CCD"/>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2020-11-04T06:27:33Z</dcterms:created>
  <dcterms:modified xsi:type="dcterms:W3CDTF">2020-11-04T06:27:33Z</dcterms:modified>
</cp:coreProperties>
</file>