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149225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600" w:space="720"/>
            <w:col w:w="3020" w:space="720"/>
            <w:col w:w="2140"/>
          </w:cols>
          <w:pgMar w:left="320" w:top="1019" w:right="3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019" w:right="37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5"/>
          <w:szCs w:val="15"/>
          <w:b w:val="1"/>
          <w:bCs w:val="1"/>
          <w:color w:val="auto"/>
        </w:rPr>
        <w:t>East Tower, Suite 800E</w:t>
      </w:r>
    </w:p>
    <w:p>
      <w:pPr>
        <w:spacing w:after="0" w:line="3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Addison, Texas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28" w:lineRule="exact"/>
        <w:rPr>
          <w:sz w:val="24"/>
          <w:szCs w:val="24"/>
          <w:color w:val="auto"/>
        </w:rPr>
      </w:pPr>
    </w:p>
    <w:p>
      <w:pPr>
        <w:sectPr>
          <w:pgSz w:w="11900" w:h="16838" w:orient="portrait"/>
          <w:cols w:equalWidth="0" w:num="2">
            <w:col w:w="7580" w:space="720"/>
            <w:col w:w="2900"/>
          </w:cols>
          <w:pgMar w:left="320" w:top="1019"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3" w:lineRule="exact"/>
        <w:rPr>
          <w:sz w:val="24"/>
          <w:szCs w:val="24"/>
          <w:color w:val="auto"/>
        </w:rPr>
      </w:pPr>
    </w:p>
    <w:p>
      <w:pPr>
        <w:sectPr>
          <w:pgSz w:w="11900" w:h="16838" w:orient="portrait"/>
          <w:cols w:equalWidth="0" w:num="2">
            <w:col w:w="7440" w:space="720"/>
            <w:col w:w="304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4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January 16, 2025, CECO Environmental Corp. (the “Company”) issued a press release announcing its preliminary financial results for the fourth quarter and full year ended December 31, 2024. A copy of the press release is furnished as Exhibit 99.1 to this report and is incorporated herein by reference.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Announces Preliminary Fourth Quarter and Full Year 2024 Results and Highlights Key Strategic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Transactions</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January 17,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0553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6" w:lineRule="exact"/>
        <w:rPr>
          <w:sz w:val="20"/>
          <w:szCs w:val="20"/>
          <w:color w:val="auto"/>
        </w:rPr>
      </w:pPr>
    </w:p>
    <w:p>
      <w:pPr>
        <w:jc w:val="center"/>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CECO ENVIRONMENTAL ANNOUNCES PRELIMINARY FOURTH QUARTER AND FULL YEAR 2024 RESULTS AND HIGHLIGHTS KEY STRATEGIC TRANSACTIONS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Q4 Revenue and EBITDA Negatively Impacted by Customer-Driven Project Delays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Tremendous Q4 Bookings at Over $210 million Establishes New Record and Highest-Ever Backlog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Completed Acquisition of Verantis in Late Q4 and Announces Intention to Divest Fluid Handling Business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2025 Full Year Outlook Affirmed</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ADDISON, TX (January 16, 2025) -- CECO Environmental Corp. (Nasdaq: CECO) ("CECO" or the “Company”)</w:t>
      </w:r>
      <w:r>
        <w:rPr>
          <w:rFonts w:ascii="Times New Roman" w:cs="Times New Roman" w:eastAsia="Times New Roman" w:hAnsi="Times New Roman"/>
          <w:sz w:val="18"/>
          <w:szCs w:val="18"/>
          <w:color w:val="auto"/>
        </w:rPr>
        <w:t>, a leading environmentally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diversified industrial company whose solutions protect people, the environment, and industrial equipment, today announced preliminary financial results for the fourth quarter and full year 2024 and provided an update on further portfolio transformation. The Company also affirmed its previously announced full year 2025 outlook.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Full Year Preliminary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full year ended 2024, the Company expects to report revenues in the range of $555 to $558 million, when compared to the previous guidance of $575 to $600 million, and Adjusted EBITDA between $62 to $63 million, when compared to the previous guidance of $65 to $70 million. Fourth quarter and full year revenue and Adjusted EBITDA softness were driven primarily from continued impacts related to delays of customer-driven projects. Orders for the fourth quarter 2024 are expected to be at or above $210 million, which sets a new Company record for bookings and backlog levels.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“Missing our 2024 outlook is disappointing – especially given the tremendous orders growth we achieved in the second half of the year,” said Todd Gleason, CECO’s Chief Executive Officer. “The multi-quarter, customer-driven, project delays did abate late in the year, but not in enough time for our teams to recognize the expected revenue levels from key projects. The revenues from these projects and the associated income will roll into 2025, which, along with our record orders achieved in 2024, adds even more conviction to our 2025 full year outlook. We remain very pleased with our margin expansion progress and our tremendous sales pipeline in energy transition and general industrial markets. We look forward to providing more detail on our 2024 performance and 2025 outlook when we release our full earnings report next month.”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preliminary fourth quarter and full year 2024 financial results included in this press release are preliminary, unaudited and subject to completion, reflect management’s current views, and may change as a result of management’s continued review and the completion of audit procedures</w:t>
      </w:r>
      <w:r>
        <w:rPr>
          <w:rFonts w:ascii="Times New Roman" w:cs="Times New Roman" w:eastAsia="Times New Roman" w:hAnsi="Times New Roman"/>
          <w:sz w:val="18"/>
          <w:szCs w:val="18"/>
          <w:color w:val="444444"/>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Portfolio &amp; Transaction Update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late December 2024, the Company completed its acquisition of Verantis Environmental Solutions Group (“Verantis”). Verantis is a global leader in engineering services and environmental systems that focuses on process improvement in a wide range of general industrial and high technology processes, primarily for the industrial air market. Verantis had annualized sales of approximately $45 million and operating margins which are expected to be accretive to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is announcing its intent to divest its Fluid Handling business which the sale is expected to be completed late in the first quarter of 2025. The proceeds from this divestiture will be used to pay down debt and position the balance sheet for future strategic growth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Lastly, as previously reported, the Company’s acquisition of Profire Energy closed on January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“I am very pleased with the fast start associated with the Profire integration and how many market opportunities we continue to add to our list of growth initiatives. We are also excited to welcome the Verantis team to CECO as we advance our strategic portfolio of leading environmental solution businesses to help our customers to reduce environmental footprint while improving profitability,” said Todd Gleason, CECO’s Chief Executive Officer. “The announced process to divest our Fluid Handling business has yielded strong interest among well-positioned leaders in the market, and we expect to complete the divestiture in late Q1. While our Fluid Handling business is very well positioned in its markets, we are laser focused on businesses that more closely align with our strategic investments and leadership positions in Air, Water and Energy Transition.”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Full Year Guidance Remains Unchanged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its previously announced full year 2025 outlook which includes expected Revenue of $700 to $750 million, up approximately 30 percent at the midpoint year over year, and Adjusted EBITDA of $90 to $100 million, up approximately 50 percent at the midpoint versus 2024. The Company also affirms its full year 2025 outlook that free cash flow is expected to be between 50 and 70 percent of Adjusted EBITDA. The full year guidance incorporates the net impact of completed acquisitions, the expected Q1 sale of the Company’s Fluid Handling business, and the revenue and income that rolls into 2025 associated with the 2024 customer-driven project delays.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very well-positioned as we enter 2025. Our key growth markets in general industrial, energy transition and power generation, are producing record bookings and our sales pipeline has never looked better. Our programmatic M&amp;A program added tremendous businesses to our mix in the second half of 2024 and early 2025, and we expect each of these acquisitions will deliver solid growth and accretive margins to the Company. I am excited for the short- and long-term future of CECO as we expect to deliver high performance and sustainable value creation,” concluded Gleason.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31"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a broad landscape of industrial air, industrial water, and energy transition markets globally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 power generation, petrochemical processing, refining, midstream gas transport and treatment, electric vehicle and battery production, metals and mineral processing, polysilicon production, battery recycling, beverage can production, and produced and oily water/wastewater treatment along with a wide range of other industrial applications. CECO is listed on Nasdaq under the ticker symbol "CECO." Incorporated in 1966, CECO’s global headquarters is in Addison, Texas. For more information, please visit www.cecoenviro.com.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CECO 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as presented in the financial data included in this press release, has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“feel,”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that could cause actual results to differ materially include risks regarding our ability to consummate the planned divestiture of our Fluid Handling business, the effect of recently announced acquisitions and planned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outcome of any legal proceedings that have been or may in the future be instituted related to the Profire Energy transaction or other transactions, the amount of the costs, fees, expenses and other charges related to the transactions, the achievement of the anticipated benefits of transactions, the ability of Profire Energy to achieve its earnings guidance,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our service areas; dependence on fixed price contracts and the risks associated therewith, including actual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customer-driven project delays relating to supply chain challenges or other customer considerations;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the unpredictability and severity of catastrophic events, including cyber security threats, acts of terrorism or outbreak of war or hostilities or public health crises, as well as management's response to any of the aforementioned factors; and our ability to remediate our material weakness, or any other material weakness that we may identify in the future that could result in material misstatements in our financial statements. Additional risks and uncertainties are discussed under "Part I – Item 1A. Risk Factors" of CECO's Annual Report on Form 10-K for the fiscal year ended December 31, 2023 and may be included in subsequently filed Quarterly Reports on Form 10-Q.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2025-01-17T12:57:55Z</dcterms:created>
  <dcterms:modified xsi:type="dcterms:W3CDTF">2025-01-17T12:57:55Z</dcterms:modified>
</cp:coreProperties>
</file>