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603250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42"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155575</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6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February 25, 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149225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44"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133350</wp:posOffset>
            </wp:positionV>
            <wp:extent cx="23831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sectPr>
      </w:pPr>
    </w:p>
    <w:p>
      <w:pPr>
        <w:spacing w:after="0" w:line="200" w:lineRule="exact"/>
        <w:rPr>
          <w:sz w:val="24"/>
          <w:szCs w:val="24"/>
          <w:color w:val="auto"/>
        </w:rPr>
      </w:pPr>
    </w:p>
    <w:p>
      <w:pPr>
        <w:spacing w:after="0" w:line="21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jc w:val="center"/>
        <w:ind w:right="2400"/>
        <w:spacing w:after="0"/>
        <w:rPr>
          <w:sz w:val="20"/>
          <w:szCs w:val="20"/>
          <w:color w:val="auto"/>
        </w:rPr>
      </w:pPr>
      <w:r>
        <w:rPr>
          <w:rFonts w:ascii="Times New Roman" w:cs="Times New Roman" w:eastAsia="Times New Roman" w:hAnsi="Times New Roman"/>
          <w:sz w:val="16"/>
          <w:szCs w:val="16"/>
          <w:b w:val="1"/>
          <w:bCs w:val="1"/>
          <w:color w:val="auto"/>
        </w:rPr>
        <w:t>000-7099</w:t>
      </w:r>
    </w:p>
    <w:p>
      <w:pPr>
        <w:spacing w:after="0" w:line="20" w:lineRule="exact"/>
        <w:rPr>
          <w:sz w:val="24"/>
          <w:szCs w:val="24"/>
          <w:color w:val="auto"/>
        </w:rPr>
      </w:pPr>
      <w:r>
        <w:rPr>
          <w:sz w:val="24"/>
          <w:szCs w:val="24"/>
          <w:color w:val="auto"/>
        </w:rPr>
        <w:br w:type="column"/>
      </w:r>
    </w:p>
    <w:p>
      <w:pPr>
        <w:spacing w:after="0" w:line="39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13-2566064</w:t>
      </w:r>
    </w:p>
    <w:p>
      <w:pPr>
        <w:spacing w:after="0" w:line="15" w:lineRule="exact"/>
        <w:rPr>
          <w:sz w:val="24"/>
          <w:szCs w:val="24"/>
          <w:color w:val="auto"/>
        </w:rPr>
      </w:pPr>
    </w:p>
    <w:p>
      <w:pPr>
        <w:sectPr>
          <w:pgSz w:w="11900" w:h="16838" w:orient="portrait"/>
          <w:cols w:equalWidth="0" w:num="3">
            <w:col w:w="4600" w:space="720"/>
            <w:col w:w="3020" w:space="720"/>
            <w:col w:w="2140"/>
          </w:cols>
          <w:pgMar w:left="320" w:top="1019" w:right="379" w:bottom="1440" w:gutter="0" w:footer="0" w:header="0"/>
          <w:type w:val="continuous"/>
        </w:sectPr>
      </w:pP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4" w:lineRule="exact"/>
        <w:rPr>
          <w:sz w:val="24"/>
          <w:szCs w:val="24"/>
          <w:color w:val="auto"/>
        </w:rPr>
      </w:pPr>
    </w:p>
    <w:p>
      <w:pPr>
        <w:sectPr>
          <w:pgSz w:w="11900" w:h="16838" w:orient="portrait"/>
          <w:cols w:equalWidth="0" w:num="3">
            <w:col w:w="4500" w:space="720"/>
            <w:col w:w="2940" w:space="720"/>
            <w:col w:w="2320"/>
          </w:cols>
          <w:pgMar w:left="320" w:top="1019" w:right="379" w:bottom="1440" w:gutter="0" w:footer="0" w:header="0"/>
          <w:type w:val="continuous"/>
        </w:sectPr>
      </w:pPr>
    </w:p>
    <w:p>
      <w:pPr>
        <w:ind w:left="2020"/>
        <w:spacing w:after="0"/>
        <w:rPr>
          <w:sz w:val="20"/>
          <w:szCs w:val="20"/>
          <w:color w:val="auto"/>
        </w:rPr>
      </w:pPr>
      <w:r>
        <w:rPr>
          <w:rFonts w:ascii="Times New Roman" w:cs="Times New Roman" w:eastAsia="Times New Roman" w:hAnsi="Times New Roman"/>
          <w:sz w:val="16"/>
          <w:szCs w:val="16"/>
          <w:b w:val="1"/>
          <w:bCs w:val="1"/>
          <w:color w:val="auto"/>
        </w:rPr>
        <w:t>5080 Spectrum Drive</w:t>
      </w:r>
    </w:p>
    <w:p>
      <w:pPr>
        <w:spacing w:after="0" w:line="28" w:lineRule="exact"/>
        <w:rPr>
          <w:sz w:val="24"/>
          <w:szCs w:val="24"/>
          <w:color w:val="auto"/>
        </w:rPr>
      </w:pPr>
    </w:p>
    <w:p>
      <w:pPr>
        <w:ind w:left="1960"/>
        <w:spacing w:after="0"/>
        <w:rPr>
          <w:sz w:val="20"/>
          <w:szCs w:val="20"/>
          <w:color w:val="auto"/>
        </w:rPr>
      </w:pPr>
      <w:r>
        <w:rPr>
          <w:rFonts w:ascii="Times New Roman" w:cs="Times New Roman" w:eastAsia="Times New Roman" w:hAnsi="Times New Roman"/>
          <w:sz w:val="16"/>
          <w:szCs w:val="16"/>
          <w:b w:val="1"/>
          <w:bCs w:val="1"/>
          <w:color w:val="auto"/>
        </w:rPr>
        <w:t>East Tower, Suite 800E</w:t>
      </w:r>
    </w:p>
    <w:p>
      <w:pPr>
        <w:spacing w:after="0" w:line="19" w:lineRule="exact"/>
        <w:rPr>
          <w:sz w:val="24"/>
          <w:szCs w:val="24"/>
          <w:color w:val="auto"/>
        </w:rPr>
      </w:pPr>
    </w:p>
    <w:p>
      <w:pPr>
        <w:ind w:left="2260"/>
        <w:spacing w:after="0"/>
        <w:rPr>
          <w:sz w:val="20"/>
          <w:szCs w:val="20"/>
          <w:color w:val="auto"/>
        </w:rPr>
      </w:pPr>
      <w:r>
        <w:rPr>
          <w:rFonts w:ascii="Calibri" w:cs="Calibri" w:eastAsia="Calibri" w:hAnsi="Calibri"/>
          <w:sz w:val="16"/>
          <w:szCs w:val="16"/>
          <w:b w:val="1"/>
          <w:bCs w:val="1"/>
          <w:color w:val="auto"/>
        </w:rPr>
        <w:t>Addison</w:t>
      </w:r>
      <w:r>
        <w:rPr>
          <w:rFonts w:ascii="Times New Roman" w:cs="Times New Roman" w:eastAsia="Times New Roman" w:hAnsi="Times New Roman"/>
          <w:sz w:val="16"/>
          <w:szCs w:val="16"/>
          <w:b w:val="1"/>
          <w:bCs w:val="1"/>
          <w:color w:val="auto"/>
        </w:rPr>
        <w:t>, Texas</w:t>
      </w:r>
    </w:p>
    <w:p>
      <w:pPr>
        <w:spacing w:after="0" w:line="20" w:lineRule="exact"/>
        <w:rPr>
          <w:sz w:val="24"/>
          <w:szCs w:val="24"/>
          <w:color w:val="auto"/>
        </w:rPr>
      </w:pPr>
      <w:r>
        <w:rPr>
          <w:sz w:val="24"/>
          <w:szCs w:val="24"/>
          <w:color w:val="auto"/>
        </w:rPr>
        <w:br w:type="column"/>
      </w:r>
    </w:p>
    <w:p>
      <w:pPr>
        <w:spacing w:after="0" w:line="39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75001</w:t>
      </w:r>
    </w:p>
    <w:p>
      <w:pPr>
        <w:spacing w:after="0" w:line="28" w:lineRule="exact"/>
        <w:rPr>
          <w:sz w:val="24"/>
          <w:szCs w:val="24"/>
          <w:color w:val="auto"/>
        </w:rPr>
      </w:pPr>
    </w:p>
    <w:p>
      <w:pPr>
        <w:sectPr>
          <w:pgSz w:w="11900" w:h="16838" w:orient="portrait"/>
          <w:cols w:equalWidth="0" w:num="2">
            <w:col w:w="7580" w:space="720"/>
            <w:col w:w="2900"/>
          </w:cols>
          <w:pgMar w:left="320" w:top="1019" w:right="37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33" w:lineRule="exact"/>
        <w:rPr>
          <w:sz w:val="24"/>
          <w:szCs w:val="24"/>
          <w:color w:val="auto"/>
        </w:rPr>
      </w:pPr>
    </w:p>
    <w:p>
      <w:pPr>
        <w:sectPr>
          <w:pgSz w:w="11900" w:h="16838" w:orient="portrait"/>
          <w:cols w:equalWidth="0" w:num="2">
            <w:col w:w="7440" w:space="720"/>
            <w:col w:w="3040"/>
          </w:cols>
          <w:pgMar w:left="320" w:top="1019" w:right="379" w:bottom="1440" w:gutter="0" w:footer="0" w:header="0"/>
          <w:type w:val="continuous"/>
        </w:sect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80"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13"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113"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1100" w:type="dxa"/>
        <w:tblCellMar>
          <w:top w:w="0" w:type="dxa"/>
          <w:left w:w="0" w:type="dxa"/>
          <w:bottom w:w="0" w:type="dxa"/>
          <w:right w:w="0" w:type="dxa"/>
        </w:tblCellMar>
      </w:tblPr>
      <w:tr>
        <w:trPr>
          <w:trHeight w:val="188"/>
        </w:trPr>
        <w:tc>
          <w:tcPr>
            <w:tcW w:w="3100" w:type="dxa"/>
            <w:vAlign w:val="bottom"/>
          </w:tcPr>
          <w:p>
            <w:pPr>
              <w:jc w:val="center"/>
              <w:ind w:right="588"/>
              <w:spacing w:after="0"/>
              <w:rPr>
                <w:sz w:val="20"/>
                <w:szCs w:val="20"/>
                <w:color w:val="auto"/>
              </w:rPr>
            </w:pPr>
            <w:r>
              <w:rPr>
                <w:rFonts w:ascii="Times New Roman" w:cs="Times New Roman" w:eastAsia="Times New Roman" w:hAnsi="Times New Roman"/>
                <w:sz w:val="14"/>
                <w:szCs w:val="14"/>
                <w:color w:val="auto"/>
              </w:rPr>
              <w:t>Title of each class</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Trading Symbol</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216"/>
        </w:trPr>
        <w:tc>
          <w:tcPr>
            <w:tcW w:w="3100" w:type="dxa"/>
            <w:vAlign w:val="bottom"/>
          </w:tcPr>
          <w:p>
            <w:pPr>
              <w:jc w:val="center"/>
              <w:ind w:right="608"/>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380" w:type="dxa"/>
            <w:vAlign w:val="bottom"/>
          </w:tcPr>
          <w:p>
            <w:pPr>
              <w:jc w:val="center"/>
              <w:ind w:right="48"/>
              <w:spacing w:after="0"/>
              <w:rPr>
                <w:sz w:val="20"/>
                <w:szCs w:val="20"/>
                <w:color w:val="auto"/>
              </w:rPr>
            </w:pPr>
            <w:r>
              <w:rPr>
                <w:rFonts w:ascii="Times New Roman" w:cs="Times New Roman" w:eastAsia="Times New Roman" w:hAnsi="Times New Roman"/>
                <w:sz w:val="14"/>
                <w:szCs w:val="14"/>
                <w:color w:val="auto"/>
              </w:rPr>
              <w:t>CECO</w:t>
            </w:r>
          </w:p>
        </w:tc>
        <w:tc>
          <w:tcPr>
            <w:tcW w:w="3320" w:type="dxa"/>
            <w:vAlign w:val="bottom"/>
          </w:tcPr>
          <w:p>
            <w:pPr>
              <w:jc w:val="center"/>
              <w:ind w:left="708"/>
              <w:spacing w:after="0"/>
              <w:rPr>
                <w:sz w:val="20"/>
                <w:szCs w:val="20"/>
                <w:color w:val="auto"/>
              </w:rPr>
            </w:pPr>
            <w:r>
              <w:rPr>
                <w:rFonts w:ascii="Times New Roman" w:cs="Times New Roman" w:eastAsia="Times New Roman" w:hAnsi="Times New Roman"/>
                <w:sz w:val="14"/>
                <w:szCs w:val="14"/>
                <w:color w:val="auto"/>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217170</wp:posOffset>
            </wp:positionH>
            <wp:positionV relativeFrom="paragraph">
              <wp:posOffset>-252095</wp:posOffset>
            </wp:positionV>
            <wp:extent cx="6705600" cy="2762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05600" cy="276225"/>
                    </a:xfrm>
                    <a:prstGeom prst="rect">
                      <a:avLst/>
                    </a:prstGeom>
                    <a:noFill/>
                  </pic:spPr>
                </pic:pic>
              </a:graphicData>
            </a:graphic>
          </wp:anchor>
        </w:drawing>
      </w:r>
    </w:p>
    <w:p>
      <w:pPr>
        <w:spacing w:after="0" w:line="165" w:lineRule="exact"/>
        <w:rPr>
          <w:sz w:val="24"/>
          <w:szCs w:val="24"/>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0"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20"/>
        <w:spacing w:after="0" w:line="21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133985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618490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19" w:right="37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On February 25, 2025, CECO Environmental Corp. (the “Company”) issued a press release announcing its financial results for the fourth quarter and year ended December 31, 2024. A copy of the press release is furnished as Exhibit 99.1 to this report and is incorporated herein by reference.</w:t>
      </w:r>
    </w:p>
    <w:p>
      <w:pPr>
        <w:spacing w:after="0" w:line="162"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40" w:type="dxa"/>
            <w:vAlign w:val="bottom"/>
          </w:tcPr>
          <w:p>
            <w:pPr>
              <w:spacing w:after="0"/>
              <w:rPr>
                <w:sz w:val="13"/>
                <w:szCs w:val="13"/>
                <w:color w:val="auto"/>
              </w:rPr>
            </w:pPr>
          </w:p>
        </w:tc>
        <w:tc>
          <w:tcPr>
            <w:tcW w:w="10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73"/>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40" w:type="dxa"/>
            <w:vAlign w:val="bottom"/>
          </w:tcPr>
          <w:p>
            <w:pPr>
              <w:spacing w:after="0"/>
              <w:rPr>
                <w:sz w:val="15"/>
                <w:szCs w:val="15"/>
                <w:color w:val="auto"/>
              </w:rPr>
            </w:pPr>
          </w:p>
        </w:tc>
        <w:tc>
          <w:tcPr>
            <w:tcW w:w="10180" w:type="dxa"/>
            <w:vAlign w:val="bottom"/>
            <w:tcBorders>
              <w:bottom w:val="single" w:sz="8" w:color="auto"/>
            </w:tcBorders>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Fourth Quarter and Full Year 2024 Results</w:t>
            </w:r>
          </w:p>
        </w:tc>
        <w:tc>
          <w:tcPr>
            <w:tcW w:w="0" w:type="dxa"/>
            <w:vAlign w:val="bottom"/>
          </w:tcPr>
          <w:p>
            <w:pPr>
              <w:spacing w:after="0"/>
              <w:rPr>
                <w:sz w:val="1"/>
                <w:szCs w:val="1"/>
                <w:color w:val="auto"/>
              </w:rPr>
            </w:pPr>
          </w:p>
        </w:tc>
      </w:tr>
      <w:tr>
        <w:trPr>
          <w:trHeight w:val="20"/>
        </w:trPr>
        <w:tc>
          <w:tcPr>
            <w:tcW w:w="920" w:type="dxa"/>
            <w:vAlign w:val="bottom"/>
          </w:tcPr>
          <w:p>
            <w:pPr>
              <w:spacing w:after="0" w:line="20" w:lineRule="exact"/>
              <w:rPr>
                <w:sz w:val="1"/>
                <w:szCs w:val="1"/>
                <w:color w:val="auto"/>
              </w:rPr>
            </w:pPr>
          </w:p>
        </w:tc>
        <w:tc>
          <w:tcPr>
            <w:tcW w:w="140" w:type="dxa"/>
            <w:vAlign w:val="bottom"/>
            <w:tcBorders>
              <w:right w:val="single" w:sz="8" w:color="0000EE"/>
            </w:tcBorders>
          </w:tcPr>
          <w:p>
            <w:pPr>
              <w:spacing w:after="0" w:line="20" w:lineRule="exact"/>
              <w:rPr>
                <w:sz w:val="1"/>
                <w:szCs w:val="1"/>
                <w:color w:val="auto"/>
              </w:rPr>
            </w:pPr>
          </w:p>
        </w:tc>
        <w:tc>
          <w:tcPr>
            <w:tcW w:w="6400" w:type="dxa"/>
            <w:vAlign w:val="bottom"/>
            <w:shd w:val="clear" w:color="auto" w:fill="0000FF"/>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24"/>
                <w:szCs w:val="24"/>
                <w:color w:val="auto"/>
              </w:rPr>
            </w:pPr>
          </w:p>
        </w:tc>
        <w:tc>
          <w:tcPr>
            <w:tcW w:w="101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843"/>
        </w:trPr>
        <w:tc>
          <w:tcPr>
            <w:tcW w:w="9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6400" w:type="dxa"/>
            <w:vAlign w:val="bottom"/>
            <w:tcBorders>
              <w:bottom w:val="single" w:sz="8" w:color="9A9A9A"/>
            </w:tcBorders>
          </w:tcPr>
          <w:p>
            <w:pPr>
              <w:spacing w:after="0"/>
              <w:rPr>
                <w:sz w:val="24"/>
                <w:szCs w:val="24"/>
                <w:color w:val="auto"/>
              </w:rPr>
            </w:pPr>
          </w:p>
        </w:tc>
        <w:tc>
          <w:tcPr>
            <w:tcW w:w="37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94" w:lineRule="exact"/>
        <w:rPr>
          <w:sz w:val="20"/>
          <w:szCs w:val="20"/>
          <w:color w:val="auto"/>
        </w:rPr>
      </w:pPr>
    </w:p>
    <w:p>
      <w:pPr>
        <w:ind w:left="20"/>
        <w:spacing w:after="0"/>
        <w:tabs>
          <w:tab w:leader="none" w:pos="6640" w:val="left"/>
        </w:tabs>
        <w:rPr>
          <w:sz w:val="20"/>
          <w:szCs w:val="20"/>
          <w:color w:val="auto"/>
        </w:rPr>
      </w:pPr>
      <w:r>
        <w:rPr>
          <w:rFonts w:ascii="Times New Roman" w:cs="Times New Roman" w:eastAsia="Times New Roman" w:hAnsi="Times New Roman"/>
          <w:sz w:val="18"/>
          <w:szCs w:val="18"/>
          <w:color w:val="auto"/>
        </w:rPr>
        <w:t>Date: February 25, 2025</w:t>
      </w:r>
      <w:r>
        <w:rPr>
          <w:sz w:val="20"/>
          <w:szCs w:val="20"/>
          <w:color w:val="auto"/>
        </w:rPr>
        <w:tab/>
      </w:r>
      <w:r>
        <w:rPr>
          <w:rFonts w:ascii="Times New Roman" w:cs="Times New Roman" w:eastAsia="Times New Roman" w:hAnsi="Times New Roman"/>
          <w:sz w:val="17"/>
          <w:szCs w:val="17"/>
          <w:color w:val="auto"/>
        </w:rPr>
        <w:t>CECO Environmental Corp.</w:t>
      </w:r>
    </w:p>
    <w:p>
      <w:pPr>
        <w:spacing w:after="0" w:line="225" w:lineRule="exact"/>
        <w:rPr>
          <w:sz w:val="20"/>
          <w:szCs w:val="20"/>
          <w:color w:val="auto"/>
        </w:rPr>
      </w:pPr>
    </w:p>
    <w:p>
      <w:pPr>
        <w:ind w:left="6660"/>
        <w:spacing w:after="0"/>
        <w:tabs>
          <w:tab w:leader="none" w:pos="72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Kiril Kovachev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17145</wp:posOffset>
            </wp:positionV>
            <wp:extent cx="25628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562860" cy="8255"/>
                    </a:xfrm>
                    <a:prstGeom prst="rect">
                      <a:avLst/>
                    </a:prstGeom>
                    <a:noFill/>
                  </pic:spPr>
                </pic:pic>
              </a:graphicData>
            </a:graphic>
          </wp:anchor>
        </w:drawing>
      </w:r>
    </w:p>
    <w:p>
      <w:pPr>
        <w:spacing w:after="0" w:line="7"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Kiril Kovachev</w:t>
      </w:r>
    </w:p>
    <w:p>
      <w:pPr>
        <w:spacing w:after="0" w:line="23" w:lineRule="exact"/>
        <w:rPr>
          <w:sz w:val="20"/>
          <w:szCs w:val="20"/>
          <w:color w:val="auto"/>
        </w:rPr>
      </w:pPr>
    </w:p>
    <w:p>
      <w:pPr>
        <w:ind w:left="7220"/>
        <w:spacing w:after="0"/>
        <w:rPr>
          <w:sz w:val="20"/>
          <w:szCs w:val="20"/>
          <w:color w:val="auto"/>
        </w:rPr>
      </w:pPr>
      <w:r>
        <w:rPr>
          <w:rFonts w:ascii="Times New Roman" w:cs="Times New Roman" w:eastAsia="Times New Roman" w:hAnsi="Times New Roman"/>
          <w:sz w:val="18"/>
          <w:szCs w:val="18"/>
          <w:color w:val="auto"/>
        </w:rPr>
        <w:t>Chief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610235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765" w:right="37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500380</wp:posOffset>
            </wp:positionV>
            <wp:extent cx="1105535" cy="514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1105535" cy="514350"/>
                    </a:xfrm>
                    <a:prstGeom prst="rect">
                      <a:avLst/>
                    </a:prstGeom>
                    <a:noFill/>
                  </pic:spPr>
                </pic:pic>
              </a:graphicData>
            </a:graphic>
          </wp:anchor>
        </w:drawing>
      </w:r>
    </w:p>
    <w:p>
      <w:pPr>
        <w:spacing w:after="0" w:line="206" w:lineRule="exact"/>
        <w:rPr>
          <w:sz w:val="20"/>
          <w:szCs w:val="20"/>
          <w:color w:val="auto"/>
        </w:rPr>
      </w:pPr>
    </w:p>
    <w:p>
      <w:pPr>
        <w:jc w:val="center"/>
        <w:ind w:right="40"/>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CECO ENVIRONMENTAL REPORTS FOURTH QUARTER AND FULL YEAR 2024 RESULTS </w:t>
      </w:r>
      <w:r>
        <w:rPr>
          <w:rFonts w:ascii="Times New Roman" w:cs="Times New Roman" w:eastAsia="Times New Roman" w:hAnsi="Times New Roman"/>
          <w:sz w:val="18"/>
          <w:szCs w:val="18"/>
          <w:i w:val="1"/>
          <w:iCs w:val="1"/>
          <w:color w:val="auto"/>
        </w:rPr>
        <w:t>Record Bookings in the Quarter of $219M Elevated Year-End Backlog to a Record $541M Reaffirms 2025 Full Year Outlook</w:t>
      </w:r>
    </w:p>
    <w:p>
      <w:pPr>
        <w:spacing w:after="0" w:line="171"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ADDISON, TX (February 25, 2025) -- CECO Environmental Corp. (Nasdaq: CECO) ("CECO")</w:t>
      </w:r>
      <w:r>
        <w:rPr>
          <w:rFonts w:ascii="Times New Roman" w:cs="Times New Roman" w:eastAsia="Times New Roman" w:hAnsi="Times New Roman"/>
          <w:sz w:val="18"/>
          <w:szCs w:val="18"/>
          <w:color w:val="auto"/>
        </w:rPr>
        <w:t>, a leading environmentally focused, diversified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industrial company whose solutions protect people, the environment, and industrial equipment, today reported its financial results for the fourth quarter and full year of 2024.</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$218.9 million, up 71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Backlog of $540.9 million, up 46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$158.6 million, up 3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$56.7 million, up 7 percent; Gross margin of 35.8 percent, up 120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$4.9 million, up 26 percent; non-GAAP net income of $9.9 million, down 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$0.13, up 18 percent; non-GAAP EPS (diluted) of $0.27, down 4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$19.0 million, down 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($4.4) million, down $16.6 million</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Year</w:t>
      </w:r>
      <w:r>
        <w:rPr>
          <w:rFonts w:ascii="Times New Roman" w:cs="Times New Roman" w:eastAsia="Times New Roman" w:hAnsi="Times New Roman"/>
          <w:sz w:val="24"/>
          <w:szCs w:val="24"/>
          <w:b w:val="1"/>
          <w:bCs w:val="1"/>
          <w:color w:val="auto"/>
          <w:vertAlign w:val="superscript"/>
        </w:rPr>
        <w:t>(1)</w:t>
      </w:r>
    </w:p>
    <w:p>
      <w:pPr>
        <w:spacing w:after="0" w:line="59" w:lineRule="exact"/>
        <w:rPr>
          <w:sz w:val="20"/>
          <w:szCs w:val="20"/>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$667.3 million, up 14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$557.9 million, up 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Gross profit of $196.1 million, up 15 percent; Gross margin of 35.2 percent, up 380 basis points</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$13.0 million, up 1 percent; non-GAAP net income of $26.7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EPS (diluted) of $0.36, down 3 percent; non-GAAP EPS (diluted) of $0.73, down 2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$62.8 million, up 9 percent</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Free cash flow of $7.4 million, down 80 percent</w:t>
      </w:r>
    </w:p>
    <w:p>
      <w:pPr>
        <w:spacing w:after="0" w:line="117" w:lineRule="exact"/>
        <w:rPr>
          <w:rFonts w:ascii="Times New Roman" w:cs="Times New Roman" w:eastAsia="Times New Roman" w:hAnsi="Times New Roman"/>
          <w:sz w:val="18"/>
          <w:szCs w:val="18"/>
          <w:color w:val="auto"/>
        </w:rPr>
      </w:pPr>
    </w:p>
    <w:p>
      <w:pPr>
        <w:ind w:left="1020" w:right="60" w:hanging="503"/>
        <w:spacing w:after="0" w:line="282" w:lineRule="auto"/>
        <w:tabs>
          <w:tab w:leader="none" w:pos="102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three acquisitions (EnviroCare International, WK Group, and Verantis Environmental Solutions Group), advancing our Industrial Air market leadership</w:t>
      </w:r>
    </w:p>
    <w:p>
      <w:pPr>
        <w:spacing w:after="0" w:line="238" w:lineRule="exact"/>
        <w:rPr>
          <w:rFonts w:ascii="Times New Roman" w:cs="Times New Roman" w:eastAsia="Times New Roman" w:hAnsi="Times New Roman"/>
          <w:sz w:val="18"/>
          <w:szCs w:val="18"/>
          <w:color w:val="auto"/>
        </w:rPr>
      </w:pPr>
    </w:p>
    <w:p>
      <w:pPr>
        <w:ind w:left="160" w:hanging="152"/>
        <w:spacing w:after="0"/>
        <w:tabs>
          <w:tab w:leader="none" w:pos="160" w:val="left"/>
        </w:tabs>
        <w:numPr>
          <w:ilvl w:val="0"/>
          <w:numId w:val="3"/>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Todd Gleason, CECO's Chief Executive Officer commented, “While we acknowledge mixed results in 2024 driven by customer project and market related order delays, we are energized by our fourth quarter record orders bookings of $219 million, which provides incredible momentum moving into 2025. The steady progress we continue to make on expanding margins and upgrading our portfolio through organic and inorganic investments will help us maximize the tremendous opportunities that exist in key growth markets we serve such as power generation, reshoring of industrial manufacturing, global infrastructure and data center expansion.”</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Fourth quarter operating income was $11.3 million, down $1.4 million or 11 percent when compared to $12.7 million in the fourth quarter 2023. On an adjusted basis, non-GAAP operating income was $15.6 million, down $0.7 million or 4 percent when compared to $16.3 million in the fourth quarter of 2023. Net income was $4.9 million in the quarter, up $1.0 million or 26 percent when compared to $3.9 million in the fourth quarter of 2023. Non-GAAP net income was $9.9 million, down $0.2 million or 2 percent when compared to $10.1 million in the fourth quarter of 2023. Adjusted EBITDA of $19.0 million, reflecting a margin of 12.0 percent, was down 2 percent compared to $19.4 million in the fourth quarter of 2023. Free cash flow in the quarter was $(4.4) million, down $16.6 million compared to $12.2 million in the fourth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598170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4" w:name="page5"/>
    <w:bookmarkEnd w:id="4"/>
    <w:p>
      <w:pPr>
        <w:jc w:val="both"/>
        <w:spacing w:after="0" w:line="258" w:lineRule="auto"/>
        <w:rPr>
          <w:sz w:val="20"/>
          <w:szCs w:val="20"/>
          <w:color w:val="auto"/>
        </w:rPr>
      </w:pPr>
      <w:r>
        <w:rPr>
          <w:rFonts w:ascii="Times New Roman" w:cs="Times New Roman" w:eastAsia="Times New Roman" w:hAnsi="Times New Roman"/>
          <w:sz w:val="18"/>
          <w:szCs w:val="18"/>
          <w:color w:val="auto"/>
        </w:rPr>
        <w:t>Full year operating income was $35.4 million, up $0.8 million in the year, compared to $34.6 million in 2023. On an adjusted basis, non-GAAP operating income was $49.4 million, up $1.3 million in the year, compared to $48.1 million in 2023. Net income was $13.0 million in the year, compared to $12.9 million in 2023. Non-GAAP net income was $26.7 million, compared to $26.6 million in 2023. Adjusted EBITDA of $62.8 million, reflecting a margin of 11.3 pe</w:t>
      </w:r>
      <w:r>
        <w:rPr>
          <w:rFonts w:ascii="Times New Roman" w:cs="Times New Roman" w:eastAsia="Times New Roman" w:hAnsi="Times New Roman"/>
          <w:sz w:val="18"/>
          <w:szCs w:val="18"/>
          <w:color w:val="0D0D0D"/>
        </w:rPr>
        <w:t>rcent</w:t>
      </w:r>
      <w:r>
        <w:rPr>
          <w:rFonts w:ascii="Times New Roman" w:cs="Times New Roman" w:eastAsia="Times New Roman" w:hAnsi="Times New Roman"/>
          <w:sz w:val="18"/>
          <w:szCs w:val="18"/>
          <w:color w:val="auto"/>
        </w:rPr>
        <w:t>, was up 9 percent compared to $57.7 million in 2023, reflecting a margin of 10.6 pe</w:t>
      </w:r>
      <w:r>
        <w:rPr>
          <w:rFonts w:ascii="Times New Roman" w:cs="Times New Roman" w:eastAsia="Times New Roman" w:hAnsi="Times New Roman"/>
          <w:sz w:val="18"/>
          <w:szCs w:val="18"/>
          <w:color w:val="0D0D0D"/>
        </w:rPr>
        <w:t>rcent</w:t>
      </w:r>
      <w:r>
        <w:rPr>
          <w:rFonts w:ascii="Times New Roman" w:cs="Times New Roman" w:eastAsia="Times New Roman" w:hAnsi="Times New Roman"/>
          <w:sz w:val="18"/>
          <w:szCs w:val="18"/>
          <w:color w:val="auto"/>
        </w:rPr>
        <w:t>. Free cash flow was $7.4 million, down $28.8 million compared to $36.2 million in 2023.</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“Over the past six months, we have completed four strategic and accretive M&amp;A transactions – including the Profire Energy acquisition in early January 2025. Each of our acquisitions adds important new growth markets, technologies and solutions, and service capabilities to further advance our niche, industrial leadership positions and improve our overall business mix, while improving our margin profile. In addition, we upgraded our credit facility, which now includes a $400 million Revolver, along with capacity for $150 million in additional unsecured debt, and we expect to finalize the sale of our Fluid Handling business in late Q1 2025. Our core businesses remain robust – evident by our record backlog – and we continue to add tremendous talent to our team and our experienced leadership bench,” added Gleason.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2025 Full Year Guidance</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maintains its previously announced full year 2025 outlook which includes expected Revenue of $700 to $750 million, up approximately 30 percent at the midpoint year over year, and Adjusted EBITDA of $90 to $100 million, up approximately 50 percent at the midpoint versus 2024. The Company expects 2025 free cash flow to be between 60 and 75 percent of Adjusted EBITDA, approximately 10 percentage points higher than standard cash flow guidance, given expected working capital timing. The full year guidance incorporates the net impact of completed acquisitions and the expected late-Q1 divestiture of the Fluid Handling business.</w:t>
      </w:r>
    </w:p>
    <w:p>
      <w:pPr>
        <w:spacing w:after="0" w:line="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full year 2025 outlook reflects the strong visibility we have with our record backlog, strong bookings, 2024 related project push outs, and the impact from our acquisitions. So far in early 2025, we are experiencing a continuation of the strong power generation, data center, general industrial and natural gas infrastructure markets that drove our strong Q4 orders. Our early 2025 working capital performance – specifically receivables – is very strong as we have collected significant cash payments that pushed out of 2024 by just a few weeks. The integrations associated with our recent acquisitions are on-or-ahead of schedule, and we continue to open international sales and service centers to support our global footprint. We expect to deliver an outstanding 2025, affirmed by our full year guidance, as we progress our operating model supported by strong organic growth, coupled with steady margin expansion,”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735965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3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fourth quarter and full year 2024 financial results. Please visit the Investor Relations portion of the website (https://investors.cecoenviro.com) to listen to the call via webcast. The conference call may also be accessed by visiting https://edge.media-server.com/mmc/p/wr6yr8ri.</w:t>
      </w:r>
    </w:p>
    <w:p>
      <w:pPr>
        <w:spacing w:after="0" w:line="6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for a period of one year. The replay may also be accessed by visiting https://edge.media-server.com/mmc/p/wr6yr8ri.</w:t>
      </w:r>
    </w:p>
    <w:p>
      <w:pPr>
        <w:spacing w:after="0" w:line="26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the broad landscape of industrial air, industrial water and energy transition markets globally providing innovative solutions and application expertise. CECO helps companies grow their business with safe, clean, and more efficient solutions that help protect people, the environment and industrial equipment. CECO solutions improve air and water quality, optimize emissions management, and increase energy efficiency for highly-engineered applications in power generation, midstream and downstream hydrocarbon processing and transport, electric vehicle production, polysilicon fabrication, semiconductor and electronics, battery production and recycling, specialty metals and steel production, beverage can, and water/wastewater treatment and a wide range of other industrial end markets. CECO is listed on Nasdaq under the ticker symbol "CECO." Incorporated in 1966, CECO’s global headquarters is in Addison, Texas. For more information, please visit www.cecoenviro.com.</w:t>
      </w:r>
    </w:p>
    <w:p>
      <w:pPr>
        <w:spacing w:after="0" w:line="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Peter Johansson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Financial and Strategy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888-990-6670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and Jean Marie Young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214-872-2710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1269365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1"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share data)</w:t>
            </w:r>
          </w:p>
        </w:tc>
        <w:tc>
          <w:tcPr>
            <w:tcW w:w="42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2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7320" w:type="dxa"/>
            <w:vAlign w:val="bottom"/>
            <w:vMerge w:val="continue"/>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1360" w:type="dxa"/>
            <w:vAlign w:val="bottom"/>
            <w:tcBorders>
              <w:bottom w:val="single" w:sz="8" w:color="auto"/>
            </w:tcBorders>
          </w:tcPr>
          <w:p>
            <w:pPr>
              <w:jc w:val="right"/>
              <w:ind w:right="671"/>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60" w:type="dxa"/>
            <w:vAlign w:val="bottom"/>
            <w:tcBorders>
              <w:bottom w:val="single" w:sz="8" w:color="auto"/>
            </w:tcBorders>
          </w:tcPr>
          <w:p>
            <w:pPr>
              <w:jc w:val="right"/>
              <w:ind w:right="650"/>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20" w:type="dxa"/>
            <w:vAlign w:val="bottom"/>
            <w:shd w:val="clear" w:color="auto" w:fill="CFF0FC"/>
          </w:tcPr>
          <w:p>
            <w:pPr>
              <w:ind w:left="324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37,832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54,779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Accounts receivable, net of allowances of $8,863 and $6,460</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159,572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112,733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69,889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66,574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Inventories, net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42,624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34,089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16,859</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Prepaid income taxes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3,826</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current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330,971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33,810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269,747</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211,326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74,050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50,461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9,466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assets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15,587</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32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Total assets</w:t>
            </w: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260" w:type="dxa"/>
            <w:vAlign w:val="bottom"/>
          </w:tcPr>
          <w:p>
            <w:pPr>
              <w:spacing w:after="0"/>
              <w:rPr>
                <w:sz w:val="18"/>
                <w:szCs w:val="18"/>
                <w:color w:val="auto"/>
              </w:rPr>
            </w:pPr>
          </w:p>
        </w:tc>
        <w:tc>
          <w:tcPr>
            <w:tcW w:w="5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320" w:type="dxa"/>
            <w:vAlign w:val="bottom"/>
            <w:shd w:val="clear" w:color="auto" w:fill="CFF0FC"/>
          </w:tcPr>
          <w:p>
            <w:pPr>
              <w:ind w:left="16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42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Current portion of debt</w:t>
            </w: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1,650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109,671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87,691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Accrued expenses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47,528</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44,301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81,501</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56,899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Notes payable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taxes payable</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2,612</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244,662</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203,106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217,230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126,795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 liabilities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11,322</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420" w:type="dxa"/>
            <w:vAlign w:val="bottom"/>
            <w:tcBorders>
              <w:bottom w:val="single" w:sz="8" w:color="auto"/>
            </w:tcBorders>
            <w:shd w:val="clear" w:color="auto" w:fill="CFF0FC"/>
          </w:tcPr>
          <w:p>
            <w:pPr>
              <w:spacing w:after="0"/>
              <w:rPr>
                <w:sz w:val="18"/>
                <w:szCs w:val="18"/>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11,417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liabilities</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507,806</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362,800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(See Note 12)</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Shareholders’ equity:</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732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Common stock, $.01 par value; 100,000,000 shares authorized, 34,978,009 and</w:t>
            </w:r>
          </w:p>
        </w:tc>
        <w:tc>
          <w:tcPr>
            <w:tcW w:w="4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34,835,293 shares issued and outstanding at December 31, 2024</w:t>
            </w:r>
          </w:p>
        </w:tc>
        <w:tc>
          <w:tcPr>
            <w:tcW w:w="4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3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and 2023, respectively</w:t>
            </w:r>
          </w:p>
        </w:tc>
        <w:tc>
          <w:tcPr>
            <w:tcW w:w="42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255,211</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254,956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Retained earnings (accumulated loss)</w:t>
            </w:r>
          </w:p>
        </w:tc>
        <w:tc>
          <w:tcPr>
            <w:tcW w:w="4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6,570</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3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(6,387 )</w:t>
            </w:r>
          </w:p>
        </w:tc>
        <w:tc>
          <w:tcPr>
            <w:tcW w:w="0" w:type="dxa"/>
            <w:vAlign w:val="bottom"/>
          </w:tcPr>
          <w:p>
            <w:pPr>
              <w:spacing w:after="0"/>
              <w:rPr>
                <w:sz w:val="1"/>
                <w:szCs w:val="1"/>
                <w:color w:val="auto"/>
              </w:rPr>
            </w:pPr>
          </w:p>
        </w:tc>
      </w:tr>
      <w:tr>
        <w:trPr>
          <w:trHeight w:val="216"/>
        </w:trPr>
        <w:tc>
          <w:tcPr>
            <w:tcW w:w="732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42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(14,441 )</w:t>
            </w:r>
          </w:p>
        </w:tc>
        <w:tc>
          <w:tcPr>
            <w:tcW w:w="52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(16,274 )</w:t>
            </w:r>
          </w:p>
        </w:tc>
        <w:tc>
          <w:tcPr>
            <w:tcW w:w="0" w:type="dxa"/>
            <w:vAlign w:val="bottom"/>
          </w:tcPr>
          <w:p>
            <w:pPr>
              <w:spacing w:after="0"/>
              <w:rPr>
                <w:sz w:val="1"/>
                <w:szCs w:val="1"/>
                <w:color w:val="auto"/>
              </w:rPr>
            </w:pPr>
          </w:p>
        </w:tc>
      </w:tr>
      <w:tr>
        <w:trPr>
          <w:trHeight w:val="210"/>
        </w:trPr>
        <w:tc>
          <w:tcPr>
            <w:tcW w:w="7320" w:type="dxa"/>
            <w:vAlign w:val="bottom"/>
            <w:tcBorders>
              <w:top w:val="single" w:sz="8" w:color="CFF0FC"/>
            </w:tcBorders>
          </w:tcPr>
          <w:p>
            <w:pPr>
              <w:ind w:left="2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420" w:type="dxa"/>
            <w:vAlign w:val="bottom"/>
            <w:tcBorders>
              <w:top w:val="single" w:sz="8" w:color="auto"/>
              <w:bottom w:val="single" w:sz="8" w:color="auto"/>
            </w:tcBorders>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247,689</w:t>
            </w:r>
          </w:p>
        </w:tc>
        <w:tc>
          <w:tcPr>
            <w:tcW w:w="260" w:type="dxa"/>
            <w:vAlign w:val="bottom"/>
            <w:tcBorders>
              <w:top w:val="single" w:sz="8" w:color="CFF0FC"/>
            </w:tcBorders>
          </w:tcPr>
          <w:p>
            <w:pPr>
              <w:spacing w:after="0"/>
              <w:rPr>
                <w:sz w:val="18"/>
                <w:szCs w:val="18"/>
                <w:color w:val="auto"/>
              </w:rPr>
            </w:pPr>
          </w:p>
        </w:tc>
        <w:tc>
          <w:tcPr>
            <w:tcW w:w="5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232,643</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320" w:type="dxa"/>
            <w:vAlign w:val="bottom"/>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Noncontrolling interest</w:t>
            </w:r>
          </w:p>
        </w:tc>
        <w:tc>
          <w:tcPr>
            <w:tcW w:w="420" w:type="dxa"/>
            <w:vAlign w:val="bottom"/>
            <w:shd w:val="clear" w:color="auto" w:fill="CFF0FC"/>
          </w:tcPr>
          <w:p>
            <w:pPr>
              <w:spacing w:after="0"/>
              <w:rPr>
                <w:sz w:val="18"/>
                <w:szCs w:val="18"/>
                <w:color w:val="auto"/>
              </w:rPr>
            </w:pPr>
          </w:p>
        </w:tc>
        <w:tc>
          <w:tcPr>
            <w:tcW w:w="1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2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4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251,893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237,491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7320" w:type="dxa"/>
            <w:vAlign w:val="bottom"/>
            <w:tcBorders>
              <w:bottom w:val="single" w:sz="8" w:color="CFF0FC"/>
            </w:tcBorders>
            <w:shd w:val="clear" w:color="auto" w:fill="CFF0FC"/>
          </w:tcPr>
          <w:p>
            <w:pPr>
              <w:ind w:left="42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420" w:type="dxa"/>
            <w:vAlign w:val="bottom"/>
            <w:tcBorders>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759,699</w:t>
            </w:r>
          </w:p>
        </w:tc>
        <w:tc>
          <w:tcPr>
            <w:tcW w:w="26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600,291</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1203"/>
        </w:trPr>
        <w:tc>
          <w:tcPr>
            <w:tcW w:w="73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3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2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5774055</wp:posOffset>
            </wp:positionH>
            <wp:positionV relativeFrom="paragraph">
              <wp:posOffset>-5845810</wp:posOffset>
            </wp:positionV>
            <wp:extent cx="6858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-5845810</wp:posOffset>
            </wp:positionV>
            <wp:extent cx="6858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-4739640</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-4739640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-2776855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-2776855</wp:posOffset>
            </wp:positionV>
            <wp:extent cx="6858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-1388110</wp:posOffset>
            </wp:positionV>
            <wp:extent cx="6858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-1388110</wp:posOffset>
            </wp:positionV>
            <wp:extent cx="685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-814070</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5774055</wp:posOffset>
            </wp:positionH>
            <wp:positionV relativeFrom="paragraph">
              <wp:posOffset>-796290</wp:posOffset>
            </wp:positionV>
            <wp:extent cx="6858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-814070</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4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 except share and per share data)</w:t>
            </w:r>
          </w:p>
        </w:tc>
        <w:tc>
          <w:tcPr>
            <w:tcW w:w="300" w:type="dxa"/>
            <w:vAlign w:val="bottom"/>
          </w:tcPr>
          <w:p>
            <w:pPr>
              <w:spacing w:after="0"/>
              <w:rPr>
                <w:sz w:val="18"/>
                <w:szCs w:val="18"/>
                <w:color w:val="auto"/>
              </w:rPr>
            </w:pPr>
          </w:p>
        </w:tc>
        <w:tc>
          <w:tcPr>
            <w:tcW w:w="3320" w:type="dxa"/>
            <w:vAlign w:val="bottom"/>
            <w:gridSpan w:val="6"/>
          </w:tcPr>
          <w:p>
            <w:pPr>
              <w:ind w:left="200"/>
              <w:spacing w:after="0"/>
              <w:rPr>
                <w:sz w:val="20"/>
                <w:szCs w:val="20"/>
                <w:color w:val="auto"/>
              </w:rPr>
            </w:pPr>
            <w:r>
              <w:rPr>
                <w:rFonts w:ascii="Times New Roman" w:cs="Times New Roman" w:eastAsia="Times New Roman" w:hAnsi="Times New Roman"/>
                <w:sz w:val="16"/>
                <w:szCs w:val="16"/>
                <w:b w:val="1"/>
                <w:bCs w:val="1"/>
                <w:color w:val="auto"/>
              </w:rPr>
              <w:t>Three months ended December 31,</w:t>
            </w:r>
          </w:p>
        </w:tc>
        <w:tc>
          <w:tcPr>
            <w:tcW w:w="360" w:type="dxa"/>
            <w:vAlign w:val="bottom"/>
          </w:tcPr>
          <w:p>
            <w:pPr>
              <w:spacing w:after="0"/>
              <w:rPr>
                <w:sz w:val="18"/>
                <w:szCs w:val="18"/>
                <w:color w:val="auto"/>
              </w:rPr>
            </w:pPr>
          </w:p>
        </w:tc>
        <w:tc>
          <w:tcPr>
            <w:tcW w:w="3100" w:type="dxa"/>
            <w:vAlign w:val="bottom"/>
            <w:gridSpan w:val="5"/>
          </w:tcPr>
          <w:p>
            <w:pPr>
              <w:jc w:val="right"/>
              <w:ind w:right="900"/>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202"/>
        </w:trPr>
        <w:tc>
          <w:tcPr>
            <w:tcW w:w="4160" w:type="dxa"/>
            <w:vAlign w:val="bottom"/>
            <w:gridSpan w:val="2"/>
            <w:vMerge w:val="continue"/>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28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4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0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6"/>
                <w:szCs w:val="16"/>
                <w:b w:val="1"/>
                <w:bCs w:val="1"/>
                <w:color w:val="auto"/>
              </w:rPr>
              <w:t>2024</w:t>
            </w:r>
          </w:p>
        </w:tc>
        <w:tc>
          <w:tcPr>
            <w:tcW w:w="220" w:type="dxa"/>
            <w:vAlign w:val="bottom"/>
            <w:tcBorders>
              <w:top w:val="single" w:sz="8" w:color="auto"/>
            </w:tcBorders>
          </w:tcPr>
          <w:p>
            <w:pPr>
              <w:spacing w:after="0"/>
              <w:rPr>
                <w:sz w:val="17"/>
                <w:szCs w:val="17"/>
                <w:color w:val="auto"/>
              </w:rPr>
            </w:pPr>
          </w:p>
        </w:tc>
        <w:tc>
          <w:tcPr>
            <w:tcW w:w="360" w:type="dxa"/>
            <w:vAlign w:val="bottom"/>
            <w:tcBorders>
              <w:top w:val="single" w:sz="8" w:color="auto"/>
              <w:bottom w:val="single" w:sz="8" w:color="auto"/>
            </w:tcBorders>
          </w:tcPr>
          <w:p>
            <w:pPr>
              <w:spacing w:after="0"/>
              <w:rPr>
                <w:sz w:val="17"/>
                <w:szCs w:val="17"/>
                <w:color w:val="auto"/>
              </w:rPr>
            </w:pPr>
          </w:p>
        </w:tc>
        <w:tc>
          <w:tcPr>
            <w:tcW w:w="1220" w:type="dxa"/>
            <w:vAlign w:val="bottom"/>
            <w:tcBorders>
              <w:top w:val="single" w:sz="8" w:color="auto"/>
              <w:bottom w:val="single" w:sz="8" w:color="auto"/>
            </w:tcBorders>
          </w:tcPr>
          <w:p>
            <w:pPr>
              <w:jc w:val="right"/>
              <w:ind w:right="53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158,566</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153,711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557,933</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544,845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101,865</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100,526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361,786</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Gross profit</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56,701</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53,185</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196,147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171,016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41,062</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36,862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146,698</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122,944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2,028</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2,192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9,064</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2,337</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4,213</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Executive transition expenses</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300" w:type="dxa"/>
            <w:vAlign w:val="bottom"/>
          </w:tcPr>
          <w:p>
            <w:pPr>
              <w:spacing w:after="0"/>
              <w:rPr>
                <w:sz w:val="18"/>
                <w:szCs w:val="18"/>
                <w:color w:val="auto"/>
              </w:rPr>
            </w:pP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Asbestos litigation expenses</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4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3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4160" w:type="dxa"/>
            <w:vAlign w:val="bottom"/>
            <w:tcBorders>
              <w:top w:val="single" w:sz="8" w:color="CFF0FC"/>
            </w:tcBorders>
            <w:gridSpan w:val="2"/>
          </w:tcPr>
          <w:p>
            <w:pPr>
              <w:ind w:left="100"/>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2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12,652</w:t>
            </w:r>
          </w:p>
        </w:tc>
        <w:tc>
          <w:tcPr>
            <w:tcW w:w="100" w:type="dxa"/>
            <w:vAlign w:val="bottom"/>
            <w:tcBorders>
              <w:top w:val="single" w:sz="8" w:color="CFF0FC"/>
            </w:tcBorders>
          </w:tcPr>
          <w:p>
            <w:pPr>
              <w:spacing w:after="0"/>
              <w:rPr>
                <w:sz w:val="18"/>
                <w:szCs w:val="18"/>
                <w:color w:val="auto"/>
              </w:rPr>
            </w:pPr>
          </w:p>
        </w:tc>
        <w:tc>
          <w:tcPr>
            <w:tcW w:w="14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35,403</w:t>
            </w:r>
          </w:p>
        </w:tc>
        <w:tc>
          <w:tcPr>
            <w:tcW w:w="220" w:type="dxa"/>
            <w:vAlign w:val="bottom"/>
            <w:tcBorders>
              <w:top w:val="single" w:sz="8" w:color="CFF0FC"/>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34,569</w:t>
            </w:r>
          </w:p>
        </w:tc>
        <w:tc>
          <w:tcPr>
            <w:tcW w:w="100" w:type="dxa"/>
            <w:vAlign w:val="bottom"/>
            <w:tcBorders>
              <w:top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income, net</w:t>
            </w:r>
          </w:p>
        </w:tc>
        <w:tc>
          <w:tcPr>
            <w:tcW w:w="30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(2,103 )</w:t>
            </w: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1,042</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4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(4,692 )</w:t>
            </w: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00" w:type="dxa"/>
            <w:vAlign w:val="bottom"/>
          </w:tcPr>
          <w:p>
            <w:pPr>
              <w:spacing w:after="0"/>
              <w:rPr>
                <w:sz w:val="18"/>
                <w:szCs w:val="18"/>
                <w:color w:val="auto"/>
              </w:rPr>
            </w:pPr>
          </w:p>
        </w:tc>
        <w:tc>
          <w:tcPr>
            <w:tcW w:w="1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(3,705 )</w:t>
            </w: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(3,918 )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(13,020 )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(13,416 )</w:t>
            </w:r>
          </w:p>
        </w:tc>
        <w:tc>
          <w:tcPr>
            <w:tcW w:w="0" w:type="dxa"/>
            <w:vAlign w:val="bottom"/>
          </w:tcPr>
          <w:p>
            <w:pPr>
              <w:spacing w:after="0"/>
              <w:rPr>
                <w:sz w:val="1"/>
                <w:szCs w:val="1"/>
                <w:color w:val="auto"/>
              </w:rPr>
            </w:pPr>
          </w:p>
        </w:tc>
      </w:tr>
      <w:tr>
        <w:trPr>
          <w:trHeight w:val="209"/>
        </w:trPr>
        <w:tc>
          <w:tcPr>
            <w:tcW w:w="4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300" w:type="dxa"/>
            <w:vAlign w:val="bottom"/>
            <w:tcBorders>
              <w:top w:val="single" w:sz="8" w:color="auto"/>
            </w:tcBorders>
            <w:shd w:val="clear" w:color="auto" w:fill="CFF0FC"/>
          </w:tcPr>
          <w:p>
            <w:pPr>
              <w:spacing w:after="0"/>
              <w:rPr>
                <w:sz w:val="18"/>
                <w:szCs w:val="18"/>
                <w:color w:val="auto"/>
              </w:rPr>
            </w:pPr>
          </w:p>
        </w:tc>
        <w:tc>
          <w:tcPr>
            <w:tcW w:w="1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5,466</w:t>
            </w:r>
          </w:p>
        </w:tc>
        <w:tc>
          <w:tcPr>
            <w:tcW w:w="2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9,776</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17,691</w:t>
            </w:r>
          </w:p>
        </w:tc>
        <w:tc>
          <w:tcPr>
            <w:tcW w:w="220" w:type="dxa"/>
            <w:vAlign w:val="bottom"/>
            <w:shd w:val="clear" w:color="auto" w:fill="CFF0FC"/>
          </w:tcPr>
          <w:p>
            <w:pPr>
              <w:spacing w:after="0"/>
              <w:rPr>
                <w:sz w:val="18"/>
                <w:szCs w:val="18"/>
                <w:color w:val="auto"/>
              </w:rPr>
            </w:pPr>
          </w:p>
        </w:tc>
        <w:tc>
          <w:tcPr>
            <w:tcW w:w="360" w:type="dxa"/>
            <w:vAlign w:val="bottom"/>
            <w:tcBorders>
              <w:top w:val="single" w:sz="8" w:color="auto"/>
            </w:tcBorders>
            <w:shd w:val="clear" w:color="auto" w:fill="CFF0FC"/>
          </w:tcPr>
          <w:p>
            <w:pPr>
              <w:spacing w:after="0"/>
              <w:rPr>
                <w:sz w:val="18"/>
                <w:szCs w:val="18"/>
                <w:color w:val="auto"/>
              </w:rPr>
            </w:pPr>
          </w:p>
        </w:tc>
        <w:tc>
          <w:tcPr>
            <w:tcW w:w="12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3,270</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7,024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Net income</w:t>
            </w:r>
          </w:p>
        </w:tc>
        <w:tc>
          <w:tcPr>
            <w:tcW w:w="300" w:type="dxa"/>
            <w:vAlign w:val="bottom"/>
            <w:shd w:val="clear" w:color="auto" w:fill="CFF0FC"/>
          </w:tcPr>
          <w:p>
            <w:pPr>
              <w:spacing w:after="0"/>
              <w:rPr>
                <w:sz w:val="18"/>
                <w:szCs w:val="18"/>
                <w:color w:val="auto"/>
              </w:rPr>
            </w:pP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14,421</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3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(450 )</w:t>
            </w: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(1,464 )</w:t>
            </w:r>
          </w:p>
        </w:tc>
        <w:tc>
          <w:tcPr>
            <w:tcW w:w="360" w:type="dxa"/>
            <w:vAlign w:val="bottom"/>
          </w:tcPr>
          <w:p>
            <w:pPr>
              <w:spacing w:after="0"/>
              <w:rPr>
                <w:sz w:val="18"/>
                <w:szCs w:val="18"/>
                <w:color w:val="auto"/>
              </w:rPr>
            </w:pPr>
          </w:p>
        </w:tc>
        <w:tc>
          <w:tcPr>
            <w:tcW w:w="13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(1,590 )</w:t>
            </w:r>
          </w:p>
        </w:tc>
        <w:tc>
          <w:tcPr>
            <w:tcW w:w="0" w:type="dxa"/>
            <w:vAlign w:val="bottom"/>
          </w:tcPr>
          <w:p>
            <w:pPr>
              <w:spacing w:after="0"/>
              <w:rPr>
                <w:sz w:val="1"/>
                <w:szCs w:val="1"/>
                <w:color w:val="auto"/>
              </w:rPr>
            </w:pPr>
          </w:p>
        </w:tc>
      </w:tr>
      <w:tr>
        <w:trPr>
          <w:trHeight w:val="191"/>
        </w:trPr>
        <w:tc>
          <w:tcPr>
            <w:tcW w:w="4160" w:type="dxa"/>
            <w:vAlign w:val="bottom"/>
            <w:gridSpan w:val="2"/>
            <w:shd w:val="clear" w:color="auto" w:fill="CFF0FC"/>
          </w:tcPr>
          <w:p>
            <w:pPr>
              <w:ind w:left="100"/>
              <w:spacing w:after="0" w:line="191" w:lineRule="exact"/>
              <w:rPr>
                <w:sz w:val="20"/>
                <w:szCs w:val="20"/>
                <w:color w:val="auto"/>
              </w:rPr>
            </w:pPr>
            <w:r>
              <w:rPr>
                <w:rFonts w:ascii="Times New Roman" w:cs="Times New Roman" w:eastAsia="Times New Roman" w:hAnsi="Times New Roman"/>
                <w:sz w:val="18"/>
                <w:szCs w:val="18"/>
                <w:color w:val="auto"/>
              </w:rPr>
              <w:t>Net income attributable to CECO Environmental</w:t>
            </w:r>
          </w:p>
        </w:tc>
        <w:tc>
          <w:tcPr>
            <w:tcW w:w="300" w:type="dxa"/>
            <w:vAlign w:val="bottom"/>
            <w:tcBorders>
              <w:top w:val="single" w:sz="8" w:color="auto"/>
            </w:tcBorders>
            <w:vMerge w:val="restart"/>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4,878</w:t>
            </w:r>
          </w:p>
        </w:tc>
        <w:tc>
          <w:tcPr>
            <w:tcW w:w="240" w:type="dxa"/>
            <w:vAlign w:val="bottom"/>
            <w:shd w:val="clear" w:color="auto" w:fill="CFF0FC"/>
          </w:tcPr>
          <w:p>
            <w:pPr>
              <w:spacing w:after="0"/>
              <w:rPr>
                <w:sz w:val="16"/>
                <w:szCs w:val="16"/>
                <w:color w:val="auto"/>
              </w:rPr>
            </w:pPr>
          </w:p>
        </w:tc>
        <w:tc>
          <w:tcPr>
            <w:tcW w:w="360" w:type="dxa"/>
            <w:vAlign w:val="bottom"/>
            <w:tcBorders>
              <w:top w:val="single" w:sz="8" w:color="auto"/>
            </w:tcBorders>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3,879</w:t>
            </w:r>
          </w:p>
        </w:tc>
        <w:tc>
          <w:tcPr>
            <w:tcW w:w="1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360" w:type="dxa"/>
            <w:vAlign w:val="bottom"/>
            <w:tcBorders>
              <w:top w:val="single" w:sz="8" w:color="auto"/>
            </w:tcBorders>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12,957</w:t>
            </w:r>
          </w:p>
        </w:tc>
        <w:tc>
          <w:tcPr>
            <w:tcW w:w="220" w:type="dxa"/>
            <w:vAlign w:val="bottom"/>
            <w:shd w:val="clear" w:color="auto" w:fill="CFF0FC"/>
          </w:tcPr>
          <w:p>
            <w:pPr>
              <w:spacing w:after="0"/>
              <w:rPr>
                <w:sz w:val="16"/>
                <w:szCs w:val="16"/>
                <w:color w:val="auto"/>
              </w:rPr>
            </w:pPr>
          </w:p>
        </w:tc>
        <w:tc>
          <w:tcPr>
            <w:tcW w:w="360" w:type="dxa"/>
            <w:vAlign w:val="bottom"/>
            <w:tcBorders>
              <w:top w:val="single" w:sz="8" w:color="auto"/>
            </w:tcBorders>
            <w:vMerge w:val="restart"/>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top w:val="single" w:sz="8" w:color="auto"/>
            </w:tcBorders>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12,911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160" w:type="dxa"/>
            <w:vAlign w:val="bottom"/>
            <w:tcBorders>
              <w:bottom w:val="single" w:sz="8" w:color="CFF0FC"/>
            </w:tcBorders>
            <w:gridSpan w:val="2"/>
            <w:shd w:val="clear" w:color="auto" w:fill="CFF0FC"/>
          </w:tcPr>
          <w:p>
            <w:pPr>
              <w:ind w:left="100"/>
              <w:spacing w:after="0" w:line="194" w:lineRule="exact"/>
              <w:rPr>
                <w:sz w:val="20"/>
                <w:szCs w:val="20"/>
                <w:color w:val="auto"/>
              </w:rPr>
            </w:pPr>
            <w:r>
              <w:rPr>
                <w:rFonts w:ascii="Times New Roman" w:cs="Times New Roman" w:eastAsia="Times New Roman" w:hAnsi="Times New Roman"/>
                <w:sz w:val="18"/>
                <w:szCs w:val="18"/>
                <w:color w:val="auto"/>
              </w:rPr>
              <w:t>Corp.</w:t>
            </w:r>
          </w:p>
        </w:tc>
        <w:tc>
          <w:tcPr>
            <w:tcW w:w="300" w:type="dxa"/>
            <w:vAlign w:val="bottom"/>
            <w:tcBorders>
              <w:bottom w:val="single" w:sz="8" w:color="auto"/>
            </w:tcBorders>
            <w:vMerge w:val="continue"/>
            <w:shd w:val="clear" w:color="auto" w:fill="CFF0FC"/>
          </w:tcPr>
          <w:p>
            <w:pPr>
              <w:spacing w:after="0"/>
              <w:rPr>
                <w:sz w:val="20"/>
                <w:szCs w:val="20"/>
                <w:color w:val="auto"/>
              </w:rPr>
            </w:pPr>
          </w:p>
        </w:tc>
        <w:tc>
          <w:tcPr>
            <w:tcW w:w="128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20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vMerge w:val="continue"/>
            <w:shd w:val="clear" w:color="auto" w:fill="CFF0FC"/>
          </w:tcPr>
          <w:p>
            <w:pPr>
              <w:spacing w:after="0"/>
              <w:rPr>
                <w:sz w:val="20"/>
                <w:szCs w:val="20"/>
                <w:color w:val="auto"/>
              </w:rPr>
            </w:pPr>
          </w:p>
        </w:tc>
        <w:tc>
          <w:tcPr>
            <w:tcW w:w="12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160" w:type="dxa"/>
            <w:vAlign w:val="bottom"/>
            <w:gridSpan w:val="2"/>
          </w:tcPr>
          <w:p>
            <w:pPr>
              <w:ind w:left="20"/>
              <w:spacing w:after="0" w:line="196" w:lineRule="exact"/>
              <w:rPr>
                <w:sz w:val="20"/>
                <w:szCs w:val="20"/>
                <w:color w:val="auto"/>
              </w:rPr>
            </w:pPr>
            <w:r>
              <w:rPr>
                <w:rFonts w:ascii="Times New Roman" w:cs="Times New Roman" w:eastAsia="Times New Roman" w:hAnsi="Times New Roman"/>
                <w:sz w:val="18"/>
                <w:szCs w:val="18"/>
                <w:color w:val="auto"/>
              </w:rPr>
              <w:t>Income per share:</w:t>
            </w: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60" w:type="dxa"/>
            <w:vAlign w:val="bottom"/>
            <w:gridSpan w:val="2"/>
            <w:shd w:val="clear" w:color="auto" w:fill="CFF0FC"/>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0.14</w:t>
            </w:r>
          </w:p>
        </w:tc>
        <w:tc>
          <w:tcPr>
            <w:tcW w:w="2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22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Diluted</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0.36</w:t>
            </w:r>
          </w:p>
        </w:tc>
        <w:tc>
          <w:tcPr>
            <w:tcW w:w="220" w:type="dxa"/>
            <w:vAlign w:val="bottom"/>
          </w:tcPr>
          <w:p>
            <w:pPr>
              <w:spacing w:after="0"/>
              <w:rPr>
                <w:sz w:val="18"/>
                <w:szCs w:val="18"/>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160" w:type="dxa"/>
            <w:vAlign w:val="bottom"/>
            <w:gridSpan w:val="2"/>
            <w:shd w:val="clear" w:color="auto" w:fill="CFF0FC"/>
          </w:tcPr>
          <w:p>
            <w:pPr>
              <w:ind w:left="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w:t>
            </w:r>
          </w:p>
        </w:tc>
        <w:tc>
          <w:tcPr>
            <w:tcW w:w="30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60" w:type="dxa"/>
            <w:vAlign w:val="bottom"/>
            <w:gridSpan w:val="2"/>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outstanding:</w:t>
            </w:r>
          </w:p>
        </w:tc>
        <w:tc>
          <w:tcPr>
            <w:tcW w:w="300" w:type="dxa"/>
            <w:vAlign w:val="bottom"/>
            <w:shd w:val="clear" w:color="auto" w:fill="CFF0FC"/>
          </w:tcPr>
          <w:p>
            <w:pPr>
              <w:spacing w:after="0"/>
              <w:rPr>
                <w:sz w:val="20"/>
                <w:szCs w:val="20"/>
                <w:color w:val="auto"/>
              </w:rPr>
            </w:pPr>
          </w:p>
        </w:tc>
        <w:tc>
          <w:tcPr>
            <w:tcW w:w="128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c>
          <w:tcPr>
            <w:tcW w:w="1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1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Basic</w:t>
            </w:r>
          </w:p>
        </w:tc>
        <w:tc>
          <w:tcPr>
            <w:tcW w:w="3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34,978,382</w:t>
            </w:r>
          </w:p>
        </w:tc>
        <w:tc>
          <w:tcPr>
            <w:tcW w:w="2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34,823,663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34,927,313</w:t>
            </w:r>
          </w:p>
        </w:tc>
        <w:tc>
          <w:tcPr>
            <w:tcW w:w="2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34,665,473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040" w:type="dxa"/>
            <w:vAlign w:val="bottom"/>
            <w:tcBorders>
              <w:bottom w:val="single" w:sz="8" w:color="CFF0FC"/>
            </w:tcBorders>
            <w:shd w:val="clear" w:color="auto" w:fill="CFF0FC"/>
          </w:tcPr>
          <w:p>
            <w:pPr>
              <w:ind w:left="1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20" w:type="dxa"/>
            <w:vAlign w:val="bottom"/>
            <w:vMerge w:val="continue"/>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128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36,559,198</w:t>
            </w:r>
          </w:p>
        </w:tc>
        <w:tc>
          <w:tcPr>
            <w:tcW w:w="24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35,687,092</w:t>
            </w:r>
          </w:p>
        </w:tc>
        <w:tc>
          <w:tcPr>
            <w:tcW w:w="100" w:type="dxa"/>
            <w:vAlign w:val="bottom"/>
            <w:tcBorders>
              <w:bottom w:val="single" w:sz="8" w:color="CFF0FC"/>
            </w:tcBorders>
            <w:shd w:val="clear" w:color="auto" w:fill="CFF0FC"/>
          </w:tcPr>
          <w:p>
            <w:pPr>
              <w:spacing w:after="0"/>
              <w:rPr>
                <w:sz w:val="20"/>
                <w:szCs w:val="20"/>
                <w:color w:val="auto"/>
              </w:rPr>
            </w:pPr>
          </w:p>
        </w:tc>
        <w:tc>
          <w:tcPr>
            <w:tcW w:w="140" w:type="dxa"/>
            <w:vAlign w:val="bottom"/>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0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36,381,910</w:t>
            </w:r>
          </w:p>
        </w:tc>
        <w:tc>
          <w:tcPr>
            <w:tcW w:w="220" w:type="dxa"/>
            <w:vAlign w:val="bottom"/>
            <w:tcBorders>
              <w:bottom w:val="single" w:sz="8" w:color="CFF0FC"/>
            </w:tcBorders>
            <w:shd w:val="clear" w:color="auto" w:fill="CFF0FC"/>
          </w:tcPr>
          <w:p>
            <w:pPr>
              <w:spacing w:after="0"/>
              <w:rPr>
                <w:sz w:val="20"/>
                <w:szCs w:val="20"/>
                <w:color w:val="auto"/>
              </w:rPr>
            </w:pPr>
          </w:p>
        </w:tc>
        <w:tc>
          <w:tcPr>
            <w:tcW w:w="360" w:type="dxa"/>
            <w:vAlign w:val="bottom"/>
            <w:tcBorders>
              <w:bottom w:val="single" w:sz="8" w:color="auto"/>
            </w:tcBorders>
            <w:shd w:val="clear" w:color="auto" w:fill="CFF0FC"/>
          </w:tcPr>
          <w:p>
            <w:pPr>
              <w:spacing w:after="0"/>
              <w:rPr>
                <w:sz w:val="20"/>
                <w:szCs w:val="20"/>
                <w:color w:val="auto"/>
              </w:rPr>
            </w:pPr>
          </w:p>
        </w:tc>
        <w:tc>
          <w:tcPr>
            <w:tcW w:w="1220" w:type="dxa"/>
            <w:vAlign w:val="bottom"/>
            <w:tcBorders>
              <w:bottom w:val="single" w:sz="8" w:color="auto"/>
            </w:tcBorders>
            <w:shd w:val="clear" w:color="auto" w:fill="CFF0FC"/>
          </w:tcPr>
          <w:p>
            <w:pPr>
              <w:jc w:val="right"/>
              <w:spacing w:after="0" w:line="196" w:lineRule="exact"/>
              <w:rPr>
                <w:sz w:val="20"/>
                <w:szCs w:val="20"/>
                <w:color w:val="auto"/>
              </w:rPr>
            </w:pPr>
            <w:r>
              <w:rPr>
                <w:rFonts w:ascii="Times New Roman" w:cs="Times New Roman" w:eastAsia="Times New Roman" w:hAnsi="Times New Roman"/>
                <w:sz w:val="18"/>
                <w:szCs w:val="18"/>
                <w:color w:val="auto"/>
              </w:rPr>
              <w:t>35,334,090</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960"/>
        </w:trPr>
        <w:tc>
          <w:tcPr>
            <w:tcW w:w="40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2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-2914015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-2914015</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-2914015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-2914015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-1670685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-1653540</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-1670685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-1653540</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-1670685</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-1653540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-1670685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-659765</wp:posOffset>
            </wp:positionV>
            <wp:extent cx="6858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-642620</wp:posOffset>
            </wp:positionV>
            <wp:extent cx="6858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-659765</wp:posOffset>
            </wp:positionV>
            <wp:extent cx="6858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-642620</wp:posOffset>
            </wp:positionV>
            <wp:extent cx="6858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-659765</wp:posOffset>
            </wp:positionV>
            <wp:extent cx="6858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5928360</wp:posOffset>
            </wp:positionH>
            <wp:positionV relativeFrom="paragraph">
              <wp:posOffset>-642620</wp:posOffset>
            </wp:positionV>
            <wp:extent cx="6858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-659765</wp:posOffset>
            </wp:positionV>
            <wp:extent cx="685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-642620</wp:posOffset>
            </wp:positionV>
            <wp:extent cx="6858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 w:name="page9"/>
    <w:bookmarkEnd w:id="8"/>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36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Year ended December 31,</w:t>
            </w:r>
          </w:p>
        </w:tc>
        <w:tc>
          <w:tcPr>
            <w:tcW w:w="9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640" w:type="dxa"/>
            <w:vAlign w:val="bottom"/>
            <w:vMerge w:val="continue"/>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1180" w:type="dxa"/>
            <w:vAlign w:val="bottom"/>
            <w:tcBorders>
              <w:bottom w:val="single" w:sz="8" w:color="auto"/>
            </w:tcBorders>
          </w:tcPr>
          <w:p>
            <w:pPr>
              <w:jc w:val="right"/>
              <w:ind w:right="539"/>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900" w:type="dxa"/>
            <w:vAlign w:val="bottom"/>
            <w:tcBorders>
              <w:bottom w:val="single" w:sz="8" w:color="auto"/>
            </w:tcBorders>
          </w:tcPr>
          <w:p>
            <w:pPr>
              <w:jc w:val="right"/>
              <w:ind w:right="519"/>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operating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income</w:t>
            </w:r>
          </w:p>
        </w:tc>
        <w:tc>
          <w:tcPr>
            <w:tcW w:w="360" w:type="dxa"/>
            <w:vAlign w:val="bottom"/>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14,421</w:t>
            </w:r>
          </w:p>
        </w:tc>
        <w:tc>
          <w:tcPr>
            <w:tcW w:w="280" w:type="dxa"/>
            <w:vAlign w:val="bottom"/>
          </w:tcPr>
          <w:p>
            <w:pPr>
              <w:spacing w:after="0"/>
              <w:rPr>
                <w:sz w:val="17"/>
                <w:szCs w:val="17"/>
                <w:color w:val="auto"/>
              </w:rPr>
            </w:pPr>
          </w:p>
        </w:tc>
        <w:tc>
          <w:tcPr>
            <w:tcW w:w="600" w:type="dxa"/>
            <w:vAlign w:val="bottom"/>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14,501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14,523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12,507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Unrealized foreign currency loss (gain)</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2,664</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(1,041 )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Fair value adjustments to earnout liabilities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134</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Earnout payments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Loss on sale of property and equipment</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427</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Share-based compensation expense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7,514</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Bad debt expense</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295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1,593</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Inventory reserve expense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1,056</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Deferred income tax benefit</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(3,606 )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(118 )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operating assets and liabilities, net of acquisitions: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Accounts receivable</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(52,355 )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(26,851 )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 and estimated earnings of billings on uncompleted contracts</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(4,149 )</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Inventories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(9,814 )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(6,896 )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Prepaid expenses and other current assets</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(8,347 )</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1,196</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charges and other assets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(12,736 )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(1,420 )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Accounts payable</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36,181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13,852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Accrued expenses</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7,119</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8,340</w:t>
            </w: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Billings in excess of costs and estimated earnings on uncompleted contracts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24,923</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21,575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taxes payable</w:t>
            </w:r>
          </w:p>
        </w:tc>
        <w:tc>
          <w:tcPr>
            <w:tcW w:w="360" w:type="dxa"/>
            <w:vAlign w:val="bottom"/>
            <w:shd w:val="clear" w:color="auto" w:fill="CFF0FC"/>
          </w:tcPr>
          <w:p>
            <w:pPr>
              <w:spacing w:after="0"/>
              <w:rPr>
                <w:sz w:val="17"/>
                <w:szCs w:val="17"/>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1,425</w:t>
            </w:r>
          </w:p>
        </w:tc>
        <w:tc>
          <w:tcPr>
            <w:tcW w:w="2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(1,976 )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liabilities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4,891</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(2,120 )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Borders>
              <w:bottom w:val="single" w:sz="8" w:color="CFF0FC"/>
            </w:tcBorders>
            <w:shd w:val="clear" w:color="auto" w:fill="CFF0FC"/>
          </w:tcPr>
          <w:p>
            <w:pPr>
              <w:ind w:left="3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60" w:type="dxa"/>
            <w:vAlign w:val="bottom"/>
            <w:tcBorders>
              <w:top w:val="single" w:sz="8" w:color="auto"/>
              <w:bottom w:val="single" w:sz="8" w:color="auto"/>
            </w:tcBorders>
            <w:shd w:val="clear" w:color="auto" w:fill="CFF0FC"/>
          </w:tcPr>
          <w:p>
            <w:pPr>
              <w:spacing w:after="0"/>
              <w:rPr>
                <w:sz w:val="17"/>
                <w:szCs w:val="17"/>
                <w:color w:val="auto"/>
              </w:rPr>
            </w:pPr>
          </w:p>
        </w:tc>
        <w:tc>
          <w:tcPr>
            <w:tcW w:w="1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24,828</w:t>
            </w: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top w:val="single" w:sz="8" w:color="auto"/>
              <w:bottom w:val="single" w:sz="8" w:color="auto"/>
            </w:tcBorders>
            <w:shd w:val="clear" w:color="auto" w:fill="CFF0FC"/>
          </w:tcPr>
          <w:p>
            <w:pPr>
              <w:spacing w:after="0"/>
              <w:rPr>
                <w:sz w:val="17"/>
                <w:szCs w:val="17"/>
                <w:color w:val="auto"/>
              </w:rPr>
            </w:pPr>
          </w:p>
        </w:tc>
        <w:tc>
          <w:tcPr>
            <w:tcW w:w="9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44,647</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flows from investing activities:</w:t>
            </w:r>
          </w:p>
        </w:tc>
        <w:tc>
          <w:tcPr>
            <w:tcW w:w="3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(17,368 )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(8,384 )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Net proceeds from sale of assets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Cash paid for acquisitions, net of cash acquired</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(87,948 )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(48,102 )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(105,312 )</w:t>
            </w:r>
          </w:p>
        </w:tc>
        <w:tc>
          <w:tcPr>
            <w:tcW w:w="6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(56,486 )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flows from financing activities:</w:t>
            </w:r>
          </w:p>
        </w:tc>
        <w:tc>
          <w:tcPr>
            <w:tcW w:w="36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600" w:type="dxa"/>
            <w:vAlign w:val="bottom"/>
            <w:tcBorders>
              <w:top w:val="single" w:sz="8" w:color="auto"/>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on revolving credit lines</w:t>
            </w:r>
          </w:p>
        </w:tc>
        <w:tc>
          <w:tcPr>
            <w:tcW w:w="36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309,300</w:t>
            </w:r>
          </w:p>
        </w:tc>
        <w:tc>
          <w:tcPr>
            <w:tcW w:w="2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106,600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Repayments on revolving credit lines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(112,400 )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(150,600 )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Borrowings of long-term debt</w:t>
            </w:r>
          </w:p>
        </w:tc>
        <w:tc>
          <w:tcPr>
            <w:tcW w:w="36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Repayments of long-term debt</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(113,982 )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(4,985 )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Repayments of notes payable</w:t>
            </w:r>
          </w:p>
        </w:tc>
        <w:tc>
          <w:tcPr>
            <w:tcW w:w="360" w:type="dxa"/>
            <w:vAlign w:val="bottom"/>
          </w:tcPr>
          <w:p>
            <w:pPr>
              <w:spacing w:after="0"/>
              <w:rPr>
                <w:sz w:val="17"/>
                <w:szCs w:val="17"/>
                <w:color w:val="auto"/>
              </w:rPr>
            </w:pPr>
          </w:p>
        </w:tc>
        <w:tc>
          <w:tcPr>
            <w:tcW w:w="14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Pr>
          <w:p>
            <w:pPr>
              <w:spacing w:after="0"/>
              <w:rPr>
                <w:sz w:val="17"/>
                <w:szCs w:val="17"/>
                <w:color w:val="auto"/>
              </w:rPr>
            </w:pPr>
          </w:p>
        </w:tc>
        <w:tc>
          <w:tcPr>
            <w:tcW w:w="1180" w:type="dxa"/>
            <w:vAlign w:val="bottom"/>
            <w:gridSpan w:val="3"/>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Deferred financing fees paid</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(1,924 )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(363 )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Deferred consideration paid for acquisitions</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(2,050 )</w:t>
            </w:r>
          </w:p>
        </w:tc>
        <w:tc>
          <w:tcPr>
            <w:tcW w:w="6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(1,247 )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Payments on capital leases and sale-leaseback financing liability</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(925 )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(907 )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Earnout payments</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(2,831 )</w:t>
            </w:r>
          </w:p>
        </w:tc>
        <w:tc>
          <w:tcPr>
            <w:tcW w:w="6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(2,123 )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Equity awards surrendered by employees for tax liability, net of proceeds from employee stock purchase plan</w:t>
            </w:r>
          </w:p>
        </w:tc>
        <w:tc>
          <w:tcPr>
            <w:tcW w:w="360" w:type="dxa"/>
            <w:vAlign w:val="bottom"/>
            <w:shd w:val="clear" w:color="auto" w:fill="CFF0FC"/>
          </w:tcPr>
          <w:p>
            <w:pPr>
              <w:spacing w:after="0"/>
              <w:rPr>
                <w:sz w:val="16"/>
                <w:szCs w:val="16"/>
                <w:color w:val="auto"/>
              </w:rPr>
            </w:pPr>
          </w:p>
        </w:tc>
        <w:tc>
          <w:tcPr>
            <w:tcW w:w="11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9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and exercise of stock options</w:t>
            </w:r>
          </w:p>
        </w:tc>
        <w:tc>
          <w:tcPr>
            <w:tcW w:w="36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(2,169 )</w:t>
            </w:r>
          </w:p>
        </w:tc>
        <w:tc>
          <w:tcPr>
            <w:tcW w:w="60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1,435</w:t>
            </w: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Distributions to non-controlling interest</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(2,109 )</w:t>
            </w:r>
          </w:p>
        </w:tc>
        <w:tc>
          <w:tcPr>
            <w:tcW w:w="600" w:type="dxa"/>
            <w:vAlign w:val="bottom"/>
          </w:tcPr>
          <w:p>
            <w:pPr>
              <w:spacing w:after="0"/>
              <w:rPr>
                <w:sz w:val="17"/>
                <w:szCs w:val="17"/>
                <w:color w:val="auto"/>
              </w:rPr>
            </w:pPr>
          </w:p>
        </w:tc>
        <w:tc>
          <w:tcPr>
            <w:tcW w:w="100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(1,666 )</w:t>
            </w: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Common stock repurchases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(5,000 )</w:t>
            </w:r>
          </w:p>
        </w:tc>
        <w:tc>
          <w:tcPr>
            <w:tcW w:w="6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196"/>
        </w:trPr>
        <w:tc>
          <w:tcPr>
            <w:tcW w:w="7640" w:type="dxa"/>
            <w:vAlign w:val="bottom"/>
            <w:tcBorders>
              <w:top w:val="single" w:sz="8" w:color="CFF0FC"/>
            </w:tcBorders>
          </w:tcPr>
          <w:p>
            <w:pPr>
              <w:ind w:left="3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36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65,910</w:t>
            </w:r>
          </w:p>
        </w:tc>
        <w:tc>
          <w:tcPr>
            <w:tcW w:w="280" w:type="dxa"/>
            <w:vAlign w:val="bottom"/>
            <w:tcBorders>
              <w:top w:val="single" w:sz="8" w:color="CFF0FC"/>
            </w:tcBorders>
          </w:tcPr>
          <w:p>
            <w:pPr>
              <w:spacing w:after="0"/>
              <w:rPr>
                <w:sz w:val="17"/>
                <w:szCs w:val="17"/>
                <w:color w:val="auto"/>
              </w:rPr>
            </w:pPr>
          </w:p>
        </w:tc>
        <w:tc>
          <w:tcPr>
            <w:tcW w:w="6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21,144</w:t>
            </w:r>
          </w:p>
        </w:tc>
        <w:tc>
          <w:tcPr>
            <w:tcW w:w="100" w:type="dxa"/>
            <w:vAlign w:val="bottom"/>
            <w:tcBorders>
              <w:top w:val="single" w:sz="8" w:color="CFF0FC"/>
            </w:tcBorders>
          </w:tcPr>
          <w:p>
            <w:pPr>
              <w:spacing w:after="0"/>
              <w:rPr>
                <w:sz w:val="17"/>
                <w:szCs w:val="17"/>
                <w:color w:val="auto"/>
              </w:rPr>
            </w:pPr>
          </w:p>
        </w:tc>
        <w:tc>
          <w:tcPr>
            <w:tcW w:w="180" w:type="dxa"/>
            <w:vAlign w:val="bottom"/>
            <w:tcBorders>
              <w:top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Effect of exchange rate changes on cash and cash equivalents</w:t>
            </w:r>
          </w:p>
        </w:tc>
        <w:tc>
          <w:tcPr>
            <w:tcW w:w="360" w:type="dxa"/>
            <w:vAlign w:val="bottom"/>
            <w:shd w:val="clear" w:color="auto" w:fill="CFF0FC"/>
          </w:tcPr>
          <w:p>
            <w:pPr>
              <w:spacing w:after="0"/>
              <w:rPr>
                <w:sz w:val="17"/>
                <w:szCs w:val="17"/>
                <w:color w:val="auto"/>
              </w:rPr>
            </w:pPr>
          </w:p>
        </w:tc>
        <w:tc>
          <w:tcPr>
            <w:tcW w:w="14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(2,673 )</w:t>
            </w:r>
          </w:p>
        </w:tc>
        <w:tc>
          <w:tcPr>
            <w:tcW w:w="6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(442 )</w:t>
            </w: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shd w:val="clear" w:color="auto" w:fill="CFF0FC"/>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(decrease) increase in cash, cash equivalents and restricted cash</w:t>
            </w:r>
          </w:p>
        </w:tc>
        <w:tc>
          <w:tcPr>
            <w:tcW w:w="360" w:type="dxa"/>
            <w:vAlign w:val="bottom"/>
          </w:tcPr>
          <w:p>
            <w:pPr>
              <w:spacing w:after="0"/>
              <w:rPr>
                <w:sz w:val="17"/>
                <w:szCs w:val="17"/>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(17,247 )</w:t>
            </w:r>
          </w:p>
        </w:tc>
        <w:tc>
          <w:tcPr>
            <w:tcW w:w="6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8,863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76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beginning of year</w:t>
            </w:r>
          </w:p>
        </w:tc>
        <w:tc>
          <w:tcPr>
            <w:tcW w:w="360" w:type="dxa"/>
            <w:vAlign w:val="bottom"/>
            <w:tcBorders>
              <w:bottom w:val="single" w:sz="8" w:color="auto"/>
            </w:tcBorders>
            <w:shd w:val="clear" w:color="auto" w:fill="CFF0FC"/>
          </w:tcPr>
          <w:p>
            <w:pPr>
              <w:spacing w:after="0"/>
              <w:rPr>
                <w:sz w:val="17"/>
                <w:szCs w:val="17"/>
                <w:color w:val="auto"/>
              </w:rPr>
            </w:pP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280" w:type="dxa"/>
            <w:vAlign w:val="bottom"/>
            <w:tcBorders>
              <w:bottom w:val="single" w:sz="8" w:color="CFF0FC"/>
            </w:tcBorders>
            <w:shd w:val="clear" w:color="auto" w:fill="CFF0FC"/>
          </w:tcPr>
          <w:p>
            <w:pPr>
              <w:spacing w:after="0"/>
              <w:rPr>
                <w:sz w:val="17"/>
                <w:szCs w:val="17"/>
                <w:color w:val="auto"/>
              </w:rPr>
            </w:pPr>
          </w:p>
        </w:tc>
        <w:tc>
          <w:tcPr>
            <w:tcW w:w="600" w:type="dxa"/>
            <w:vAlign w:val="bottom"/>
            <w:tcBorders>
              <w:bottom w:val="single" w:sz="8" w:color="auto"/>
            </w:tcBorders>
            <w:shd w:val="clear" w:color="auto" w:fill="CFF0FC"/>
          </w:tcPr>
          <w:p>
            <w:pPr>
              <w:spacing w:after="0"/>
              <w:rPr>
                <w:sz w:val="17"/>
                <w:szCs w:val="17"/>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46,585</w:t>
            </w:r>
          </w:p>
        </w:tc>
        <w:tc>
          <w:tcPr>
            <w:tcW w:w="10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at end of year</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38,201</w:t>
            </w:r>
          </w:p>
        </w:tc>
        <w:tc>
          <w:tcPr>
            <w:tcW w:w="28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55,448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6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paid during the period for:</w:t>
            </w:r>
          </w:p>
        </w:tc>
        <w:tc>
          <w:tcPr>
            <w:tcW w:w="360" w:type="dxa"/>
            <w:vAlign w:val="bottom"/>
            <w:shd w:val="clear" w:color="auto" w:fill="CFF0FC"/>
          </w:tcPr>
          <w:p>
            <w:pPr>
              <w:spacing w:after="0"/>
              <w:rPr>
                <w:sz w:val="15"/>
                <w:szCs w:val="15"/>
                <w:color w:val="auto"/>
              </w:rPr>
            </w:pPr>
          </w:p>
        </w:tc>
        <w:tc>
          <w:tcPr>
            <w:tcW w:w="118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600" w:type="dxa"/>
            <w:vAlign w:val="bottom"/>
            <w:shd w:val="clear" w:color="auto" w:fill="CFF0FC"/>
          </w:tcPr>
          <w:p>
            <w:pPr>
              <w:spacing w:after="0"/>
              <w:rPr>
                <w:sz w:val="15"/>
                <w:szCs w:val="15"/>
                <w:color w:val="auto"/>
              </w:rPr>
            </w:pPr>
          </w:p>
        </w:tc>
        <w:tc>
          <w:tcPr>
            <w:tcW w:w="90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18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764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Interest</w:t>
            </w: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13,335</w:t>
            </w:r>
          </w:p>
        </w:tc>
        <w:tc>
          <w:tcPr>
            <w:tcW w:w="280" w:type="dxa"/>
            <w:vAlign w:val="bottom"/>
          </w:tcPr>
          <w:p>
            <w:pPr>
              <w:spacing w:after="0"/>
              <w:rPr>
                <w:sz w:val="17"/>
                <w:szCs w:val="17"/>
                <w:color w:val="auto"/>
              </w:rPr>
            </w:pPr>
          </w:p>
        </w:tc>
        <w:tc>
          <w:tcPr>
            <w:tcW w:w="60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12,098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7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64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Income taxes</w:t>
            </w:r>
          </w:p>
        </w:tc>
        <w:tc>
          <w:tcPr>
            <w:tcW w:w="360" w:type="dxa"/>
            <w:vAlign w:val="bottom"/>
            <w:tcBorders>
              <w:bottom w:val="single" w:sz="8" w:color="auto"/>
            </w:tcBorders>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9,550</w:t>
            </w:r>
          </w:p>
        </w:tc>
        <w:tc>
          <w:tcPr>
            <w:tcW w:w="280" w:type="dxa"/>
            <w:vAlign w:val="bottom"/>
            <w:tcBorders>
              <w:bottom w:val="single" w:sz="8" w:color="CFF0FC"/>
            </w:tcBorders>
            <w:shd w:val="clear" w:color="auto" w:fill="CFF0FC"/>
          </w:tcPr>
          <w:p>
            <w:pPr>
              <w:spacing w:after="0"/>
              <w:rPr>
                <w:sz w:val="19"/>
                <w:szCs w:val="19"/>
                <w:color w:val="auto"/>
              </w:rPr>
            </w:pPr>
          </w:p>
        </w:tc>
        <w:tc>
          <w:tcPr>
            <w:tcW w:w="600" w:type="dxa"/>
            <w:vAlign w:val="bottom"/>
            <w:tcBorders>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9,916</w:t>
            </w:r>
          </w:p>
        </w:tc>
        <w:tc>
          <w:tcPr>
            <w:tcW w:w="100" w:type="dxa"/>
            <w:vAlign w:val="bottom"/>
            <w:tcBorders>
              <w:bottom w:val="single" w:sz="8" w:color="CFF0FC"/>
            </w:tcBorders>
            <w:shd w:val="clear" w:color="auto" w:fill="CFF0FC"/>
          </w:tcPr>
          <w:p>
            <w:pPr>
              <w:spacing w:after="0"/>
              <w:rPr>
                <w:sz w:val="19"/>
                <w:szCs w:val="19"/>
                <w:color w:val="auto"/>
              </w:rPr>
            </w:pPr>
          </w:p>
        </w:tc>
        <w:tc>
          <w:tcPr>
            <w:tcW w:w="18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959"/>
        </w:trPr>
        <w:tc>
          <w:tcPr>
            <w:tcW w:w="7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11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5825490</wp:posOffset>
            </wp:positionH>
            <wp:positionV relativeFrom="paragraph">
              <wp:posOffset>-4242435</wp:posOffset>
            </wp:positionV>
            <wp:extent cx="774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-4242435</wp:posOffset>
            </wp:positionV>
            <wp:extent cx="685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-3719830</wp:posOffset>
            </wp:positionV>
            <wp:extent cx="7747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-3719830</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-1773555</wp:posOffset>
            </wp:positionV>
            <wp:extent cx="7747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-1773555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-1499870</wp:posOffset>
            </wp:positionV>
            <wp:extent cx="774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-1499870</wp:posOffset>
            </wp:positionV>
            <wp:extent cx="685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-1233805</wp:posOffset>
            </wp:positionV>
            <wp:extent cx="774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-1233805</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-659130</wp:posOffset>
            </wp:positionV>
            <wp:extent cx="7747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5825490</wp:posOffset>
            </wp:positionH>
            <wp:positionV relativeFrom="paragraph">
              <wp:posOffset>-642620</wp:posOffset>
            </wp:positionV>
            <wp:extent cx="774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-659130</wp:posOffset>
            </wp:positionV>
            <wp:extent cx="6858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6957060</wp:posOffset>
            </wp:positionH>
            <wp:positionV relativeFrom="paragraph">
              <wp:posOffset>-642620</wp:posOffset>
            </wp:positionV>
            <wp:extent cx="685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36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2000" w:type="dxa"/>
            <w:vAlign w:val="bottom"/>
            <w:tcBorders>
              <w:bottom w:val="single" w:sz="8" w:color="auto"/>
            </w:tcBorders>
            <w:gridSpan w:val="9"/>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0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368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360" w:type="dxa"/>
            <w:vAlign w:val="bottom"/>
            <w:tcBorders>
              <w:bottom w:val="single" w:sz="8" w:color="auto"/>
            </w:tcBorders>
          </w:tcPr>
          <w:p>
            <w:pPr>
              <w:spacing w:after="0"/>
              <w:rPr>
                <w:sz w:val="12"/>
                <w:szCs w:val="12"/>
                <w:color w:val="auto"/>
              </w:rPr>
            </w:pPr>
          </w:p>
        </w:tc>
        <w:tc>
          <w:tcPr>
            <w:tcW w:w="620" w:type="dxa"/>
            <w:vAlign w:val="bottom"/>
            <w:tcBorders>
              <w:bottom w:val="single" w:sz="8" w:color="auto"/>
            </w:tcBorders>
            <w:gridSpan w:val="2"/>
          </w:tcPr>
          <w:p>
            <w:pPr>
              <w:jc w:val="right"/>
              <w:ind w:right="90"/>
              <w:spacing w:after="0" w:line="142" w:lineRule="exact"/>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bottom w:val="single" w:sz="8" w:color="auto"/>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40" w:type="dxa"/>
            <w:vAlign w:val="bottom"/>
            <w:tcBorders>
              <w:bottom w:val="single" w:sz="8" w:color="auto"/>
            </w:tcBorders>
          </w:tcPr>
          <w:p>
            <w:pPr>
              <w:jc w:val="right"/>
              <w:ind w:right="159"/>
              <w:spacing w:after="0" w:line="142" w:lineRule="exact"/>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3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Borders>
              <w:bottom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Gross profit as reported in accordance with GAAP</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5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128.2</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Gross profit margin in accordance with GAAP</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w w:val="94"/>
              </w:rPr>
              <w:t>35.1 %</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rPr>
              <w:t>31.4 %</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30.3 %</w:t>
            </w: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260"/>
              <w:spacing w:after="0"/>
              <w:rPr>
                <w:sz w:val="20"/>
                <w:szCs w:val="20"/>
                <w:color w:val="auto"/>
              </w:rPr>
            </w:pPr>
            <w:r>
              <w:rPr>
                <w:rFonts w:ascii="Times New Roman" w:cs="Times New Roman" w:eastAsia="Times New Roman" w:hAnsi="Times New Roman"/>
                <w:sz w:val="18"/>
                <w:szCs w:val="18"/>
                <w:color w:val="auto"/>
              </w:rPr>
              <w:t>Legacy design repairs</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20" w:type="dxa"/>
            <w:vAlign w:val="bottom"/>
            <w:gridSpan w:val="4"/>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Plant, property and equipment valuation adjustment</w:t>
            </w:r>
          </w:p>
        </w:tc>
        <w:tc>
          <w:tcPr>
            <w:tcW w:w="10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240" w:type="dxa"/>
            <w:vAlign w:val="bottom"/>
            <w:gridSpan w:val="3"/>
            <w:shd w:val="clear" w:color="auto" w:fill="CFF0FC"/>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5"/>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196.1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540" w:type="dxa"/>
            <w:vAlign w:val="bottom"/>
            <w:gridSpan w:val="4"/>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130.8</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680" w:type="dxa"/>
            <w:vAlign w:val="bottom"/>
          </w:tcPr>
          <w:p>
            <w:pPr>
              <w:ind w:left="140"/>
              <w:spacing w:after="0"/>
              <w:rPr>
                <w:sz w:val="20"/>
                <w:szCs w:val="20"/>
                <w:color w:val="auto"/>
              </w:rPr>
            </w:pPr>
            <w:r>
              <w:rPr>
                <w:rFonts w:ascii="Times New Roman" w:cs="Times New Roman" w:eastAsia="Times New Roman" w:hAnsi="Times New Roman"/>
                <w:sz w:val="18"/>
                <w:szCs w:val="18"/>
                <w:i w:val="1"/>
                <w:iCs w:val="1"/>
                <w:color w:val="auto"/>
              </w:rPr>
              <w:t>Non-GAAP gross profit margin</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w w:val="94"/>
              </w:rPr>
              <w:t>35.1 %</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gridSpan w:val="5"/>
          </w:tcPr>
          <w:p>
            <w:pPr>
              <w:jc w:val="right"/>
              <w:spacing w:after="0"/>
              <w:rPr>
                <w:sz w:val="20"/>
                <w:szCs w:val="20"/>
                <w:color w:val="auto"/>
              </w:rPr>
            </w:pPr>
            <w:r>
              <w:rPr>
                <w:rFonts w:ascii="Times New Roman" w:cs="Times New Roman" w:eastAsia="Times New Roman" w:hAnsi="Times New Roman"/>
                <w:sz w:val="18"/>
                <w:szCs w:val="18"/>
                <w:i w:val="1"/>
                <w:iCs w:val="1"/>
                <w:color w:val="auto"/>
              </w:rPr>
              <w:t>31.4 %</w:t>
            </w: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i w:val="1"/>
                <w:iCs w:val="1"/>
                <w:color w:val="auto"/>
              </w:rPr>
              <w:t>31.0 %</w:t>
            </w:r>
          </w:p>
        </w:tc>
        <w:tc>
          <w:tcPr>
            <w:tcW w:w="0" w:type="dxa"/>
            <w:vAlign w:val="bottom"/>
          </w:tcPr>
          <w:p>
            <w:pPr>
              <w:spacing w:after="0"/>
              <w:rPr>
                <w:sz w:val="1"/>
                <w:szCs w:val="1"/>
                <w:color w:val="auto"/>
              </w:rPr>
            </w:pPr>
          </w:p>
        </w:tc>
      </w:tr>
      <w:tr>
        <w:trPr>
          <w:trHeight w:val="601"/>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11"/>
          </w:tcPr>
          <w:p>
            <w:pPr>
              <w:jc w:val="right"/>
              <w:ind w:right="10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 except share data)</w:t>
            </w:r>
          </w:p>
        </w:tc>
        <w:tc>
          <w:tcPr>
            <w:tcW w:w="28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00" w:type="dxa"/>
            <w:vAlign w:val="bottom"/>
            <w:tcBorders>
              <w:top w:val="single" w:sz="8" w:color="auto"/>
              <w:bottom w:val="single" w:sz="8" w:color="auto"/>
            </w:tcBorders>
            <w:gridSpan w:val="2"/>
          </w:tcPr>
          <w:p>
            <w:pPr>
              <w:ind w:left="66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5"/>
                <w:szCs w:val="15"/>
                <w:color w:val="auto"/>
              </w:rPr>
            </w:pPr>
          </w:p>
        </w:tc>
        <w:tc>
          <w:tcPr>
            <w:tcW w:w="280" w:type="dxa"/>
            <w:vAlign w:val="bottom"/>
            <w:tcBorders>
              <w:top w:val="single" w:sz="8" w:color="auto"/>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4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41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top w:val="single" w:sz="8" w:color="auto"/>
              <w:bottom w:val="single" w:sz="8" w:color="auto"/>
            </w:tcBorders>
          </w:tcPr>
          <w:p>
            <w:pPr>
              <w:spacing w:after="0"/>
              <w:rPr>
                <w:sz w:val="15"/>
                <w:szCs w:val="15"/>
                <w:color w:val="auto"/>
              </w:rPr>
            </w:pPr>
          </w:p>
        </w:tc>
        <w:tc>
          <w:tcPr>
            <w:tcW w:w="60" w:type="dxa"/>
            <w:vAlign w:val="bottom"/>
            <w:tcBorders>
              <w:top w:val="single" w:sz="8" w:color="auto"/>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 as reported in accordance with GAAP</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88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12.9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Amortization and earnout expenses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Acquisition and integration expenses</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Executive transition expenses</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0" w:type="dxa"/>
            <w:vAlign w:val="bottom"/>
            <w:gridSpan w:val="3"/>
          </w:tcPr>
          <w:p>
            <w:pPr>
              <w:jc w:val="right"/>
              <w:ind w:right="78"/>
              <w:spacing w:after="0"/>
              <w:rPr>
                <w:sz w:val="20"/>
                <w:szCs w:val="20"/>
                <w:color w:val="auto"/>
              </w:rPr>
            </w:pPr>
            <w:r>
              <w:rPr>
                <w:rFonts w:ascii="Times New Roman" w:cs="Times New Roman" w:eastAsia="Times New Roman" w:hAnsi="Times New Roman"/>
                <w:sz w:val="18"/>
                <w:szCs w:val="18"/>
                <w:color w:val="auto"/>
              </w:rPr>
              <w:t>(0.5 )</w:t>
            </w: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Restructuring expenses</w:t>
            </w:r>
          </w:p>
        </w:tc>
        <w:tc>
          <w:tcPr>
            <w:tcW w:w="2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Asbestos litigation expense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0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Foreign currency remeasurement</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7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(1.0 )</w:t>
            </w: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3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(1.0 )</w:t>
            </w:r>
          </w:p>
        </w:tc>
        <w:tc>
          <w:tcPr>
            <w:tcW w:w="0" w:type="dxa"/>
            <w:vAlign w:val="bottom"/>
          </w:tcPr>
          <w:p>
            <w:pPr>
              <w:spacing w:after="0"/>
              <w:rPr>
                <w:sz w:val="1"/>
                <w:szCs w:val="1"/>
                <w:color w:val="auto"/>
              </w:rPr>
            </w:pPr>
          </w:p>
        </w:tc>
      </w:tr>
      <w:tr>
        <w:trPr>
          <w:trHeight w:val="202"/>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Tax benefit (expense) of adjustments</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(1.8 )</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(4.6 )</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Non-GAAP net income</w:t>
            </w:r>
          </w:p>
        </w:tc>
        <w:tc>
          <w:tcPr>
            <w:tcW w:w="280" w:type="dxa"/>
            <w:vAlign w:val="bottom"/>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240" w:type="dxa"/>
            <w:vAlign w:val="bottom"/>
            <w:shd w:val="clear" w:color="auto" w:fill="CFF0FC"/>
          </w:tcPr>
          <w:p>
            <w:pPr>
              <w:spacing w:after="0"/>
              <w:rPr>
                <w:sz w:val="17"/>
                <w:szCs w:val="17"/>
                <w:color w:val="auto"/>
              </w:rPr>
            </w:pPr>
          </w:p>
        </w:tc>
        <w:tc>
          <w:tcPr>
            <w:tcW w:w="640" w:type="dxa"/>
            <w:vAlign w:val="bottom"/>
            <w:tcBorders>
              <w:top w:val="single" w:sz="8" w:color="auto"/>
            </w:tcBorders>
            <w:shd w:val="clear" w:color="auto" w:fill="CFF0FC"/>
          </w:tcPr>
          <w:p>
            <w:pPr>
              <w:jc w:val="right"/>
              <w:ind w:right="464"/>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220" w:type="dxa"/>
            <w:vAlign w:val="bottom"/>
            <w:gridSpan w:val="2"/>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1060" w:type="dxa"/>
            <w:vAlign w:val="bottom"/>
            <w:tcBorders>
              <w:top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240" w:type="dxa"/>
            <w:vAlign w:val="bottom"/>
            <w:tcBorders>
              <w:top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w w:val="99"/>
              </w:rPr>
              <w:t>$</w:t>
            </w:r>
          </w:p>
        </w:tc>
        <w:tc>
          <w:tcPr>
            <w:tcW w:w="200" w:type="dxa"/>
            <w:vAlign w:val="bottom"/>
            <w:tcBorders>
              <w:top w:val="single" w:sz="8" w:color="auto"/>
            </w:tcBorders>
            <w:shd w:val="clear" w:color="auto" w:fill="CFF0FC"/>
          </w:tcPr>
          <w:p>
            <w:pPr>
              <w:spacing w:after="0"/>
              <w:rPr>
                <w:sz w:val="17"/>
                <w:szCs w:val="17"/>
                <w:color w:val="auto"/>
              </w:rPr>
            </w:pPr>
          </w:p>
        </w:tc>
        <w:tc>
          <w:tcPr>
            <w:tcW w:w="1180" w:type="dxa"/>
            <w:vAlign w:val="bottom"/>
            <w:tcBorders>
              <w:top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26.6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Depreciation</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Non-cash stock compensation</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4.5</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Other (income) expense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0" w:type="dxa"/>
            <w:vAlign w:val="bottom"/>
            <w:gridSpan w:val="3"/>
          </w:tcPr>
          <w:p>
            <w:pPr>
              <w:jc w:val="right"/>
              <w:ind w:right="78"/>
              <w:spacing w:after="0"/>
              <w:rPr>
                <w:sz w:val="20"/>
                <w:szCs w:val="20"/>
                <w:color w:val="auto"/>
              </w:rPr>
            </w:pPr>
            <w:r>
              <w:rPr>
                <w:rFonts w:ascii="Times New Roman" w:cs="Times New Roman" w:eastAsia="Times New Roman" w:hAnsi="Times New Roman"/>
                <w:sz w:val="16"/>
                <w:szCs w:val="16"/>
                <w:color w:val="auto"/>
              </w:rPr>
              <w:t>(0.4 )</w:t>
            </w: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(0.1 )</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0.8</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Interest expense</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13.4</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Income tax expense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680" w:type="dxa"/>
            <w:vAlign w:val="bottom"/>
            <w:tcBorders>
              <w:bottom w:val="single" w:sz="8" w:color="CFF0FC"/>
            </w:tcBorders>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Noncontrolling interest</w:t>
            </w:r>
          </w:p>
        </w:tc>
        <w:tc>
          <w:tcPr>
            <w:tcW w:w="28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62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40" w:type="dxa"/>
            <w:vAlign w:val="bottom"/>
            <w:tcBorders>
              <w:bottom w:val="single" w:sz="8" w:color="CFF0FC"/>
            </w:tcBorders>
            <w:shd w:val="clear" w:color="auto" w:fill="CFF0FC"/>
          </w:tcPr>
          <w:p>
            <w:pPr>
              <w:spacing w:after="0"/>
              <w:rPr>
                <w:sz w:val="18"/>
                <w:szCs w:val="18"/>
                <w:color w:val="auto"/>
              </w:rPr>
            </w:pPr>
          </w:p>
        </w:tc>
        <w:tc>
          <w:tcPr>
            <w:tcW w:w="8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4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1180" w:type="dxa"/>
            <w:vAlign w:val="bottom"/>
            <w:tcBorders>
              <w:bottom w:val="single" w:sz="8" w:color="auto"/>
            </w:tcBorders>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Adjusted EBITDA</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19.0</w:t>
            </w:r>
          </w:p>
        </w:tc>
        <w:tc>
          <w:tcPr>
            <w:tcW w:w="880" w:type="dxa"/>
            <w:vAlign w:val="bottom"/>
            <w:gridSpan w:val="2"/>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19.4</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62.8</w:t>
            </w:r>
          </w:p>
        </w:tc>
        <w:tc>
          <w:tcPr>
            <w:tcW w:w="14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57.7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Earnings per share: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0.14</w:t>
            </w:r>
          </w:p>
        </w:tc>
        <w:tc>
          <w:tcPr>
            <w:tcW w:w="88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0.37</w:t>
            </w:r>
          </w:p>
        </w:tc>
        <w:tc>
          <w:tcPr>
            <w:tcW w:w="14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0.13</w:t>
            </w:r>
          </w:p>
        </w:tc>
        <w:tc>
          <w:tcPr>
            <w:tcW w:w="880" w:type="dxa"/>
            <w:vAlign w:val="bottom"/>
            <w:gridSpan w:val="2"/>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7"/>
                <w:szCs w:val="17"/>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40" w:type="dxa"/>
            <w:vAlign w:val="bottom"/>
          </w:tcPr>
          <w:p>
            <w:pPr>
              <w:spacing w:after="0"/>
              <w:rPr>
                <w:sz w:val="17"/>
                <w:szCs w:val="17"/>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0.37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Adjusted earnings per share:</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6"/>
                <w:szCs w:val="16"/>
                <w:color w:val="auto"/>
              </w:rPr>
              <w:t>Basic</w:t>
            </w:r>
          </w:p>
        </w:tc>
        <w:tc>
          <w:tcPr>
            <w:tcW w:w="5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880" w:type="dxa"/>
            <w:vAlign w:val="bottom"/>
            <w:gridSpan w:val="2"/>
            <w:shd w:val="clear" w:color="auto" w:fill="CFF0FC"/>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shd w:val="clear" w:color="auto" w:fill="CFF0FC"/>
          </w:tcPr>
          <w:p>
            <w:pPr>
              <w:spacing w:after="0"/>
              <w:rPr>
                <w:sz w:val="17"/>
                <w:szCs w:val="17"/>
                <w:color w:val="auto"/>
              </w:rPr>
            </w:pPr>
          </w:p>
        </w:tc>
        <w:tc>
          <w:tcPr>
            <w:tcW w:w="6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3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0.77</w:t>
            </w:r>
          </w:p>
        </w:tc>
        <w:tc>
          <w:tcPr>
            <w:tcW w:w="14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18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6"/>
                <w:szCs w:val="16"/>
                <w:color w:val="auto"/>
              </w:rPr>
              <w:t>0.77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Diluted</w:t>
            </w:r>
          </w:p>
        </w:tc>
        <w:tc>
          <w:tcPr>
            <w:tcW w:w="5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0.27</w:t>
            </w:r>
          </w:p>
        </w:tc>
        <w:tc>
          <w:tcPr>
            <w:tcW w:w="880" w:type="dxa"/>
            <w:vAlign w:val="bottom"/>
            <w:gridSpan w:val="2"/>
          </w:tcPr>
          <w:p>
            <w:pPr>
              <w:jc w:val="right"/>
              <w:ind w:right="464"/>
              <w:spacing w:after="0"/>
              <w:rPr>
                <w:sz w:val="20"/>
                <w:szCs w:val="20"/>
                <w:color w:val="auto"/>
              </w:rPr>
            </w:pPr>
            <w:r>
              <w:rPr>
                <w:rFonts w:ascii="Times New Roman" w:cs="Times New Roman" w:eastAsia="Times New Roman" w:hAnsi="Times New Roman"/>
                <w:sz w:val="16"/>
                <w:szCs w:val="16"/>
                <w:color w:val="auto"/>
              </w:rPr>
              <w:t>$</w:t>
            </w:r>
          </w:p>
        </w:tc>
        <w:tc>
          <w:tcPr>
            <w:tcW w:w="36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0.28</w:t>
            </w:r>
          </w:p>
        </w:tc>
        <w:tc>
          <w:tcPr>
            <w:tcW w:w="34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0.73</w:t>
            </w:r>
          </w:p>
        </w:tc>
        <w:tc>
          <w:tcPr>
            <w:tcW w:w="140" w:type="dxa"/>
            <w:vAlign w:val="bottom"/>
          </w:tcPr>
          <w:p>
            <w:pPr>
              <w:spacing w:after="0"/>
              <w:rPr>
                <w:sz w:val="18"/>
                <w:szCs w:val="18"/>
                <w:color w:val="auto"/>
              </w:rPr>
            </w:pPr>
          </w:p>
        </w:tc>
        <w:tc>
          <w:tcPr>
            <w:tcW w:w="340" w:type="dxa"/>
            <w:vAlign w:val="bottom"/>
            <w:gridSpan w:val="3"/>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8"/>
                <w:szCs w:val="18"/>
                <w:color w:val="auto"/>
              </w:rPr>
            </w:pPr>
          </w:p>
        </w:tc>
        <w:tc>
          <w:tcPr>
            <w:tcW w:w="11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0.75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13"/>
        </w:trPr>
        <w:tc>
          <w:tcPr>
            <w:tcW w:w="3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gridSpan w:val="5"/>
          </w:tcPr>
          <w:p>
            <w:pPr>
              <w:ind w:left="14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40" w:type="dxa"/>
            <w:vAlign w:val="bottom"/>
            <w:gridSpan w:val="11"/>
          </w:tcPr>
          <w:p>
            <w:pPr>
              <w:jc w:val="right"/>
              <w:ind w:right="118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0" w:type="dxa"/>
            <w:vAlign w:val="bottom"/>
          </w:tcPr>
          <w:p>
            <w:pPr>
              <w:spacing w:after="0"/>
              <w:rPr>
                <w:sz w:val="1"/>
                <w:szCs w:val="1"/>
                <w:color w:val="auto"/>
              </w:rPr>
            </w:pPr>
          </w:p>
        </w:tc>
      </w:tr>
      <w:tr>
        <w:trPr>
          <w:trHeight w:val="183"/>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80" w:type="dxa"/>
            <w:vAlign w:val="bottom"/>
            <w:tcBorders>
              <w:top w:val="single" w:sz="8" w:color="auto"/>
              <w:bottom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1080" w:type="dxa"/>
            <w:vAlign w:val="bottom"/>
            <w:tcBorders>
              <w:top w:val="single" w:sz="8" w:color="auto"/>
              <w:bottom w:val="single" w:sz="8" w:color="auto"/>
            </w:tcBorders>
          </w:tcPr>
          <w:p>
            <w:pPr>
              <w:ind w:left="1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top w:val="single" w:sz="8" w:color="auto"/>
            </w:tcBorders>
          </w:tcPr>
          <w:p>
            <w:pPr>
              <w:spacing w:after="0"/>
              <w:rPr>
                <w:sz w:val="15"/>
                <w:szCs w:val="15"/>
                <w:color w:val="auto"/>
              </w:rPr>
            </w:pPr>
          </w:p>
        </w:tc>
        <w:tc>
          <w:tcPr>
            <w:tcW w:w="1240" w:type="dxa"/>
            <w:vAlign w:val="bottom"/>
            <w:tcBorders>
              <w:top w:val="single" w:sz="8" w:color="auto"/>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340" w:type="dxa"/>
            <w:vAlign w:val="bottom"/>
            <w:tcBorders>
              <w:top w:val="single" w:sz="8" w:color="auto"/>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180" w:type="dxa"/>
            <w:vAlign w:val="bottom"/>
            <w:tcBorders>
              <w:top w:val="single" w:sz="8" w:color="auto"/>
              <w:bottom w:val="single" w:sz="8" w:color="auto"/>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940" w:type="dxa"/>
            <w:vAlign w:val="bottom"/>
            <w:tcBorders>
              <w:top w:val="single" w:sz="8" w:color="auto"/>
              <w:bottom w:val="single" w:sz="8" w:color="auto"/>
            </w:tcBorders>
          </w:tcPr>
          <w:p>
            <w:pPr>
              <w:jc w:val="right"/>
              <w:ind w:right="559"/>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2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020" w:type="dxa"/>
            <w:vAlign w:val="bottom"/>
            <w:tcBorders>
              <w:top w:val="single" w:sz="8" w:color="auto"/>
              <w:bottom w:val="single" w:sz="8" w:color="auto"/>
            </w:tcBorders>
          </w:tcPr>
          <w:p>
            <w:pPr>
              <w:jc w:val="right"/>
              <w:ind w:right="537"/>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cash (used in) provided by operating activities</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280" w:type="dxa"/>
            <w:vAlign w:val="bottom"/>
            <w:shd w:val="clear" w:color="auto" w:fill="CFF0FC"/>
          </w:tcPr>
          <w:p>
            <w:pPr>
              <w:spacing w:after="0"/>
              <w:rPr>
                <w:sz w:val="17"/>
                <w:szCs w:val="17"/>
                <w:color w:val="auto"/>
              </w:rPr>
            </w:pPr>
          </w:p>
        </w:tc>
        <w:tc>
          <w:tcPr>
            <w:tcW w:w="2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8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24.8</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44.6</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Acquisitions of property and equipment</w:t>
            </w: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(6.2 )</w:t>
            </w: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20" w:type="dxa"/>
            <w:vAlign w:val="bottom"/>
            <w:gridSpan w:val="2"/>
          </w:tcPr>
          <w:p>
            <w:pPr>
              <w:jc w:val="right"/>
              <w:ind w:right="130"/>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(8.4 )</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6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6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Free cash flow</w:t>
            </w:r>
          </w:p>
        </w:tc>
        <w:tc>
          <w:tcPr>
            <w:tcW w:w="280" w:type="dxa"/>
            <w:vAlign w:val="bottom"/>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240" w:type="dxa"/>
            <w:vAlign w:val="bottom"/>
            <w:shd w:val="clear" w:color="auto" w:fill="CFF0FC"/>
          </w:tcPr>
          <w:p>
            <w:pPr>
              <w:spacing w:after="0"/>
              <w:rPr>
                <w:sz w:val="17"/>
                <w:szCs w:val="17"/>
                <w:color w:val="auto"/>
              </w:rPr>
            </w:pPr>
          </w:p>
        </w:tc>
        <w:tc>
          <w:tcPr>
            <w:tcW w:w="13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6"/>
                <w:szCs w:val="16"/>
                <w:color w:val="auto"/>
              </w:rPr>
              <w:t>(4.4 )</w:t>
            </w:r>
          </w:p>
        </w:tc>
        <w:tc>
          <w:tcPr>
            <w:tcW w:w="24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280" w:type="dxa"/>
            <w:vAlign w:val="bottom"/>
            <w:shd w:val="clear" w:color="auto" w:fill="CFF0FC"/>
          </w:tcPr>
          <w:p>
            <w:pPr>
              <w:spacing w:after="0"/>
              <w:rPr>
                <w:sz w:val="17"/>
                <w:szCs w:val="17"/>
                <w:color w:val="auto"/>
              </w:rPr>
            </w:pPr>
          </w:p>
        </w:tc>
        <w:tc>
          <w:tcPr>
            <w:tcW w:w="340" w:type="dxa"/>
            <w:vAlign w:val="bottom"/>
            <w:gridSpan w:val="3"/>
            <w:shd w:val="clear" w:color="auto" w:fill="CFF0FC"/>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FF0FC"/>
          </w:tcPr>
          <w:p>
            <w:pPr>
              <w:spacing w:after="0"/>
              <w:rPr>
                <w:sz w:val="17"/>
                <w:szCs w:val="17"/>
                <w:color w:val="auto"/>
              </w:rPr>
            </w:pPr>
          </w:p>
        </w:tc>
        <w:tc>
          <w:tcPr>
            <w:tcW w:w="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979"/>
        </w:trPr>
        <w:tc>
          <w:tcPr>
            <w:tcW w:w="36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3536950</wp:posOffset>
            </wp:positionH>
            <wp:positionV relativeFrom="paragraph">
              <wp:posOffset>-2725420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4711065</wp:posOffset>
            </wp:positionH>
            <wp:positionV relativeFrom="paragraph">
              <wp:posOffset>-2725420</wp:posOffset>
            </wp:positionV>
            <wp:extent cx="6858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5885815</wp:posOffset>
            </wp:positionH>
            <wp:positionV relativeFrom="paragraph">
              <wp:posOffset>-2725420</wp:posOffset>
            </wp:positionV>
            <wp:extent cx="6858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-2725420</wp:posOffset>
            </wp:positionV>
            <wp:extent cx="7747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NOTE REGARDING NON-GAAP FINANCIAL MEASURES</w:t>
      </w:r>
    </w:p>
    <w:p>
      <w:pPr>
        <w:spacing w:after="0" w:line="22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8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as we present them in the financial data included in this press release, have been adjusted to exclude the effects of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better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188"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Non-GAAP operating income, non-GAAP net income, non-GAAP operating margin, non-GAAP earnings per basic and diluted share, adjusted EBITDA and free cash flow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In accordance with the requirements of Regulation G issued by the Securities and Exchange Commission, non-GAAP operating income, non-GAAP net income, non-GAAP operating margin, non-GAAP earnings per basic and diluted share, adjusted EBITDA and free cash flow stated in the tables above are reconciled to the most directly comparable GAAP financial measures.</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Non-GAAP measures presented on a forward-looking basis were not reconciled to the comparable GAAP financial measures because the reconciliation could not be performed without unreasonable efforts. The GAAP measures are not accessible on a forward-looking basis because we are currently unable to predict with a reasonable degree of certainty the type and extent of certain items that would be expected to impact GAAP measures for these periods but would not impact the non-GAAP measures. Such items may include amortization expenses for acquisition-related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The unavailable information could have a significant impact on our GAAP financial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598805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SAFE HARBOR</w:t>
      </w:r>
    </w:p>
    <w:p>
      <w:pPr>
        <w:spacing w:after="0" w:line="22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2024 and may be included in subsequently filed Quarterly Reports on Form 10-Q, and include, but are not limited to: our ability to consummate the planned divestiture of our Fluid Handling business, the effect of recently announced acquisitions and the planned divestiture of our Fluid Handling business (together, the “transactions”) on business relationships, operating results, and business generally, disruption of current plans and operations and potential difficulties in employee retention as a result of the transactions, diversion of management’s attention from ongoing business operations in connection with the integration of recent acquisitions, the outcome of any legal proceedings that have been or may in the future be instituted related to the Profire Energy, Inc. transaction or other transactions, the amount of the costs, fees, expenses and other charges related to the transactions, the achievement of the anticipated benefits of transactions, our ability to successfully integrate acquired businesses and realize the synergies from acquisitions, as well as a number of factors related to our business, including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our infrastructure, resources, and existing sales; the ability to expand operations in both new and existing markets; the potential for contract delay or cancellation as a result of on-going or worsening supply chain challenges or other customer-driven project delays relating to supply chain challenges or other customer considerations;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and rising energy costs; inflationary pressures relating to rising raw material costs and the cost of labor;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our ability to successfully realize the expected benefits of our restructuring program; economic and political conditions generally; our ability to optimize our business portfolio by identifying acquisition targets, executing upon any strategic acquisitions or divestitures, integrating acquired businesses and realizing the synergies from strategic transactions; and the unpredictability and severity of catastrophic events, including cybersecurity threats, acts of terrorism or outbreak of war or hostilities or public health crises, as well as management’s response to any of the aforementioned factors. Many of these risks are beyond management’s ability to control or predict. Should one or more of these risks or uncertainties materialize, or should any related assumptions prove incorrect, actual results may vary in material aspects from those currently anticipated. Investors are cautioned not to place undue reliance on such forward-looking statements as they speak only to our views as of the date the statement is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468630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2" w:name="page13"/>
    <w:bookmarkEnd w:id="1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lvl>
    <w:lvl w:ilvl="1">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2025-02-25T06:17:07Z</dcterms:created>
  <dcterms:modified xsi:type="dcterms:W3CDTF">2025-02-25T06:17:07Z</dcterms:modified>
</cp:coreProperties>
</file>