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48"/>
        </w:trPr>
        <w:tc>
          <w:tcPr>
            <w:tcW w:w="3600" w:type="dxa"/>
            <w:vAlign w:val="bottom"/>
          </w:tcPr>
          <w:p>
            <w:pPr>
              <w:jc w:val="center"/>
              <w:ind w:right="186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6"/>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5080 Spectrum Drive,</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East Tower, Suite 800E</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7"/>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Addison, Texas</w:t>
            </w:r>
          </w:p>
        </w:tc>
        <w:tc>
          <w:tcPr>
            <w:tcW w:w="2520" w:type="dxa"/>
            <w:vAlign w:val="bottom"/>
          </w:tcPr>
          <w:p>
            <w:pPr>
              <w:spacing w:after="0"/>
              <w:rPr>
                <w:sz w:val="18"/>
                <w:szCs w:val="18"/>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75001</w:t>
            </w:r>
          </w:p>
        </w:tc>
      </w:tr>
      <w:tr>
        <w:trPr>
          <w:trHeight w:val="19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40" w:type="dxa"/>
        <w:tblCellMar>
          <w:top w:w="0" w:type="dxa"/>
          <w:left w:w="0" w:type="dxa"/>
          <w:bottom w:w="0" w:type="dxa"/>
          <w:right w:w="0" w:type="dxa"/>
        </w:tblCellMar>
      </w:tblPr>
      <w:tr>
        <w:trPr>
          <w:trHeight w:val="188"/>
        </w:trPr>
        <w:tc>
          <w:tcPr>
            <w:tcW w:w="308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Title of each class</w:t>
            </w:r>
          </w:p>
        </w:tc>
        <w:tc>
          <w:tcPr>
            <w:tcW w:w="23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6"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 in Registrant’s Certifying Accountant.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Dismissal of Independent Registered Public Accounting Firm</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February 28, 2025, the Audit Committee of the Board of Directors (the “Audit Committee”) of CECO Environmental Corp. (the “Company”) selected Deloitte &amp; Touche LLP (“Deloitte”) to serve as the Company’s new independent registered public accounting firm for the fiscal year ending December 31, 2025, and notified BDO USA, P.C. (“BDO”) of its dismissal as the Company’s independent registered public accounting firm, effective as of February 28, 2025.</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BDO’s reports on the Company’s consolidated financial statements for each of the fiscal years ended December 31, 2024 and December 31, 2023 did not contain any adverse opinion or a disclaimer of opinion, nor were they qualified or modified as to uncertainty, audit scope, or accounting principles.</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each of the fiscal years ended December 31, 2024 and December 31, 2023, and the subsequent interim period through the date of dismissal, there were no “disagreements,” as that term is defined in Item 304(a)(1)(iv) of the Securities and Exchange Commission’s (the “SEC”) Regulation S-K (“Regulation S-K”), between the Company and BDO on any matter of accounting principles or practices, financial statement disclosure or auditing scope or procedure, which disagreements, if not resolved to the satisfaction of BDO, would have caused BDO to make reference to the subject matter of the disagreement in its reports on the Company’s consolidated financial statements for such years.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were no “reportable events,” as that term is defined in Item 304(a)(1)(v) of Regulation S-K, during either of the fiscal years ended December 31, 2024 or December 31, 2023, and the subsequent interim period through the date of dismissal, except that the Company identified material weaknesses in its internal control over financial reporting as disclosed in Item 9A, Controls and Procedures, of the Company’s Annual Report on Form 10-K for the fiscal year ended December 31, 2023, as described below.</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disclosed in the Company’s Annual Report on Form 10-K for the fiscal year ended December 31, 2023, the Company previously identified material weaknesses in its internal control over financial reporting based on the criteria set forth in Internal Control - Integrated Framework (2013) issued by the Committee of Sponsoring Organizations, including material weaknesses in the Company’s control environment with regard to management’s review of each of revenue recognition for contracts and balance sheet reconciliations, as of December 31, 2023. As subsequently disclosed in the Company’s Quarterly Report on Form 10-Q for the fiscal quarter ended June 30, 2024, with the oversight of the Audit Committee, the Company implemented controls in accordance with its remediation plans to address these material weaknesses. Based on its completed remediation actions, the Company remediated (i) the material weakness in the Company’s control environment with regard to management’s review of revenue recognition for contracts as of June 30, 2024 and</w:t>
      </w:r>
    </w:p>
    <w:p>
      <w:pPr>
        <w:spacing w:after="0" w:line="3" w:lineRule="exact"/>
        <w:rPr>
          <w:sz w:val="20"/>
          <w:szCs w:val="20"/>
          <w:color w:val="auto"/>
        </w:rPr>
      </w:pPr>
    </w:p>
    <w:p>
      <w:pPr>
        <w:ind w:right="360" w:firstLine="8"/>
        <w:spacing w:after="0" w:line="260"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weakness in the Company’s control environment with regard to management’s review of balance sheet reconciliations as of March 31, 2024. Accordingly, these material weaknesses were remediated as of the date of dismissal.</w:t>
      </w:r>
    </w:p>
    <w:p>
      <w:pPr>
        <w:spacing w:after="0" w:line="1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Audit Committee discussed the reportable event described above with BDO, and the Company has authorized BDO to respond fully to the inquiries of Deloitte concerning this reportable event.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provided BDO with a copy of this Current Report on Form 8-K prior to its filing with the SEC and requested that BDO furnish the Company with a letter addressed to the SEC stating whether BDO agrees with the above statements. A copy of BDO’s letter, dated March 3, 2025, is filed as Exhibit 16.1 to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Engagement of New Independent Registered Public Accounting Firm</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March 5, 2025, upon approval by the Audit Committee, the Company engaged Deloitte to serve as the Company’s new independent registered public accounting firm for the fiscal year ending December 31, 2025.</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each of the fiscal years ended December 31, 2024 and December 31, 2023, and the subsequent interim period through March 5, 2025, neither the Company nor anyone acting on its behalf has consulted with Deloitte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Deloitte concluded was an important factor considered by the Company in reaching a decision as to any accounting, auditing, or financial reporting issue;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 w:name="page3"/>
    <w:bookmarkEnd w:id="2"/>
    <w:p>
      <w:pPr>
        <w:ind w:right="480"/>
        <w:spacing w:after="0" w:line="282" w:lineRule="auto"/>
        <w:rPr>
          <w:sz w:val="20"/>
          <w:szCs w:val="20"/>
          <w:color w:val="auto"/>
        </w:rPr>
      </w:pPr>
      <w:r>
        <w:rPr>
          <w:rFonts w:ascii="Times New Roman" w:cs="Times New Roman" w:eastAsia="Times New Roman" w:hAnsi="Times New Roman"/>
          <w:sz w:val="18"/>
          <w:szCs w:val="18"/>
          <w:color w:val="auto"/>
        </w:rPr>
        <w:t>any matter that was the subject of a disagreement within the meaning of Item 304(a)(1)(iv) of Regulation S-K; or (iii) any reportable event within the meaning of Item 304(a)(1)(v)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Letter from BDO USA, P.C. dated March 3, 2025.</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Borders>
              <w:right w:val="single" w:sz="8" w:color="0000EE"/>
            </w:tcBorders>
            <w:shd w:val="clear" w:color="auto" w:fill="0000FF"/>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45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17145</wp:posOffset>
            </wp:positionV>
            <wp:extent cx="25457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March 3, 2025</w:t>
      </w:r>
    </w:p>
    <w:p>
      <w:pPr>
        <w:spacing w:after="0" w:line="2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Securities and Exchange Commission</w:t>
      </w:r>
    </w:p>
    <w:p>
      <w:pPr>
        <w:spacing w:after="0" w:line="234" w:lineRule="auto"/>
        <w:rPr>
          <w:sz w:val="20"/>
          <w:szCs w:val="20"/>
          <w:color w:val="auto"/>
        </w:rPr>
      </w:pPr>
      <w:r>
        <w:rPr>
          <w:rFonts w:ascii="Trebuchet MS" w:cs="Trebuchet MS" w:eastAsia="Trebuchet MS" w:hAnsi="Trebuchet MS"/>
          <w:sz w:val="19"/>
          <w:szCs w:val="19"/>
          <w:color w:val="auto"/>
        </w:rPr>
        <w:t>100 F Street N.E.</w:t>
      </w:r>
    </w:p>
    <w:p>
      <w:pPr>
        <w:spacing w:after="0" w:line="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Washington, D.C. 20549</w:t>
      </w:r>
    </w:p>
    <w:p>
      <w:pPr>
        <w:spacing w:after="0" w:line="211"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We have been furnished with a copy of the response to Item 4.01 of Form 8-K for the event that occurred on February 28, 2025, to be filed by our former client, CECO Environmental Corp. We agree with the statements made in response to that Item insofar as they relate to our Firm.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/s/BDO USA,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rebuchet MS" w:cs="Trebuchet MS" w:eastAsia="Trebuchet MS" w:hAnsi="Trebuchet MS"/>
          <w:sz w:val="11"/>
          <w:szCs w:val="11"/>
          <w:color w:val="685040"/>
        </w:rPr>
        <w:t>BDO USA, P.C., a Virginia professional corporation, is the U.S. member of BDO International Limited, a UK company limited by guarantee, and forms part of the international BDO network of independent member firms.</w:t>
      </w:r>
    </w:p>
    <w:p>
      <w:pPr>
        <w:spacing w:after="0" w:line="142" w:lineRule="exact"/>
        <w:rPr>
          <w:sz w:val="20"/>
          <w:szCs w:val="20"/>
          <w:color w:val="auto"/>
        </w:rPr>
      </w:pPr>
    </w:p>
    <w:p>
      <w:pPr>
        <w:spacing w:after="0"/>
        <w:rPr>
          <w:sz w:val="20"/>
          <w:szCs w:val="20"/>
          <w:color w:val="auto"/>
        </w:rPr>
      </w:pPr>
      <w:r>
        <w:rPr>
          <w:rFonts w:ascii="Trebuchet MS" w:cs="Trebuchet MS" w:eastAsia="Trebuchet MS" w:hAnsi="Trebuchet MS"/>
          <w:sz w:val="11"/>
          <w:szCs w:val="11"/>
          <w:color w:val="685040"/>
        </w:rPr>
        <w:t>BDO is the brand name for the BDO network and for each of the BDO Member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2025-03-06T08:20:31Z</dcterms:created>
  <dcterms:modified xsi:type="dcterms:W3CDTF">2025-03-06T08:20:31Z</dcterms:modified>
</cp:coreProperties>
</file>