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SACHS VALERIE GENTILE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CECO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3"/>
                <w:vertAlign w:val="subscript"/>
              </w:rPr>
              <w:t>8,833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92,409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grant of 3,121 shares of common stock in lieu of annual cash fees paid to the director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will vest one year from the date of grant.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Joycelynn Watkins-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9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Asiyanbi as Attorney-in-Fact</w:t>
        <w:tab/>
        <w:t>05/22/2024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Valerie Gentile Sachs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02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28169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2024-05-22T10:51:10Z</dcterms:created>
  <dcterms:modified xsi:type="dcterms:W3CDTF">2024-05-22T10:51:10Z</dcterms:modified>
</cp:coreProperties>
</file>