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3649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36499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Gohr Paul 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40" w:type="dxa"/>
            <w:vAlign w:val="bottom"/>
            <w:tcBorders>
              <w:top w:val="single" w:sz="8" w:color="0000EE"/>
              <w:bottom w:val="single" w:sz="8" w:color="9A9A9A"/>
            </w:tcBorders>
          </w:tcPr>
          <w:p>
            <w:pPr>
              <w:spacing w:after="0"/>
              <w:rPr>
                <w:sz w:val="15"/>
                <w:szCs w:val="15"/>
                <w:color w:val="auto"/>
              </w:rPr>
            </w:pPr>
          </w:p>
        </w:tc>
        <w:tc>
          <w:tcPr>
            <w:tcW w:w="20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05/16/2017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2">
        <w:r>
          <w:rPr>
            <w:rFonts w:ascii="Arial" w:cs="Arial" w:eastAsia="Arial" w:hAnsi="Arial"/>
            <w:sz w:val="19"/>
            <w:szCs w:val="19"/>
            <w:u w:val="single" w:color="auto"/>
            <w:color w:val="0000EE"/>
          </w:rPr>
          <w:t>CECO ENVIRONMENTAL CORP</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CECE</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1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22"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4625 RED BANK ROAD, SUITE 200</w:t>
            </w:r>
          </w:p>
        </w:tc>
      </w:tr>
      <w:tr>
        <w:trPr>
          <w:trHeight w:val="212"/>
        </w:trPr>
        <w:tc>
          <w:tcPr>
            <w:tcW w:w="20" w:type="dxa"/>
            <w:vAlign w:val="bottom"/>
          </w:tcPr>
          <w:p>
            <w:pPr>
              <w:spacing w:after="0"/>
              <w:rPr>
                <w:sz w:val="18"/>
                <w:szCs w:val="18"/>
                <w:color w:val="auto"/>
              </w:rPr>
            </w:pPr>
          </w:p>
        </w:tc>
        <w:tc>
          <w:tcPr>
            <w:tcW w:w="780" w:type="dxa"/>
            <w:vAlign w:val="bottom"/>
            <w:tcBorders>
              <w:bottom w:val="single" w:sz="8" w:color="9A9A9A"/>
            </w:tcBorders>
          </w:tcPr>
          <w:p>
            <w:pPr>
              <w:spacing w:after="0"/>
              <w:rPr>
                <w:sz w:val="18"/>
                <w:szCs w:val="18"/>
                <w:color w:val="auto"/>
              </w:rPr>
            </w:pPr>
          </w:p>
        </w:tc>
        <w:tc>
          <w:tcPr>
            <w:tcW w:w="10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860" w:type="dxa"/>
            <w:vAlign w:val="bottom"/>
            <w:gridSpan w:val="2"/>
          </w:tcPr>
          <w:p>
            <w:pPr>
              <w:ind w:left="20"/>
              <w:spacing w:after="0"/>
              <w:rPr>
                <w:sz w:val="20"/>
                <w:szCs w:val="20"/>
                <w:color w:val="auto"/>
              </w:rPr>
            </w:pPr>
            <w:r>
              <w:rPr>
                <w:rFonts w:ascii="Arial" w:cs="Arial" w:eastAsia="Arial" w:hAnsi="Arial"/>
                <w:sz w:val="18"/>
                <w:szCs w:val="18"/>
                <w:color w:val="0000FF"/>
              </w:rPr>
              <w:t>CINCINNATI OH</w:t>
            </w:r>
          </w:p>
        </w:tc>
        <w:tc>
          <w:tcPr>
            <w:tcW w:w="1380" w:type="dxa"/>
            <w:vAlign w:val="bottom"/>
          </w:tcPr>
          <w:p>
            <w:pPr>
              <w:ind w:left="340"/>
              <w:spacing w:after="0"/>
              <w:rPr>
                <w:sz w:val="20"/>
                <w:szCs w:val="20"/>
                <w:color w:val="auto"/>
              </w:rPr>
            </w:pPr>
            <w:r>
              <w:rPr>
                <w:rFonts w:ascii="Arial" w:cs="Arial" w:eastAsia="Arial" w:hAnsi="Arial"/>
                <w:sz w:val="18"/>
                <w:szCs w:val="18"/>
                <w:color w:val="0000FF"/>
              </w:rPr>
              <w:t>45227</w:t>
            </w:r>
          </w:p>
        </w:tc>
      </w:tr>
      <w:tr>
        <w:trPr>
          <w:trHeight w:val="158"/>
        </w:trPr>
        <w:tc>
          <w:tcPr>
            <w:tcW w:w="2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6" w:type="dxa"/>
        <w:tblCellMar>
          <w:top w:w="0" w:type="dxa"/>
          <w:left w:w="0" w:type="dxa"/>
          <w:bottom w:w="0" w:type="dxa"/>
          <w:right w:w="0" w:type="dxa"/>
        </w:tblCellMar>
      </w:tblPr>
      <w:tr>
        <w:trPr>
          <w:trHeight w:val="162"/>
        </w:trPr>
        <w:tc>
          <w:tcPr>
            <w:tcW w:w="220" w:type="dxa"/>
            <w:vAlign w:val="bottom"/>
          </w:tcPr>
          <w:p>
            <w:pPr>
              <w:spacing w:after="0"/>
              <w:rPr>
                <w:sz w:val="14"/>
                <w:szCs w:val="14"/>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160" w:type="dxa"/>
            <w:vAlign w:val="bottom"/>
          </w:tcPr>
          <w:p>
            <w:pPr>
              <w:ind w:left="3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20" w:type="dxa"/>
            <w:vAlign w:val="bottom"/>
          </w:tcPr>
          <w:p>
            <w:pPr>
              <w:ind w:left="120"/>
              <w:spacing w:after="0"/>
              <w:rPr>
                <w:sz w:val="20"/>
                <w:szCs w:val="20"/>
                <w:color w:val="auto"/>
              </w:rPr>
            </w:pPr>
            <w:r>
              <w:rPr>
                <w:rFonts w:ascii="Arial" w:cs="Arial" w:eastAsia="Arial" w:hAnsi="Arial"/>
                <w:sz w:val="14"/>
                <w:szCs w:val="14"/>
                <w:color w:val="auto"/>
              </w:rPr>
              <w:t>Officer (give title</w:t>
            </w:r>
          </w:p>
        </w:tc>
        <w:tc>
          <w:tcPr>
            <w:tcW w:w="1160" w:type="dxa"/>
            <w:vAlign w:val="bottom"/>
          </w:tcPr>
          <w:p>
            <w:pPr>
              <w:ind w:left="3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20" w:type="dxa"/>
            <w:vAlign w:val="bottom"/>
            <w:vMerge w:val="continue"/>
          </w:tcPr>
          <w:p>
            <w:pPr>
              <w:spacing w:after="0"/>
              <w:rPr>
                <w:sz w:val="9"/>
                <w:szCs w:val="9"/>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2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26"/>
        <w:spacing w:after="0"/>
        <w:rPr>
          <w:sz w:val="20"/>
          <w:szCs w:val="20"/>
          <w:color w:val="auto"/>
        </w:rPr>
      </w:pPr>
      <w:r>
        <w:rPr>
          <w:rFonts w:ascii="Arial" w:cs="Arial" w:eastAsia="Arial" w:hAnsi="Arial"/>
          <w:sz w:val="18"/>
          <w:szCs w:val="18"/>
          <w:color w:val="0000FF"/>
        </w:rPr>
        <w:t>Chief Accounting Officer</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43"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495"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330"/>
        </w:trPr>
        <w:tc>
          <w:tcPr>
            <w:tcW w:w="20" w:type="dxa"/>
            <w:vAlign w:val="bottom"/>
            <w:tcBorders>
              <w:bottom w:val="single" w:sz="8" w:color="2C2C2C"/>
            </w:tcBorders>
          </w:tcPr>
          <w:p>
            <w:pPr>
              <w:spacing w:after="0"/>
              <w:rPr>
                <w:sz w:val="24"/>
                <w:szCs w:val="24"/>
                <w:color w:val="auto"/>
              </w:rPr>
            </w:pPr>
          </w:p>
        </w:tc>
        <w:tc>
          <w:tcPr>
            <w:tcW w:w="288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6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tcPr>
          <w:p>
            <w:pPr>
              <w:ind w:left="600"/>
              <w:spacing w:after="0"/>
              <w:rPr>
                <w:sz w:val="20"/>
                <w:szCs w:val="20"/>
                <w:color w:val="auto"/>
              </w:rPr>
            </w:pPr>
            <w:r>
              <w:rPr>
                <w:rFonts w:ascii="Arial" w:cs="Arial" w:eastAsia="Arial" w:hAnsi="Arial"/>
                <w:sz w:val="18"/>
                <w:szCs w:val="18"/>
                <w:color w:val="0000FF"/>
              </w:rPr>
              <w:t>5,000</w:t>
            </w:r>
            <w:r>
              <w:rPr>
                <w:rFonts w:ascii="Arial" w:cs="Arial" w:eastAsia="Arial" w:hAnsi="Arial"/>
                <w:sz w:val="22"/>
                <w:szCs w:val="22"/>
                <w:color w:val="008000"/>
                <w:vertAlign w:val="superscript"/>
              </w:rPr>
              <w:t>(1)</w:t>
            </w:r>
          </w:p>
        </w:tc>
        <w:tc>
          <w:tcPr>
            <w:tcW w:w="900" w:type="dxa"/>
            <w:vAlign w:val="bottom"/>
            <w:tcBorders>
              <w:bottom w:val="single" w:sz="8" w:color="2C2C2C"/>
            </w:tcBorders>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28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6000" w:type="dxa"/>
            <w:vAlign w:val="bottom"/>
            <w:gridSpan w:val="6"/>
          </w:tcPr>
          <w:p>
            <w:pPr>
              <w:ind w:left="40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8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68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28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880" w:type="dxa"/>
            <w:vAlign w:val="bottom"/>
          </w:tcPr>
          <w:p>
            <w:pPr>
              <w:spacing w:after="0"/>
              <w:rPr>
                <w:sz w:val="4"/>
                <w:szCs w:val="4"/>
                <w:color w:val="auto"/>
              </w:rPr>
            </w:pPr>
          </w:p>
        </w:tc>
        <w:tc>
          <w:tcPr>
            <w:tcW w:w="68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88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10/01/2024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60"/>
              <w:spacing w:after="0"/>
              <w:rPr>
                <w:sz w:val="20"/>
                <w:szCs w:val="20"/>
                <w:color w:val="auto"/>
              </w:rPr>
            </w:pPr>
            <w:r>
              <w:rPr>
                <w:rFonts w:ascii="Arial" w:cs="Arial" w:eastAsia="Arial" w:hAnsi="Arial"/>
                <w:sz w:val="18"/>
                <w:szCs w:val="18"/>
                <w:color w:val="0000FF"/>
              </w:rPr>
              <w:t>2,500</w:t>
            </w:r>
          </w:p>
        </w:tc>
        <w:tc>
          <w:tcPr>
            <w:tcW w:w="880" w:type="dxa"/>
            <w:vAlign w:val="bottom"/>
          </w:tcPr>
          <w:p>
            <w:pPr>
              <w:ind w:left="380"/>
              <w:spacing w:after="0"/>
              <w:rPr>
                <w:sz w:val="20"/>
                <w:szCs w:val="20"/>
                <w:color w:val="auto"/>
              </w:rPr>
            </w:pPr>
            <w:r>
              <w:rPr>
                <w:rFonts w:ascii="Arial" w:cs="Arial" w:eastAsia="Arial" w:hAnsi="Arial"/>
                <w:sz w:val="11"/>
                <w:szCs w:val="11"/>
                <w:color w:val="008000"/>
              </w:rPr>
              <w:t>(2)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880" w:type="dxa"/>
            <w:vAlign w:val="bottom"/>
          </w:tcPr>
          <w:p>
            <w:pPr>
              <w:ind w:left="60"/>
              <w:spacing w:after="0"/>
              <w:rPr>
                <w:sz w:val="20"/>
                <w:szCs w:val="20"/>
                <w:color w:val="auto"/>
              </w:rPr>
            </w:pPr>
            <w:r>
              <w:rPr>
                <w:rFonts w:ascii="Arial" w:cs="Arial" w:eastAsia="Arial" w:hAnsi="Arial"/>
                <w:sz w:val="18"/>
                <w:szCs w:val="18"/>
                <w:color w:val="0000FF"/>
              </w:rPr>
              <w:t>Stock Option (right to buy)</w:t>
            </w:r>
          </w:p>
        </w:tc>
        <w:tc>
          <w:tcPr>
            <w:tcW w:w="156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09/04/2025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ind w:left="360"/>
              <w:spacing w:after="0"/>
              <w:rPr>
                <w:sz w:val="20"/>
                <w:szCs w:val="20"/>
                <w:color w:val="auto"/>
              </w:rPr>
            </w:pPr>
            <w:r>
              <w:rPr>
                <w:rFonts w:ascii="Arial" w:cs="Arial" w:eastAsia="Arial" w:hAnsi="Arial"/>
                <w:sz w:val="18"/>
                <w:szCs w:val="18"/>
                <w:color w:val="0000FF"/>
              </w:rPr>
              <w:t>4,000</w:t>
            </w:r>
          </w:p>
        </w:tc>
        <w:tc>
          <w:tcPr>
            <w:tcW w:w="880" w:type="dxa"/>
            <w:vAlign w:val="bottom"/>
          </w:tcPr>
          <w:p>
            <w:pPr>
              <w:ind w:left="380"/>
              <w:spacing w:after="0"/>
              <w:rPr>
                <w:sz w:val="20"/>
                <w:szCs w:val="20"/>
                <w:color w:val="auto"/>
              </w:rPr>
            </w:pPr>
            <w:r>
              <w:rPr>
                <w:rFonts w:ascii="Arial" w:cs="Arial" w:eastAsia="Arial" w:hAnsi="Arial"/>
                <w:sz w:val="11"/>
                <w:szCs w:val="11"/>
                <w:color w:val="008000"/>
              </w:rPr>
              <w:t>(3)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28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288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6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Represents Restricted Stock Units ("RSUs"). Each RSU represents the right to receive one share of CECO Environmental Corp. common stock.</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options vest in five equal installments on the anniversary date of the grant, commencing October 1, 2015. These options were awarded at a strike price of $13.08 per share on October 1, 2014.</w:t>
      </w:r>
    </w:p>
    <w:p>
      <w:pPr>
        <w:spacing w:after="0" w:line="64" w:lineRule="exact"/>
        <w:rPr>
          <w:rFonts w:ascii="Arial" w:cs="Arial" w:eastAsia="Arial" w:hAnsi="Arial"/>
          <w:sz w:val="12"/>
          <w:szCs w:val="12"/>
          <w:color w:val="008000"/>
        </w:rPr>
      </w:pPr>
    </w:p>
    <w:p>
      <w:pPr>
        <w:ind w:left="180" w:hanging="131"/>
        <w:spacing w:after="0"/>
        <w:tabs>
          <w:tab w:leader="none" w:pos="180" w:val="left"/>
        </w:tabs>
        <w:numPr>
          <w:ilvl w:val="0"/>
          <w:numId w:val="4"/>
        </w:numPr>
        <w:rPr>
          <w:rFonts w:ascii="Arial" w:cs="Arial" w:eastAsia="Arial" w:hAnsi="Arial"/>
          <w:sz w:val="12"/>
          <w:szCs w:val="12"/>
          <w:color w:val="008000"/>
        </w:rPr>
      </w:pPr>
      <w:r>
        <w:rPr>
          <w:rFonts w:ascii="Arial" w:cs="Arial" w:eastAsia="Arial" w:hAnsi="Arial"/>
          <w:sz w:val="12"/>
          <w:szCs w:val="12"/>
          <w:color w:val="008000"/>
        </w:rPr>
        <w:t>These options vest in four equal installments on the anniversary date of the grant, commencing September 4, 2016. These options were awarded at a strike price of $9.44 per share on September 4, 2015.</w:t>
      </w:r>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24 - Power of Attorney</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180" w:type="dxa"/>
            <w:vAlign w:val="bottom"/>
          </w:tcPr>
          <w:p>
            <w:pPr>
              <w:spacing w:after="0"/>
              <w:rPr>
                <w:sz w:val="20"/>
                <w:szCs w:val="20"/>
                <w:color w:val="auto"/>
              </w:rPr>
            </w:pPr>
            <w:r>
              <w:rPr>
                <w:rFonts w:ascii="Arial" w:cs="Arial" w:eastAsia="Arial" w:hAnsi="Arial"/>
                <w:sz w:val="18"/>
                <w:szCs w:val="18"/>
                <w:color w:val="0000FF"/>
                <w:w w:val="89"/>
              </w:rPr>
              <w:t>/s/ Paul M. Gohr</w:t>
            </w:r>
          </w:p>
        </w:tc>
        <w:tc>
          <w:tcPr>
            <w:tcW w:w="940" w:type="dxa"/>
            <w:vAlign w:val="bottom"/>
          </w:tcPr>
          <w:p>
            <w:pPr>
              <w:spacing w:after="0"/>
              <w:rPr>
                <w:sz w:val="18"/>
                <w:szCs w:val="18"/>
                <w:color w:val="auto"/>
              </w:rPr>
            </w:pP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05/16/2017</w:t>
            </w: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3280"/>
        <w:spacing w:after="0"/>
        <w:rPr>
          <w:sz w:val="20"/>
          <w:szCs w:val="20"/>
          <w:color w:val="auto"/>
        </w:rPr>
      </w:pPr>
      <w:r>
        <w:rPr>
          <w:rFonts w:ascii="Courier New" w:cs="Courier New" w:eastAsia="Courier New" w:hAnsi="Courier New"/>
          <w:sz w:val="18"/>
          <w:szCs w:val="18"/>
          <w:color w:val="auto"/>
        </w:rPr>
        <w:t>POWER OF ATTORNEY</w:t>
      </w:r>
    </w:p>
    <w:p>
      <w:pPr>
        <w:ind w:left="328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211"/>
        <w:spacing w:after="0" w:line="238"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Matthew Eckl and Michael Burmaster, and each of them, as the true and lawful attorney or attorneys-in-fact, with full power of substitution and revocation, for the undersigned and in the name, place and stead of the undersigned, in any and all capacities, to execute, on behalf of the undersigned, (1) any and all notices pursuant to Rule l44 under the Securities Act of 1933 with respect to sales of shares of common stock, par value $0.01 per share, or other securities, of CECO Environmental Corp., including, without limitation, all notices of proposed sale on Form 144, and (2) any and all statements or reports under Section 16 of the Securities Exchange Act of 1934 with respect to the beneficial ownership of common stock, par value $0.01 per share, or other securities, of CECO Environmental Corp., including, without limitation, all initial statements of beneficial ownership on Form 3, all statements of changes in beneficial ownership on Form 4, all annual statements of beneficial ownership on Form 5 and all successor or similar forms, to be filed with the Securities and Exchange Commission, to execute any and all amendments or supplements to any such notices, statements or reports, and to file the same, with all exhibits thereto, and other documents in connection therewith, with the Securities and Exchange Commission, granting to said attorney or attorneys-in-fact, and each of them, full power and authority to do so and perform each and every act and thing requisite and necessary to be done in and about the premises (including, without limitation, completing, executing, delivering and filing a Form ID to apply for electronic filing codes), as fully and to all intents and purposes as the undersigned might or could do in person, and hereby ratifying and confirming all that said attorney or attorneys-in-fact, or any of them, or their substitute or substitutes, may lawfully do or cause to be done by virtue hereof. The undersigned acknowledges that the foregoing attorneys-in-fact, and each of them, in serving in such capacity at the request of the undersigned, are not assuming any of the responsibilities of the undersigned to comply with Section 16 of the Securities Exchange Act of 1934 or any other legal requirement. This Power of Attorney shall remain in effect until revoked in writing by the undersigned.</w:t>
      </w:r>
    </w:p>
    <w:p>
      <w:pPr>
        <w:spacing w:after="0" w:line="200" w:lineRule="exact"/>
        <w:rPr>
          <w:sz w:val="20"/>
          <w:szCs w:val="20"/>
          <w:color w:val="auto"/>
        </w:rPr>
      </w:pPr>
    </w:p>
    <w:p>
      <w:pPr>
        <w:spacing w:after="0" w:line="211"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/s/ Paul M. Gohr</w:t>
      </w:r>
    </w:p>
    <w:p>
      <w:pPr>
        <w:ind w:left="4740"/>
        <w:spacing w:after="0" w:line="238" w:lineRule="auto"/>
        <w:rPr>
          <w:sz w:val="20"/>
          <w:szCs w:val="20"/>
          <w:color w:val="auto"/>
        </w:rPr>
      </w:pPr>
      <w:r>
        <w:rPr>
          <w:rFonts w:ascii="Courier New" w:cs="Courier New" w:eastAsia="Courier New" w:hAnsi="Courier New"/>
          <w:sz w:val="18"/>
          <w:szCs w:val="18"/>
          <w:color w:val="auto"/>
        </w:rPr>
        <w:t>-----------------------------</w:t>
      </w:r>
    </w:p>
    <w:p>
      <w:pPr>
        <w:ind w:left="4740"/>
        <w:spacing w:after="0"/>
        <w:rPr>
          <w:sz w:val="20"/>
          <w:szCs w:val="20"/>
          <w:color w:val="auto"/>
        </w:rPr>
      </w:pPr>
      <w:r>
        <w:rPr>
          <w:rFonts w:ascii="Courier New" w:cs="Courier New" w:eastAsia="Courier New" w:hAnsi="Courier New"/>
          <w:sz w:val="18"/>
          <w:szCs w:val="18"/>
          <w:color w:val="auto"/>
        </w:rPr>
        <w:t>Name: Paul M. Gohr</w:t>
      </w:r>
    </w:p>
    <w:p>
      <w:pPr>
        <w:spacing w:after="0" w:line="237" w:lineRule="auto"/>
        <w:rPr>
          <w:sz w:val="20"/>
          <w:szCs w:val="20"/>
          <w:color w:val="auto"/>
        </w:rPr>
      </w:pPr>
      <w:r>
        <w:rPr>
          <w:rFonts w:ascii="Courier New" w:cs="Courier New" w:eastAsia="Courier New" w:hAnsi="Courier New"/>
          <w:sz w:val="18"/>
          <w:szCs w:val="18"/>
          <w:color w:val="auto"/>
        </w:rPr>
        <w:t>Date: May 16, 2017</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hyperlink" Target="http://www.sec.gov/cgi-bin/browse-edgar?action=getcompany&amp;CIK=0001706761" TargetMode="External"/><Relationship Id="rId12"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2020-01-16T02:24:33Z</dcterms:created>
  <dcterms:modified xsi:type="dcterms:W3CDTF">2020-01-16T02:24:33Z</dcterms:modified>
</cp:coreProperties>
</file>