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210185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229870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June 11,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CECO Environmental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060" w:type="dxa"/>
            <w:vAlign w:val="bottom"/>
          </w:tcPr>
          <w:p>
            <w:pPr>
              <w:jc w:val="center"/>
              <w:ind w:right="225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center"/>
              <w:ind w:right="1122"/>
              <w:spacing w:after="0"/>
              <w:rPr>
                <w:sz w:val="20"/>
                <w:szCs w:val="20"/>
                <w:color w:val="auto"/>
              </w:rPr>
            </w:pPr>
            <w:r>
              <w:rPr>
                <w:rFonts w:ascii="Arial" w:cs="Arial" w:eastAsia="Arial" w:hAnsi="Arial"/>
                <w:sz w:val="18"/>
                <w:szCs w:val="18"/>
                <w:b w:val="1"/>
                <w:bCs w:val="1"/>
                <w:color w:val="auto"/>
                <w:w w:val="91"/>
              </w:rPr>
              <w:t>000-7099</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13-2566064</w:t>
            </w:r>
          </w:p>
        </w:tc>
      </w:tr>
      <w:tr>
        <w:trPr>
          <w:trHeight w:val="149"/>
        </w:trPr>
        <w:tc>
          <w:tcPr>
            <w:tcW w:w="406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jc w:val="center"/>
              <w:ind w:right="1122"/>
              <w:spacing w:after="0" w:line="149" w:lineRule="exact"/>
              <w:rPr>
                <w:sz w:val="20"/>
                <w:szCs w:val="20"/>
                <w:color w:val="auto"/>
              </w:rPr>
            </w:pPr>
            <w:r>
              <w:rPr>
                <w:rFonts w:ascii="Arial" w:cs="Arial" w:eastAsia="Arial" w:hAnsi="Arial"/>
                <w:sz w:val="14"/>
                <w:szCs w:val="14"/>
                <w:b w:val="1"/>
                <w:bCs w:val="1"/>
                <w:color w:val="auto"/>
                <w:w w:val="92"/>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60" w:type="dxa"/>
            <w:vAlign w:val="bottom"/>
          </w:tcPr>
          <w:p>
            <w:pPr>
              <w:jc w:val="center"/>
              <w:ind w:right="227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jc w:val="center"/>
              <w:ind w:right="1122"/>
              <w:spacing w:after="0"/>
              <w:rPr>
                <w:sz w:val="20"/>
                <w:szCs w:val="20"/>
                <w:color w:val="auto"/>
              </w:rPr>
            </w:pPr>
            <w:r>
              <w:rPr>
                <w:rFonts w:ascii="Arial" w:cs="Arial" w:eastAsia="Arial" w:hAnsi="Arial"/>
                <w:sz w:val="14"/>
                <w:szCs w:val="14"/>
                <w:b w:val="1"/>
                <w:bCs w:val="1"/>
                <w:color w:val="auto"/>
                <w:w w:val="95"/>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060" w:type="dxa"/>
            <w:vAlign w:val="bottom"/>
          </w:tcPr>
          <w:p>
            <w:pPr>
              <w:jc w:val="center"/>
              <w:ind w:left="1219"/>
              <w:spacing w:after="0"/>
              <w:rPr>
                <w:sz w:val="20"/>
                <w:szCs w:val="20"/>
                <w:color w:val="auto"/>
              </w:rPr>
            </w:pPr>
            <w:r>
              <w:rPr>
                <w:rFonts w:ascii="Arial" w:cs="Arial" w:eastAsia="Arial" w:hAnsi="Arial"/>
                <w:sz w:val="18"/>
                <w:szCs w:val="18"/>
                <w:b w:val="1"/>
                <w:bCs w:val="1"/>
                <w:color w:val="auto"/>
                <w:w w:val="91"/>
              </w:rPr>
              <w:t>14651 North Dallas Parkway</w:t>
            </w:r>
          </w:p>
        </w:tc>
        <w:tc>
          <w:tcPr>
            <w:tcW w:w="23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25"/>
        </w:trPr>
        <w:tc>
          <w:tcPr>
            <w:tcW w:w="4060" w:type="dxa"/>
            <w:vAlign w:val="bottom"/>
          </w:tcPr>
          <w:p>
            <w:pPr>
              <w:jc w:val="center"/>
              <w:ind w:left="1199"/>
              <w:spacing w:after="0"/>
              <w:rPr>
                <w:sz w:val="20"/>
                <w:szCs w:val="20"/>
                <w:color w:val="auto"/>
              </w:rPr>
            </w:pPr>
            <w:r>
              <w:rPr>
                <w:rFonts w:ascii="Arial" w:cs="Arial" w:eastAsia="Arial" w:hAnsi="Arial"/>
                <w:sz w:val="18"/>
                <w:szCs w:val="18"/>
                <w:b w:val="1"/>
                <w:bCs w:val="1"/>
                <w:color w:val="auto"/>
                <w:w w:val="95"/>
              </w:rPr>
              <w:t>Dallas, TX</w:t>
            </w:r>
          </w:p>
        </w:tc>
        <w:tc>
          <w:tcPr>
            <w:tcW w:w="2300" w:type="dxa"/>
            <w:vAlign w:val="bottom"/>
          </w:tcPr>
          <w:p>
            <w:pPr>
              <w:spacing w:after="0"/>
              <w:rPr>
                <w:sz w:val="19"/>
                <w:szCs w:val="19"/>
                <w:color w:val="auto"/>
              </w:rPr>
            </w:pP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75254</w:t>
            </w:r>
          </w:p>
        </w:tc>
      </w:tr>
      <w:tr>
        <w:trPr>
          <w:trHeight w:val="186"/>
        </w:trPr>
        <w:tc>
          <w:tcPr>
            <w:tcW w:w="4060" w:type="dxa"/>
            <w:vAlign w:val="bottom"/>
          </w:tcPr>
          <w:p>
            <w:pPr>
              <w:jc w:val="center"/>
              <w:ind w:left="11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(513) 458-2600</w:t>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210820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CECE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Definitive Material Agreement</w:t>
      </w:r>
    </w:p>
    <w:p>
      <w:pPr>
        <w:spacing w:after="0" w:line="121"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On June 11, 2019, CECO Environmental Corp. (“CECO” or the “Company”) entered into a Second Amended and Restated Credit Agreement among the Company, certain of the Company’s subsidiaries, the lenders from time to time party thereto, Bank of America, N.A., as Administrative Agent, Swing Line Lender and an L/C Issuer, and the other L/C Issuers from time to time party thereto (the “New Credit Agreement”). The New Credit Agreement amends CECO’s existing Amended and Restated Credit Agreement, dated as of September 3, 2015, by and among the Company, the lenders party thereto, Bank of America, N.A., as Administrative Agent, Swing Line Lender and an L/C Issuer, and the other L/C Issuers party thereto.</w:t>
      </w:r>
    </w:p>
    <w:p>
      <w:pPr>
        <w:spacing w:after="0" w:line="158" w:lineRule="exact"/>
        <w:rPr>
          <w:sz w:val="20"/>
          <w:szCs w:val="20"/>
          <w:color w:val="auto"/>
        </w:rPr>
      </w:pPr>
    </w:p>
    <w:p>
      <w:pPr>
        <w:ind w:right="240" w:firstLine="441"/>
        <w:spacing w:after="0" w:line="276" w:lineRule="auto"/>
        <w:rPr>
          <w:sz w:val="20"/>
          <w:szCs w:val="20"/>
          <w:color w:val="auto"/>
        </w:rPr>
      </w:pPr>
      <w:r>
        <w:rPr>
          <w:rFonts w:ascii="Arial" w:cs="Arial" w:eastAsia="Arial" w:hAnsi="Arial"/>
          <w:sz w:val="17"/>
          <w:szCs w:val="17"/>
          <w:color w:val="auto"/>
        </w:rPr>
        <w:t>The New Credit Agreement provides for senior credit facilities consisting of: (a) revolving credit commitments in the aggregate amount of $140.0 million (the “Revolving Credit Facility”) and (b) a term loan commitment in the aggregate amount of $50.0 million (the “Term Loan” and, together with the Revolving Credit Facility, the “Credit Facilities”). At CECO’s option and with the consent of the lenders that agree to provide the additional principal amount, the Credit Facilities may be further increased by an aggregate principal amount of up to the sum of $75.0 million and an amount such that the Consolidated Net Leverage Ratio (as defined in the New Credit Agreement) would not exceed 3.0 to 1.0.</w:t>
      </w:r>
    </w:p>
    <w:p>
      <w:pPr>
        <w:spacing w:after="0" w:line="173" w:lineRule="exact"/>
        <w:rPr>
          <w:sz w:val="20"/>
          <w:szCs w:val="20"/>
          <w:color w:val="auto"/>
        </w:rPr>
      </w:pPr>
    </w:p>
    <w:p>
      <w:pPr>
        <w:ind w:right="200" w:firstLine="441"/>
        <w:spacing w:after="0" w:line="291" w:lineRule="auto"/>
        <w:rPr>
          <w:sz w:val="20"/>
          <w:szCs w:val="20"/>
          <w:color w:val="auto"/>
        </w:rPr>
      </w:pPr>
      <w:r>
        <w:rPr>
          <w:rFonts w:ascii="Arial" w:cs="Arial" w:eastAsia="Arial" w:hAnsi="Arial"/>
          <w:sz w:val="16"/>
          <w:szCs w:val="16"/>
          <w:color w:val="auto"/>
        </w:rPr>
        <w:t>The Credit Facilities will accrue interest (a) with respect to base rate loans, at an annual rate equal to an applicable rate of between 0.75% and 1.75% (fluctuating based on CECO’s Consolidated Net Leverage Ratio), plus a rate equal to the highest of (1) the Bank of America, N.A., prime rate,</w:t>
      </w:r>
    </w:p>
    <w:p>
      <w:pPr>
        <w:ind w:right="60" w:firstLine="4"/>
        <w:spacing w:after="0" w:line="288" w:lineRule="auto"/>
        <w:tabs>
          <w:tab w:leader="none" w:pos="255"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Federal Funds rate plus 0.50%, (3) the Eurocurrency Rate plus 1.00% and (4) 1.00%, and (b) with respect to Eurocurrency Rate loans, at an annual rate equal to an applicable rate of between 1.75% and 2.75% (fluctuating based on CECO’s Consolidated Net Leverage Ratio), plus a rate determined based on the denominated currency (1) if denominated in a U.S. Dollars, Euro, Sterling, Swiss Franc or Yen, the LIBOR rate, (2) if denominated in Canadian dollars, the rate per annum equal to the Canadian Dealer Offered Rate, or a comparable or successor rate which rate is approved by Bank of America, N.A., or (3) if denominated in a currency other than (1) or (2), the rate per annum as designated with respect to such currency at the time such currency was approved by Bank of America, N.A., and the other lenders under the Revolving Credit Facility or, if such rate is unavailable on any date of determination for any reason, a comparable or successor rate approved by Bank of America, N.A.</w:t>
      </w:r>
    </w:p>
    <w:p>
      <w:pPr>
        <w:spacing w:after="0" w:line="169" w:lineRule="exact"/>
        <w:rPr>
          <w:sz w:val="20"/>
          <w:szCs w:val="20"/>
          <w:color w:val="auto"/>
        </w:rPr>
      </w:pPr>
    </w:p>
    <w:p>
      <w:pPr>
        <w:ind w:right="220" w:firstLine="441"/>
        <w:spacing w:after="0" w:line="288" w:lineRule="auto"/>
        <w:rPr>
          <w:sz w:val="20"/>
          <w:szCs w:val="20"/>
          <w:color w:val="auto"/>
        </w:rPr>
      </w:pPr>
      <w:r>
        <w:rPr>
          <w:rFonts w:ascii="Arial" w:cs="Arial" w:eastAsia="Arial" w:hAnsi="Arial"/>
          <w:sz w:val="16"/>
          <w:szCs w:val="16"/>
          <w:color w:val="auto"/>
        </w:rPr>
        <w:t>The Credit Facilities will mature on June 11, 2024. The parties to the New Credit Agreement provided covenants and made representations and warranties that are usual and customary for transactions of this type. With respect to financial covenants, the Company is required to maintain a Consolidated Net Leverage Ratio of (i) for each four fiscal quarter period ending June 30, 2019 through September 30, 2020, not greater than 3.75 to</w:t>
      </w:r>
    </w:p>
    <w:p>
      <w:pPr>
        <w:ind w:right="80"/>
        <w:spacing w:after="0" w:line="269" w:lineRule="auto"/>
        <w:rPr>
          <w:sz w:val="20"/>
          <w:szCs w:val="20"/>
          <w:color w:val="auto"/>
        </w:rPr>
      </w:pPr>
      <w:r>
        <w:rPr>
          <w:rFonts w:ascii="Arial" w:cs="Arial" w:eastAsia="Arial" w:hAnsi="Arial"/>
          <w:sz w:val="17"/>
          <w:szCs w:val="17"/>
          <w:color w:val="auto"/>
        </w:rPr>
        <w:t>1.00, (ii) for each four fiscal quarter period ending December 31, 2020 through September 30, 2021, not greater than 3.50 to 1.00 and (iii) for each four fiscal quarter period thereafter, not greater than 3.25 to 1.00. At the election of the Company and subject to certain restrictions contained in the New Credit Agreement, such maximum Consolidated Net Leverage Ratio may be increased by 0.50 to 1.00 (but in no event shall exceed 4.00 to 1.00) following a Permitted Acquisition (as defined in the New Credit Agreement) involving aggregate consideration of $15.0 million or more and such elevated ratio shall continue for the subsequent three fiscal quarters. The Company is also required to maintain a Consolidated Fixed Charge Coverage Ratio (as defined in the New Credit Agreement) as of the most recently completed fiscal quarter of not less than 1.25 to 1.00. The New Credit Agreement also contains customary events of default.</w:t>
      </w:r>
    </w:p>
    <w:p>
      <w:pPr>
        <w:spacing w:after="0" w:line="181" w:lineRule="exact"/>
        <w:rPr>
          <w:sz w:val="20"/>
          <w:szCs w:val="20"/>
          <w:color w:val="auto"/>
        </w:rPr>
      </w:pPr>
    </w:p>
    <w:p>
      <w:pPr>
        <w:jc w:val="both"/>
        <w:ind w:right="340" w:firstLine="441"/>
        <w:spacing w:after="0" w:line="264" w:lineRule="auto"/>
        <w:rPr>
          <w:sz w:val="20"/>
          <w:szCs w:val="20"/>
          <w:color w:val="auto"/>
        </w:rPr>
      </w:pPr>
      <w:r>
        <w:rPr>
          <w:rFonts w:ascii="Arial" w:cs="Arial" w:eastAsia="Arial" w:hAnsi="Arial"/>
          <w:sz w:val="18"/>
          <w:szCs w:val="18"/>
          <w:color w:val="auto"/>
        </w:rPr>
        <w:t>Certain of the lenders, as well as certain of their respective affiliates, have performed and may in the future perform for the Company, various commercial banking, investment banking, lending, underwriting, trust services, financial advisory and other financial services, for which they have received and may in the future receive customary fees and expenses.</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foregoing description of the New Credit Agreement does not purport to be complete and is qualified in its entirety by reference to the full text of the New Credit Agreement, a copy of which is attached hereto as Exhibit 10.1, and is incorporated by reference herein.</w:t>
      </w:r>
    </w:p>
    <w:p>
      <w:pPr>
        <w:sectPr>
          <w:pgSz w:w="11900" w:h="16838" w:orient="portrait"/>
          <w:cols w:equalWidth="0" w:num="1">
            <w:col w:w="10980"/>
          </w:cols>
          <w:pgMar w:left="440" w:top="270" w:right="47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under Item 1.01 above is incorporated by reference herein.</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Description</w:t>
            </w:r>
          </w:p>
        </w:tc>
        <w:tc>
          <w:tcPr>
            <w:tcW w:w="4280" w:type="dxa"/>
            <w:vAlign w:val="bottom"/>
          </w:tcPr>
          <w:p>
            <w:pPr>
              <w:spacing w:after="0"/>
              <w:rPr>
                <w:sz w:val="14"/>
                <w:szCs w:val="14"/>
                <w:color w:val="auto"/>
              </w:rPr>
            </w:pPr>
          </w:p>
        </w:tc>
      </w:tr>
      <w:tr>
        <w:trPr>
          <w:trHeight w:val="277"/>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94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9"/>
              </w:rPr>
              <w:t>Second Amended and Restated Credit Agreement, dated as of June 11, 2019, among CECO Environmental Corp. and certain of its</w:t>
            </w: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20" w:type="dxa"/>
            <w:vAlign w:val="bottom"/>
            <w:gridSpan w:val="4"/>
          </w:tcPr>
          <w:p>
            <w:pPr>
              <w:spacing w:after="0" w:line="196" w:lineRule="exact"/>
              <w:rPr>
                <w:sz w:val="20"/>
                <w:szCs w:val="20"/>
                <w:color w:val="auto"/>
              </w:rPr>
            </w:pPr>
            <w:r>
              <w:rPr>
                <w:rFonts w:ascii="Arial" w:cs="Arial" w:eastAsia="Arial" w:hAnsi="Arial"/>
                <w:sz w:val="18"/>
                <w:szCs w:val="18"/>
                <w:color w:val="0000EE"/>
              </w:rPr>
              <w:t>subsidiaries, the Lenders party thereto, and Bank of America, N.A.</w:t>
            </w: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r>
    </w:tbl>
    <w:p>
      <w:pPr>
        <w:spacing w:after="0" w:line="256" w:lineRule="exact"/>
        <w:rPr>
          <w:sz w:val="20"/>
          <w:szCs w:val="20"/>
          <w:color w:val="auto"/>
        </w:rPr>
      </w:pPr>
    </w:p>
    <w:p>
      <w:pPr>
        <w:ind w:left="440" w:hanging="436"/>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Schedules and exhibits have been omitted. The Registrant agrees to furnish supplementally to the Securities and Exchange Commission a copy of any omitted schedule or exhibit upon request.</w:t>
      </w:r>
    </w:p>
    <w:p>
      <w:pPr>
        <w:sectPr>
          <w:pgSz w:w="11900" w:h="16838" w:orient="portrait"/>
          <w:cols w:equalWidth="0" w:num="1">
            <w:col w:w="10920"/>
          </w:cols>
          <w:pgMar w:left="440" w:top="270" w:right="53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June 12, 2019</w:t>
      </w:r>
      <w:r>
        <w:rPr>
          <w:sz w:val="20"/>
          <w:szCs w:val="20"/>
          <w:color w:val="auto"/>
        </w:rPr>
        <w:tab/>
      </w:r>
      <w:r>
        <w:rPr>
          <w:rFonts w:ascii="Arial" w:cs="Arial" w:eastAsia="Arial" w:hAnsi="Arial"/>
          <w:sz w:val="17"/>
          <w:szCs w:val="17"/>
          <w:color w:val="auto"/>
        </w:rPr>
        <w:t>CECO ENVIRONMENTAL CORP.</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Matthew Eckl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20"/>
          </w:cols>
          <w:pgMar w:left="440" w:top="270" w:right="7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186690</wp:posOffset>
            </wp:positionV>
            <wp:extent cx="699770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220980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Published Deal CUSIP Number: 12514DAF2</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Published Revolving Credit Facility CUSIP Number: 12514DAG0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Published Term Loan Facility CUSIP Number: 12514DAH8</w:t>
      </w:r>
    </w:p>
    <w:p>
      <w:pPr>
        <w:spacing w:after="0" w:line="20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SECOND AMENDED AND RESTATED CREDIT AGREEMENT</w:t>
      </w:r>
    </w:p>
    <w:p>
      <w:pPr>
        <w:spacing w:after="0" w:line="22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Dated as of June 11, 2019</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CECO ENVIRONMENTAL CORP.</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CERTAIN SUBSIDIARIES,</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as Borrowers,</w:t>
      </w:r>
    </w:p>
    <w:p>
      <w:pPr>
        <w:spacing w:after="0" w:line="20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THE LENDERS PARTY HERETO</w:t>
      </w:r>
      <w:r>
        <w:rPr>
          <w:rFonts w:ascii="Arial" w:cs="Arial" w:eastAsia="Arial" w:hAnsi="Arial"/>
          <w:sz w:val="18"/>
          <w:szCs w:val="18"/>
          <w:color w:val="auto"/>
        </w:rPr>
        <w: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BANK OF AMERICA, N.A.</w:t>
      </w:r>
      <w:r>
        <w:rPr>
          <w:rFonts w:ascii="Arial" w:cs="Arial" w:eastAsia="Arial" w:hAnsi="Arial"/>
          <w:sz w:val="18"/>
          <w:szCs w:val="18"/>
          <w:color w:val="auto"/>
        </w:rPr>
        <w:t>,</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as Administrative Agent, Swing Line Lender</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 L/C Issuer,</w:t>
      </w:r>
    </w:p>
    <w:p>
      <w:pPr>
        <w:spacing w:after="0" w:line="20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CITIZENS BANK, N.A.</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CITIBANK, N.A.</w:t>
      </w:r>
      <w:r>
        <w:rPr>
          <w:rFonts w:ascii="Arial" w:cs="Arial" w:eastAsia="Arial" w:hAnsi="Arial"/>
          <w:sz w:val="18"/>
          <w:szCs w:val="18"/>
          <w:color w:val="auto"/>
        </w:rPr>
        <w:t>,</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as Co-Syndication Agents,</w:t>
      </w:r>
    </w:p>
    <w:p>
      <w:pPr>
        <w:spacing w:after="0" w:line="20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FIFTH THIRD BANK</w:t>
      </w:r>
      <w:r>
        <w:rPr>
          <w:rFonts w:ascii="Arial" w:cs="Arial" w:eastAsia="Arial" w:hAnsi="Arial"/>
          <w:sz w:val="18"/>
          <w:szCs w:val="18"/>
          <w:color w:val="auto"/>
        </w:rPr>
        <w:t>,</w:t>
      </w:r>
    </w:p>
    <w:p>
      <w:pPr>
        <w:spacing w:after="0" w:line="2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as Documentation Agent,</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BOFA SECURITIES, INC.</w:t>
      </w:r>
      <w:r>
        <w:rPr>
          <w:rFonts w:ascii="Arial" w:cs="Arial" w:eastAsia="Arial" w:hAnsi="Arial"/>
          <w:sz w:val="18"/>
          <w:szCs w:val="18"/>
          <w:color w:val="auto"/>
        </w:rPr>
        <w:t>,</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168910</wp:posOffset>
            </wp:positionV>
            <wp:extent cx="6997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194310</wp:posOffset>
            </wp:positionV>
            <wp:extent cx="699770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40" w:type="dxa"/>
            <w:vAlign w:val="bottom"/>
          </w:tcPr>
          <w:p>
            <w:pPr>
              <w:ind w:left="4120"/>
              <w:spacing w:after="0"/>
              <w:rPr>
                <w:sz w:val="20"/>
                <w:szCs w:val="20"/>
                <w:color w:val="auto"/>
              </w:rPr>
            </w:pPr>
            <w:r>
              <w:rPr>
                <w:rFonts w:ascii="Arial" w:cs="Arial" w:eastAsia="Arial" w:hAnsi="Arial"/>
                <w:sz w:val="18"/>
                <w:szCs w:val="18"/>
                <w:b w:val="1"/>
                <w:bCs w:val="1"/>
                <w:color w:val="auto"/>
              </w:rPr>
              <w:t>TABLE OF CONTENTS</w:t>
            </w: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440" w:type="dxa"/>
            <w:vAlign w:val="bottom"/>
            <w:gridSpan w:val="2"/>
          </w:tcPr>
          <w:p>
            <w:pPr>
              <w:spacing w:after="0"/>
              <w:rPr>
                <w:sz w:val="20"/>
                <w:szCs w:val="20"/>
                <w:color w:val="auto"/>
              </w:rPr>
            </w:pPr>
            <w:r>
              <w:rPr>
                <w:rFonts w:ascii="Arial" w:cs="Arial" w:eastAsia="Arial" w:hAnsi="Arial"/>
                <w:sz w:val="14"/>
                <w:szCs w:val="14"/>
                <w:color w:val="auto"/>
                <w:w w:val="89"/>
              </w:rPr>
              <w:t>Section</w:t>
            </w:r>
          </w:p>
        </w:tc>
        <w:tc>
          <w:tcPr>
            <w:tcW w:w="8540" w:type="dxa"/>
            <w:vAlign w:val="bottom"/>
            <w:vMerge w:val="restart"/>
          </w:tcPr>
          <w:p>
            <w:pPr>
              <w:jc w:val="center"/>
              <w:ind w:left="950"/>
              <w:spacing w:after="0"/>
              <w:rPr>
                <w:sz w:val="20"/>
                <w:szCs w:val="20"/>
                <w:color w:val="auto"/>
              </w:rPr>
            </w:pPr>
            <w:r>
              <w:rPr>
                <w:rFonts w:ascii="Arial" w:cs="Arial" w:eastAsia="Arial" w:hAnsi="Arial"/>
                <w:sz w:val="18"/>
                <w:szCs w:val="18"/>
                <w:color w:val="auto"/>
                <w:w w:val="98"/>
              </w:rPr>
              <w:t>ARTICLE I.</w:t>
            </w:r>
          </w:p>
        </w:tc>
        <w:tc>
          <w:tcPr>
            <w:tcW w:w="2000" w:type="dxa"/>
            <w:vAlign w:val="bottom"/>
            <w:gridSpan w:val="2"/>
          </w:tcPr>
          <w:p>
            <w:pPr>
              <w:jc w:val="right"/>
              <w:ind w:right="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8540" w:type="dxa"/>
            <w:vAlign w:val="bottom"/>
            <w:vMerge w:val="continue"/>
          </w:tcPr>
          <w:p>
            <w:pPr>
              <w:spacing w:after="0"/>
              <w:rPr>
                <w:sz w:val="16"/>
                <w:szCs w:val="16"/>
                <w:color w:val="auto"/>
              </w:rPr>
            </w:pPr>
          </w:p>
        </w:tc>
        <w:tc>
          <w:tcPr>
            <w:tcW w:w="17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540" w:type="dxa"/>
            <w:vAlign w:val="bottom"/>
          </w:tcPr>
          <w:p>
            <w:pPr>
              <w:jc w:val="center"/>
              <w:ind w:left="970"/>
              <w:spacing w:after="0"/>
              <w:rPr>
                <w:sz w:val="20"/>
                <w:szCs w:val="20"/>
                <w:color w:val="auto"/>
              </w:rPr>
            </w:pPr>
            <w:r>
              <w:rPr>
                <w:rFonts w:ascii="Arial" w:cs="Arial" w:eastAsia="Arial" w:hAnsi="Arial"/>
                <w:sz w:val="18"/>
                <w:szCs w:val="18"/>
                <w:color w:val="auto"/>
                <w:w w:val="97"/>
              </w:rPr>
              <w:t>DEFINITIONS AND ACCOUNTING TERMS</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1.01</w:t>
            </w:r>
          </w:p>
        </w:tc>
        <w:tc>
          <w:tcPr>
            <w:tcW w:w="8540" w:type="dxa"/>
            <w:vAlign w:val="bottom"/>
          </w:tcPr>
          <w:p>
            <w:pPr>
              <w:ind w:left="200"/>
              <w:spacing w:after="0"/>
              <w:rPr>
                <w:sz w:val="20"/>
                <w:szCs w:val="20"/>
                <w:color w:val="auto"/>
              </w:rPr>
            </w:pPr>
            <w:r>
              <w:rPr>
                <w:rFonts w:ascii="Arial" w:cs="Arial" w:eastAsia="Arial" w:hAnsi="Arial"/>
                <w:sz w:val="18"/>
                <w:szCs w:val="18"/>
                <w:color w:val="auto"/>
              </w:rPr>
              <w:t>Defined Terms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1.02</w:t>
            </w:r>
          </w:p>
        </w:tc>
        <w:tc>
          <w:tcPr>
            <w:tcW w:w="8540" w:type="dxa"/>
            <w:vAlign w:val="bottom"/>
          </w:tcPr>
          <w:p>
            <w:pPr>
              <w:ind w:left="200"/>
              <w:spacing w:after="0"/>
              <w:rPr>
                <w:sz w:val="20"/>
                <w:szCs w:val="20"/>
                <w:color w:val="auto"/>
              </w:rPr>
            </w:pPr>
            <w:r>
              <w:rPr>
                <w:rFonts w:ascii="Arial" w:cs="Arial" w:eastAsia="Arial" w:hAnsi="Arial"/>
                <w:sz w:val="18"/>
                <w:szCs w:val="18"/>
                <w:color w:val="auto"/>
              </w:rPr>
              <w:t>Other Interpretive Provisions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1.03</w:t>
            </w:r>
          </w:p>
        </w:tc>
        <w:tc>
          <w:tcPr>
            <w:tcW w:w="8540" w:type="dxa"/>
            <w:vAlign w:val="bottom"/>
          </w:tcPr>
          <w:p>
            <w:pPr>
              <w:ind w:left="200"/>
              <w:spacing w:after="0"/>
              <w:rPr>
                <w:sz w:val="20"/>
                <w:szCs w:val="20"/>
                <w:color w:val="auto"/>
              </w:rPr>
            </w:pPr>
            <w:r>
              <w:rPr>
                <w:rFonts w:ascii="Arial" w:cs="Arial" w:eastAsia="Arial" w:hAnsi="Arial"/>
                <w:sz w:val="18"/>
                <w:szCs w:val="18"/>
                <w:color w:val="auto"/>
              </w:rPr>
              <w:t>Accounting Terms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1.04</w:t>
            </w:r>
          </w:p>
        </w:tc>
        <w:tc>
          <w:tcPr>
            <w:tcW w:w="8540" w:type="dxa"/>
            <w:vAlign w:val="bottom"/>
          </w:tcPr>
          <w:p>
            <w:pPr>
              <w:ind w:left="200"/>
              <w:spacing w:after="0"/>
              <w:rPr>
                <w:sz w:val="20"/>
                <w:szCs w:val="20"/>
                <w:color w:val="auto"/>
              </w:rPr>
            </w:pPr>
            <w:r>
              <w:rPr>
                <w:rFonts w:ascii="Arial" w:cs="Arial" w:eastAsia="Arial" w:hAnsi="Arial"/>
                <w:sz w:val="18"/>
                <w:szCs w:val="18"/>
                <w:color w:val="auto"/>
              </w:rPr>
              <w:t>Rounding</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1.05</w:t>
            </w:r>
          </w:p>
        </w:tc>
        <w:tc>
          <w:tcPr>
            <w:tcW w:w="8540" w:type="dxa"/>
            <w:vAlign w:val="bottom"/>
          </w:tcPr>
          <w:p>
            <w:pPr>
              <w:ind w:left="200"/>
              <w:spacing w:after="0"/>
              <w:rPr>
                <w:sz w:val="20"/>
                <w:szCs w:val="20"/>
                <w:color w:val="auto"/>
              </w:rPr>
            </w:pPr>
            <w:r>
              <w:rPr>
                <w:rFonts w:ascii="Arial" w:cs="Arial" w:eastAsia="Arial" w:hAnsi="Arial"/>
                <w:sz w:val="18"/>
                <w:szCs w:val="18"/>
                <w:color w:val="auto"/>
              </w:rPr>
              <w:t>Times of Day</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1.06</w:t>
            </w:r>
          </w:p>
        </w:tc>
        <w:tc>
          <w:tcPr>
            <w:tcW w:w="8540" w:type="dxa"/>
            <w:vAlign w:val="bottom"/>
          </w:tcPr>
          <w:p>
            <w:pPr>
              <w:ind w:left="200"/>
              <w:spacing w:after="0"/>
              <w:rPr>
                <w:sz w:val="20"/>
                <w:szCs w:val="20"/>
                <w:color w:val="auto"/>
              </w:rPr>
            </w:pPr>
            <w:r>
              <w:rPr>
                <w:rFonts w:ascii="Arial" w:cs="Arial" w:eastAsia="Arial" w:hAnsi="Arial"/>
                <w:sz w:val="18"/>
                <w:szCs w:val="18"/>
                <w:color w:val="auto"/>
              </w:rPr>
              <w:t>Letter of Credit Amounts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1.07</w:t>
            </w:r>
          </w:p>
        </w:tc>
        <w:tc>
          <w:tcPr>
            <w:tcW w:w="8540" w:type="dxa"/>
            <w:vAlign w:val="bottom"/>
          </w:tcPr>
          <w:p>
            <w:pPr>
              <w:ind w:left="200"/>
              <w:spacing w:after="0"/>
              <w:rPr>
                <w:sz w:val="20"/>
                <w:szCs w:val="20"/>
                <w:color w:val="auto"/>
              </w:rPr>
            </w:pPr>
            <w:r>
              <w:rPr>
                <w:rFonts w:ascii="Arial" w:cs="Arial" w:eastAsia="Arial" w:hAnsi="Arial"/>
                <w:sz w:val="18"/>
                <w:szCs w:val="18"/>
                <w:color w:val="auto"/>
              </w:rPr>
              <w:t>Adjustments for Specified Transactions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1.08</w:t>
            </w:r>
          </w:p>
        </w:tc>
        <w:tc>
          <w:tcPr>
            <w:tcW w:w="8540" w:type="dxa"/>
            <w:vAlign w:val="bottom"/>
          </w:tcPr>
          <w:p>
            <w:pPr>
              <w:ind w:left="200"/>
              <w:spacing w:after="0"/>
              <w:rPr>
                <w:sz w:val="20"/>
                <w:szCs w:val="20"/>
                <w:color w:val="auto"/>
              </w:rPr>
            </w:pPr>
            <w:r>
              <w:rPr>
                <w:rFonts w:ascii="Arial" w:cs="Arial" w:eastAsia="Arial" w:hAnsi="Arial"/>
                <w:sz w:val="18"/>
                <w:szCs w:val="18"/>
                <w:color w:val="auto"/>
              </w:rPr>
              <w:t>Exchange Rates; Currency Equivalents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1.09</w:t>
            </w:r>
          </w:p>
        </w:tc>
        <w:tc>
          <w:tcPr>
            <w:tcW w:w="8540" w:type="dxa"/>
            <w:vAlign w:val="bottom"/>
          </w:tcPr>
          <w:p>
            <w:pPr>
              <w:ind w:left="200"/>
              <w:spacing w:after="0"/>
              <w:rPr>
                <w:sz w:val="20"/>
                <w:szCs w:val="20"/>
                <w:color w:val="auto"/>
              </w:rPr>
            </w:pPr>
            <w:r>
              <w:rPr>
                <w:rFonts w:ascii="Arial" w:cs="Arial" w:eastAsia="Arial" w:hAnsi="Arial"/>
                <w:sz w:val="18"/>
                <w:szCs w:val="18"/>
                <w:color w:val="auto"/>
              </w:rPr>
              <w:t>Additional Alternative Currencies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1.10</w:t>
            </w:r>
          </w:p>
        </w:tc>
        <w:tc>
          <w:tcPr>
            <w:tcW w:w="8540" w:type="dxa"/>
            <w:vAlign w:val="bottom"/>
          </w:tcPr>
          <w:p>
            <w:pPr>
              <w:ind w:left="200"/>
              <w:spacing w:after="0"/>
              <w:rPr>
                <w:sz w:val="20"/>
                <w:szCs w:val="20"/>
                <w:color w:val="auto"/>
              </w:rPr>
            </w:pPr>
            <w:r>
              <w:rPr>
                <w:rFonts w:ascii="Arial" w:cs="Arial" w:eastAsia="Arial" w:hAnsi="Arial"/>
                <w:sz w:val="18"/>
                <w:szCs w:val="18"/>
                <w:color w:val="auto"/>
              </w:rPr>
              <w:t>Change of Currency</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40" w:type="dxa"/>
            <w:vAlign w:val="bottom"/>
            <w:gridSpan w:val="2"/>
          </w:tcPr>
          <w:p>
            <w:pPr>
              <w:spacing w:after="0"/>
              <w:rPr>
                <w:sz w:val="20"/>
                <w:szCs w:val="20"/>
                <w:color w:val="auto"/>
              </w:rPr>
            </w:pPr>
            <w:r>
              <w:rPr>
                <w:rFonts w:ascii="Arial" w:cs="Arial" w:eastAsia="Arial" w:hAnsi="Arial"/>
                <w:sz w:val="18"/>
                <w:szCs w:val="18"/>
                <w:color w:val="auto"/>
              </w:rPr>
              <w:t>1.11</w:t>
            </w:r>
          </w:p>
        </w:tc>
        <w:tc>
          <w:tcPr>
            <w:tcW w:w="8540" w:type="dxa"/>
            <w:vAlign w:val="bottom"/>
          </w:tcPr>
          <w:p>
            <w:pPr>
              <w:ind w:left="200"/>
              <w:spacing w:after="0"/>
              <w:rPr>
                <w:sz w:val="20"/>
                <w:szCs w:val="20"/>
                <w:color w:val="auto"/>
              </w:rPr>
            </w:pPr>
            <w:r>
              <w:rPr>
                <w:rFonts w:ascii="Arial" w:cs="Arial" w:eastAsia="Arial" w:hAnsi="Arial"/>
                <w:sz w:val="18"/>
                <w:szCs w:val="18"/>
                <w:color w:val="auto"/>
              </w:rPr>
              <w:t>Interest Rates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540" w:type="dxa"/>
            <w:vAlign w:val="bottom"/>
          </w:tcPr>
          <w:p>
            <w:pPr>
              <w:jc w:val="center"/>
              <w:ind w:left="970"/>
              <w:spacing w:after="0"/>
              <w:rPr>
                <w:sz w:val="20"/>
                <w:szCs w:val="20"/>
                <w:color w:val="auto"/>
              </w:rPr>
            </w:pPr>
            <w:r>
              <w:rPr>
                <w:rFonts w:ascii="Arial" w:cs="Arial" w:eastAsia="Arial" w:hAnsi="Arial"/>
                <w:sz w:val="18"/>
                <w:szCs w:val="18"/>
                <w:color w:val="auto"/>
                <w:w w:val="99"/>
              </w:rPr>
              <w:t>ARTICLE II.</w:t>
            </w: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40" w:type="dxa"/>
            <w:vAlign w:val="bottom"/>
          </w:tcPr>
          <w:p>
            <w:pPr>
              <w:jc w:val="center"/>
              <w:ind w:left="970"/>
              <w:spacing w:after="0"/>
              <w:rPr>
                <w:sz w:val="20"/>
                <w:szCs w:val="20"/>
                <w:color w:val="auto"/>
              </w:rPr>
            </w:pPr>
            <w:r>
              <w:rPr>
                <w:rFonts w:ascii="Arial" w:cs="Arial" w:eastAsia="Arial" w:hAnsi="Arial"/>
                <w:sz w:val="18"/>
                <w:szCs w:val="18"/>
                <w:color w:val="auto"/>
                <w:w w:val="97"/>
              </w:rPr>
              <w:t>THE COMMITMENTS AND CREDIT EXTENSIONS</w:t>
            </w: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0" w:type="dxa"/>
            <w:vAlign w:val="bottom"/>
            <w:gridSpan w:val="2"/>
          </w:tcPr>
          <w:p>
            <w:pPr>
              <w:spacing w:after="0"/>
              <w:rPr>
                <w:sz w:val="20"/>
                <w:szCs w:val="20"/>
                <w:color w:val="auto"/>
              </w:rPr>
            </w:pPr>
            <w:r>
              <w:rPr>
                <w:rFonts w:ascii="Arial" w:cs="Arial" w:eastAsia="Arial" w:hAnsi="Arial"/>
                <w:sz w:val="18"/>
                <w:szCs w:val="18"/>
                <w:color w:val="auto"/>
              </w:rPr>
              <w:t>2.01</w:t>
            </w:r>
          </w:p>
        </w:tc>
        <w:tc>
          <w:tcPr>
            <w:tcW w:w="8540" w:type="dxa"/>
            <w:vAlign w:val="bottom"/>
          </w:tcPr>
          <w:p>
            <w:pPr>
              <w:ind w:left="200"/>
              <w:spacing w:after="0"/>
              <w:rPr>
                <w:sz w:val="20"/>
                <w:szCs w:val="20"/>
                <w:color w:val="auto"/>
              </w:rPr>
            </w:pPr>
            <w:r>
              <w:rPr>
                <w:rFonts w:ascii="Arial" w:cs="Arial" w:eastAsia="Arial" w:hAnsi="Arial"/>
                <w:sz w:val="18"/>
                <w:szCs w:val="18"/>
                <w:color w:val="auto"/>
              </w:rPr>
              <w:t>Loans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2.02</w:t>
            </w:r>
          </w:p>
        </w:tc>
        <w:tc>
          <w:tcPr>
            <w:tcW w:w="8540" w:type="dxa"/>
            <w:vAlign w:val="bottom"/>
          </w:tcPr>
          <w:p>
            <w:pPr>
              <w:ind w:left="200"/>
              <w:spacing w:after="0"/>
              <w:rPr>
                <w:sz w:val="20"/>
                <w:szCs w:val="20"/>
                <w:color w:val="auto"/>
              </w:rPr>
            </w:pPr>
            <w:r>
              <w:rPr>
                <w:rFonts w:ascii="Arial" w:cs="Arial" w:eastAsia="Arial" w:hAnsi="Arial"/>
                <w:sz w:val="18"/>
                <w:szCs w:val="18"/>
                <w:color w:val="auto"/>
              </w:rPr>
              <w:t>Borrowings, Conversions and Continuations of Loans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2.03</w:t>
            </w:r>
          </w:p>
        </w:tc>
        <w:tc>
          <w:tcPr>
            <w:tcW w:w="8540" w:type="dxa"/>
            <w:vAlign w:val="bottom"/>
          </w:tcPr>
          <w:p>
            <w:pPr>
              <w:ind w:left="200"/>
              <w:spacing w:after="0"/>
              <w:rPr>
                <w:sz w:val="20"/>
                <w:szCs w:val="20"/>
                <w:color w:val="auto"/>
              </w:rPr>
            </w:pPr>
            <w:r>
              <w:rPr>
                <w:rFonts w:ascii="Arial" w:cs="Arial" w:eastAsia="Arial" w:hAnsi="Arial"/>
                <w:sz w:val="18"/>
                <w:szCs w:val="18"/>
                <w:color w:val="auto"/>
              </w:rPr>
              <w:t>Letters of Credit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2.04</w:t>
            </w:r>
          </w:p>
        </w:tc>
        <w:tc>
          <w:tcPr>
            <w:tcW w:w="8540" w:type="dxa"/>
            <w:vAlign w:val="bottom"/>
          </w:tcPr>
          <w:p>
            <w:pPr>
              <w:ind w:left="200"/>
              <w:spacing w:after="0"/>
              <w:rPr>
                <w:sz w:val="20"/>
                <w:szCs w:val="20"/>
                <w:color w:val="auto"/>
              </w:rPr>
            </w:pPr>
            <w:r>
              <w:rPr>
                <w:rFonts w:ascii="Arial" w:cs="Arial" w:eastAsia="Arial" w:hAnsi="Arial"/>
                <w:sz w:val="18"/>
                <w:szCs w:val="18"/>
                <w:color w:val="auto"/>
              </w:rPr>
              <w:t>Swing Line Loans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2.05</w:t>
            </w:r>
          </w:p>
        </w:tc>
        <w:tc>
          <w:tcPr>
            <w:tcW w:w="8540" w:type="dxa"/>
            <w:vAlign w:val="bottom"/>
          </w:tcPr>
          <w:p>
            <w:pPr>
              <w:ind w:left="200"/>
              <w:spacing w:after="0"/>
              <w:rPr>
                <w:sz w:val="20"/>
                <w:szCs w:val="20"/>
                <w:color w:val="auto"/>
              </w:rPr>
            </w:pPr>
            <w:r>
              <w:rPr>
                <w:rFonts w:ascii="Arial" w:cs="Arial" w:eastAsia="Arial" w:hAnsi="Arial"/>
                <w:sz w:val="18"/>
                <w:szCs w:val="18"/>
                <w:color w:val="auto"/>
              </w:rPr>
              <w:t>Prepayments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2.06</w:t>
            </w:r>
          </w:p>
        </w:tc>
        <w:tc>
          <w:tcPr>
            <w:tcW w:w="8540" w:type="dxa"/>
            <w:vAlign w:val="bottom"/>
          </w:tcPr>
          <w:p>
            <w:pPr>
              <w:ind w:left="200"/>
              <w:spacing w:after="0"/>
              <w:rPr>
                <w:sz w:val="20"/>
                <w:szCs w:val="20"/>
                <w:color w:val="auto"/>
              </w:rPr>
            </w:pPr>
            <w:r>
              <w:rPr>
                <w:rFonts w:ascii="Arial" w:cs="Arial" w:eastAsia="Arial" w:hAnsi="Arial"/>
                <w:sz w:val="18"/>
                <w:szCs w:val="18"/>
                <w:color w:val="auto"/>
              </w:rPr>
              <w:t>Termination or Reduction of Revolving Credit Commitments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2.07</w:t>
            </w:r>
          </w:p>
        </w:tc>
        <w:tc>
          <w:tcPr>
            <w:tcW w:w="8540" w:type="dxa"/>
            <w:vAlign w:val="bottom"/>
          </w:tcPr>
          <w:p>
            <w:pPr>
              <w:ind w:left="200"/>
              <w:spacing w:after="0"/>
              <w:rPr>
                <w:sz w:val="20"/>
                <w:szCs w:val="20"/>
                <w:color w:val="auto"/>
              </w:rPr>
            </w:pPr>
            <w:r>
              <w:rPr>
                <w:rFonts w:ascii="Arial" w:cs="Arial" w:eastAsia="Arial" w:hAnsi="Arial"/>
                <w:sz w:val="18"/>
                <w:szCs w:val="18"/>
                <w:color w:val="auto"/>
              </w:rPr>
              <w:t>Repayment of Loans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2.08</w:t>
            </w:r>
          </w:p>
        </w:tc>
        <w:tc>
          <w:tcPr>
            <w:tcW w:w="8540" w:type="dxa"/>
            <w:vAlign w:val="bottom"/>
          </w:tcPr>
          <w:p>
            <w:pPr>
              <w:ind w:left="200"/>
              <w:spacing w:after="0"/>
              <w:rPr>
                <w:sz w:val="20"/>
                <w:szCs w:val="20"/>
                <w:color w:val="auto"/>
              </w:rPr>
            </w:pPr>
            <w:r>
              <w:rPr>
                <w:rFonts w:ascii="Arial" w:cs="Arial" w:eastAsia="Arial" w:hAnsi="Arial"/>
                <w:sz w:val="18"/>
                <w:szCs w:val="18"/>
                <w:color w:val="auto"/>
              </w:rPr>
              <w:t>Interest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2.09</w:t>
            </w:r>
          </w:p>
        </w:tc>
        <w:tc>
          <w:tcPr>
            <w:tcW w:w="8540" w:type="dxa"/>
            <w:vAlign w:val="bottom"/>
          </w:tcPr>
          <w:p>
            <w:pPr>
              <w:ind w:left="200"/>
              <w:spacing w:after="0"/>
              <w:rPr>
                <w:sz w:val="20"/>
                <w:szCs w:val="20"/>
                <w:color w:val="auto"/>
              </w:rPr>
            </w:pPr>
            <w:r>
              <w:rPr>
                <w:rFonts w:ascii="Arial" w:cs="Arial" w:eastAsia="Arial" w:hAnsi="Arial"/>
                <w:sz w:val="18"/>
                <w:szCs w:val="18"/>
                <w:color w:val="auto"/>
              </w:rPr>
              <w:t>Fees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2.10</w:t>
            </w:r>
          </w:p>
        </w:tc>
        <w:tc>
          <w:tcPr>
            <w:tcW w:w="8540" w:type="dxa"/>
            <w:vAlign w:val="bottom"/>
          </w:tcPr>
          <w:p>
            <w:pPr>
              <w:ind w:left="200"/>
              <w:spacing w:after="0"/>
              <w:rPr>
                <w:sz w:val="20"/>
                <w:szCs w:val="20"/>
                <w:color w:val="auto"/>
              </w:rPr>
            </w:pPr>
            <w:r>
              <w:rPr>
                <w:rFonts w:ascii="Arial" w:cs="Arial" w:eastAsia="Arial" w:hAnsi="Arial"/>
                <w:sz w:val="18"/>
                <w:szCs w:val="18"/>
                <w:color w:val="auto"/>
              </w:rPr>
              <w:t>Computation of Interest and Fees; Retroactive Adjustments of Applicable Rate</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2.11</w:t>
            </w:r>
          </w:p>
        </w:tc>
        <w:tc>
          <w:tcPr>
            <w:tcW w:w="8540" w:type="dxa"/>
            <w:vAlign w:val="bottom"/>
          </w:tcPr>
          <w:p>
            <w:pPr>
              <w:ind w:left="200"/>
              <w:spacing w:after="0"/>
              <w:rPr>
                <w:sz w:val="20"/>
                <w:szCs w:val="20"/>
                <w:color w:val="auto"/>
              </w:rPr>
            </w:pPr>
            <w:r>
              <w:rPr>
                <w:rFonts w:ascii="Arial" w:cs="Arial" w:eastAsia="Arial" w:hAnsi="Arial"/>
                <w:sz w:val="18"/>
                <w:szCs w:val="18"/>
                <w:color w:val="auto"/>
              </w:rPr>
              <w:t>Evidence of Debt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2.12</w:t>
            </w:r>
          </w:p>
        </w:tc>
        <w:tc>
          <w:tcPr>
            <w:tcW w:w="8540" w:type="dxa"/>
            <w:vAlign w:val="bottom"/>
          </w:tcPr>
          <w:p>
            <w:pPr>
              <w:ind w:left="200"/>
              <w:spacing w:after="0"/>
              <w:rPr>
                <w:sz w:val="20"/>
                <w:szCs w:val="20"/>
                <w:color w:val="auto"/>
              </w:rPr>
            </w:pPr>
            <w:r>
              <w:rPr>
                <w:rFonts w:ascii="Arial" w:cs="Arial" w:eastAsia="Arial" w:hAnsi="Arial"/>
                <w:sz w:val="18"/>
                <w:szCs w:val="18"/>
                <w:color w:val="auto"/>
              </w:rPr>
              <w:t>Payments Generally; Administrative Agent’s Clawback</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2.13</w:t>
            </w:r>
          </w:p>
        </w:tc>
        <w:tc>
          <w:tcPr>
            <w:tcW w:w="8540" w:type="dxa"/>
            <w:vAlign w:val="bottom"/>
          </w:tcPr>
          <w:p>
            <w:pPr>
              <w:ind w:left="200"/>
              <w:spacing w:after="0"/>
              <w:rPr>
                <w:sz w:val="20"/>
                <w:szCs w:val="20"/>
                <w:color w:val="auto"/>
              </w:rPr>
            </w:pPr>
            <w:r>
              <w:rPr>
                <w:rFonts w:ascii="Arial" w:cs="Arial" w:eastAsia="Arial" w:hAnsi="Arial"/>
                <w:sz w:val="18"/>
                <w:szCs w:val="18"/>
                <w:color w:val="auto"/>
              </w:rPr>
              <w:t>Sharing of Payments by Lenders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2.14</w:t>
            </w:r>
          </w:p>
        </w:tc>
        <w:tc>
          <w:tcPr>
            <w:tcW w:w="8540" w:type="dxa"/>
            <w:vAlign w:val="bottom"/>
          </w:tcPr>
          <w:p>
            <w:pPr>
              <w:ind w:left="200"/>
              <w:spacing w:after="0"/>
              <w:rPr>
                <w:sz w:val="20"/>
                <w:szCs w:val="20"/>
                <w:color w:val="auto"/>
              </w:rPr>
            </w:pPr>
            <w:r>
              <w:rPr>
                <w:rFonts w:ascii="Arial" w:cs="Arial" w:eastAsia="Arial" w:hAnsi="Arial"/>
                <w:sz w:val="18"/>
                <w:szCs w:val="18"/>
                <w:color w:val="auto"/>
              </w:rPr>
              <w:t>Designated Borrowers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2.15</w:t>
            </w:r>
          </w:p>
        </w:tc>
        <w:tc>
          <w:tcPr>
            <w:tcW w:w="8540" w:type="dxa"/>
            <w:vAlign w:val="bottom"/>
          </w:tcPr>
          <w:p>
            <w:pPr>
              <w:ind w:left="200"/>
              <w:spacing w:after="0"/>
              <w:rPr>
                <w:sz w:val="20"/>
                <w:szCs w:val="20"/>
                <w:color w:val="auto"/>
              </w:rPr>
            </w:pPr>
            <w:r>
              <w:rPr>
                <w:rFonts w:ascii="Arial" w:cs="Arial" w:eastAsia="Arial" w:hAnsi="Arial"/>
                <w:sz w:val="18"/>
                <w:szCs w:val="18"/>
                <w:color w:val="auto"/>
              </w:rPr>
              <w:t>Increase Option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2.16</w:t>
            </w:r>
          </w:p>
        </w:tc>
        <w:tc>
          <w:tcPr>
            <w:tcW w:w="8540" w:type="dxa"/>
            <w:vAlign w:val="bottom"/>
          </w:tcPr>
          <w:p>
            <w:pPr>
              <w:ind w:left="200"/>
              <w:spacing w:after="0"/>
              <w:rPr>
                <w:sz w:val="20"/>
                <w:szCs w:val="20"/>
                <w:color w:val="auto"/>
              </w:rPr>
            </w:pPr>
            <w:r>
              <w:rPr>
                <w:rFonts w:ascii="Arial" w:cs="Arial" w:eastAsia="Arial" w:hAnsi="Arial"/>
                <w:sz w:val="18"/>
                <w:szCs w:val="18"/>
                <w:color w:val="auto"/>
              </w:rPr>
              <w:t>Cash Collateral</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2.17</w:t>
            </w:r>
          </w:p>
        </w:tc>
        <w:tc>
          <w:tcPr>
            <w:tcW w:w="8540" w:type="dxa"/>
            <w:vAlign w:val="bottom"/>
          </w:tcPr>
          <w:p>
            <w:pPr>
              <w:ind w:left="200"/>
              <w:spacing w:after="0"/>
              <w:rPr>
                <w:sz w:val="20"/>
                <w:szCs w:val="20"/>
                <w:color w:val="auto"/>
              </w:rPr>
            </w:pPr>
            <w:r>
              <w:rPr>
                <w:rFonts w:ascii="Arial" w:cs="Arial" w:eastAsia="Arial" w:hAnsi="Arial"/>
                <w:sz w:val="18"/>
                <w:szCs w:val="18"/>
                <w:color w:val="auto"/>
              </w:rPr>
              <w:t>Defaulting Lenders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440" w:type="dxa"/>
            <w:vAlign w:val="bottom"/>
            <w:gridSpan w:val="2"/>
          </w:tcPr>
          <w:p>
            <w:pPr>
              <w:spacing w:after="0"/>
              <w:rPr>
                <w:sz w:val="20"/>
                <w:szCs w:val="20"/>
                <w:color w:val="auto"/>
              </w:rPr>
            </w:pPr>
            <w:r>
              <w:rPr>
                <w:rFonts w:ascii="Arial" w:cs="Arial" w:eastAsia="Arial" w:hAnsi="Arial"/>
                <w:sz w:val="18"/>
                <w:szCs w:val="18"/>
                <w:color w:val="auto"/>
              </w:rPr>
              <w:t>2.18</w:t>
            </w:r>
          </w:p>
        </w:tc>
        <w:tc>
          <w:tcPr>
            <w:tcW w:w="8540" w:type="dxa"/>
            <w:vAlign w:val="bottom"/>
          </w:tcPr>
          <w:p>
            <w:pPr>
              <w:ind w:left="200"/>
              <w:spacing w:after="0"/>
              <w:rPr>
                <w:sz w:val="20"/>
                <w:szCs w:val="20"/>
                <w:color w:val="auto"/>
              </w:rPr>
            </w:pPr>
            <w:r>
              <w:rPr>
                <w:rFonts w:ascii="Arial" w:cs="Arial" w:eastAsia="Arial" w:hAnsi="Arial"/>
                <w:sz w:val="18"/>
                <w:szCs w:val="18"/>
                <w:color w:val="auto"/>
              </w:rPr>
              <w:t>Designation of Unrestricted and Restricted Subsidiaries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540" w:type="dxa"/>
            <w:vAlign w:val="bottom"/>
          </w:tcPr>
          <w:p>
            <w:pPr>
              <w:jc w:val="center"/>
              <w:ind w:left="950"/>
              <w:spacing w:after="0"/>
              <w:rPr>
                <w:sz w:val="20"/>
                <w:szCs w:val="20"/>
                <w:color w:val="auto"/>
              </w:rPr>
            </w:pPr>
            <w:r>
              <w:rPr>
                <w:rFonts w:ascii="Arial" w:cs="Arial" w:eastAsia="Arial" w:hAnsi="Arial"/>
                <w:sz w:val="18"/>
                <w:szCs w:val="18"/>
                <w:color w:val="auto"/>
              </w:rPr>
              <w:t>ARTICLE III.</w:t>
            </w:r>
          </w:p>
        </w:tc>
        <w:tc>
          <w:tcPr>
            <w:tcW w:w="1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540" w:type="dxa"/>
            <w:vAlign w:val="bottom"/>
          </w:tcPr>
          <w:p>
            <w:pPr>
              <w:jc w:val="center"/>
              <w:ind w:left="950"/>
              <w:spacing w:after="0"/>
              <w:rPr>
                <w:sz w:val="20"/>
                <w:szCs w:val="20"/>
                <w:color w:val="auto"/>
              </w:rPr>
            </w:pPr>
            <w:r>
              <w:rPr>
                <w:rFonts w:ascii="Arial" w:cs="Arial" w:eastAsia="Arial" w:hAnsi="Arial"/>
                <w:sz w:val="18"/>
                <w:szCs w:val="18"/>
                <w:color w:val="auto"/>
                <w:w w:val="99"/>
              </w:rPr>
              <w:t>TAXES, YIELD PROTECTION AND ILLEGALITY</w:t>
            </w:r>
          </w:p>
        </w:tc>
        <w:tc>
          <w:tcPr>
            <w:tcW w:w="1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0" w:type="dxa"/>
            <w:vAlign w:val="bottom"/>
            <w:gridSpan w:val="2"/>
          </w:tcPr>
          <w:p>
            <w:pPr>
              <w:spacing w:after="0"/>
              <w:rPr>
                <w:sz w:val="20"/>
                <w:szCs w:val="20"/>
                <w:color w:val="auto"/>
              </w:rPr>
            </w:pPr>
            <w:r>
              <w:rPr>
                <w:rFonts w:ascii="Arial" w:cs="Arial" w:eastAsia="Arial" w:hAnsi="Arial"/>
                <w:sz w:val="18"/>
                <w:szCs w:val="18"/>
                <w:color w:val="auto"/>
              </w:rPr>
              <w:t>3.01</w:t>
            </w:r>
          </w:p>
        </w:tc>
        <w:tc>
          <w:tcPr>
            <w:tcW w:w="8540" w:type="dxa"/>
            <w:vAlign w:val="bottom"/>
          </w:tcPr>
          <w:p>
            <w:pPr>
              <w:ind w:left="200"/>
              <w:spacing w:after="0"/>
              <w:rPr>
                <w:sz w:val="20"/>
                <w:szCs w:val="20"/>
                <w:color w:val="auto"/>
              </w:rPr>
            </w:pPr>
            <w:r>
              <w:rPr>
                <w:rFonts w:ascii="Arial" w:cs="Arial" w:eastAsia="Arial" w:hAnsi="Arial"/>
                <w:sz w:val="18"/>
                <w:szCs w:val="18"/>
                <w:color w:val="auto"/>
              </w:rPr>
              <w:t>Taxes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3.02</w:t>
            </w:r>
          </w:p>
        </w:tc>
        <w:tc>
          <w:tcPr>
            <w:tcW w:w="8540" w:type="dxa"/>
            <w:vAlign w:val="bottom"/>
          </w:tcPr>
          <w:p>
            <w:pPr>
              <w:ind w:left="200"/>
              <w:spacing w:after="0"/>
              <w:rPr>
                <w:sz w:val="20"/>
                <w:szCs w:val="20"/>
                <w:color w:val="auto"/>
              </w:rPr>
            </w:pPr>
            <w:r>
              <w:rPr>
                <w:rFonts w:ascii="Arial" w:cs="Arial" w:eastAsia="Arial" w:hAnsi="Arial"/>
                <w:sz w:val="18"/>
                <w:szCs w:val="18"/>
                <w:color w:val="auto"/>
              </w:rPr>
              <w:t>Illegality</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3.03</w:t>
            </w:r>
          </w:p>
        </w:tc>
        <w:tc>
          <w:tcPr>
            <w:tcW w:w="8540" w:type="dxa"/>
            <w:vAlign w:val="bottom"/>
          </w:tcPr>
          <w:p>
            <w:pPr>
              <w:ind w:left="200"/>
              <w:spacing w:after="0"/>
              <w:rPr>
                <w:sz w:val="20"/>
                <w:szCs w:val="20"/>
                <w:color w:val="auto"/>
              </w:rPr>
            </w:pPr>
            <w:r>
              <w:rPr>
                <w:rFonts w:ascii="Arial" w:cs="Arial" w:eastAsia="Arial" w:hAnsi="Arial"/>
                <w:sz w:val="18"/>
                <w:szCs w:val="18"/>
                <w:color w:val="auto"/>
              </w:rPr>
              <w:t>Inability to Determine Rates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3.04</w:t>
            </w:r>
          </w:p>
        </w:tc>
        <w:tc>
          <w:tcPr>
            <w:tcW w:w="8540" w:type="dxa"/>
            <w:vAlign w:val="bottom"/>
          </w:tcPr>
          <w:p>
            <w:pPr>
              <w:ind w:left="200"/>
              <w:spacing w:after="0"/>
              <w:rPr>
                <w:sz w:val="20"/>
                <w:szCs w:val="20"/>
                <w:color w:val="auto"/>
              </w:rPr>
            </w:pPr>
            <w:r>
              <w:rPr>
                <w:rFonts w:ascii="Arial" w:cs="Arial" w:eastAsia="Arial" w:hAnsi="Arial"/>
                <w:sz w:val="18"/>
                <w:szCs w:val="18"/>
                <w:color w:val="auto"/>
              </w:rPr>
              <w:t>Increased Costs; Reserves on Eurocurrency Rate Loans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3.05</w:t>
            </w:r>
          </w:p>
        </w:tc>
        <w:tc>
          <w:tcPr>
            <w:tcW w:w="8540" w:type="dxa"/>
            <w:vAlign w:val="bottom"/>
          </w:tcPr>
          <w:p>
            <w:pPr>
              <w:ind w:left="200"/>
              <w:spacing w:after="0"/>
              <w:rPr>
                <w:sz w:val="20"/>
                <w:szCs w:val="20"/>
                <w:color w:val="auto"/>
              </w:rPr>
            </w:pPr>
            <w:r>
              <w:rPr>
                <w:rFonts w:ascii="Arial" w:cs="Arial" w:eastAsia="Arial" w:hAnsi="Arial"/>
                <w:sz w:val="18"/>
                <w:szCs w:val="18"/>
                <w:color w:val="auto"/>
              </w:rPr>
              <w:t>Compensation for Losses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40" w:type="dxa"/>
            <w:vAlign w:val="bottom"/>
            <w:gridSpan w:val="2"/>
          </w:tcPr>
          <w:p>
            <w:pPr>
              <w:spacing w:after="0"/>
              <w:rPr>
                <w:sz w:val="20"/>
                <w:szCs w:val="20"/>
                <w:color w:val="auto"/>
              </w:rPr>
            </w:pPr>
            <w:r>
              <w:rPr>
                <w:rFonts w:ascii="Arial" w:cs="Arial" w:eastAsia="Arial" w:hAnsi="Arial"/>
                <w:sz w:val="18"/>
                <w:szCs w:val="18"/>
                <w:color w:val="auto"/>
              </w:rPr>
              <w:t>3.06</w:t>
            </w:r>
          </w:p>
        </w:tc>
        <w:tc>
          <w:tcPr>
            <w:tcW w:w="8540" w:type="dxa"/>
            <w:vAlign w:val="bottom"/>
          </w:tcPr>
          <w:p>
            <w:pPr>
              <w:ind w:left="200"/>
              <w:spacing w:after="0"/>
              <w:rPr>
                <w:sz w:val="20"/>
                <w:szCs w:val="20"/>
                <w:color w:val="auto"/>
              </w:rPr>
            </w:pPr>
            <w:r>
              <w:rPr>
                <w:rFonts w:ascii="Arial" w:cs="Arial" w:eastAsia="Arial" w:hAnsi="Arial"/>
                <w:sz w:val="18"/>
                <w:szCs w:val="18"/>
                <w:color w:val="auto"/>
              </w:rPr>
              <w:t>Mitigation Obligations; Replacement of Lenders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440" w:type="dxa"/>
            <w:vAlign w:val="bottom"/>
            <w:gridSpan w:val="2"/>
          </w:tcPr>
          <w:p>
            <w:pPr>
              <w:spacing w:after="0"/>
              <w:rPr>
                <w:sz w:val="20"/>
                <w:szCs w:val="20"/>
                <w:color w:val="auto"/>
              </w:rPr>
            </w:pPr>
            <w:r>
              <w:rPr>
                <w:rFonts w:ascii="Arial" w:cs="Arial" w:eastAsia="Arial" w:hAnsi="Arial"/>
                <w:sz w:val="18"/>
                <w:szCs w:val="18"/>
                <w:color w:val="auto"/>
              </w:rPr>
              <w:t>3.07</w:t>
            </w:r>
          </w:p>
        </w:tc>
        <w:tc>
          <w:tcPr>
            <w:tcW w:w="8540" w:type="dxa"/>
            <w:vAlign w:val="bottom"/>
          </w:tcPr>
          <w:p>
            <w:pPr>
              <w:ind w:left="200"/>
              <w:spacing w:after="0"/>
              <w:rPr>
                <w:sz w:val="20"/>
                <w:szCs w:val="20"/>
                <w:color w:val="auto"/>
              </w:rPr>
            </w:pPr>
            <w:r>
              <w:rPr>
                <w:rFonts w:ascii="Arial" w:cs="Arial" w:eastAsia="Arial" w:hAnsi="Arial"/>
                <w:sz w:val="18"/>
                <w:szCs w:val="18"/>
                <w:color w:val="auto"/>
              </w:rPr>
              <w:t>Survival</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8740" w:type="dxa"/>
            <w:vAlign w:val="bottom"/>
          </w:tcPr>
          <w:p>
            <w:pPr>
              <w:jc w:val="center"/>
              <w:ind w:left="1030"/>
              <w:spacing w:after="0"/>
              <w:rPr>
                <w:sz w:val="20"/>
                <w:szCs w:val="20"/>
                <w:color w:val="auto"/>
              </w:rPr>
            </w:pPr>
            <w:r>
              <w:rPr>
                <w:rFonts w:ascii="Arial" w:cs="Arial" w:eastAsia="Arial" w:hAnsi="Arial"/>
                <w:sz w:val="18"/>
                <w:szCs w:val="18"/>
                <w:color w:val="auto"/>
                <w:w w:val="98"/>
              </w:rPr>
              <w:t>ARTICLE IV.</w:t>
            </w:r>
          </w:p>
        </w:tc>
        <w:tc>
          <w:tcPr>
            <w:tcW w:w="1860" w:type="dxa"/>
            <w:vAlign w:val="bottom"/>
          </w:tcPr>
          <w:p>
            <w:pPr>
              <w:spacing w:after="0"/>
              <w:rPr>
                <w:sz w:val="18"/>
                <w:szCs w:val="18"/>
                <w:color w:val="auto"/>
              </w:rPr>
            </w:pPr>
          </w:p>
        </w:tc>
      </w:tr>
      <w:tr>
        <w:trPr>
          <w:trHeight w:val="230"/>
        </w:trPr>
        <w:tc>
          <w:tcPr>
            <w:tcW w:w="380" w:type="dxa"/>
            <w:vAlign w:val="bottom"/>
          </w:tcPr>
          <w:p>
            <w:pPr>
              <w:spacing w:after="0"/>
              <w:rPr>
                <w:sz w:val="20"/>
                <w:szCs w:val="20"/>
                <w:color w:val="auto"/>
              </w:rPr>
            </w:pPr>
          </w:p>
        </w:tc>
        <w:tc>
          <w:tcPr>
            <w:tcW w:w="8740" w:type="dxa"/>
            <w:vAlign w:val="bottom"/>
          </w:tcPr>
          <w:p>
            <w:pPr>
              <w:jc w:val="center"/>
              <w:ind w:left="1030"/>
              <w:spacing w:after="0"/>
              <w:rPr>
                <w:sz w:val="20"/>
                <w:szCs w:val="20"/>
                <w:color w:val="auto"/>
              </w:rPr>
            </w:pPr>
            <w:r>
              <w:rPr>
                <w:rFonts w:ascii="Arial" w:cs="Arial" w:eastAsia="Arial" w:hAnsi="Arial"/>
                <w:sz w:val="18"/>
                <w:szCs w:val="18"/>
                <w:color w:val="auto"/>
                <w:w w:val="95"/>
              </w:rPr>
              <w:t>CONDITIONS PRECEDENT TO CREDIT EXTENSIONS</w:t>
            </w:r>
          </w:p>
        </w:tc>
        <w:tc>
          <w:tcPr>
            <w:tcW w:w="1860" w:type="dxa"/>
            <w:vAlign w:val="bottom"/>
          </w:tcPr>
          <w:p>
            <w:pPr>
              <w:spacing w:after="0"/>
              <w:rPr>
                <w:sz w:val="20"/>
                <w:szCs w:val="20"/>
                <w:color w:val="auto"/>
              </w:rPr>
            </w:pPr>
          </w:p>
        </w:tc>
      </w:tr>
      <w:tr>
        <w:trPr>
          <w:trHeight w:val="310"/>
        </w:trPr>
        <w:tc>
          <w:tcPr>
            <w:tcW w:w="380" w:type="dxa"/>
            <w:vAlign w:val="bottom"/>
          </w:tcPr>
          <w:p>
            <w:pPr>
              <w:jc w:val="right"/>
              <w:spacing w:after="0"/>
              <w:rPr>
                <w:sz w:val="20"/>
                <w:szCs w:val="20"/>
                <w:color w:val="auto"/>
              </w:rPr>
            </w:pPr>
            <w:r>
              <w:rPr>
                <w:rFonts w:ascii="Arial" w:cs="Arial" w:eastAsia="Arial" w:hAnsi="Arial"/>
                <w:sz w:val="18"/>
                <w:szCs w:val="18"/>
                <w:color w:val="auto"/>
                <w:w w:val="85"/>
              </w:rPr>
              <w:t>4.01</w:t>
            </w:r>
          </w:p>
        </w:tc>
        <w:tc>
          <w:tcPr>
            <w:tcW w:w="8740" w:type="dxa"/>
            <w:vAlign w:val="bottom"/>
          </w:tcPr>
          <w:p>
            <w:pPr>
              <w:ind w:left="40"/>
              <w:spacing w:after="0"/>
              <w:rPr>
                <w:sz w:val="20"/>
                <w:szCs w:val="20"/>
                <w:color w:val="auto"/>
              </w:rPr>
            </w:pPr>
            <w:r>
              <w:rPr>
                <w:rFonts w:ascii="Arial" w:cs="Arial" w:eastAsia="Arial" w:hAnsi="Arial"/>
                <w:sz w:val="18"/>
                <w:szCs w:val="18"/>
                <w:color w:val="auto"/>
              </w:rPr>
              <w:t>Conditions of Initial Credit Extension</w:t>
            </w:r>
          </w:p>
        </w:tc>
        <w:tc>
          <w:tcPr>
            <w:tcW w:w="18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380" w:type="dxa"/>
            <w:vAlign w:val="bottom"/>
          </w:tcPr>
          <w:p>
            <w:pPr>
              <w:jc w:val="right"/>
              <w:spacing w:after="0"/>
              <w:rPr>
                <w:sz w:val="20"/>
                <w:szCs w:val="20"/>
                <w:color w:val="auto"/>
              </w:rPr>
            </w:pPr>
            <w:r>
              <w:rPr>
                <w:rFonts w:ascii="Arial" w:cs="Arial" w:eastAsia="Arial" w:hAnsi="Arial"/>
                <w:sz w:val="18"/>
                <w:szCs w:val="18"/>
                <w:color w:val="auto"/>
                <w:w w:val="85"/>
              </w:rPr>
              <w:t>4.02</w:t>
            </w:r>
          </w:p>
        </w:tc>
        <w:tc>
          <w:tcPr>
            <w:tcW w:w="8740" w:type="dxa"/>
            <w:vAlign w:val="bottom"/>
          </w:tcPr>
          <w:p>
            <w:pPr>
              <w:ind w:left="40"/>
              <w:spacing w:after="0"/>
              <w:rPr>
                <w:sz w:val="20"/>
                <w:szCs w:val="20"/>
                <w:color w:val="auto"/>
              </w:rPr>
            </w:pPr>
            <w:r>
              <w:rPr>
                <w:rFonts w:ascii="Arial" w:cs="Arial" w:eastAsia="Arial" w:hAnsi="Arial"/>
                <w:sz w:val="18"/>
                <w:szCs w:val="18"/>
                <w:color w:val="auto"/>
              </w:rPr>
              <w:t>Conditions to all Credit Extensions</w:t>
            </w:r>
          </w:p>
        </w:tc>
        <w:tc>
          <w:tcPr>
            <w:tcW w:w="18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10"/>
        </w:trPr>
        <w:tc>
          <w:tcPr>
            <w:tcW w:w="380" w:type="dxa"/>
            <w:vAlign w:val="bottom"/>
          </w:tcPr>
          <w:p>
            <w:pPr>
              <w:spacing w:after="0"/>
              <w:rPr>
                <w:sz w:val="24"/>
                <w:szCs w:val="24"/>
                <w:color w:val="auto"/>
              </w:rPr>
            </w:pPr>
          </w:p>
        </w:tc>
        <w:tc>
          <w:tcPr>
            <w:tcW w:w="8740" w:type="dxa"/>
            <w:vAlign w:val="bottom"/>
          </w:tcPr>
          <w:p>
            <w:pPr>
              <w:jc w:val="center"/>
              <w:ind w:left="1030"/>
              <w:spacing w:after="0"/>
              <w:rPr>
                <w:sz w:val="20"/>
                <w:szCs w:val="20"/>
                <w:color w:val="auto"/>
              </w:rPr>
            </w:pPr>
            <w:r>
              <w:rPr>
                <w:rFonts w:ascii="Arial" w:cs="Arial" w:eastAsia="Arial" w:hAnsi="Arial"/>
                <w:sz w:val="18"/>
                <w:szCs w:val="18"/>
                <w:color w:val="auto"/>
                <w:w w:val="95"/>
              </w:rPr>
              <w:t>ARTICLE V.</w:t>
            </w:r>
          </w:p>
        </w:tc>
        <w:tc>
          <w:tcPr>
            <w:tcW w:w="186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8740" w:type="dxa"/>
            <w:vAlign w:val="bottom"/>
          </w:tcPr>
          <w:p>
            <w:pPr>
              <w:jc w:val="center"/>
              <w:ind w:left="1030"/>
              <w:spacing w:after="0"/>
              <w:rPr>
                <w:sz w:val="20"/>
                <w:szCs w:val="20"/>
                <w:color w:val="auto"/>
              </w:rPr>
            </w:pPr>
            <w:r>
              <w:rPr>
                <w:rFonts w:ascii="Arial" w:cs="Arial" w:eastAsia="Arial" w:hAnsi="Arial"/>
                <w:sz w:val="18"/>
                <w:szCs w:val="18"/>
                <w:color w:val="auto"/>
                <w:w w:val="94"/>
              </w:rPr>
              <w:t>REPRESENTATIONS AND WARRANTIES</w:t>
            </w:r>
          </w:p>
        </w:tc>
        <w:tc>
          <w:tcPr>
            <w:tcW w:w="1860" w:type="dxa"/>
            <w:vAlign w:val="bottom"/>
          </w:tcPr>
          <w:p>
            <w:pPr>
              <w:spacing w:after="0"/>
              <w:rPr>
                <w:sz w:val="20"/>
                <w:szCs w:val="20"/>
                <w:color w:val="auto"/>
              </w:rPr>
            </w:pPr>
          </w:p>
        </w:tc>
      </w:tr>
      <w:tr>
        <w:trPr>
          <w:trHeight w:val="310"/>
        </w:trPr>
        <w:tc>
          <w:tcPr>
            <w:tcW w:w="380" w:type="dxa"/>
            <w:vAlign w:val="bottom"/>
          </w:tcPr>
          <w:p>
            <w:pPr>
              <w:jc w:val="right"/>
              <w:spacing w:after="0"/>
              <w:rPr>
                <w:sz w:val="20"/>
                <w:szCs w:val="20"/>
                <w:color w:val="auto"/>
              </w:rPr>
            </w:pPr>
            <w:r>
              <w:rPr>
                <w:rFonts w:ascii="Arial" w:cs="Arial" w:eastAsia="Arial" w:hAnsi="Arial"/>
                <w:sz w:val="18"/>
                <w:szCs w:val="18"/>
                <w:color w:val="auto"/>
                <w:w w:val="85"/>
              </w:rPr>
              <w:t>5.01</w:t>
            </w:r>
          </w:p>
        </w:tc>
        <w:tc>
          <w:tcPr>
            <w:tcW w:w="8740" w:type="dxa"/>
            <w:vAlign w:val="bottom"/>
          </w:tcPr>
          <w:p>
            <w:pPr>
              <w:ind w:left="40"/>
              <w:spacing w:after="0"/>
              <w:rPr>
                <w:sz w:val="20"/>
                <w:szCs w:val="20"/>
                <w:color w:val="auto"/>
              </w:rPr>
            </w:pPr>
            <w:r>
              <w:rPr>
                <w:rFonts w:ascii="Arial" w:cs="Arial" w:eastAsia="Arial" w:hAnsi="Arial"/>
                <w:sz w:val="18"/>
                <w:szCs w:val="18"/>
                <w:color w:val="auto"/>
              </w:rPr>
              <w:t>Existence, Qualification and Power</w:t>
            </w:r>
          </w:p>
        </w:tc>
        <w:tc>
          <w:tcPr>
            <w:tcW w:w="18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5.02</w:t>
            </w:r>
          </w:p>
        </w:tc>
        <w:tc>
          <w:tcPr>
            <w:tcW w:w="8740" w:type="dxa"/>
            <w:vAlign w:val="bottom"/>
          </w:tcPr>
          <w:p>
            <w:pPr>
              <w:ind w:left="40"/>
              <w:spacing w:after="0"/>
              <w:rPr>
                <w:sz w:val="20"/>
                <w:szCs w:val="20"/>
                <w:color w:val="auto"/>
              </w:rPr>
            </w:pPr>
            <w:r>
              <w:rPr>
                <w:rFonts w:ascii="Arial" w:cs="Arial" w:eastAsia="Arial" w:hAnsi="Arial"/>
                <w:sz w:val="18"/>
                <w:szCs w:val="18"/>
                <w:color w:val="auto"/>
              </w:rPr>
              <w:t>Authorization; No Contravention</w:t>
            </w:r>
          </w:p>
        </w:tc>
        <w:tc>
          <w:tcPr>
            <w:tcW w:w="18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5.03</w:t>
            </w:r>
          </w:p>
        </w:tc>
        <w:tc>
          <w:tcPr>
            <w:tcW w:w="8740" w:type="dxa"/>
            <w:vAlign w:val="bottom"/>
          </w:tcPr>
          <w:p>
            <w:pPr>
              <w:ind w:left="40"/>
              <w:spacing w:after="0"/>
              <w:rPr>
                <w:sz w:val="20"/>
                <w:szCs w:val="20"/>
                <w:color w:val="auto"/>
              </w:rPr>
            </w:pPr>
            <w:r>
              <w:rPr>
                <w:rFonts w:ascii="Arial" w:cs="Arial" w:eastAsia="Arial" w:hAnsi="Arial"/>
                <w:sz w:val="18"/>
                <w:szCs w:val="18"/>
                <w:color w:val="auto"/>
              </w:rPr>
              <w:t>Governmental Authorization; Other Consents</w:t>
            </w:r>
          </w:p>
        </w:tc>
        <w:tc>
          <w:tcPr>
            <w:tcW w:w="18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5.04</w:t>
            </w:r>
          </w:p>
        </w:tc>
        <w:tc>
          <w:tcPr>
            <w:tcW w:w="8740" w:type="dxa"/>
            <w:vAlign w:val="bottom"/>
          </w:tcPr>
          <w:p>
            <w:pPr>
              <w:ind w:left="40"/>
              <w:spacing w:after="0"/>
              <w:rPr>
                <w:sz w:val="20"/>
                <w:szCs w:val="20"/>
                <w:color w:val="auto"/>
              </w:rPr>
            </w:pPr>
            <w:r>
              <w:rPr>
                <w:rFonts w:ascii="Arial" w:cs="Arial" w:eastAsia="Arial" w:hAnsi="Arial"/>
                <w:sz w:val="18"/>
                <w:szCs w:val="18"/>
                <w:color w:val="auto"/>
              </w:rPr>
              <w:t>Binding Effect</w:t>
            </w:r>
          </w:p>
        </w:tc>
        <w:tc>
          <w:tcPr>
            <w:tcW w:w="186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5.05</w:t>
            </w:r>
          </w:p>
        </w:tc>
        <w:tc>
          <w:tcPr>
            <w:tcW w:w="8740" w:type="dxa"/>
            <w:vAlign w:val="bottom"/>
          </w:tcPr>
          <w:p>
            <w:pPr>
              <w:ind w:left="40"/>
              <w:spacing w:after="0"/>
              <w:rPr>
                <w:sz w:val="20"/>
                <w:szCs w:val="20"/>
                <w:color w:val="auto"/>
              </w:rPr>
            </w:pPr>
            <w:r>
              <w:rPr>
                <w:rFonts w:ascii="Arial" w:cs="Arial" w:eastAsia="Arial" w:hAnsi="Arial"/>
                <w:sz w:val="18"/>
                <w:szCs w:val="18"/>
                <w:color w:val="auto"/>
              </w:rPr>
              <w:t>Financial Statements; No Material Adverse Effect</w:t>
            </w:r>
          </w:p>
        </w:tc>
        <w:tc>
          <w:tcPr>
            <w:tcW w:w="18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5.06</w:t>
            </w:r>
          </w:p>
        </w:tc>
        <w:tc>
          <w:tcPr>
            <w:tcW w:w="8740" w:type="dxa"/>
            <w:vAlign w:val="bottom"/>
          </w:tcPr>
          <w:p>
            <w:pPr>
              <w:ind w:left="40"/>
              <w:spacing w:after="0"/>
              <w:rPr>
                <w:sz w:val="20"/>
                <w:szCs w:val="20"/>
                <w:color w:val="auto"/>
              </w:rPr>
            </w:pPr>
            <w:r>
              <w:rPr>
                <w:rFonts w:ascii="Arial" w:cs="Arial" w:eastAsia="Arial" w:hAnsi="Arial"/>
                <w:sz w:val="18"/>
                <w:szCs w:val="18"/>
                <w:color w:val="auto"/>
              </w:rPr>
              <w:t>Litigation</w:t>
            </w:r>
          </w:p>
        </w:tc>
        <w:tc>
          <w:tcPr>
            <w:tcW w:w="18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5.07</w:t>
            </w:r>
          </w:p>
        </w:tc>
        <w:tc>
          <w:tcPr>
            <w:tcW w:w="8740" w:type="dxa"/>
            <w:vAlign w:val="bottom"/>
          </w:tcPr>
          <w:p>
            <w:pPr>
              <w:ind w:left="40"/>
              <w:spacing w:after="0"/>
              <w:rPr>
                <w:sz w:val="20"/>
                <w:szCs w:val="20"/>
                <w:color w:val="auto"/>
              </w:rPr>
            </w:pPr>
            <w:r>
              <w:rPr>
                <w:rFonts w:ascii="Arial" w:cs="Arial" w:eastAsia="Arial" w:hAnsi="Arial"/>
                <w:sz w:val="18"/>
                <w:szCs w:val="18"/>
                <w:color w:val="auto"/>
              </w:rPr>
              <w:t>No Default</w:t>
            </w:r>
          </w:p>
        </w:tc>
        <w:tc>
          <w:tcPr>
            <w:tcW w:w="18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5.08</w:t>
            </w:r>
          </w:p>
        </w:tc>
        <w:tc>
          <w:tcPr>
            <w:tcW w:w="8740" w:type="dxa"/>
            <w:vAlign w:val="bottom"/>
          </w:tcPr>
          <w:p>
            <w:pPr>
              <w:ind w:left="40"/>
              <w:spacing w:after="0"/>
              <w:rPr>
                <w:sz w:val="20"/>
                <w:szCs w:val="20"/>
                <w:color w:val="auto"/>
              </w:rPr>
            </w:pPr>
            <w:r>
              <w:rPr>
                <w:rFonts w:ascii="Arial" w:cs="Arial" w:eastAsia="Arial" w:hAnsi="Arial"/>
                <w:sz w:val="18"/>
                <w:szCs w:val="18"/>
                <w:color w:val="auto"/>
              </w:rPr>
              <w:t>Ownership of Property; Liens</w:t>
            </w:r>
          </w:p>
        </w:tc>
        <w:tc>
          <w:tcPr>
            <w:tcW w:w="18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5.09</w:t>
            </w:r>
          </w:p>
        </w:tc>
        <w:tc>
          <w:tcPr>
            <w:tcW w:w="8740" w:type="dxa"/>
            <w:vAlign w:val="bottom"/>
          </w:tcPr>
          <w:p>
            <w:pPr>
              <w:ind w:left="40"/>
              <w:spacing w:after="0"/>
              <w:rPr>
                <w:sz w:val="20"/>
                <w:szCs w:val="20"/>
                <w:color w:val="auto"/>
              </w:rPr>
            </w:pPr>
            <w:r>
              <w:rPr>
                <w:rFonts w:ascii="Arial" w:cs="Arial" w:eastAsia="Arial" w:hAnsi="Arial"/>
                <w:sz w:val="18"/>
                <w:szCs w:val="18"/>
                <w:color w:val="auto"/>
              </w:rPr>
              <w:t>Environmental Compliance</w:t>
            </w:r>
          </w:p>
        </w:tc>
        <w:tc>
          <w:tcPr>
            <w:tcW w:w="18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5.10</w:t>
            </w:r>
          </w:p>
        </w:tc>
        <w:tc>
          <w:tcPr>
            <w:tcW w:w="8740" w:type="dxa"/>
            <w:vAlign w:val="bottom"/>
          </w:tcPr>
          <w:p>
            <w:pPr>
              <w:ind w:left="40"/>
              <w:spacing w:after="0"/>
              <w:rPr>
                <w:sz w:val="20"/>
                <w:szCs w:val="20"/>
                <w:color w:val="auto"/>
              </w:rPr>
            </w:pPr>
            <w:r>
              <w:rPr>
                <w:rFonts w:ascii="Arial" w:cs="Arial" w:eastAsia="Arial" w:hAnsi="Arial"/>
                <w:sz w:val="18"/>
                <w:szCs w:val="18"/>
                <w:color w:val="auto"/>
              </w:rPr>
              <w:t>Insurance</w:t>
            </w:r>
          </w:p>
        </w:tc>
        <w:tc>
          <w:tcPr>
            <w:tcW w:w="18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5.11</w:t>
            </w:r>
          </w:p>
        </w:tc>
        <w:tc>
          <w:tcPr>
            <w:tcW w:w="8740" w:type="dxa"/>
            <w:vAlign w:val="bottom"/>
          </w:tcPr>
          <w:p>
            <w:pPr>
              <w:ind w:left="40"/>
              <w:spacing w:after="0"/>
              <w:rPr>
                <w:sz w:val="20"/>
                <w:szCs w:val="20"/>
                <w:color w:val="auto"/>
              </w:rPr>
            </w:pPr>
            <w:r>
              <w:rPr>
                <w:rFonts w:ascii="Arial" w:cs="Arial" w:eastAsia="Arial" w:hAnsi="Arial"/>
                <w:sz w:val="18"/>
                <w:szCs w:val="18"/>
                <w:color w:val="auto"/>
              </w:rPr>
              <w:t>Taxes</w:t>
            </w:r>
          </w:p>
        </w:tc>
        <w:tc>
          <w:tcPr>
            <w:tcW w:w="18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5.12</w:t>
            </w:r>
          </w:p>
        </w:tc>
        <w:tc>
          <w:tcPr>
            <w:tcW w:w="8740" w:type="dxa"/>
            <w:vAlign w:val="bottom"/>
          </w:tcPr>
          <w:p>
            <w:pPr>
              <w:ind w:left="40"/>
              <w:spacing w:after="0"/>
              <w:rPr>
                <w:sz w:val="20"/>
                <w:szCs w:val="20"/>
                <w:color w:val="auto"/>
              </w:rPr>
            </w:pPr>
            <w:r>
              <w:rPr>
                <w:rFonts w:ascii="Arial" w:cs="Arial" w:eastAsia="Arial" w:hAnsi="Arial"/>
                <w:sz w:val="18"/>
                <w:szCs w:val="18"/>
                <w:color w:val="auto"/>
              </w:rPr>
              <w:t>ERISA Compliance</w:t>
            </w:r>
          </w:p>
        </w:tc>
        <w:tc>
          <w:tcPr>
            <w:tcW w:w="18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5.13</w:t>
            </w:r>
          </w:p>
        </w:tc>
        <w:tc>
          <w:tcPr>
            <w:tcW w:w="8740" w:type="dxa"/>
            <w:vAlign w:val="bottom"/>
          </w:tcPr>
          <w:p>
            <w:pPr>
              <w:ind w:left="40"/>
              <w:spacing w:after="0"/>
              <w:rPr>
                <w:sz w:val="20"/>
                <w:szCs w:val="20"/>
                <w:color w:val="auto"/>
              </w:rPr>
            </w:pPr>
            <w:r>
              <w:rPr>
                <w:rFonts w:ascii="Arial" w:cs="Arial" w:eastAsia="Arial" w:hAnsi="Arial"/>
                <w:sz w:val="18"/>
                <w:szCs w:val="18"/>
                <w:color w:val="auto"/>
              </w:rPr>
              <w:t>Subsidiaries; Equity Investments; Loan Parties</w:t>
            </w:r>
          </w:p>
        </w:tc>
        <w:tc>
          <w:tcPr>
            <w:tcW w:w="186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5.14</w:t>
            </w:r>
          </w:p>
        </w:tc>
        <w:tc>
          <w:tcPr>
            <w:tcW w:w="8740" w:type="dxa"/>
            <w:vAlign w:val="bottom"/>
          </w:tcPr>
          <w:p>
            <w:pPr>
              <w:ind w:left="40"/>
              <w:spacing w:after="0"/>
              <w:rPr>
                <w:sz w:val="20"/>
                <w:szCs w:val="20"/>
                <w:color w:val="auto"/>
              </w:rPr>
            </w:pPr>
            <w:r>
              <w:rPr>
                <w:rFonts w:ascii="Arial" w:cs="Arial" w:eastAsia="Arial" w:hAnsi="Arial"/>
                <w:sz w:val="18"/>
                <w:szCs w:val="18"/>
                <w:color w:val="auto"/>
              </w:rPr>
              <w:t>Margin Regulations; Investment Company Act</w:t>
            </w:r>
          </w:p>
        </w:tc>
        <w:tc>
          <w:tcPr>
            <w:tcW w:w="18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5.15</w:t>
            </w:r>
          </w:p>
        </w:tc>
        <w:tc>
          <w:tcPr>
            <w:tcW w:w="8740" w:type="dxa"/>
            <w:vAlign w:val="bottom"/>
          </w:tcPr>
          <w:p>
            <w:pPr>
              <w:ind w:left="40"/>
              <w:spacing w:after="0"/>
              <w:rPr>
                <w:sz w:val="20"/>
                <w:szCs w:val="20"/>
                <w:color w:val="auto"/>
              </w:rPr>
            </w:pPr>
            <w:r>
              <w:rPr>
                <w:rFonts w:ascii="Arial" w:cs="Arial" w:eastAsia="Arial" w:hAnsi="Arial"/>
                <w:sz w:val="18"/>
                <w:szCs w:val="18"/>
                <w:color w:val="auto"/>
              </w:rPr>
              <w:t>Disclosure</w:t>
            </w:r>
          </w:p>
        </w:tc>
        <w:tc>
          <w:tcPr>
            <w:tcW w:w="18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5.16</w:t>
            </w:r>
          </w:p>
        </w:tc>
        <w:tc>
          <w:tcPr>
            <w:tcW w:w="8740" w:type="dxa"/>
            <w:vAlign w:val="bottom"/>
          </w:tcPr>
          <w:p>
            <w:pPr>
              <w:ind w:left="40"/>
              <w:spacing w:after="0"/>
              <w:rPr>
                <w:sz w:val="20"/>
                <w:szCs w:val="20"/>
                <w:color w:val="auto"/>
              </w:rPr>
            </w:pPr>
            <w:r>
              <w:rPr>
                <w:rFonts w:ascii="Arial" w:cs="Arial" w:eastAsia="Arial" w:hAnsi="Arial"/>
                <w:sz w:val="18"/>
                <w:szCs w:val="18"/>
                <w:color w:val="auto"/>
              </w:rPr>
              <w:t>Compliance with Laws</w:t>
            </w:r>
          </w:p>
        </w:tc>
        <w:tc>
          <w:tcPr>
            <w:tcW w:w="18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5.17</w:t>
            </w:r>
          </w:p>
        </w:tc>
        <w:tc>
          <w:tcPr>
            <w:tcW w:w="8740" w:type="dxa"/>
            <w:vAlign w:val="bottom"/>
          </w:tcPr>
          <w:p>
            <w:pPr>
              <w:ind w:left="40"/>
              <w:spacing w:after="0"/>
              <w:rPr>
                <w:sz w:val="20"/>
                <w:szCs w:val="20"/>
                <w:color w:val="auto"/>
              </w:rPr>
            </w:pPr>
            <w:r>
              <w:rPr>
                <w:rFonts w:ascii="Arial" w:cs="Arial" w:eastAsia="Arial" w:hAnsi="Arial"/>
                <w:sz w:val="18"/>
                <w:szCs w:val="18"/>
                <w:color w:val="auto"/>
              </w:rPr>
              <w:t>Intellectual Property; Licenses, Etc.</w:t>
            </w:r>
          </w:p>
        </w:tc>
        <w:tc>
          <w:tcPr>
            <w:tcW w:w="18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5.18</w:t>
            </w:r>
          </w:p>
        </w:tc>
        <w:tc>
          <w:tcPr>
            <w:tcW w:w="8740" w:type="dxa"/>
            <w:vAlign w:val="bottom"/>
          </w:tcPr>
          <w:p>
            <w:pPr>
              <w:ind w:left="40"/>
              <w:spacing w:after="0"/>
              <w:rPr>
                <w:sz w:val="20"/>
                <w:szCs w:val="20"/>
                <w:color w:val="auto"/>
              </w:rPr>
            </w:pPr>
            <w:r>
              <w:rPr>
                <w:rFonts w:ascii="Arial" w:cs="Arial" w:eastAsia="Arial" w:hAnsi="Arial"/>
                <w:sz w:val="18"/>
                <w:szCs w:val="18"/>
                <w:color w:val="auto"/>
              </w:rPr>
              <w:t>OFAC</w:t>
            </w:r>
          </w:p>
        </w:tc>
        <w:tc>
          <w:tcPr>
            <w:tcW w:w="18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5.19</w:t>
            </w:r>
          </w:p>
        </w:tc>
        <w:tc>
          <w:tcPr>
            <w:tcW w:w="8740" w:type="dxa"/>
            <w:vAlign w:val="bottom"/>
          </w:tcPr>
          <w:p>
            <w:pPr>
              <w:ind w:left="40"/>
              <w:spacing w:after="0"/>
              <w:rPr>
                <w:sz w:val="20"/>
                <w:szCs w:val="20"/>
                <w:color w:val="auto"/>
              </w:rPr>
            </w:pPr>
            <w:r>
              <w:rPr>
                <w:rFonts w:ascii="Arial" w:cs="Arial" w:eastAsia="Arial" w:hAnsi="Arial"/>
                <w:sz w:val="18"/>
                <w:szCs w:val="18"/>
                <w:color w:val="auto"/>
              </w:rPr>
              <w:t>Solvency</w:t>
            </w:r>
          </w:p>
        </w:tc>
        <w:tc>
          <w:tcPr>
            <w:tcW w:w="18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5.20</w:t>
            </w:r>
          </w:p>
        </w:tc>
        <w:tc>
          <w:tcPr>
            <w:tcW w:w="8740" w:type="dxa"/>
            <w:vAlign w:val="bottom"/>
          </w:tcPr>
          <w:p>
            <w:pPr>
              <w:ind w:left="40"/>
              <w:spacing w:after="0"/>
              <w:rPr>
                <w:sz w:val="20"/>
                <w:szCs w:val="20"/>
                <w:color w:val="auto"/>
              </w:rPr>
            </w:pPr>
            <w:r>
              <w:rPr>
                <w:rFonts w:ascii="Arial" w:cs="Arial" w:eastAsia="Arial" w:hAnsi="Arial"/>
                <w:sz w:val="18"/>
                <w:szCs w:val="18"/>
                <w:color w:val="auto"/>
              </w:rPr>
              <w:t>[Reserved.]</w:t>
            </w:r>
          </w:p>
        </w:tc>
        <w:tc>
          <w:tcPr>
            <w:tcW w:w="18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5.21</w:t>
            </w:r>
          </w:p>
        </w:tc>
        <w:tc>
          <w:tcPr>
            <w:tcW w:w="8740" w:type="dxa"/>
            <w:vAlign w:val="bottom"/>
          </w:tcPr>
          <w:p>
            <w:pPr>
              <w:ind w:left="40"/>
              <w:spacing w:after="0"/>
              <w:rPr>
                <w:sz w:val="20"/>
                <w:szCs w:val="20"/>
                <w:color w:val="auto"/>
              </w:rPr>
            </w:pPr>
            <w:r>
              <w:rPr>
                <w:rFonts w:ascii="Arial" w:cs="Arial" w:eastAsia="Arial" w:hAnsi="Arial"/>
                <w:sz w:val="18"/>
                <w:szCs w:val="18"/>
                <w:color w:val="auto"/>
              </w:rPr>
              <w:t>Labor Matters</w:t>
            </w:r>
          </w:p>
        </w:tc>
        <w:tc>
          <w:tcPr>
            <w:tcW w:w="18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5.22</w:t>
            </w:r>
          </w:p>
        </w:tc>
        <w:tc>
          <w:tcPr>
            <w:tcW w:w="8740" w:type="dxa"/>
            <w:vAlign w:val="bottom"/>
          </w:tcPr>
          <w:p>
            <w:pPr>
              <w:ind w:left="40"/>
              <w:spacing w:after="0"/>
              <w:rPr>
                <w:sz w:val="20"/>
                <w:szCs w:val="20"/>
                <w:color w:val="auto"/>
              </w:rPr>
            </w:pPr>
            <w:r>
              <w:rPr>
                <w:rFonts w:ascii="Arial" w:cs="Arial" w:eastAsia="Arial" w:hAnsi="Arial"/>
                <w:sz w:val="18"/>
                <w:szCs w:val="18"/>
                <w:color w:val="auto"/>
              </w:rPr>
              <w:t>Collateral Documents</w:t>
            </w:r>
          </w:p>
        </w:tc>
        <w:tc>
          <w:tcPr>
            <w:tcW w:w="18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5.23</w:t>
            </w:r>
          </w:p>
        </w:tc>
        <w:tc>
          <w:tcPr>
            <w:tcW w:w="8740" w:type="dxa"/>
            <w:vAlign w:val="bottom"/>
          </w:tcPr>
          <w:p>
            <w:pPr>
              <w:ind w:left="40"/>
              <w:spacing w:after="0"/>
              <w:rPr>
                <w:sz w:val="20"/>
                <w:szCs w:val="20"/>
                <w:color w:val="auto"/>
              </w:rPr>
            </w:pPr>
            <w:r>
              <w:rPr>
                <w:rFonts w:ascii="Arial" w:cs="Arial" w:eastAsia="Arial" w:hAnsi="Arial"/>
                <w:sz w:val="18"/>
                <w:szCs w:val="18"/>
                <w:color w:val="auto"/>
              </w:rPr>
              <w:t>Representations as to Foreign Obligors</w:t>
            </w:r>
          </w:p>
        </w:tc>
        <w:tc>
          <w:tcPr>
            <w:tcW w:w="18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5.24</w:t>
            </w:r>
          </w:p>
        </w:tc>
        <w:tc>
          <w:tcPr>
            <w:tcW w:w="8740" w:type="dxa"/>
            <w:vAlign w:val="bottom"/>
          </w:tcPr>
          <w:p>
            <w:pPr>
              <w:ind w:left="40"/>
              <w:spacing w:after="0"/>
              <w:rPr>
                <w:sz w:val="20"/>
                <w:szCs w:val="20"/>
                <w:color w:val="auto"/>
              </w:rPr>
            </w:pPr>
            <w:r>
              <w:rPr>
                <w:rFonts w:ascii="Arial" w:cs="Arial" w:eastAsia="Arial" w:hAnsi="Arial"/>
                <w:sz w:val="18"/>
                <w:szCs w:val="18"/>
                <w:color w:val="auto"/>
              </w:rPr>
              <w:t>Anti-Corruption Laws; Sanctions; Use of Proceeds</w:t>
            </w:r>
          </w:p>
        </w:tc>
        <w:tc>
          <w:tcPr>
            <w:tcW w:w="18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5.25</w:t>
            </w:r>
          </w:p>
        </w:tc>
        <w:tc>
          <w:tcPr>
            <w:tcW w:w="8740" w:type="dxa"/>
            <w:vAlign w:val="bottom"/>
          </w:tcPr>
          <w:p>
            <w:pPr>
              <w:ind w:left="40"/>
              <w:spacing w:after="0"/>
              <w:rPr>
                <w:sz w:val="20"/>
                <w:szCs w:val="20"/>
                <w:color w:val="auto"/>
              </w:rPr>
            </w:pPr>
            <w:r>
              <w:rPr>
                <w:rFonts w:ascii="Arial" w:cs="Arial" w:eastAsia="Arial" w:hAnsi="Arial"/>
                <w:sz w:val="18"/>
                <w:szCs w:val="18"/>
                <w:color w:val="auto"/>
              </w:rPr>
              <w:t>EEA Financial Institution</w:t>
            </w:r>
          </w:p>
        </w:tc>
        <w:tc>
          <w:tcPr>
            <w:tcW w:w="18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5.26</w:t>
            </w:r>
          </w:p>
        </w:tc>
        <w:tc>
          <w:tcPr>
            <w:tcW w:w="8740" w:type="dxa"/>
            <w:vAlign w:val="bottom"/>
          </w:tcPr>
          <w:p>
            <w:pPr>
              <w:ind w:left="40"/>
              <w:spacing w:after="0"/>
              <w:rPr>
                <w:sz w:val="20"/>
                <w:szCs w:val="20"/>
                <w:color w:val="auto"/>
              </w:rPr>
            </w:pPr>
            <w:r>
              <w:rPr>
                <w:rFonts w:ascii="Arial" w:cs="Arial" w:eastAsia="Arial" w:hAnsi="Arial"/>
                <w:sz w:val="18"/>
                <w:szCs w:val="18"/>
                <w:color w:val="auto"/>
              </w:rPr>
              <w:t>Borrower ERISA Status</w:t>
            </w:r>
          </w:p>
        </w:tc>
        <w:tc>
          <w:tcPr>
            <w:tcW w:w="18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5.27</w:t>
            </w:r>
          </w:p>
        </w:tc>
        <w:tc>
          <w:tcPr>
            <w:tcW w:w="8740" w:type="dxa"/>
            <w:vAlign w:val="bottom"/>
          </w:tcPr>
          <w:p>
            <w:pPr>
              <w:ind w:left="40"/>
              <w:spacing w:after="0"/>
              <w:rPr>
                <w:sz w:val="20"/>
                <w:szCs w:val="20"/>
                <w:color w:val="auto"/>
              </w:rPr>
            </w:pPr>
            <w:r>
              <w:rPr>
                <w:rFonts w:ascii="Arial" w:cs="Arial" w:eastAsia="Arial" w:hAnsi="Arial"/>
                <w:sz w:val="18"/>
                <w:szCs w:val="18"/>
                <w:color w:val="auto"/>
              </w:rPr>
              <w:t>Beneficial Ownership Certification</w:t>
            </w:r>
          </w:p>
        </w:tc>
        <w:tc>
          <w:tcPr>
            <w:tcW w:w="18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380" w:type="dxa"/>
            <w:vAlign w:val="bottom"/>
          </w:tcPr>
          <w:p>
            <w:pPr>
              <w:jc w:val="right"/>
              <w:spacing w:after="0"/>
              <w:rPr>
                <w:sz w:val="20"/>
                <w:szCs w:val="20"/>
                <w:color w:val="auto"/>
              </w:rPr>
            </w:pPr>
            <w:r>
              <w:rPr>
                <w:rFonts w:ascii="Arial" w:cs="Arial" w:eastAsia="Arial" w:hAnsi="Arial"/>
                <w:sz w:val="18"/>
                <w:szCs w:val="18"/>
                <w:color w:val="auto"/>
                <w:w w:val="85"/>
              </w:rPr>
              <w:t>5.28</w:t>
            </w:r>
          </w:p>
        </w:tc>
        <w:tc>
          <w:tcPr>
            <w:tcW w:w="8740" w:type="dxa"/>
            <w:vAlign w:val="bottom"/>
          </w:tcPr>
          <w:p>
            <w:pPr>
              <w:ind w:left="40"/>
              <w:spacing w:after="0"/>
              <w:rPr>
                <w:sz w:val="20"/>
                <w:szCs w:val="20"/>
                <w:color w:val="auto"/>
              </w:rPr>
            </w:pPr>
            <w:r>
              <w:rPr>
                <w:rFonts w:ascii="Arial" w:cs="Arial" w:eastAsia="Arial" w:hAnsi="Arial"/>
                <w:sz w:val="18"/>
                <w:szCs w:val="18"/>
                <w:color w:val="auto"/>
              </w:rPr>
              <w:t>Covered Entity</w:t>
            </w:r>
          </w:p>
        </w:tc>
        <w:tc>
          <w:tcPr>
            <w:tcW w:w="18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10"/>
        </w:trPr>
        <w:tc>
          <w:tcPr>
            <w:tcW w:w="380" w:type="dxa"/>
            <w:vAlign w:val="bottom"/>
          </w:tcPr>
          <w:p>
            <w:pPr>
              <w:spacing w:after="0"/>
              <w:rPr>
                <w:sz w:val="24"/>
                <w:szCs w:val="24"/>
                <w:color w:val="auto"/>
              </w:rPr>
            </w:pPr>
          </w:p>
        </w:tc>
        <w:tc>
          <w:tcPr>
            <w:tcW w:w="8740" w:type="dxa"/>
            <w:vAlign w:val="bottom"/>
          </w:tcPr>
          <w:p>
            <w:pPr>
              <w:jc w:val="center"/>
              <w:ind w:left="1030"/>
              <w:spacing w:after="0"/>
              <w:rPr>
                <w:sz w:val="20"/>
                <w:szCs w:val="20"/>
                <w:color w:val="auto"/>
              </w:rPr>
            </w:pPr>
            <w:r>
              <w:rPr>
                <w:rFonts w:ascii="Arial" w:cs="Arial" w:eastAsia="Arial" w:hAnsi="Arial"/>
                <w:sz w:val="18"/>
                <w:szCs w:val="18"/>
                <w:color w:val="auto"/>
                <w:w w:val="98"/>
              </w:rPr>
              <w:t>ARTICLE VI.</w:t>
            </w:r>
          </w:p>
        </w:tc>
        <w:tc>
          <w:tcPr>
            <w:tcW w:w="186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8740" w:type="dxa"/>
            <w:vAlign w:val="bottom"/>
          </w:tcPr>
          <w:p>
            <w:pPr>
              <w:jc w:val="center"/>
              <w:ind w:left="1030"/>
              <w:spacing w:after="0"/>
              <w:rPr>
                <w:sz w:val="20"/>
                <w:szCs w:val="20"/>
                <w:color w:val="auto"/>
              </w:rPr>
            </w:pPr>
            <w:r>
              <w:rPr>
                <w:rFonts w:ascii="Arial" w:cs="Arial" w:eastAsia="Arial" w:hAnsi="Arial"/>
                <w:sz w:val="18"/>
                <w:szCs w:val="18"/>
                <w:color w:val="auto"/>
                <w:w w:val="99"/>
              </w:rPr>
              <w:t>AFFIRMATIVE COVENANTS</w:t>
            </w:r>
          </w:p>
        </w:tc>
        <w:tc>
          <w:tcPr>
            <w:tcW w:w="1860" w:type="dxa"/>
            <w:vAlign w:val="bottom"/>
          </w:tcPr>
          <w:p>
            <w:pPr>
              <w:spacing w:after="0"/>
              <w:rPr>
                <w:sz w:val="20"/>
                <w:szCs w:val="20"/>
                <w:color w:val="auto"/>
              </w:rPr>
            </w:pPr>
          </w:p>
        </w:tc>
      </w:tr>
      <w:tr>
        <w:trPr>
          <w:trHeight w:val="310"/>
        </w:trPr>
        <w:tc>
          <w:tcPr>
            <w:tcW w:w="380" w:type="dxa"/>
            <w:vAlign w:val="bottom"/>
          </w:tcPr>
          <w:p>
            <w:pPr>
              <w:jc w:val="right"/>
              <w:spacing w:after="0"/>
              <w:rPr>
                <w:sz w:val="20"/>
                <w:szCs w:val="20"/>
                <w:color w:val="auto"/>
              </w:rPr>
            </w:pPr>
            <w:r>
              <w:rPr>
                <w:rFonts w:ascii="Arial" w:cs="Arial" w:eastAsia="Arial" w:hAnsi="Arial"/>
                <w:sz w:val="18"/>
                <w:szCs w:val="18"/>
                <w:color w:val="auto"/>
                <w:w w:val="85"/>
              </w:rPr>
              <w:t>6.01</w:t>
            </w:r>
          </w:p>
        </w:tc>
        <w:tc>
          <w:tcPr>
            <w:tcW w:w="8740" w:type="dxa"/>
            <w:vAlign w:val="bottom"/>
          </w:tcPr>
          <w:p>
            <w:pPr>
              <w:ind w:left="40"/>
              <w:spacing w:after="0"/>
              <w:rPr>
                <w:sz w:val="20"/>
                <w:szCs w:val="20"/>
                <w:color w:val="auto"/>
              </w:rPr>
            </w:pPr>
            <w:r>
              <w:rPr>
                <w:rFonts w:ascii="Arial" w:cs="Arial" w:eastAsia="Arial" w:hAnsi="Arial"/>
                <w:sz w:val="18"/>
                <w:szCs w:val="18"/>
                <w:color w:val="auto"/>
              </w:rPr>
              <w:t>Financial Statements</w:t>
            </w:r>
          </w:p>
        </w:tc>
        <w:tc>
          <w:tcPr>
            <w:tcW w:w="18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6.02</w:t>
            </w:r>
          </w:p>
        </w:tc>
        <w:tc>
          <w:tcPr>
            <w:tcW w:w="8740" w:type="dxa"/>
            <w:vAlign w:val="bottom"/>
          </w:tcPr>
          <w:p>
            <w:pPr>
              <w:ind w:left="40"/>
              <w:spacing w:after="0"/>
              <w:rPr>
                <w:sz w:val="20"/>
                <w:szCs w:val="20"/>
                <w:color w:val="auto"/>
              </w:rPr>
            </w:pPr>
            <w:r>
              <w:rPr>
                <w:rFonts w:ascii="Arial" w:cs="Arial" w:eastAsia="Arial" w:hAnsi="Arial"/>
                <w:sz w:val="18"/>
                <w:szCs w:val="18"/>
                <w:color w:val="auto"/>
              </w:rPr>
              <w:t>Certificates; Other Information</w:t>
            </w:r>
          </w:p>
        </w:tc>
        <w:tc>
          <w:tcPr>
            <w:tcW w:w="18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6.03</w:t>
            </w:r>
          </w:p>
        </w:tc>
        <w:tc>
          <w:tcPr>
            <w:tcW w:w="8740" w:type="dxa"/>
            <w:vAlign w:val="bottom"/>
          </w:tcPr>
          <w:p>
            <w:pPr>
              <w:ind w:left="40"/>
              <w:spacing w:after="0"/>
              <w:rPr>
                <w:sz w:val="20"/>
                <w:szCs w:val="20"/>
                <w:color w:val="auto"/>
              </w:rPr>
            </w:pPr>
            <w:r>
              <w:rPr>
                <w:rFonts w:ascii="Arial" w:cs="Arial" w:eastAsia="Arial" w:hAnsi="Arial"/>
                <w:sz w:val="18"/>
                <w:szCs w:val="18"/>
                <w:color w:val="auto"/>
              </w:rPr>
              <w:t>Notices</w:t>
            </w:r>
          </w:p>
        </w:tc>
        <w:tc>
          <w:tcPr>
            <w:tcW w:w="18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6.04</w:t>
            </w:r>
          </w:p>
        </w:tc>
        <w:tc>
          <w:tcPr>
            <w:tcW w:w="8740" w:type="dxa"/>
            <w:vAlign w:val="bottom"/>
          </w:tcPr>
          <w:p>
            <w:pPr>
              <w:ind w:left="40"/>
              <w:spacing w:after="0"/>
              <w:rPr>
                <w:sz w:val="20"/>
                <w:szCs w:val="20"/>
                <w:color w:val="auto"/>
              </w:rPr>
            </w:pPr>
            <w:r>
              <w:rPr>
                <w:rFonts w:ascii="Arial" w:cs="Arial" w:eastAsia="Arial" w:hAnsi="Arial"/>
                <w:sz w:val="18"/>
                <w:szCs w:val="18"/>
                <w:color w:val="auto"/>
              </w:rPr>
              <w:t>Payment of Obligations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6.05</w:t>
            </w:r>
          </w:p>
        </w:tc>
        <w:tc>
          <w:tcPr>
            <w:tcW w:w="8740" w:type="dxa"/>
            <w:vAlign w:val="bottom"/>
          </w:tcPr>
          <w:p>
            <w:pPr>
              <w:ind w:left="40"/>
              <w:spacing w:after="0"/>
              <w:rPr>
                <w:sz w:val="20"/>
                <w:szCs w:val="20"/>
                <w:color w:val="auto"/>
              </w:rPr>
            </w:pPr>
            <w:r>
              <w:rPr>
                <w:rFonts w:ascii="Arial" w:cs="Arial" w:eastAsia="Arial" w:hAnsi="Arial"/>
                <w:sz w:val="18"/>
                <w:szCs w:val="18"/>
                <w:color w:val="auto"/>
              </w:rPr>
              <w:t>Preservation of Existence, Etc.</w:t>
            </w:r>
          </w:p>
        </w:tc>
        <w:tc>
          <w:tcPr>
            <w:tcW w:w="18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6.06</w:t>
            </w:r>
          </w:p>
        </w:tc>
        <w:tc>
          <w:tcPr>
            <w:tcW w:w="8740" w:type="dxa"/>
            <w:vAlign w:val="bottom"/>
          </w:tcPr>
          <w:p>
            <w:pPr>
              <w:ind w:left="40"/>
              <w:spacing w:after="0"/>
              <w:rPr>
                <w:sz w:val="20"/>
                <w:szCs w:val="20"/>
                <w:color w:val="auto"/>
              </w:rPr>
            </w:pPr>
            <w:r>
              <w:rPr>
                <w:rFonts w:ascii="Arial" w:cs="Arial" w:eastAsia="Arial" w:hAnsi="Arial"/>
                <w:sz w:val="18"/>
                <w:szCs w:val="18"/>
                <w:color w:val="auto"/>
              </w:rPr>
              <w:t>Maintenance of Properties</w:t>
            </w:r>
          </w:p>
        </w:tc>
        <w:tc>
          <w:tcPr>
            <w:tcW w:w="18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6.07</w:t>
            </w:r>
          </w:p>
        </w:tc>
        <w:tc>
          <w:tcPr>
            <w:tcW w:w="8740" w:type="dxa"/>
            <w:vAlign w:val="bottom"/>
          </w:tcPr>
          <w:p>
            <w:pPr>
              <w:ind w:left="40"/>
              <w:spacing w:after="0"/>
              <w:rPr>
                <w:sz w:val="20"/>
                <w:szCs w:val="20"/>
                <w:color w:val="auto"/>
              </w:rPr>
            </w:pPr>
            <w:r>
              <w:rPr>
                <w:rFonts w:ascii="Arial" w:cs="Arial" w:eastAsia="Arial" w:hAnsi="Arial"/>
                <w:sz w:val="18"/>
                <w:szCs w:val="18"/>
                <w:color w:val="auto"/>
              </w:rPr>
              <w:t>Maintenance of Insurance</w:t>
            </w:r>
          </w:p>
        </w:tc>
        <w:tc>
          <w:tcPr>
            <w:tcW w:w="18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6.08</w:t>
            </w:r>
          </w:p>
        </w:tc>
        <w:tc>
          <w:tcPr>
            <w:tcW w:w="8740" w:type="dxa"/>
            <w:vAlign w:val="bottom"/>
          </w:tcPr>
          <w:p>
            <w:pPr>
              <w:ind w:left="40"/>
              <w:spacing w:after="0"/>
              <w:rPr>
                <w:sz w:val="20"/>
                <w:szCs w:val="20"/>
                <w:color w:val="auto"/>
              </w:rPr>
            </w:pPr>
            <w:r>
              <w:rPr>
                <w:rFonts w:ascii="Arial" w:cs="Arial" w:eastAsia="Arial" w:hAnsi="Arial"/>
                <w:sz w:val="18"/>
                <w:szCs w:val="18"/>
                <w:color w:val="auto"/>
              </w:rPr>
              <w:t>Compliance with Laws</w:t>
            </w:r>
          </w:p>
        </w:tc>
        <w:tc>
          <w:tcPr>
            <w:tcW w:w="18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380" w:type="dxa"/>
            <w:vAlign w:val="bottom"/>
          </w:tcPr>
          <w:p>
            <w:pPr>
              <w:jc w:val="right"/>
              <w:spacing w:after="0"/>
              <w:rPr>
                <w:sz w:val="20"/>
                <w:szCs w:val="20"/>
                <w:color w:val="auto"/>
              </w:rPr>
            </w:pPr>
            <w:r>
              <w:rPr>
                <w:rFonts w:ascii="Arial" w:cs="Arial" w:eastAsia="Arial" w:hAnsi="Arial"/>
                <w:sz w:val="18"/>
                <w:szCs w:val="18"/>
                <w:color w:val="auto"/>
                <w:w w:val="85"/>
              </w:rPr>
              <w:t>6.09</w:t>
            </w:r>
          </w:p>
        </w:tc>
        <w:tc>
          <w:tcPr>
            <w:tcW w:w="8740" w:type="dxa"/>
            <w:vAlign w:val="bottom"/>
          </w:tcPr>
          <w:p>
            <w:pPr>
              <w:ind w:left="40"/>
              <w:spacing w:after="0"/>
              <w:rPr>
                <w:sz w:val="20"/>
                <w:szCs w:val="20"/>
                <w:color w:val="auto"/>
              </w:rPr>
            </w:pPr>
            <w:r>
              <w:rPr>
                <w:rFonts w:ascii="Arial" w:cs="Arial" w:eastAsia="Arial" w:hAnsi="Arial"/>
                <w:sz w:val="18"/>
                <w:szCs w:val="18"/>
                <w:color w:val="auto"/>
              </w:rPr>
              <w:t>Books and Records</w:t>
            </w:r>
          </w:p>
        </w:tc>
        <w:tc>
          <w:tcPr>
            <w:tcW w:w="18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380" w:type="dxa"/>
            <w:vAlign w:val="bottom"/>
          </w:tcPr>
          <w:p>
            <w:pPr>
              <w:jc w:val="right"/>
              <w:spacing w:after="0"/>
              <w:rPr>
                <w:sz w:val="20"/>
                <w:szCs w:val="20"/>
                <w:color w:val="auto"/>
              </w:rPr>
            </w:pPr>
            <w:r>
              <w:rPr>
                <w:rFonts w:ascii="Arial" w:cs="Arial" w:eastAsia="Arial" w:hAnsi="Arial"/>
                <w:sz w:val="18"/>
                <w:szCs w:val="18"/>
                <w:color w:val="auto"/>
                <w:w w:val="85"/>
              </w:rPr>
              <w:t>6.10</w:t>
            </w:r>
          </w:p>
        </w:tc>
        <w:tc>
          <w:tcPr>
            <w:tcW w:w="8740" w:type="dxa"/>
            <w:vAlign w:val="bottom"/>
          </w:tcPr>
          <w:p>
            <w:pPr>
              <w:ind w:left="40"/>
              <w:spacing w:after="0"/>
              <w:rPr>
                <w:sz w:val="20"/>
                <w:szCs w:val="20"/>
                <w:color w:val="auto"/>
              </w:rPr>
            </w:pPr>
            <w:r>
              <w:rPr>
                <w:rFonts w:ascii="Arial" w:cs="Arial" w:eastAsia="Arial" w:hAnsi="Arial"/>
                <w:sz w:val="18"/>
                <w:szCs w:val="18"/>
                <w:color w:val="auto"/>
              </w:rPr>
              <w:t>Inspection Rights</w:t>
            </w:r>
          </w:p>
        </w:tc>
        <w:tc>
          <w:tcPr>
            <w:tcW w:w="1860" w:type="dxa"/>
            <w:vAlign w:val="bottom"/>
          </w:tcPr>
          <w:p>
            <w:pPr>
              <w:jc w:val="right"/>
              <w:spacing w:after="0"/>
              <w:rPr>
                <w:sz w:val="20"/>
                <w:szCs w:val="20"/>
                <w:color w:val="auto"/>
              </w:rPr>
            </w:pPr>
            <w:r>
              <w:rPr>
                <w:rFonts w:ascii="Arial" w:cs="Arial" w:eastAsia="Arial" w:hAnsi="Arial"/>
                <w:sz w:val="18"/>
                <w:szCs w:val="18"/>
                <w:color w:val="auto"/>
              </w:rPr>
              <w:t>95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6.11</w:t>
            </w:r>
          </w:p>
        </w:tc>
        <w:tc>
          <w:tcPr>
            <w:tcW w:w="9540" w:type="dxa"/>
            <w:vAlign w:val="bottom"/>
          </w:tcPr>
          <w:p>
            <w:pPr>
              <w:ind w:left="40"/>
              <w:spacing w:after="0"/>
              <w:rPr>
                <w:sz w:val="20"/>
                <w:szCs w:val="20"/>
                <w:color w:val="auto"/>
              </w:rPr>
            </w:pPr>
            <w:r>
              <w:rPr>
                <w:rFonts w:ascii="Arial" w:cs="Arial" w:eastAsia="Arial" w:hAnsi="Arial"/>
                <w:sz w:val="18"/>
                <w:szCs w:val="18"/>
                <w:color w:val="auto"/>
              </w:rPr>
              <w:t>Use of Proceeds</w:t>
            </w: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6.12</w:t>
            </w:r>
          </w:p>
        </w:tc>
        <w:tc>
          <w:tcPr>
            <w:tcW w:w="9540" w:type="dxa"/>
            <w:vAlign w:val="bottom"/>
          </w:tcPr>
          <w:p>
            <w:pPr>
              <w:ind w:left="40"/>
              <w:spacing w:after="0"/>
              <w:rPr>
                <w:sz w:val="20"/>
                <w:szCs w:val="20"/>
                <w:color w:val="auto"/>
              </w:rPr>
            </w:pPr>
            <w:r>
              <w:rPr>
                <w:rFonts w:ascii="Arial" w:cs="Arial" w:eastAsia="Arial" w:hAnsi="Arial"/>
                <w:sz w:val="18"/>
                <w:szCs w:val="18"/>
                <w:color w:val="auto"/>
              </w:rPr>
              <w:t>Additional Subsidiaries</w:t>
            </w: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6.13</w:t>
            </w:r>
          </w:p>
        </w:tc>
        <w:tc>
          <w:tcPr>
            <w:tcW w:w="9540" w:type="dxa"/>
            <w:vAlign w:val="bottom"/>
          </w:tcPr>
          <w:p>
            <w:pPr>
              <w:ind w:left="40"/>
              <w:spacing w:after="0"/>
              <w:rPr>
                <w:sz w:val="20"/>
                <w:szCs w:val="20"/>
                <w:color w:val="auto"/>
              </w:rPr>
            </w:pPr>
            <w:r>
              <w:rPr>
                <w:rFonts w:ascii="Arial" w:cs="Arial" w:eastAsia="Arial" w:hAnsi="Arial"/>
                <w:sz w:val="18"/>
                <w:szCs w:val="18"/>
                <w:color w:val="auto"/>
              </w:rPr>
              <w:t>Compliance with Environmental Laws</w:t>
            </w: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6.14</w:t>
            </w:r>
          </w:p>
        </w:tc>
        <w:tc>
          <w:tcPr>
            <w:tcW w:w="9540" w:type="dxa"/>
            <w:vAlign w:val="bottom"/>
          </w:tcPr>
          <w:p>
            <w:pPr>
              <w:ind w:left="40"/>
              <w:spacing w:after="0"/>
              <w:rPr>
                <w:sz w:val="20"/>
                <w:szCs w:val="20"/>
                <w:color w:val="auto"/>
              </w:rPr>
            </w:pPr>
            <w:r>
              <w:rPr>
                <w:rFonts w:ascii="Arial" w:cs="Arial" w:eastAsia="Arial" w:hAnsi="Arial"/>
                <w:sz w:val="18"/>
                <w:szCs w:val="18"/>
                <w:color w:val="auto"/>
              </w:rPr>
              <w:t>Further Assurances</w:t>
            </w: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6.15</w:t>
            </w:r>
          </w:p>
        </w:tc>
        <w:tc>
          <w:tcPr>
            <w:tcW w:w="9540" w:type="dxa"/>
            <w:vAlign w:val="bottom"/>
          </w:tcPr>
          <w:p>
            <w:pPr>
              <w:ind w:left="40"/>
              <w:spacing w:after="0"/>
              <w:rPr>
                <w:sz w:val="20"/>
                <w:szCs w:val="20"/>
                <w:color w:val="auto"/>
              </w:rPr>
            </w:pPr>
            <w:r>
              <w:rPr>
                <w:rFonts w:ascii="Arial" w:cs="Arial" w:eastAsia="Arial" w:hAnsi="Arial"/>
                <w:sz w:val="18"/>
                <w:szCs w:val="18"/>
                <w:color w:val="auto"/>
              </w:rPr>
              <w:t>Approvals and Authorizations</w:t>
            </w: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6.16</w:t>
            </w:r>
          </w:p>
        </w:tc>
        <w:tc>
          <w:tcPr>
            <w:tcW w:w="9540" w:type="dxa"/>
            <w:vAlign w:val="bottom"/>
          </w:tcPr>
          <w:p>
            <w:pPr>
              <w:ind w:left="40"/>
              <w:spacing w:after="0"/>
              <w:rPr>
                <w:sz w:val="20"/>
                <w:szCs w:val="20"/>
                <w:color w:val="auto"/>
              </w:rPr>
            </w:pPr>
            <w:r>
              <w:rPr>
                <w:rFonts w:ascii="Arial" w:cs="Arial" w:eastAsia="Arial" w:hAnsi="Arial"/>
                <w:sz w:val="18"/>
                <w:szCs w:val="18"/>
                <w:color w:val="auto"/>
              </w:rPr>
              <w:t>Anti-Corruption Laws; Sanctions</w:t>
            </w: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10"/>
        </w:trPr>
        <w:tc>
          <w:tcPr>
            <w:tcW w:w="380" w:type="dxa"/>
            <w:vAlign w:val="bottom"/>
          </w:tcPr>
          <w:p>
            <w:pPr>
              <w:spacing w:after="0"/>
              <w:rPr>
                <w:sz w:val="24"/>
                <w:szCs w:val="24"/>
                <w:color w:val="auto"/>
              </w:rPr>
            </w:pPr>
          </w:p>
        </w:tc>
        <w:tc>
          <w:tcPr>
            <w:tcW w:w="9540" w:type="dxa"/>
            <w:vAlign w:val="bottom"/>
          </w:tcPr>
          <w:p>
            <w:pPr>
              <w:jc w:val="center"/>
              <w:ind w:left="150"/>
              <w:spacing w:after="0"/>
              <w:rPr>
                <w:sz w:val="20"/>
                <w:szCs w:val="20"/>
                <w:color w:val="auto"/>
              </w:rPr>
            </w:pPr>
            <w:r>
              <w:rPr>
                <w:rFonts w:ascii="Arial" w:cs="Arial" w:eastAsia="Arial" w:hAnsi="Arial"/>
                <w:sz w:val="18"/>
                <w:szCs w:val="18"/>
                <w:color w:val="auto"/>
              </w:rPr>
              <w:t>ARTICLE VII.</w:t>
            </w:r>
          </w:p>
        </w:tc>
        <w:tc>
          <w:tcPr>
            <w:tcW w:w="106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9540" w:type="dxa"/>
            <w:vAlign w:val="bottom"/>
          </w:tcPr>
          <w:p>
            <w:pPr>
              <w:jc w:val="center"/>
              <w:ind w:left="150"/>
              <w:spacing w:after="0"/>
              <w:rPr>
                <w:sz w:val="20"/>
                <w:szCs w:val="20"/>
                <w:color w:val="auto"/>
              </w:rPr>
            </w:pPr>
            <w:r>
              <w:rPr>
                <w:rFonts w:ascii="Arial" w:cs="Arial" w:eastAsia="Arial" w:hAnsi="Arial"/>
                <w:sz w:val="18"/>
                <w:szCs w:val="18"/>
                <w:color w:val="auto"/>
                <w:w w:val="97"/>
              </w:rPr>
              <w:t>NEGATIVE COVENANTS</w:t>
            </w:r>
          </w:p>
        </w:tc>
        <w:tc>
          <w:tcPr>
            <w:tcW w:w="1060" w:type="dxa"/>
            <w:vAlign w:val="bottom"/>
          </w:tcPr>
          <w:p>
            <w:pPr>
              <w:spacing w:after="0"/>
              <w:rPr>
                <w:sz w:val="20"/>
                <w:szCs w:val="20"/>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7.01</w:t>
            </w:r>
          </w:p>
        </w:tc>
        <w:tc>
          <w:tcPr>
            <w:tcW w:w="9540" w:type="dxa"/>
            <w:vAlign w:val="bottom"/>
          </w:tcPr>
          <w:p>
            <w:pPr>
              <w:ind w:left="40"/>
              <w:spacing w:after="0"/>
              <w:rPr>
                <w:sz w:val="20"/>
                <w:szCs w:val="20"/>
                <w:color w:val="auto"/>
              </w:rPr>
            </w:pPr>
            <w:r>
              <w:rPr>
                <w:rFonts w:ascii="Arial" w:cs="Arial" w:eastAsia="Arial" w:hAnsi="Arial"/>
                <w:sz w:val="18"/>
                <w:szCs w:val="18"/>
                <w:color w:val="auto"/>
              </w:rPr>
              <w:t>Liens</w:t>
            </w: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7.02</w:t>
            </w:r>
          </w:p>
        </w:tc>
        <w:tc>
          <w:tcPr>
            <w:tcW w:w="95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7.03</w:t>
            </w:r>
          </w:p>
        </w:tc>
        <w:tc>
          <w:tcPr>
            <w:tcW w:w="9540" w:type="dxa"/>
            <w:vAlign w:val="bottom"/>
          </w:tcPr>
          <w:p>
            <w:pPr>
              <w:ind w:left="40"/>
              <w:spacing w:after="0"/>
              <w:rPr>
                <w:sz w:val="20"/>
                <w:szCs w:val="20"/>
                <w:color w:val="auto"/>
              </w:rPr>
            </w:pPr>
            <w:r>
              <w:rPr>
                <w:rFonts w:ascii="Arial" w:cs="Arial" w:eastAsia="Arial" w:hAnsi="Arial"/>
                <w:sz w:val="18"/>
                <w:szCs w:val="18"/>
                <w:color w:val="auto"/>
              </w:rPr>
              <w:t>Indebtedness</w:t>
            </w:r>
          </w:p>
        </w:tc>
        <w:tc>
          <w:tcPr>
            <w:tcW w:w="10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7.04</w:t>
            </w:r>
          </w:p>
        </w:tc>
        <w:tc>
          <w:tcPr>
            <w:tcW w:w="9540" w:type="dxa"/>
            <w:vAlign w:val="bottom"/>
          </w:tcPr>
          <w:p>
            <w:pPr>
              <w:ind w:left="40"/>
              <w:spacing w:after="0"/>
              <w:rPr>
                <w:sz w:val="20"/>
                <w:szCs w:val="20"/>
                <w:color w:val="auto"/>
              </w:rPr>
            </w:pPr>
            <w:r>
              <w:rPr>
                <w:rFonts w:ascii="Arial" w:cs="Arial" w:eastAsia="Arial" w:hAnsi="Arial"/>
                <w:sz w:val="18"/>
                <w:szCs w:val="18"/>
                <w:color w:val="auto"/>
              </w:rPr>
              <w:t>Fundamental Changes</w:t>
            </w:r>
          </w:p>
        </w:tc>
        <w:tc>
          <w:tcPr>
            <w:tcW w:w="10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7.05</w:t>
            </w:r>
          </w:p>
        </w:tc>
        <w:tc>
          <w:tcPr>
            <w:tcW w:w="9540" w:type="dxa"/>
            <w:vAlign w:val="bottom"/>
          </w:tcPr>
          <w:p>
            <w:pPr>
              <w:ind w:left="40"/>
              <w:spacing w:after="0"/>
              <w:rPr>
                <w:sz w:val="20"/>
                <w:szCs w:val="20"/>
                <w:color w:val="auto"/>
              </w:rPr>
            </w:pPr>
            <w:r>
              <w:rPr>
                <w:rFonts w:ascii="Arial" w:cs="Arial" w:eastAsia="Arial" w:hAnsi="Arial"/>
                <w:sz w:val="18"/>
                <w:szCs w:val="18"/>
                <w:color w:val="auto"/>
              </w:rPr>
              <w:t>Dispositions</w:t>
            </w:r>
          </w:p>
        </w:tc>
        <w:tc>
          <w:tcPr>
            <w:tcW w:w="10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7.06</w:t>
            </w:r>
          </w:p>
        </w:tc>
        <w:tc>
          <w:tcPr>
            <w:tcW w:w="9540" w:type="dxa"/>
            <w:vAlign w:val="bottom"/>
          </w:tcPr>
          <w:p>
            <w:pPr>
              <w:ind w:left="40"/>
              <w:spacing w:after="0"/>
              <w:rPr>
                <w:sz w:val="20"/>
                <w:szCs w:val="20"/>
                <w:color w:val="auto"/>
              </w:rPr>
            </w:pPr>
            <w:r>
              <w:rPr>
                <w:rFonts w:ascii="Arial" w:cs="Arial" w:eastAsia="Arial" w:hAnsi="Arial"/>
                <w:sz w:val="18"/>
                <w:szCs w:val="18"/>
                <w:color w:val="auto"/>
              </w:rPr>
              <w:t>Restricted Payments</w:t>
            </w: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7.07</w:t>
            </w:r>
          </w:p>
        </w:tc>
        <w:tc>
          <w:tcPr>
            <w:tcW w:w="9540" w:type="dxa"/>
            <w:vAlign w:val="bottom"/>
          </w:tcPr>
          <w:p>
            <w:pPr>
              <w:ind w:left="40"/>
              <w:spacing w:after="0"/>
              <w:rPr>
                <w:sz w:val="20"/>
                <w:szCs w:val="20"/>
                <w:color w:val="auto"/>
              </w:rPr>
            </w:pPr>
            <w:r>
              <w:rPr>
                <w:rFonts w:ascii="Arial" w:cs="Arial" w:eastAsia="Arial" w:hAnsi="Arial"/>
                <w:sz w:val="18"/>
                <w:szCs w:val="18"/>
                <w:color w:val="auto"/>
              </w:rPr>
              <w:t>Change in Nature of Business</w:t>
            </w: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7.08</w:t>
            </w:r>
          </w:p>
        </w:tc>
        <w:tc>
          <w:tcPr>
            <w:tcW w:w="9540" w:type="dxa"/>
            <w:vAlign w:val="bottom"/>
          </w:tcPr>
          <w:p>
            <w:pPr>
              <w:ind w:left="40"/>
              <w:spacing w:after="0"/>
              <w:rPr>
                <w:sz w:val="20"/>
                <w:szCs w:val="20"/>
                <w:color w:val="auto"/>
              </w:rPr>
            </w:pPr>
            <w:r>
              <w:rPr>
                <w:rFonts w:ascii="Arial" w:cs="Arial" w:eastAsia="Arial" w:hAnsi="Arial"/>
                <w:sz w:val="18"/>
                <w:szCs w:val="18"/>
                <w:color w:val="auto"/>
              </w:rPr>
              <w:t>Transactions with Affiliates</w:t>
            </w: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7.09</w:t>
            </w:r>
          </w:p>
        </w:tc>
        <w:tc>
          <w:tcPr>
            <w:tcW w:w="9540" w:type="dxa"/>
            <w:vAlign w:val="bottom"/>
          </w:tcPr>
          <w:p>
            <w:pPr>
              <w:ind w:left="40"/>
              <w:spacing w:after="0"/>
              <w:rPr>
                <w:sz w:val="20"/>
                <w:szCs w:val="20"/>
                <w:color w:val="auto"/>
              </w:rPr>
            </w:pPr>
            <w:r>
              <w:rPr>
                <w:rFonts w:ascii="Arial" w:cs="Arial" w:eastAsia="Arial" w:hAnsi="Arial"/>
                <w:sz w:val="18"/>
                <w:szCs w:val="18"/>
                <w:color w:val="auto"/>
              </w:rPr>
              <w:t>Burdensome Agreements</w:t>
            </w: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7.10</w:t>
            </w:r>
          </w:p>
        </w:tc>
        <w:tc>
          <w:tcPr>
            <w:tcW w:w="9540" w:type="dxa"/>
            <w:vAlign w:val="bottom"/>
          </w:tcPr>
          <w:p>
            <w:pPr>
              <w:ind w:left="40"/>
              <w:spacing w:after="0"/>
              <w:rPr>
                <w:sz w:val="20"/>
                <w:szCs w:val="20"/>
                <w:color w:val="auto"/>
              </w:rPr>
            </w:pPr>
            <w:r>
              <w:rPr>
                <w:rFonts w:ascii="Arial" w:cs="Arial" w:eastAsia="Arial" w:hAnsi="Arial"/>
                <w:sz w:val="18"/>
                <w:szCs w:val="18"/>
                <w:color w:val="auto"/>
              </w:rPr>
              <w:t>Use of Proceeds</w:t>
            </w: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7.11</w:t>
            </w:r>
          </w:p>
        </w:tc>
        <w:tc>
          <w:tcPr>
            <w:tcW w:w="9540" w:type="dxa"/>
            <w:vAlign w:val="bottom"/>
          </w:tcPr>
          <w:p>
            <w:pPr>
              <w:ind w:left="40"/>
              <w:spacing w:after="0"/>
              <w:rPr>
                <w:sz w:val="20"/>
                <w:szCs w:val="20"/>
                <w:color w:val="auto"/>
              </w:rPr>
            </w:pPr>
            <w:r>
              <w:rPr>
                <w:rFonts w:ascii="Arial" w:cs="Arial" w:eastAsia="Arial" w:hAnsi="Arial"/>
                <w:sz w:val="18"/>
                <w:szCs w:val="18"/>
                <w:color w:val="auto"/>
              </w:rPr>
              <w:t>Financial Covenants</w:t>
            </w: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7.12</w:t>
            </w:r>
          </w:p>
        </w:tc>
        <w:tc>
          <w:tcPr>
            <w:tcW w:w="9540" w:type="dxa"/>
            <w:vAlign w:val="bottom"/>
          </w:tcPr>
          <w:p>
            <w:pPr>
              <w:ind w:left="40"/>
              <w:spacing w:after="0"/>
              <w:rPr>
                <w:sz w:val="20"/>
                <w:szCs w:val="20"/>
                <w:color w:val="auto"/>
              </w:rPr>
            </w:pPr>
            <w:r>
              <w:rPr>
                <w:rFonts w:ascii="Arial" w:cs="Arial" w:eastAsia="Arial" w:hAnsi="Arial"/>
                <w:sz w:val="18"/>
                <w:szCs w:val="18"/>
                <w:color w:val="auto"/>
              </w:rPr>
              <w:t>Amendment or Modification of Organization Documents</w:t>
            </w: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7.13</w:t>
            </w:r>
          </w:p>
        </w:tc>
        <w:tc>
          <w:tcPr>
            <w:tcW w:w="9540" w:type="dxa"/>
            <w:vAlign w:val="bottom"/>
          </w:tcPr>
          <w:p>
            <w:pPr>
              <w:ind w:left="40"/>
              <w:spacing w:after="0"/>
              <w:rPr>
                <w:sz w:val="20"/>
                <w:szCs w:val="20"/>
                <w:color w:val="auto"/>
              </w:rPr>
            </w:pPr>
            <w:r>
              <w:rPr>
                <w:rFonts w:ascii="Arial" w:cs="Arial" w:eastAsia="Arial" w:hAnsi="Arial"/>
                <w:sz w:val="18"/>
                <w:szCs w:val="18"/>
                <w:color w:val="auto"/>
              </w:rPr>
              <w:t>Accounting Changes</w:t>
            </w: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7.14</w:t>
            </w:r>
          </w:p>
        </w:tc>
        <w:tc>
          <w:tcPr>
            <w:tcW w:w="9540" w:type="dxa"/>
            <w:vAlign w:val="bottom"/>
          </w:tcPr>
          <w:p>
            <w:pPr>
              <w:ind w:left="40"/>
              <w:spacing w:after="0"/>
              <w:rPr>
                <w:sz w:val="20"/>
                <w:szCs w:val="20"/>
                <w:color w:val="auto"/>
              </w:rPr>
            </w:pPr>
            <w:r>
              <w:rPr>
                <w:rFonts w:ascii="Arial" w:cs="Arial" w:eastAsia="Arial" w:hAnsi="Arial"/>
                <w:sz w:val="18"/>
                <w:szCs w:val="18"/>
                <w:color w:val="auto"/>
              </w:rPr>
              <w:t>Post-Closing Actions</w:t>
            </w: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10"/>
        </w:trPr>
        <w:tc>
          <w:tcPr>
            <w:tcW w:w="380" w:type="dxa"/>
            <w:vAlign w:val="bottom"/>
          </w:tcPr>
          <w:p>
            <w:pPr>
              <w:spacing w:after="0"/>
              <w:rPr>
                <w:sz w:val="24"/>
                <w:szCs w:val="24"/>
                <w:color w:val="auto"/>
              </w:rPr>
            </w:pPr>
          </w:p>
        </w:tc>
        <w:tc>
          <w:tcPr>
            <w:tcW w:w="9540" w:type="dxa"/>
            <w:vAlign w:val="bottom"/>
          </w:tcPr>
          <w:p>
            <w:pPr>
              <w:jc w:val="center"/>
              <w:ind w:left="150"/>
              <w:spacing w:after="0"/>
              <w:rPr>
                <w:sz w:val="20"/>
                <w:szCs w:val="20"/>
                <w:color w:val="auto"/>
              </w:rPr>
            </w:pPr>
            <w:r>
              <w:rPr>
                <w:rFonts w:ascii="Arial" w:cs="Arial" w:eastAsia="Arial" w:hAnsi="Arial"/>
                <w:sz w:val="18"/>
                <w:szCs w:val="18"/>
                <w:color w:val="auto"/>
              </w:rPr>
              <w:t>ARTICLE VIII.</w:t>
            </w:r>
          </w:p>
        </w:tc>
        <w:tc>
          <w:tcPr>
            <w:tcW w:w="106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9540" w:type="dxa"/>
            <w:vAlign w:val="bottom"/>
          </w:tcPr>
          <w:p>
            <w:pPr>
              <w:jc w:val="center"/>
              <w:ind w:left="150"/>
              <w:spacing w:after="0"/>
              <w:rPr>
                <w:sz w:val="20"/>
                <w:szCs w:val="20"/>
                <w:color w:val="auto"/>
              </w:rPr>
            </w:pPr>
            <w:r>
              <w:rPr>
                <w:rFonts w:ascii="Arial" w:cs="Arial" w:eastAsia="Arial" w:hAnsi="Arial"/>
                <w:sz w:val="18"/>
                <w:szCs w:val="18"/>
                <w:color w:val="auto"/>
                <w:w w:val="96"/>
              </w:rPr>
              <w:t>EVENTS OF DEFAULT AND REMEDIES</w:t>
            </w:r>
          </w:p>
        </w:tc>
        <w:tc>
          <w:tcPr>
            <w:tcW w:w="1060" w:type="dxa"/>
            <w:vAlign w:val="bottom"/>
          </w:tcPr>
          <w:p>
            <w:pPr>
              <w:spacing w:after="0"/>
              <w:rPr>
                <w:sz w:val="20"/>
                <w:szCs w:val="20"/>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8.01</w:t>
            </w:r>
          </w:p>
        </w:tc>
        <w:tc>
          <w:tcPr>
            <w:tcW w:w="954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10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8.02</w:t>
            </w:r>
          </w:p>
        </w:tc>
        <w:tc>
          <w:tcPr>
            <w:tcW w:w="9540" w:type="dxa"/>
            <w:vAlign w:val="bottom"/>
          </w:tcPr>
          <w:p>
            <w:pPr>
              <w:ind w:left="40"/>
              <w:spacing w:after="0"/>
              <w:rPr>
                <w:sz w:val="20"/>
                <w:szCs w:val="20"/>
                <w:color w:val="auto"/>
              </w:rPr>
            </w:pPr>
            <w:r>
              <w:rPr>
                <w:rFonts w:ascii="Arial" w:cs="Arial" w:eastAsia="Arial" w:hAnsi="Arial"/>
                <w:sz w:val="18"/>
                <w:szCs w:val="18"/>
                <w:color w:val="auto"/>
              </w:rPr>
              <w:t>Remedies Upon Event of Default</w:t>
            </w: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8.03</w:t>
            </w:r>
          </w:p>
        </w:tc>
        <w:tc>
          <w:tcPr>
            <w:tcW w:w="9540" w:type="dxa"/>
            <w:vAlign w:val="bottom"/>
          </w:tcPr>
          <w:p>
            <w:pPr>
              <w:ind w:left="40"/>
              <w:spacing w:after="0"/>
              <w:rPr>
                <w:sz w:val="20"/>
                <w:szCs w:val="20"/>
                <w:color w:val="auto"/>
              </w:rPr>
            </w:pPr>
            <w:r>
              <w:rPr>
                <w:rFonts w:ascii="Arial" w:cs="Arial" w:eastAsia="Arial" w:hAnsi="Arial"/>
                <w:sz w:val="18"/>
                <w:szCs w:val="18"/>
                <w:color w:val="auto"/>
              </w:rPr>
              <w:t>Application of Funds</w:t>
            </w: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10"/>
        </w:trPr>
        <w:tc>
          <w:tcPr>
            <w:tcW w:w="380" w:type="dxa"/>
            <w:vAlign w:val="bottom"/>
          </w:tcPr>
          <w:p>
            <w:pPr>
              <w:spacing w:after="0"/>
              <w:rPr>
                <w:sz w:val="24"/>
                <w:szCs w:val="24"/>
                <w:color w:val="auto"/>
              </w:rPr>
            </w:pPr>
          </w:p>
        </w:tc>
        <w:tc>
          <w:tcPr>
            <w:tcW w:w="9540" w:type="dxa"/>
            <w:vAlign w:val="bottom"/>
          </w:tcPr>
          <w:p>
            <w:pPr>
              <w:jc w:val="center"/>
              <w:ind w:left="150"/>
              <w:spacing w:after="0"/>
              <w:rPr>
                <w:sz w:val="20"/>
                <w:szCs w:val="20"/>
                <w:color w:val="auto"/>
              </w:rPr>
            </w:pPr>
            <w:r>
              <w:rPr>
                <w:rFonts w:ascii="Arial" w:cs="Arial" w:eastAsia="Arial" w:hAnsi="Arial"/>
                <w:sz w:val="18"/>
                <w:szCs w:val="18"/>
                <w:color w:val="auto"/>
                <w:w w:val="98"/>
              </w:rPr>
              <w:t>ARTICLE IX.</w:t>
            </w:r>
          </w:p>
        </w:tc>
        <w:tc>
          <w:tcPr>
            <w:tcW w:w="1060" w:type="dxa"/>
            <w:vAlign w:val="bottom"/>
          </w:tcPr>
          <w:p>
            <w:pPr>
              <w:spacing w:after="0"/>
              <w:rPr>
                <w:sz w:val="24"/>
                <w:szCs w:val="24"/>
                <w:color w:val="auto"/>
              </w:rPr>
            </w:pPr>
          </w:p>
        </w:tc>
      </w:tr>
      <w:tr>
        <w:trPr>
          <w:trHeight w:val="230"/>
        </w:trPr>
        <w:tc>
          <w:tcPr>
            <w:tcW w:w="380" w:type="dxa"/>
            <w:vAlign w:val="bottom"/>
          </w:tcPr>
          <w:p>
            <w:pPr>
              <w:spacing w:after="0"/>
              <w:rPr>
                <w:sz w:val="20"/>
                <w:szCs w:val="20"/>
                <w:color w:val="auto"/>
              </w:rPr>
            </w:pPr>
          </w:p>
        </w:tc>
        <w:tc>
          <w:tcPr>
            <w:tcW w:w="9540" w:type="dxa"/>
            <w:vAlign w:val="bottom"/>
          </w:tcPr>
          <w:p>
            <w:pPr>
              <w:jc w:val="center"/>
              <w:ind w:left="150"/>
              <w:spacing w:after="0"/>
              <w:rPr>
                <w:sz w:val="20"/>
                <w:szCs w:val="20"/>
                <w:color w:val="auto"/>
              </w:rPr>
            </w:pPr>
            <w:r>
              <w:rPr>
                <w:rFonts w:ascii="Arial" w:cs="Arial" w:eastAsia="Arial" w:hAnsi="Arial"/>
                <w:sz w:val="18"/>
                <w:szCs w:val="18"/>
                <w:color w:val="auto"/>
                <w:w w:val="99"/>
              </w:rPr>
              <w:t>ADMINISTRATIVE AGENT</w:t>
            </w:r>
          </w:p>
        </w:tc>
        <w:tc>
          <w:tcPr>
            <w:tcW w:w="1060" w:type="dxa"/>
            <w:vAlign w:val="bottom"/>
          </w:tcPr>
          <w:p>
            <w:pPr>
              <w:spacing w:after="0"/>
              <w:rPr>
                <w:sz w:val="20"/>
                <w:szCs w:val="20"/>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8"/>
                <w:szCs w:val="18"/>
                <w:color w:val="auto"/>
              </w:rPr>
              <w:t>9.01</w:t>
            </w:r>
          </w:p>
        </w:tc>
        <w:tc>
          <w:tcPr>
            <w:tcW w:w="9540" w:type="dxa"/>
            <w:vAlign w:val="bottom"/>
          </w:tcPr>
          <w:p>
            <w:pPr>
              <w:ind w:left="40"/>
              <w:spacing w:after="0"/>
              <w:rPr>
                <w:sz w:val="20"/>
                <w:szCs w:val="20"/>
                <w:color w:val="auto"/>
              </w:rPr>
            </w:pPr>
            <w:r>
              <w:rPr>
                <w:rFonts w:ascii="Arial" w:cs="Arial" w:eastAsia="Arial" w:hAnsi="Arial"/>
                <w:sz w:val="18"/>
                <w:szCs w:val="18"/>
                <w:color w:val="auto"/>
              </w:rPr>
              <w:t>Appointment and Authority</w:t>
            </w: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9.02</w:t>
            </w:r>
          </w:p>
        </w:tc>
        <w:tc>
          <w:tcPr>
            <w:tcW w:w="9540" w:type="dxa"/>
            <w:vAlign w:val="bottom"/>
          </w:tcPr>
          <w:p>
            <w:pPr>
              <w:ind w:left="40"/>
              <w:spacing w:after="0"/>
              <w:rPr>
                <w:sz w:val="20"/>
                <w:szCs w:val="20"/>
                <w:color w:val="auto"/>
              </w:rPr>
            </w:pPr>
            <w:r>
              <w:rPr>
                <w:rFonts w:ascii="Arial" w:cs="Arial" w:eastAsia="Arial" w:hAnsi="Arial"/>
                <w:sz w:val="18"/>
                <w:szCs w:val="18"/>
                <w:color w:val="auto"/>
              </w:rPr>
              <w:t>Rights as a Lender</w:t>
            </w: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9.03</w:t>
            </w:r>
          </w:p>
        </w:tc>
        <w:tc>
          <w:tcPr>
            <w:tcW w:w="9540" w:type="dxa"/>
            <w:vAlign w:val="bottom"/>
          </w:tcPr>
          <w:p>
            <w:pPr>
              <w:ind w:left="40"/>
              <w:spacing w:after="0"/>
              <w:rPr>
                <w:sz w:val="20"/>
                <w:szCs w:val="20"/>
                <w:color w:val="auto"/>
              </w:rPr>
            </w:pPr>
            <w:r>
              <w:rPr>
                <w:rFonts w:ascii="Arial" w:cs="Arial" w:eastAsia="Arial" w:hAnsi="Arial"/>
                <w:sz w:val="18"/>
                <w:szCs w:val="18"/>
                <w:color w:val="auto"/>
              </w:rPr>
              <w:t>Exculpatory Provisions</w:t>
            </w: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9.04</w:t>
            </w:r>
          </w:p>
        </w:tc>
        <w:tc>
          <w:tcPr>
            <w:tcW w:w="9540" w:type="dxa"/>
            <w:vAlign w:val="bottom"/>
          </w:tcPr>
          <w:p>
            <w:pPr>
              <w:ind w:left="40"/>
              <w:spacing w:after="0"/>
              <w:rPr>
                <w:sz w:val="20"/>
                <w:szCs w:val="20"/>
                <w:color w:val="auto"/>
              </w:rPr>
            </w:pPr>
            <w:r>
              <w:rPr>
                <w:rFonts w:ascii="Arial" w:cs="Arial" w:eastAsia="Arial" w:hAnsi="Arial"/>
                <w:sz w:val="18"/>
                <w:szCs w:val="18"/>
                <w:color w:val="auto"/>
              </w:rPr>
              <w:t>Reliance by Administrative Agent</w:t>
            </w: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9.05</w:t>
            </w:r>
          </w:p>
        </w:tc>
        <w:tc>
          <w:tcPr>
            <w:tcW w:w="9540" w:type="dxa"/>
            <w:vAlign w:val="bottom"/>
          </w:tcPr>
          <w:p>
            <w:pPr>
              <w:ind w:left="40"/>
              <w:spacing w:after="0"/>
              <w:rPr>
                <w:sz w:val="20"/>
                <w:szCs w:val="20"/>
                <w:color w:val="auto"/>
              </w:rPr>
            </w:pPr>
            <w:r>
              <w:rPr>
                <w:rFonts w:ascii="Arial" w:cs="Arial" w:eastAsia="Arial" w:hAnsi="Arial"/>
                <w:sz w:val="18"/>
                <w:szCs w:val="18"/>
                <w:color w:val="auto"/>
              </w:rPr>
              <w:t>Delegation of Duties</w:t>
            </w: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9.06</w:t>
            </w:r>
          </w:p>
        </w:tc>
        <w:tc>
          <w:tcPr>
            <w:tcW w:w="9540" w:type="dxa"/>
            <w:vAlign w:val="bottom"/>
          </w:tcPr>
          <w:p>
            <w:pPr>
              <w:ind w:left="40"/>
              <w:spacing w:after="0"/>
              <w:rPr>
                <w:sz w:val="20"/>
                <w:szCs w:val="20"/>
                <w:color w:val="auto"/>
              </w:rPr>
            </w:pPr>
            <w:r>
              <w:rPr>
                <w:rFonts w:ascii="Arial" w:cs="Arial" w:eastAsia="Arial" w:hAnsi="Arial"/>
                <w:sz w:val="18"/>
                <w:szCs w:val="18"/>
                <w:color w:val="auto"/>
              </w:rPr>
              <w:t>Resignation of Administrative Agent</w:t>
            </w: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9.07</w:t>
            </w:r>
          </w:p>
        </w:tc>
        <w:tc>
          <w:tcPr>
            <w:tcW w:w="9540" w:type="dxa"/>
            <w:vAlign w:val="bottom"/>
          </w:tcPr>
          <w:p>
            <w:pPr>
              <w:ind w:left="40"/>
              <w:spacing w:after="0"/>
              <w:rPr>
                <w:sz w:val="20"/>
                <w:szCs w:val="20"/>
                <w:color w:val="auto"/>
              </w:rPr>
            </w:pPr>
            <w:r>
              <w:rPr>
                <w:rFonts w:ascii="Arial" w:cs="Arial" w:eastAsia="Arial" w:hAnsi="Arial"/>
                <w:sz w:val="18"/>
                <w:szCs w:val="18"/>
                <w:color w:val="auto"/>
              </w:rPr>
              <w:t>Non-Reliance on Administrative Agent and Other Lenders</w:t>
            </w:r>
          </w:p>
        </w:tc>
        <w:tc>
          <w:tcPr>
            <w:tcW w:w="10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9.08</w:t>
            </w:r>
          </w:p>
        </w:tc>
        <w:tc>
          <w:tcPr>
            <w:tcW w:w="9540" w:type="dxa"/>
            <w:vAlign w:val="bottom"/>
          </w:tcPr>
          <w:p>
            <w:pPr>
              <w:ind w:left="40"/>
              <w:spacing w:after="0"/>
              <w:rPr>
                <w:sz w:val="20"/>
                <w:szCs w:val="20"/>
                <w:color w:val="auto"/>
              </w:rPr>
            </w:pPr>
            <w:r>
              <w:rPr>
                <w:rFonts w:ascii="Arial" w:cs="Arial" w:eastAsia="Arial" w:hAnsi="Arial"/>
                <w:sz w:val="18"/>
                <w:szCs w:val="18"/>
                <w:color w:val="auto"/>
              </w:rPr>
              <w:t>No Other Duties, Etc.</w:t>
            </w:r>
          </w:p>
        </w:tc>
        <w:tc>
          <w:tcPr>
            <w:tcW w:w="10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9.09</w:t>
            </w:r>
          </w:p>
        </w:tc>
        <w:tc>
          <w:tcPr>
            <w:tcW w:w="9540" w:type="dxa"/>
            <w:vAlign w:val="bottom"/>
          </w:tcPr>
          <w:p>
            <w:pPr>
              <w:ind w:left="40"/>
              <w:spacing w:after="0"/>
              <w:rPr>
                <w:sz w:val="20"/>
                <w:szCs w:val="20"/>
                <w:color w:val="auto"/>
              </w:rPr>
            </w:pPr>
            <w:r>
              <w:rPr>
                <w:rFonts w:ascii="Arial" w:cs="Arial" w:eastAsia="Arial" w:hAnsi="Arial"/>
                <w:sz w:val="18"/>
                <w:szCs w:val="18"/>
                <w:color w:val="auto"/>
              </w:rPr>
              <w:t>Administrative Agent May File Proofs of Claim; Credit Bidding</w:t>
            </w:r>
          </w:p>
        </w:tc>
        <w:tc>
          <w:tcPr>
            <w:tcW w:w="10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9.10</w:t>
            </w:r>
          </w:p>
        </w:tc>
        <w:tc>
          <w:tcPr>
            <w:tcW w:w="9540" w:type="dxa"/>
            <w:vAlign w:val="bottom"/>
          </w:tcPr>
          <w:p>
            <w:pPr>
              <w:ind w:left="40"/>
              <w:spacing w:after="0"/>
              <w:rPr>
                <w:sz w:val="20"/>
                <w:szCs w:val="20"/>
                <w:color w:val="auto"/>
              </w:rPr>
            </w:pPr>
            <w:r>
              <w:rPr>
                <w:rFonts w:ascii="Arial" w:cs="Arial" w:eastAsia="Arial" w:hAnsi="Arial"/>
                <w:sz w:val="18"/>
                <w:szCs w:val="18"/>
                <w:color w:val="auto"/>
              </w:rPr>
              <w:t>Collateral and Guaranty Matters</w:t>
            </w: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9920" w:type="dxa"/>
            <w:vAlign w:val="bottom"/>
            <w:gridSpan w:val="2"/>
          </w:tcPr>
          <w:p>
            <w:pPr>
              <w:spacing w:after="0"/>
              <w:rPr>
                <w:sz w:val="20"/>
                <w:szCs w:val="20"/>
                <w:color w:val="auto"/>
              </w:rPr>
            </w:pPr>
            <w:r>
              <w:rPr>
                <w:rFonts w:ascii="Arial" w:cs="Arial" w:eastAsia="Arial" w:hAnsi="Arial"/>
                <w:sz w:val="18"/>
                <w:szCs w:val="18"/>
                <w:color w:val="auto"/>
                <w:w w:val="96"/>
              </w:rPr>
              <w:t>9.11 Secured Cash Management Agreements, Secured Hedge Agreements and Secured Permitted Standalone Letters of Credit</w:t>
            </w: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9.12</w:t>
            </w:r>
          </w:p>
        </w:tc>
        <w:tc>
          <w:tcPr>
            <w:tcW w:w="9540" w:type="dxa"/>
            <w:vAlign w:val="bottom"/>
          </w:tcPr>
          <w:p>
            <w:pPr>
              <w:ind w:left="40"/>
              <w:spacing w:after="0"/>
              <w:rPr>
                <w:sz w:val="20"/>
                <w:szCs w:val="20"/>
                <w:color w:val="auto"/>
              </w:rPr>
            </w:pPr>
            <w:r>
              <w:rPr>
                <w:rFonts w:ascii="Arial" w:cs="Arial" w:eastAsia="Arial" w:hAnsi="Arial"/>
                <w:sz w:val="18"/>
                <w:szCs w:val="18"/>
                <w:color w:val="auto"/>
              </w:rPr>
              <w:t>Certain ERISA Matters</w:t>
            </w: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4" w:right="47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7900" w:type="dxa"/>
            <w:vAlign w:val="bottom"/>
          </w:tcPr>
          <w:p>
            <w:pPr>
              <w:ind w:left="4320"/>
              <w:spacing w:after="0"/>
              <w:rPr>
                <w:sz w:val="20"/>
                <w:szCs w:val="20"/>
                <w:color w:val="auto"/>
              </w:rPr>
            </w:pPr>
            <w:r>
              <w:rPr>
                <w:rFonts w:ascii="Arial" w:cs="Arial" w:eastAsia="Arial" w:hAnsi="Arial"/>
                <w:sz w:val="18"/>
                <w:szCs w:val="18"/>
                <w:color w:val="auto"/>
              </w:rPr>
              <w:t>ARTICLE X.</w:t>
            </w:r>
          </w:p>
        </w:tc>
        <w:tc>
          <w:tcPr>
            <w:tcW w:w="2620" w:type="dxa"/>
            <w:vAlign w:val="bottom"/>
          </w:tcPr>
          <w:p>
            <w:pPr>
              <w:spacing w:after="0"/>
              <w:rPr>
                <w:sz w:val="18"/>
                <w:szCs w:val="18"/>
                <w:color w:val="auto"/>
              </w:rPr>
            </w:pPr>
          </w:p>
        </w:tc>
      </w:tr>
      <w:tr>
        <w:trPr>
          <w:trHeight w:val="230"/>
        </w:trPr>
        <w:tc>
          <w:tcPr>
            <w:tcW w:w="460" w:type="dxa"/>
            <w:vAlign w:val="bottom"/>
          </w:tcPr>
          <w:p>
            <w:pPr>
              <w:spacing w:after="0"/>
              <w:rPr>
                <w:sz w:val="20"/>
                <w:szCs w:val="20"/>
                <w:color w:val="auto"/>
              </w:rPr>
            </w:pPr>
          </w:p>
        </w:tc>
        <w:tc>
          <w:tcPr>
            <w:tcW w:w="7900" w:type="dxa"/>
            <w:vAlign w:val="bottom"/>
          </w:tcPr>
          <w:p>
            <w:pPr>
              <w:ind w:left="4060"/>
              <w:spacing w:after="0"/>
              <w:rPr>
                <w:sz w:val="20"/>
                <w:szCs w:val="20"/>
                <w:color w:val="auto"/>
              </w:rPr>
            </w:pPr>
            <w:r>
              <w:rPr>
                <w:rFonts w:ascii="Arial" w:cs="Arial" w:eastAsia="Arial" w:hAnsi="Arial"/>
                <w:sz w:val="18"/>
                <w:szCs w:val="18"/>
                <w:color w:val="auto"/>
              </w:rPr>
              <w:t>MISCELLANEOUS</w:t>
            </w:r>
          </w:p>
        </w:tc>
        <w:tc>
          <w:tcPr>
            <w:tcW w:w="2620" w:type="dxa"/>
            <w:vAlign w:val="bottom"/>
          </w:tcPr>
          <w:p>
            <w:pPr>
              <w:spacing w:after="0"/>
              <w:rPr>
                <w:sz w:val="20"/>
                <w:szCs w:val="20"/>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w w:val="97"/>
              </w:rPr>
              <w:t>10.01</w:t>
            </w:r>
          </w:p>
        </w:tc>
        <w:tc>
          <w:tcPr>
            <w:tcW w:w="7900" w:type="dxa"/>
            <w:vAlign w:val="bottom"/>
          </w:tcPr>
          <w:p>
            <w:pPr>
              <w:ind w:left="80"/>
              <w:spacing w:after="0"/>
              <w:rPr>
                <w:sz w:val="20"/>
                <w:szCs w:val="20"/>
                <w:color w:val="auto"/>
              </w:rPr>
            </w:pPr>
            <w:r>
              <w:rPr>
                <w:rFonts w:ascii="Arial" w:cs="Arial" w:eastAsia="Arial" w:hAnsi="Arial"/>
                <w:sz w:val="18"/>
                <w:szCs w:val="18"/>
                <w:color w:val="auto"/>
              </w:rPr>
              <w:t>Amendments, Etc.</w:t>
            </w:r>
          </w:p>
        </w:tc>
        <w:tc>
          <w:tcPr>
            <w:tcW w:w="26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10.02</w:t>
            </w:r>
          </w:p>
        </w:tc>
        <w:tc>
          <w:tcPr>
            <w:tcW w:w="7900" w:type="dxa"/>
            <w:vAlign w:val="bottom"/>
          </w:tcPr>
          <w:p>
            <w:pPr>
              <w:ind w:left="80"/>
              <w:spacing w:after="0"/>
              <w:rPr>
                <w:sz w:val="20"/>
                <w:szCs w:val="20"/>
                <w:color w:val="auto"/>
              </w:rPr>
            </w:pPr>
            <w:r>
              <w:rPr>
                <w:rFonts w:ascii="Arial" w:cs="Arial" w:eastAsia="Arial" w:hAnsi="Arial"/>
                <w:sz w:val="18"/>
                <w:szCs w:val="18"/>
                <w:color w:val="auto"/>
              </w:rPr>
              <w:t>Notices; Effectiveness; Electronic Communication</w:t>
            </w:r>
          </w:p>
        </w:tc>
        <w:tc>
          <w:tcPr>
            <w:tcW w:w="262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10.03</w:t>
            </w:r>
          </w:p>
        </w:tc>
        <w:tc>
          <w:tcPr>
            <w:tcW w:w="7900" w:type="dxa"/>
            <w:vAlign w:val="bottom"/>
          </w:tcPr>
          <w:p>
            <w:pPr>
              <w:ind w:left="80"/>
              <w:spacing w:after="0"/>
              <w:rPr>
                <w:sz w:val="20"/>
                <w:szCs w:val="20"/>
                <w:color w:val="auto"/>
              </w:rPr>
            </w:pPr>
            <w:r>
              <w:rPr>
                <w:rFonts w:ascii="Arial" w:cs="Arial" w:eastAsia="Arial" w:hAnsi="Arial"/>
                <w:sz w:val="18"/>
                <w:szCs w:val="18"/>
                <w:color w:val="auto"/>
              </w:rPr>
              <w:t>No Waiver; Cumulative Remedies; Enforcement</w:t>
            </w:r>
          </w:p>
        </w:tc>
        <w:tc>
          <w:tcPr>
            <w:tcW w:w="26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10.04</w:t>
            </w:r>
          </w:p>
        </w:tc>
        <w:tc>
          <w:tcPr>
            <w:tcW w:w="7900" w:type="dxa"/>
            <w:vAlign w:val="bottom"/>
          </w:tcPr>
          <w:p>
            <w:pPr>
              <w:ind w:left="80"/>
              <w:spacing w:after="0"/>
              <w:rPr>
                <w:sz w:val="20"/>
                <w:szCs w:val="20"/>
                <w:color w:val="auto"/>
              </w:rPr>
            </w:pPr>
            <w:r>
              <w:rPr>
                <w:rFonts w:ascii="Arial" w:cs="Arial" w:eastAsia="Arial" w:hAnsi="Arial"/>
                <w:sz w:val="18"/>
                <w:szCs w:val="18"/>
                <w:color w:val="auto"/>
              </w:rPr>
              <w:t>Expenses; Indemnity; Damage Waiver</w:t>
            </w:r>
          </w:p>
        </w:tc>
        <w:tc>
          <w:tcPr>
            <w:tcW w:w="26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10.05</w:t>
            </w:r>
          </w:p>
        </w:tc>
        <w:tc>
          <w:tcPr>
            <w:tcW w:w="7900" w:type="dxa"/>
            <w:vAlign w:val="bottom"/>
          </w:tcPr>
          <w:p>
            <w:pPr>
              <w:ind w:left="80"/>
              <w:spacing w:after="0"/>
              <w:rPr>
                <w:sz w:val="20"/>
                <w:szCs w:val="20"/>
                <w:color w:val="auto"/>
              </w:rPr>
            </w:pPr>
            <w:r>
              <w:rPr>
                <w:rFonts w:ascii="Arial" w:cs="Arial" w:eastAsia="Arial" w:hAnsi="Arial"/>
                <w:sz w:val="18"/>
                <w:szCs w:val="18"/>
                <w:color w:val="auto"/>
              </w:rPr>
              <w:t>Payments Set Aside</w:t>
            </w:r>
          </w:p>
        </w:tc>
        <w:tc>
          <w:tcPr>
            <w:tcW w:w="26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10.06</w:t>
            </w:r>
          </w:p>
        </w:tc>
        <w:tc>
          <w:tcPr>
            <w:tcW w:w="7900" w:type="dxa"/>
            <w:vAlign w:val="bottom"/>
          </w:tcPr>
          <w:p>
            <w:pPr>
              <w:ind w:left="80"/>
              <w:spacing w:after="0"/>
              <w:rPr>
                <w:sz w:val="20"/>
                <w:szCs w:val="20"/>
                <w:color w:val="auto"/>
              </w:rPr>
            </w:pPr>
            <w:r>
              <w:rPr>
                <w:rFonts w:ascii="Arial" w:cs="Arial" w:eastAsia="Arial" w:hAnsi="Arial"/>
                <w:sz w:val="18"/>
                <w:szCs w:val="18"/>
                <w:color w:val="auto"/>
              </w:rPr>
              <w:t>Successors and Assigns</w:t>
            </w:r>
          </w:p>
        </w:tc>
        <w:tc>
          <w:tcPr>
            <w:tcW w:w="26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10.07</w:t>
            </w:r>
          </w:p>
        </w:tc>
        <w:tc>
          <w:tcPr>
            <w:tcW w:w="7900" w:type="dxa"/>
            <w:vAlign w:val="bottom"/>
          </w:tcPr>
          <w:p>
            <w:pPr>
              <w:ind w:left="80"/>
              <w:spacing w:after="0"/>
              <w:rPr>
                <w:sz w:val="20"/>
                <w:szCs w:val="20"/>
                <w:color w:val="auto"/>
              </w:rPr>
            </w:pPr>
            <w:r>
              <w:rPr>
                <w:rFonts w:ascii="Arial" w:cs="Arial" w:eastAsia="Arial" w:hAnsi="Arial"/>
                <w:sz w:val="18"/>
                <w:szCs w:val="18"/>
                <w:color w:val="auto"/>
              </w:rPr>
              <w:t>Treatment of Certain Information; Confidentiality</w:t>
            </w:r>
          </w:p>
        </w:tc>
        <w:tc>
          <w:tcPr>
            <w:tcW w:w="26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10.08</w:t>
            </w:r>
          </w:p>
        </w:tc>
        <w:tc>
          <w:tcPr>
            <w:tcW w:w="7900" w:type="dxa"/>
            <w:vAlign w:val="bottom"/>
          </w:tcPr>
          <w:p>
            <w:pPr>
              <w:ind w:left="80"/>
              <w:spacing w:after="0"/>
              <w:rPr>
                <w:sz w:val="20"/>
                <w:szCs w:val="20"/>
                <w:color w:val="auto"/>
              </w:rPr>
            </w:pPr>
            <w:r>
              <w:rPr>
                <w:rFonts w:ascii="Arial" w:cs="Arial" w:eastAsia="Arial" w:hAnsi="Arial"/>
                <w:sz w:val="18"/>
                <w:szCs w:val="18"/>
                <w:color w:val="auto"/>
              </w:rPr>
              <w:t>Right of Setoff</w:t>
            </w:r>
          </w:p>
        </w:tc>
        <w:tc>
          <w:tcPr>
            <w:tcW w:w="26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10.09</w:t>
            </w:r>
          </w:p>
        </w:tc>
        <w:tc>
          <w:tcPr>
            <w:tcW w:w="7900" w:type="dxa"/>
            <w:vAlign w:val="bottom"/>
          </w:tcPr>
          <w:p>
            <w:pPr>
              <w:ind w:left="80"/>
              <w:spacing w:after="0"/>
              <w:rPr>
                <w:sz w:val="20"/>
                <w:szCs w:val="20"/>
                <w:color w:val="auto"/>
              </w:rPr>
            </w:pPr>
            <w:r>
              <w:rPr>
                <w:rFonts w:ascii="Arial" w:cs="Arial" w:eastAsia="Arial" w:hAnsi="Arial"/>
                <w:sz w:val="18"/>
                <w:szCs w:val="18"/>
                <w:color w:val="auto"/>
              </w:rPr>
              <w:t>Interest Rate Limitation</w:t>
            </w:r>
          </w:p>
        </w:tc>
        <w:tc>
          <w:tcPr>
            <w:tcW w:w="26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10.10</w:t>
            </w:r>
          </w:p>
        </w:tc>
        <w:tc>
          <w:tcPr>
            <w:tcW w:w="7900" w:type="dxa"/>
            <w:vAlign w:val="bottom"/>
          </w:tcPr>
          <w:p>
            <w:pPr>
              <w:ind w:left="80"/>
              <w:spacing w:after="0"/>
              <w:rPr>
                <w:sz w:val="20"/>
                <w:szCs w:val="20"/>
                <w:color w:val="auto"/>
              </w:rPr>
            </w:pPr>
            <w:r>
              <w:rPr>
                <w:rFonts w:ascii="Arial" w:cs="Arial" w:eastAsia="Arial" w:hAnsi="Arial"/>
                <w:sz w:val="18"/>
                <w:szCs w:val="18"/>
                <w:color w:val="auto"/>
              </w:rPr>
              <w:t>Counterparts; Integration; Effectiveness</w:t>
            </w:r>
          </w:p>
        </w:tc>
        <w:tc>
          <w:tcPr>
            <w:tcW w:w="262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8360" w:type="dxa"/>
            <w:vAlign w:val="bottom"/>
            <w:gridSpan w:val="2"/>
          </w:tcPr>
          <w:p>
            <w:pPr>
              <w:spacing w:after="0"/>
              <w:rPr>
                <w:sz w:val="20"/>
                <w:szCs w:val="20"/>
                <w:color w:val="auto"/>
              </w:rPr>
            </w:pPr>
            <w:r>
              <w:rPr>
                <w:rFonts w:ascii="Arial" w:cs="Arial" w:eastAsia="Arial" w:hAnsi="Arial"/>
                <w:sz w:val="18"/>
                <w:szCs w:val="18"/>
                <w:color w:val="auto"/>
              </w:rPr>
              <w:t>10.11  Survival of Representations and Warranties</w:t>
            </w:r>
          </w:p>
        </w:tc>
        <w:tc>
          <w:tcPr>
            <w:tcW w:w="26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10.12</w:t>
            </w:r>
          </w:p>
        </w:tc>
        <w:tc>
          <w:tcPr>
            <w:tcW w:w="790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10.13</w:t>
            </w:r>
          </w:p>
        </w:tc>
        <w:tc>
          <w:tcPr>
            <w:tcW w:w="7900" w:type="dxa"/>
            <w:vAlign w:val="bottom"/>
          </w:tcPr>
          <w:p>
            <w:pPr>
              <w:ind w:left="80"/>
              <w:spacing w:after="0"/>
              <w:rPr>
                <w:sz w:val="20"/>
                <w:szCs w:val="20"/>
                <w:color w:val="auto"/>
              </w:rPr>
            </w:pPr>
            <w:r>
              <w:rPr>
                <w:rFonts w:ascii="Arial" w:cs="Arial" w:eastAsia="Arial" w:hAnsi="Arial"/>
                <w:sz w:val="18"/>
                <w:szCs w:val="18"/>
                <w:color w:val="auto"/>
              </w:rPr>
              <w:t>Replacement of Lenders</w:t>
            </w:r>
          </w:p>
        </w:tc>
        <w:tc>
          <w:tcPr>
            <w:tcW w:w="26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10.14</w:t>
            </w:r>
          </w:p>
        </w:tc>
        <w:tc>
          <w:tcPr>
            <w:tcW w:w="7900" w:type="dxa"/>
            <w:vAlign w:val="bottom"/>
          </w:tcPr>
          <w:p>
            <w:pPr>
              <w:ind w:left="80"/>
              <w:spacing w:after="0"/>
              <w:rPr>
                <w:sz w:val="20"/>
                <w:szCs w:val="20"/>
                <w:color w:val="auto"/>
              </w:rPr>
            </w:pPr>
            <w:r>
              <w:rPr>
                <w:rFonts w:ascii="Arial" w:cs="Arial" w:eastAsia="Arial" w:hAnsi="Arial"/>
                <w:sz w:val="18"/>
                <w:szCs w:val="18"/>
                <w:color w:val="auto"/>
              </w:rPr>
              <w:t>Governing Law; Jurisdiction; Etc</w:t>
            </w:r>
          </w:p>
        </w:tc>
        <w:tc>
          <w:tcPr>
            <w:tcW w:w="26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10.15</w:t>
            </w:r>
          </w:p>
        </w:tc>
        <w:tc>
          <w:tcPr>
            <w:tcW w:w="7900" w:type="dxa"/>
            <w:vAlign w:val="bottom"/>
          </w:tcPr>
          <w:p>
            <w:pPr>
              <w:ind w:left="80"/>
              <w:spacing w:after="0"/>
              <w:rPr>
                <w:sz w:val="20"/>
                <w:szCs w:val="20"/>
                <w:color w:val="auto"/>
              </w:rPr>
            </w:pPr>
            <w:r>
              <w:rPr>
                <w:rFonts w:ascii="Arial" w:cs="Arial" w:eastAsia="Arial" w:hAnsi="Arial"/>
                <w:sz w:val="18"/>
                <w:szCs w:val="18"/>
                <w:color w:val="auto"/>
              </w:rPr>
              <w:t>Waiver of Jury Trial</w:t>
            </w:r>
          </w:p>
        </w:tc>
        <w:tc>
          <w:tcPr>
            <w:tcW w:w="26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10.16</w:t>
            </w:r>
          </w:p>
        </w:tc>
        <w:tc>
          <w:tcPr>
            <w:tcW w:w="7900" w:type="dxa"/>
            <w:vAlign w:val="bottom"/>
          </w:tcPr>
          <w:p>
            <w:pPr>
              <w:ind w:left="80"/>
              <w:spacing w:after="0"/>
              <w:rPr>
                <w:sz w:val="20"/>
                <w:szCs w:val="20"/>
                <w:color w:val="auto"/>
              </w:rPr>
            </w:pPr>
            <w:r>
              <w:rPr>
                <w:rFonts w:ascii="Arial" w:cs="Arial" w:eastAsia="Arial" w:hAnsi="Arial"/>
                <w:sz w:val="18"/>
                <w:szCs w:val="18"/>
                <w:color w:val="auto"/>
              </w:rPr>
              <w:t>No Advisory or Fiduciary Responsibility</w:t>
            </w:r>
          </w:p>
        </w:tc>
        <w:tc>
          <w:tcPr>
            <w:tcW w:w="26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10.17</w:t>
            </w:r>
          </w:p>
        </w:tc>
        <w:tc>
          <w:tcPr>
            <w:tcW w:w="7900" w:type="dxa"/>
            <w:vAlign w:val="bottom"/>
          </w:tcPr>
          <w:p>
            <w:pPr>
              <w:ind w:left="80"/>
              <w:spacing w:after="0"/>
              <w:rPr>
                <w:sz w:val="20"/>
                <w:szCs w:val="20"/>
                <w:color w:val="auto"/>
              </w:rPr>
            </w:pPr>
            <w:r>
              <w:rPr>
                <w:rFonts w:ascii="Arial" w:cs="Arial" w:eastAsia="Arial" w:hAnsi="Arial"/>
                <w:sz w:val="18"/>
                <w:szCs w:val="18"/>
                <w:color w:val="auto"/>
              </w:rPr>
              <w:t>Electronic Execution of Assignments and Certain Other Documents</w:t>
            </w:r>
          </w:p>
        </w:tc>
        <w:tc>
          <w:tcPr>
            <w:tcW w:w="26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10.18</w:t>
            </w:r>
          </w:p>
        </w:tc>
        <w:tc>
          <w:tcPr>
            <w:tcW w:w="7900" w:type="dxa"/>
            <w:vAlign w:val="bottom"/>
          </w:tcPr>
          <w:p>
            <w:pPr>
              <w:ind w:left="80"/>
              <w:spacing w:after="0"/>
              <w:rPr>
                <w:sz w:val="20"/>
                <w:szCs w:val="20"/>
                <w:color w:val="auto"/>
              </w:rPr>
            </w:pPr>
            <w:r>
              <w:rPr>
                <w:rFonts w:ascii="Arial" w:cs="Arial" w:eastAsia="Arial" w:hAnsi="Arial"/>
                <w:sz w:val="18"/>
                <w:szCs w:val="18"/>
                <w:color w:val="auto"/>
              </w:rPr>
              <w:t>USA PATRIOT Act</w:t>
            </w:r>
          </w:p>
        </w:tc>
        <w:tc>
          <w:tcPr>
            <w:tcW w:w="26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10.19</w:t>
            </w:r>
          </w:p>
        </w:tc>
        <w:tc>
          <w:tcPr>
            <w:tcW w:w="7900" w:type="dxa"/>
            <w:vAlign w:val="bottom"/>
          </w:tcPr>
          <w:p>
            <w:pPr>
              <w:ind w:left="80"/>
              <w:spacing w:after="0"/>
              <w:rPr>
                <w:sz w:val="20"/>
                <w:szCs w:val="20"/>
                <w:color w:val="auto"/>
              </w:rPr>
            </w:pPr>
            <w:r>
              <w:rPr>
                <w:rFonts w:ascii="Arial" w:cs="Arial" w:eastAsia="Arial" w:hAnsi="Arial"/>
                <w:sz w:val="18"/>
                <w:szCs w:val="18"/>
                <w:color w:val="auto"/>
              </w:rPr>
              <w:t>Keepwell</w:t>
            </w:r>
          </w:p>
        </w:tc>
        <w:tc>
          <w:tcPr>
            <w:tcW w:w="26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10.20</w:t>
            </w:r>
          </w:p>
        </w:tc>
        <w:tc>
          <w:tcPr>
            <w:tcW w:w="7900" w:type="dxa"/>
            <w:vAlign w:val="bottom"/>
          </w:tcPr>
          <w:p>
            <w:pPr>
              <w:ind w:left="80"/>
              <w:spacing w:after="0"/>
              <w:rPr>
                <w:sz w:val="20"/>
                <w:szCs w:val="20"/>
                <w:color w:val="auto"/>
              </w:rPr>
            </w:pPr>
            <w:r>
              <w:rPr>
                <w:rFonts w:ascii="Arial" w:cs="Arial" w:eastAsia="Arial" w:hAnsi="Arial"/>
                <w:sz w:val="18"/>
                <w:szCs w:val="18"/>
                <w:color w:val="auto"/>
              </w:rPr>
              <w:t>Judgment Currency</w:t>
            </w:r>
          </w:p>
        </w:tc>
        <w:tc>
          <w:tcPr>
            <w:tcW w:w="26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10.21</w:t>
            </w:r>
          </w:p>
        </w:tc>
        <w:tc>
          <w:tcPr>
            <w:tcW w:w="7900" w:type="dxa"/>
            <w:vAlign w:val="bottom"/>
          </w:tcPr>
          <w:p>
            <w:pPr>
              <w:ind w:left="80"/>
              <w:spacing w:after="0"/>
              <w:rPr>
                <w:sz w:val="20"/>
                <w:szCs w:val="20"/>
                <w:color w:val="auto"/>
              </w:rPr>
            </w:pPr>
            <w:r>
              <w:rPr>
                <w:rFonts w:ascii="Arial" w:cs="Arial" w:eastAsia="Arial" w:hAnsi="Arial"/>
                <w:sz w:val="18"/>
                <w:szCs w:val="18"/>
                <w:color w:val="auto"/>
              </w:rPr>
              <w:t>Amendment and Restatement; No Novation</w:t>
            </w:r>
          </w:p>
        </w:tc>
        <w:tc>
          <w:tcPr>
            <w:tcW w:w="26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10.22</w:t>
            </w:r>
          </w:p>
        </w:tc>
        <w:tc>
          <w:tcPr>
            <w:tcW w:w="7900" w:type="dxa"/>
            <w:vAlign w:val="bottom"/>
          </w:tcPr>
          <w:p>
            <w:pPr>
              <w:ind w:left="80"/>
              <w:spacing w:after="0"/>
              <w:rPr>
                <w:sz w:val="20"/>
                <w:szCs w:val="20"/>
                <w:color w:val="auto"/>
              </w:rPr>
            </w:pPr>
            <w:r>
              <w:rPr>
                <w:rFonts w:ascii="Arial" w:cs="Arial" w:eastAsia="Arial" w:hAnsi="Arial"/>
                <w:sz w:val="18"/>
                <w:szCs w:val="18"/>
                <w:color w:val="auto"/>
              </w:rPr>
              <w:t>Acknowledgment and Consent to Bail-In of EEA Financial Institutions</w:t>
            </w:r>
          </w:p>
        </w:tc>
        <w:tc>
          <w:tcPr>
            <w:tcW w:w="26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w w:val="97"/>
              </w:rPr>
              <w:t>10.23</w:t>
            </w:r>
          </w:p>
        </w:tc>
        <w:tc>
          <w:tcPr>
            <w:tcW w:w="7900" w:type="dxa"/>
            <w:vAlign w:val="bottom"/>
          </w:tcPr>
          <w:p>
            <w:pPr>
              <w:ind w:left="80"/>
              <w:spacing w:after="0"/>
              <w:rPr>
                <w:sz w:val="20"/>
                <w:szCs w:val="20"/>
                <w:color w:val="auto"/>
              </w:rPr>
            </w:pPr>
            <w:r>
              <w:rPr>
                <w:rFonts w:ascii="Arial" w:cs="Arial" w:eastAsia="Arial" w:hAnsi="Arial"/>
                <w:sz w:val="18"/>
                <w:szCs w:val="18"/>
                <w:color w:val="auto"/>
              </w:rPr>
              <w:t>Acknowledgement Regarding Any Supported QFCs.:</w:t>
            </w:r>
          </w:p>
        </w:tc>
        <w:tc>
          <w:tcPr>
            <w:tcW w:w="2620" w:type="dxa"/>
            <w:vAlign w:val="bottom"/>
          </w:tcPr>
          <w:p>
            <w:pPr>
              <w:jc w:val="right"/>
              <w:spacing w:after="0"/>
              <w:rPr>
                <w:sz w:val="20"/>
                <w:szCs w:val="20"/>
                <w:color w:val="auto"/>
              </w:rPr>
            </w:pPr>
            <w:r>
              <w:rPr>
                <w:rFonts w:ascii="Arial" w:cs="Arial" w:eastAsia="Arial" w:hAnsi="Arial"/>
                <w:sz w:val="18"/>
                <w:szCs w:val="18"/>
                <w:color w:val="auto"/>
              </w:rPr>
              <w:t>134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80"/>
          </w:cols>
          <w:pgMar w:left="440" w:top="274"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SCHEDULES</w:t>
      </w:r>
    </w:p>
    <w:p>
      <w:pPr>
        <w:spacing w:after="0" w:line="25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1.01A</w:t>
      </w:r>
      <w:r>
        <w:rPr>
          <w:sz w:val="20"/>
          <w:szCs w:val="20"/>
          <w:color w:val="auto"/>
        </w:rPr>
        <w:tab/>
      </w:r>
      <w:r>
        <w:rPr>
          <w:rFonts w:ascii="Arial" w:cs="Arial" w:eastAsia="Arial" w:hAnsi="Arial"/>
          <w:sz w:val="16"/>
          <w:szCs w:val="16"/>
          <w:color w:val="auto"/>
        </w:rPr>
        <w:t>Specified Existing Capital Leases</w:t>
      </w:r>
    </w:p>
    <w:p>
      <w:pPr>
        <w:spacing w:after="0" w:line="2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1.01B</w:t>
      </w:r>
      <w:r>
        <w:rPr>
          <w:sz w:val="20"/>
          <w:szCs w:val="20"/>
          <w:color w:val="auto"/>
        </w:rPr>
        <w:tab/>
      </w:r>
      <w:r>
        <w:rPr>
          <w:rFonts w:ascii="Arial" w:cs="Arial" w:eastAsia="Arial" w:hAnsi="Arial"/>
          <w:sz w:val="16"/>
          <w:szCs w:val="16"/>
          <w:color w:val="auto"/>
        </w:rPr>
        <w:t>Existing Letters of Credit</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Commitments and Applicable Percentages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2.07(a)</w:t>
      </w:r>
      <w:r>
        <w:rPr>
          <w:sz w:val="20"/>
          <w:szCs w:val="20"/>
          <w:color w:val="auto"/>
        </w:rPr>
        <w:tab/>
      </w:r>
      <w:r>
        <w:rPr>
          <w:rFonts w:ascii="Arial" w:cs="Arial" w:eastAsia="Arial" w:hAnsi="Arial"/>
          <w:sz w:val="16"/>
          <w:szCs w:val="16"/>
          <w:color w:val="auto"/>
        </w:rPr>
        <w:t>Term Loan Facility Amortization Schedule</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Unrestricted Subsidiaries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5.12(d)</w:t>
      </w:r>
      <w:r>
        <w:rPr>
          <w:sz w:val="20"/>
          <w:szCs w:val="20"/>
          <w:color w:val="auto"/>
        </w:rPr>
        <w:tab/>
      </w:r>
      <w:r>
        <w:rPr>
          <w:rFonts w:ascii="Arial" w:cs="Arial" w:eastAsia="Arial" w:hAnsi="Arial"/>
          <w:sz w:val="15"/>
          <w:szCs w:val="15"/>
          <w:color w:val="auto"/>
        </w:rPr>
        <w:t>Pension Plans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6"/>
          <w:szCs w:val="16"/>
          <w:color w:val="auto"/>
        </w:rPr>
        <w:t>Subsidiaries; Equity Investments; Loan Parties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color w:val="auto"/>
        </w:rPr>
        <w:t>Collective Bargaining Agreements and Multiemployer Plans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7.01</w:t>
      </w:r>
      <w:r>
        <w:rPr>
          <w:sz w:val="20"/>
          <w:szCs w:val="20"/>
          <w:color w:val="auto"/>
        </w:rPr>
        <w:tab/>
      </w:r>
      <w:r>
        <w:rPr>
          <w:rFonts w:ascii="Arial" w:cs="Arial" w:eastAsia="Arial" w:hAnsi="Arial"/>
          <w:sz w:val="17"/>
          <w:szCs w:val="17"/>
          <w:color w:val="auto"/>
        </w:rPr>
        <w:t>Existing Liens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7.02</w:t>
      </w:r>
      <w:r>
        <w:rPr>
          <w:sz w:val="20"/>
          <w:szCs w:val="20"/>
          <w:color w:val="auto"/>
        </w:rPr>
        <w:tab/>
      </w:r>
      <w:r>
        <w:rPr>
          <w:rFonts w:ascii="Arial" w:cs="Arial" w:eastAsia="Arial" w:hAnsi="Arial"/>
          <w:sz w:val="16"/>
          <w:szCs w:val="16"/>
          <w:color w:val="auto"/>
        </w:rPr>
        <w:t>Existing Investments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7.03</w:t>
      </w:r>
      <w:r>
        <w:rPr>
          <w:sz w:val="20"/>
          <w:szCs w:val="20"/>
          <w:color w:val="auto"/>
        </w:rPr>
        <w:tab/>
      </w:r>
      <w:r>
        <w:rPr>
          <w:rFonts w:ascii="Arial" w:cs="Arial" w:eastAsia="Arial" w:hAnsi="Arial"/>
          <w:sz w:val="16"/>
          <w:szCs w:val="16"/>
          <w:color w:val="auto"/>
        </w:rPr>
        <w:t>Existing Indebtedness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6"/>
          <w:szCs w:val="16"/>
          <w:color w:val="auto"/>
        </w:rPr>
        <w:t>Post-Closing Actions</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10.02</w:t>
      </w:r>
      <w:r>
        <w:rPr>
          <w:sz w:val="20"/>
          <w:szCs w:val="20"/>
          <w:color w:val="auto"/>
        </w:rPr>
        <w:tab/>
      </w:r>
      <w:r>
        <w:rPr>
          <w:rFonts w:ascii="Arial" w:cs="Arial" w:eastAsia="Arial" w:hAnsi="Arial"/>
          <w:sz w:val="16"/>
          <w:szCs w:val="16"/>
          <w:color w:val="auto"/>
        </w:rPr>
        <w:t>Administrative Agent’s Office; Certain Addresses for Notices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p>
    <w:p>
      <w:pPr>
        <w:spacing w:after="0" w:line="256" w:lineRule="exact"/>
        <w:rPr>
          <w:sz w:val="20"/>
          <w:szCs w:val="20"/>
          <w:color w:val="auto"/>
        </w:rPr>
      </w:pPr>
    </w:p>
    <w:p>
      <w:pPr>
        <w:ind w:left="900"/>
        <w:spacing w:after="0"/>
        <w:rPr>
          <w:sz w:val="20"/>
          <w:szCs w:val="20"/>
          <w:color w:val="auto"/>
        </w:rPr>
      </w:pPr>
      <w:r>
        <w:rPr>
          <w:rFonts w:ascii="Arial" w:cs="Arial" w:eastAsia="Arial" w:hAnsi="Arial"/>
          <w:sz w:val="18"/>
          <w:szCs w:val="18"/>
          <w:b w:val="1"/>
          <w:bCs w:val="1"/>
          <w:i w:val="1"/>
          <w:iCs w:val="1"/>
          <w:color w:val="auto"/>
        </w:rPr>
        <w:t>Form of</w:t>
      </w:r>
    </w:p>
    <w:p>
      <w:pPr>
        <w:spacing w:after="0" w:line="23" w:lineRule="exact"/>
        <w:rPr>
          <w:sz w:val="20"/>
          <w:szCs w:val="20"/>
          <w:color w:val="auto"/>
        </w:rPr>
      </w:pPr>
    </w:p>
    <w:p>
      <w:pPr>
        <w:ind w:left="900" w:hanging="89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Loan Notice</w:t>
      </w:r>
    </w:p>
    <w:p>
      <w:pPr>
        <w:spacing w:after="0" w:line="9" w:lineRule="exact"/>
        <w:rPr>
          <w:sz w:val="20"/>
          <w:szCs w:val="20"/>
          <w:color w:val="auto"/>
        </w:rPr>
      </w:pPr>
    </w:p>
    <w:p>
      <w:pPr>
        <w:ind w:left="900" w:hanging="89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Swing Line Loan Notice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color w:val="auto"/>
              </w:rPr>
              <w:t>C-1</w:t>
            </w:r>
          </w:p>
        </w:tc>
        <w:tc>
          <w:tcPr>
            <w:tcW w:w="1960" w:type="dxa"/>
            <w:vAlign w:val="bottom"/>
          </w:tcPr>
          <w:p>
            <w:pPr>
              <w:ind w:left="320"/>
              <w:spacing w:after="0"/>
              <w:rPr>
                <w:sz w:val="20"/>
                <w:szCs w:val="20"/>
                <w:color w:val="auto"/>
              </w:rPr>
            </w:pPr>
            <w:r>
              <w:rPr>
                <w:rFonts w:ascii="Arial" w:cs="Arial" w:eastAsia="Arial" w:hAnsi="Arial"/>
                <w:sz w:val="18"/>
                <w:szCs w:val="18"/>
                <w:color w:val="auto"/>
                <w:w w:val="92"/>
              </w:rPr>
              <w:t>Revolving Credit Note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C-2</w:t>
            </w:r>
          </w:p>
        </w:tc>
        <w:tc>
          <w:tcPr>
            <w:tcW w:w="1960" w:type="dxa"/>
            <w:vAlign w:val="bottom"/>
          </w:tcPr>
          <w:p>
            <w:pPr>
              <w:ind w:left="320"/>
              <w:spacing w:after="0"/>
              <w:rPr>
                <w:sz w:val="20"/>
                <w:szCs w:val="20"/>
                <w:color w:val="auto"/>
              </w:rPr>
            </w:pPr>
            <w:r>
              <w:rPr>
                <w:rFonts w:ascii="Arial" w:cs="Arial" w:eastAsia="Arial" w:hAnsi="Arial"/>
                <w:sz w:val="18"/>
                <w:szCs w:val="18"/>
                <w:color w:val="auto"/>
              </w:rPr>
              <w:t>Term Loan Note</w:t>
            </w:r>
          </w:p>
        </w:tc>
      </w:tr>
    </w:tbl>
    <w:p>
      <w:pPr>
        <w:ind w:left="900" w:hanging="89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9" w:lineRule="exact"/>
        <w:rPr>
          <w:sz w:val="20"/>
          <w:szCs w:val="20"/>
          <w:color w:val="auto"/>
        </w:rPr>
      </w:pPr>
    </w:p>
    <w:p>
      <w:pPr>
        <w:ind w:left="900" w:hanging="89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Assignment and Assumption</w:t>
      </w:r>
    </w:p>
    <w:p>
      <w:pPr>
        <w:spacing w:after="0" w:line="9" w:lineRule="exact"/>
        <w:rPr>
          <w:sz w:val="20"/>
          <w:szCs w:val="20"/>
          <w:color w:val="auto"/>
        </w:rPr>
      </w:pPr>
    </w:p>
    <w:p>
      <w:pPr>
        <w:ind w:left="900" w:hanging="89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Tax Compliance Certificates</w:t>
      </w:r>
    </w:p>
    <w:p>
      <w:pPr>
        <w:spacing w:after="0" w:line="9" w:lineRule="exact"/>
        <w:rPr>
          <w:sz w:val="20"/>
          <w:szCs w:val="20"/>
          <w:color w:val="auto"/>
        </w:rPr>
      </w:pPr>
    </w:p>
    <w:p>
      <w:pPr>
        <w:ind w:left="900" w:hanging="89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Letters of Credit Report</w:t>
      </w:r>
    </w:p>
    <w:p>
      <w:pPr>
        <w:spacing w:after="0" w:line="9" w:lineRule="exact"/>
        <w:rPr>
          <w:sz w:val="20"/>
          <w:szCs w:val="20"/>
          <w:color w:val="auto"/>
        </w:rPr>
      </w:pPr>
    </w:p>
    <w:p>
      <w:pPr>
        <w:ind w:left="900" w:hanging="896"/>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Designated Borrower Request and Assumption Agreement</w:t>
      </w:r>
    </w:p>
    <w:p>
      <w:pPr>
        <w:spacing w:after="0" w:line="21" w:lineRule="exact"/>
        <w:rPr>
          <w:sz w:val="20"/>
          <w:szCs w:val="20"/>
          <w:color w:val="auto"/>
        </w:rPr>
      </w:pPr>
    </w:p>
    <w:p>
      <w:pPr>
        <w:ind w:left="900" w:hanging="89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Designated Borrower Notice</w:t>
      </w:r>
    </w:p>
    <w:p>
      <w:pPr>
        <w:spacing w:after="0" w:line="9" w:lineRule="exact"/>
        <w:rPr>
          <w:sz w:val="20"/>
          <w:szCs w:val="20"/>
          <w:color w:val="auto"/>
        </w:rPr>
      </w:pPr>
    </w:p>
    <w:p>
      <w:pPr>
        <w:ind w:left="900" w:hanging="89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Notice of Loan Prepayment</w:t>
      </w:r>
    </w:p>
    <w:p>
      <w:pPr>
        <w:spacing w:after="0" w:line="200" w:lineRule="exact"/>
        <w:rPr>
          <w:sz w:val="20"/>
          <w:szCs w:val="20"/>
          <w:color w:val="auto"/>
        </w:rPr>
      </w:pPr>
    </w:p>
    <w:p>
      <w:pPr>
        <w:spacing w:after="0" w:line="308"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019"/>
          </w:cols>
          <w:pgMar w:left="440" w:top="270" w:right="1440"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 AMENDED AND RESTATED CREDIT AGREEMENT</w:t>
      </w:r>
    </w:p>
    <w:p>
      <w:pPr>
        <w:spacing w:after="0" w:line="229"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This SECOND AMENDED AND RESTATED CREDIT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June 11, 2019, among CECO ENVIRONMENTAL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certain Restricted Subsidiaries of the Company party hereto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Designated Borrower</w:t>
      </w:r>
      <w:r>
        <w:rPr>
          <w:rFonts w:ascii="Arial" w:cs="Arial" w:eastAsia="Arial" w:hAnsi="Arial"/>
          <w:sz w:val="18"/>
          <w:szCs w:val="18"/>
          <w:color w:val="auto"/>
        </w:rPr>
        <w:t>” and, together with the Company, the “</w:t>
      </w:r>
      <w:r>
        <w:rPr>
          <w:rFonts w:ascii="Arial" w:cs="Arial" w:eastAsia="Arial" w:hAnsi="Arial"/>
          <w:sz w:val="18"/>
          <w:szCs w:val="18"/>
          <w:u w:val="single" w:color="auto"/>
          <w:color w:val="auto"/>
        </w:rPr>
        <w:t>Borrowers</w:t>
      </w:r>
      <w:r>
        <w:rPr>
          <w:rFonts w:ascii="Arial" w:cs="Arial" w:eastAsia="Arial" w:hAnsi="Arial"/>
          <w:sz w:val="18"/>
          <w:szCs w:val="18"/>
          <w:color w:val="auto"/>
        </w:rPr>
        <w:t>” and, each a “</w:t>
      </w:r>
      <w:r>
        <w:rPr>
          <w:rFonts w:ascii="Arial" w:cs="Arial" w:eastAsia="Arial" w:hAnsi="Arial"/>
          <w:sz w:val="18"/>
          <w:szCs w:val="18"/>
          <w:u w:val="single" w:color="auto"/>
          <w:color w:val="auto"/>
        </w:rPr>
        <w:t>Borrower</w:t>
      </w:r>
      <w:r>
        <w:rPr>
          <w:rFonts w:ascii="Arial" w:cs="Arial" w:eastAsia="Arial" w:hAnsi="Arial"/>
          <w:sz w:val="18"/>
          <w:szCs w:val="18"/>
          <w:color w:val="auto"/>
        </w:rPr>
        <w:t>”), each lender from time to time party 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individually, a “</w:t>
      </w:r>
      <w:r>
        <w:rPr>
          <w:rFonts w:ascii="Arial" w:cs="Arial" w:eastAsia="Arial" w:hAnsi="Arial"/>
          <w:sz w:val="18"/>
          <w:szCs w:val="18"/>
          <w:u w:val="single" w:color="auto"/>
          <w:color w:val="auto"/>
        </w:rPr>
        <w:t>Lender</w:t>
      </w:r>
      <w:r>
        <w:rPr>
          <w:rFonts w:ascii="Arial" w:cs="Arial" w:eastAsia="Arial" w:hAnsi="Arial"/>
          <w:sz w:val="18"/>
          <w:szCs w:val="18"/>
          <w:color w:val="auto"/>
        </w:rPr>
        <w:t>”), BANK OF AMERICA, N.A., as Administrative Agent, Swing Line Lender and an L/C Issuer, and each other L/C Issuer from time to time party hereto.</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A. The Borrowers, the lenders party thereto and the Administrative Agent have entered into that certain Amended and Restated Credit Agreement, dated as of September 3, 2015 (as amended, restated, supplemented or otherwise modified prior to the date hereof,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w:t>
      </w:r>
    </w:p>
    <w:p>
      <w:pPr>
        <w:spacing w:after="0" w:line="16"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B. The Borrowers have requested, and subject to the terms and conditions set forth in this Agreement, the Administrative Agent and the Lenders have agreed to amend and restate the Existing Credit Agreement and extend certain credit facilities to the Borrowers.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 AND ACCOUNTING TERMS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1.01 Defined Terms. </w:t>
      </w:r>
      <w:r>
        <w:rPr>
          <w:rFonts w:ascii="Arial" w:cs="Arial" w:eastAsia="Arial" w:hAnsi="Arial"/>
          <w:sz w:val="18"/>
          <w:szCs w:val="18"/>
          <w:color w:val="auto"/>
        </w:rPr>
        <w:t>As used in this Agreement, the following terms shall have the meanings set forth below: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Aarding B.V.</w:t>
      </w:r>
      <w:r>
        <w:rPr>
          <w:rFonts w:ascii="Arial" w:cs="Arial" w:eastAsia="Arial" w:hAnsi="Arial"/>
          <w:sz w:val="18"/>
          <w:szCs w:val="18"/>
          <w:color w:val="auto"/>
        </w:rPr>
        <w:t>” means Aarding Thermal Acoustics B.V., a private limited company incorporated in the Netherlands.</w:t>
      </w:r>
    </w:p>
    <w:p>
      <w:pPr>
        <w:spacing w:after="0" w:line="225"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means, by any Person, the acquisition by such Person, in a single transaction or in a series of related transactions, of (a) more than 50% of the voting Equity Interests of another Person (including the purchase of an option, warrant or convertible or similar type security to acquire such a controlling interest at the time it becomes exercisable by the holder thereof), whether by purchase of such Equity Interest or upon exercise of an option or warrant for, or conversion of securities into, such Equity Interest, or (b) assets of another Person which constitute all or substantially all of the assets of such Person, a division of such Person or a line or lines of business conducted by such Person.</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Commitments Amendment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2.15(d)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Commitments 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2.15(f)</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70" w:right="459" w:bottom="1440" w:gutter="0" w:footer="0" w:header="0"/>
        </w:sectPr>
      </w:pPr>
    </w:p>
    <w:bookmarkStart w:id="11" w:name="page12"/>
    <w:bookmarkEnd w:id="11"/>
    <w:p>
      <w:pPr>
        <w:ind w:firstLine="44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Additional Commitments Limit</w:t>
      </w:r>
      <w:r>
        <w:rPr>
          <w:rFonts w:ascii="Arial" w:cs="Arial" w:eastAsia="Arial" w:hAnsi="Arial"/>
          <w:sz w:val="17"/>
          <w:szCs w:val="17"/>
          <w:color w:val="auto"/>
        </w:rPr>
        <w:t xml:space="preserve">” means, as of any date of determination, an amount equal to the greater of (a) $75,000,000 and (b) the amount of additional Consolidated Funded Indebtedness that would cause the Consolidated Net Leverage Ratio to equal 3.00 to 1.00 (calculated as of the last day of the most recently ended fiscal quarter for which financial information is available, but giving pro forma effect to such Additional Commitment Amendment, the Indebtedness to be incurred in connection therewith (assuming, in the case of any increase in the Aggregate Revolving Credit Commitments, that such Additional Commitments and all other Revolving Credit Commitments are fully drawn) and, if applicable, the Permitted Acquisition consummated in connection therewith (calculated in accordance with </w:t>
      </w:r>
      <w:r>
        <w:rPr>
          <w:rFonts w:ascii="Arial" w:cs="Arial" w:eastAsia="Arial" w:hAnsi="Arial"/>
          <w:sz w:val="17"/>
          <w:szCs w:val="17"/>
          <w:u w:val="single" w:color="auto"/>
          <w:color w:val="auto"/>
        </w:rPr>
        <w:t>Section 1.07</w:t>
      </w:r>
      <w:r>
        <w:rPr>
          <w:rFonts w:ascii="Arial" w:cs="Arial" w:eastAsia="Arial" w:hAnsi="Arial"/>
          <w:sz w:val="17"/>
          <w:szCs w:val="17"/>
          <w:color w:val="auto"/>
        </w:rPr>
        <w:t>) and, without duplication, assuming that all other Additional Loans outstanding on such date of determination were outstanding as of the last day of such fiscal quarter).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2.15(c)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225"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in its capacity as administrative agent under any of the Loan Documents, or any successor administrative agent.</w:t>
      </w:r>
    </w:p>
    <w:p>
      <w:pPr>
        <w:spacing w:after="0" w:line="170"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with respect to any currency,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with respect to such currency, or such other address or account with respect to such currency as the Administrative Agent hereafter may designate by written notice to the Company and the Lenders.</w:t>
      </w:r>
    </w:p>
    <w:p>
      <w:pPr>
        <w:spacing w:after="0" w:line="18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substantially the form provided by the Administrative Agent or any other form approved by the Administrative Agent.</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Credit Commitments</w:t>
      </w:r>
      <w:r>
        <w:rPr>
          <w:rFonts w:ascii="Arial" w:cs="Arial" w:eastAsia="Arial" w:hAnsi="Arial"/>
          <w:sz w:val="18"/>
          <w:szCs w:val="18"/>
          <w:color w:val="auto"/>
        </w:rPr>
        <w:t>” means the Revolving Credit Commitments of all Revolving Credit Lenders.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Credit Agreement.</w:t>
      </w:r>
    </w:p>
    <w:p>
      <w:pPr>
        <w:spacing w:after="0" w:line="225"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w:t>
      </w:r>
      <w:r>
        <w:rPr>
          <w:rFonts w:ascii="Arial" w:cs="Arial" w:eastAsia="Arial" w:hAnsi="Arial"/>
          <w:sz w:val="17"/>
          <w:szCs w:val="17"/>
          <w:color w:val="auto"/>
        </w:rPr>
        <w:t xml:space="preserve">” means (a) with respect to Revolving Credit Loans, Euro, Sterling, Canadian Dollars and each other currency (other than Dollars) that is approved in accordance with </w:t>
      </w:r>
      <w:r>
        <w:rPr>
          <w:rFonts w:ascii="Arial" w:cs="Arial" w:eastAsia="Arial" w:hAnsi="Arial"/>
          <w:sz w:val="17"/>
          <w:szCs w:val="17"/>
          <w:u w:val="single" w:color="auto"/>
          <w:color w:val="auto"/>
        </w:rPr>
        <w:t>Section 1.09</w:t>
      </w:r>
      <w:r>
        <w:rPr>
          <w:rFonts w:ascii="Arial" w:cs="Arial" w:eastAsia="Arial" w:hAnsi="Arial"/>
          <w:sz w:val="17"/>
          <w:szCs w:val="17"/>
          <w:color w:val="auto"/>
        </w:rPr>
        <w:t xml:space="preserve"> with respect to Revolving Credit Loans and (b) with respect to Letters of Credit issued by any L/C Issuer pursuant to the Revolving Credit Facility, Euro, Sterling, Canadian Dollars, Rupees and each other currency (other than Dollars) that is approved in accordance with </w:t>
      </w:r>
      <w:r>
        <w:rPr>
          <w:rFonts w:ascii="Arial" w:cs="Arial" w:eastAsia="Arial" w:hAnsi="Arial"/>
          <w:sz w:val="17"/>
          <w:szCs w:val="17"/>
          <w:u w:val="single" w:color="auto"/>
          <w:color w:val="auto"/>
        </w:rPr>
        <w:t>Section 1.09</w:t>
      </w:r>
      <w:r>
        <w:rPr>
          <w:rFonts w:ascii="Arial" w:cs="Arial" w:eastAsia="Arial" w:hAnsi="Arial"/>
          <w:sz w:val="17"/>
          <w:szCs w:val="17"/>
          <w:color w:val="auto"/>
        </w:rPr>
        <w:t xml:space="preserve"> with respect to Letters of Credit issued by such L/C Issuer.</w:t>
      </w:r>
    </w:p>
    <w:p>
      <w:pPr>
        <w:spacing w:after="0" w:line="171"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Alternative Currency Equivalent</w:t>
      </w:r>
      <w:r>
        <w:rPr>
          <w:rFonts w:ascii="Arial" w:cs="Arial" w:eastAsia="Arial" w:hAnsi="Arial"/>
          <w:sz w:val="17"/>
          <w:szCs w:val="17"/>
          <w:color w:val="auto"/>
        </w:rPr>
        <w:t>” means, at any time, with respect to any amount denominated in Dollars, the equivalent amount thereof in the applicable Alternative Currency as determined by the Administrative Agent or the applicable L/C Issuer, as the case may be, at such time on the basis of the Spot Rate (determined in respect of the most recent Revaluation Date) for the purchase of such Alternative Currency with Dollars.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Currency Sublimit</w:t>
      </w:r>
      <w:r>
        <w:rPr>
          <w:rFonts w:ascii="Arial" w:cs="Arial" w:eastAsia="Arial" w:hAnsi="Arial"/>
          <w:sz w:val="16"/>
          <w:szCs w:val="16"/>
          <w:color w:val="auto"/>
        </w:rPr>
        <w:t>” means an amount equal to the lesser of (a) the Aggregate Revolving Credit Commitments and (b) $30,000,000.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Alternative Currency Sublimit is part of, and not in addition to, the Aggregate Revolving Credit Commitments.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2" w:name="page13"/>
    <w:bookmarkEnd w:id="12"/>
    <w:p>
      <w:pPr>
        <w:ind w:right="100" w:firstLine="44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Applicable Percentage</w:t>
      </w:r>
      <w:r>
        <w:rPr>
          <w:rFonts w:ascii="Arial" w:cs="Arial" w:eastAsia="Arial" w:hAnsi="Arial"/>
          <w:sz w:val="16"/>
          <w:szCs w:val="16"/>
          <w:color w:val="auto"/>
        </w:rPr>
        <w:t xml:space="preserve">” means (a) in respect of the Term Loan Facility, with respect to any Term Loan Lender at any time, the percentage (carried out to the ninth decimal place) of the Term Loan Facility represented by (i) on or prior to the funding of its Term Loan on the Closing Date, the sum of such Lender’s Term Loan Commitment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principal amount of such Term Loan Lender’s Term Loan outstanding at such time and (ii) thereafter, the aggregate principal amount of such Term Loan Lender’s Term Loans outstanding at such time and (b) in respect of the Revolving Credit Facility, with respect to any Revolving Credit Lender at any time, the percentage (carried out to the ninth decimal place) of the Aggregate Revolving Credit Commitments represented by such Revolving Credit Lender’s Revolving Credit Commitment at such time, subject to adjustment as provided in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If the commitment of each Revolving Credit Lender to make Revolving Credit Loans and the obligation of each L/C Issuer to make L/C Credit Extensions have been terminated, or if the Aggregate Revolving Credit Commitments have expired, then the Applicable Percentage of each Revolving Credit Lender in respect of the Revolving Credit Facility shall be determined based on the Applicable Percentage of such Revolving Credit Lender in respect of the Revolving Credit Facility most recently in effect, giving effect to any subsequent assignments. On and after the Closing Date, the initial Applicable Percentage of each Lender in respect of each Facility is set forth opposite the name of such Lender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or in the Assignment and Assumption pursuant to which such Lender becomes a party hereto, as applicable.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means the following percentages per annum, based upon the Consolidated Net Leverage Ratio as set forth in the most recent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Compliance Certificate received by the Administrative Agent pursuant to </w:t>
      </w:r>
      <w:r>
        <w:rPr>
          <w:rFonts w:ascii="Arial" w:cs="Arial" w:eastAsia="Arial" w:hAnsi="Arial"/>
          <w:sz w:val="18"/>
          <w:szCs w:val="18"/>
          <w:u w:val="single" w:color="auto"/>
          <w:color w:val="auto"/>
        </w:rPr>
        <w:t>Section 6.02(a)</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Eurocurrency Rate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Pricing</w:t>
            </w:r>
          </w:p>
        </w:tc>
        <w:tc>
          <w:tcPr>
            <w:tcW w:w="240" w:type="dxa"/>
            <w:vAlign w:val="bottom"/>
          </w:tcPr>
          <w:p>
            <w:pPr>
              <w:spacing w:after="0"/>
              <w:rPr>
                <w:sz w:val="12"/>
                <w:szCs w:val="12"/>
                <w:color w:val="auto"/>
              </w:rPr>
            </w:pPr>
          </w:p>
        </w:tc>
        <w:tc>
          <w:tcPr>
            <w:tcW w:w="5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Consolidated Net</w:t>
            </w:r>
          </w:p>
        </w:tc>
        <w:tc>
          <w:tcPr>
            <w:tcW w:w="172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Commitment</w:t>
            </w:r>
          </w:p>
        </w:tc>
        <w:tc>
          <w:tcPr>
            <w:tcW w:w="260" w:type="dxa"/>
            <w:vAlign w:val="bottom"/>
          </w:tcPr>
          <w:p>
            <w:pPr>
              <w:spacing w:after="0"/>
              <w:rPr>
                <w:sz w:val="12"/>
                <w:szCs w:val="12"/>
                <w:color w:val="auto"/>
              </w:rPr>
            </w:pPr>
          </w:p>
        </w:tc>
        <w:tc>
          <w:tcPr>
            <w:tcW w:w="16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Loans and</w:t>
            </w:r>
          </w:p>
        </w:tc>
        <w:tc>
          <w:tcPr>
            <w:tcW w:w="260" w:type="dxa"/>
            <w:vAlign w:val="bottom"/>
          </w:tcPr>
          <w:p>
            <w:pPr>
              <w:spacing w:after="0"/>
              <w:rPr>
                <w:sz w:val="12"/>
                <w:szCs w:val="12"/>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Base</w:t>
            </w:r>
          </w:p>
        </w:tc>
        <w:tc>
          <w:tcPr>
            <w:tcW w:w="0" w:type="dxa"/>
            <w:vAlign w:val="bottom"/>
          </w:tcPr>
          <w:p>
            <w:pPr>
              <w:spacing w:after="0"/>
              <w:rPr>
                <w:sz w:val="1"/>
                <w:szCs w:val="1"/>
                <w:color w:val="auto"/>
              </w:rPr>
            </w:pPr>
          </w:p>
        </w:tc>
      </w:tr>
      <w:tr>
        <w:trPr>
          <w:trHeight w:val="144"/>
        </w:trPr>
        <w:tc>
          <w:tcPr>
            <w:tcW w:w="7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5340" w:type="dxa"/>
            <w:vAlign w:val="bottom"/>
            <w:vMerge w:val="continue"/>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420"/>
              <w:spacing w:after="0" w:line="145" w:lineRule="exact"/>
              <w:rPr>
                <w:sz w:val="20"/>
                <w:szCs w:val="20"/>
                <w:color w:val="auto"/>
              </w:rPr>
            </w:pPr>
            <w:r>
              <w:rPr>
                <w:rFonts w:ascii="Arial" w:cs="Arial" w:eastAsia="Arial" w:hAnsi="Arial"/>
                <w:sz w:val="14"/>
                <w:szCs w:val="14"/>
                <w:b w:val="1"/>
                <w:bCs w:val="1"/>
                <w:color w:val="auto"/>
                <w:w w:val="97"/>
              </w:rPr>
              <w:t>Letter of Credit</w:t>
            </w:r>
          </w:p>
        </w:tc>
        <w:tc>
          <w:tcPr>
            <w:tcW w:w="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Level</w:t>
            </w:r>
          </w:p>
        </w:tc>
        <w:tc>
          <w:tcPr>
            <w:tcW w:w="240" w:type="dxa"/>
            <w:vAlign w:val="bottom"/>
          </w:tcPr>
          <w:p>
            <w:pPr>
              <w:spacing w:after="0"/>
              <w:rPr>
                <w:sz w:val="14"/>
                <w:szCs w:val="14"/>
                <w:color w:val="auto"/>
              </w:rPr>
            </w:pPr>
          </w:p>
        </w:tc>
        <w:tc>
          <w:tcPr>
            <w:tcW w:w="5340" w:type="dxa"/>
            <w:vAlign w:val="bottom"/>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480" w:type="dxa"/>
            <w:vAlign w:val="bottom"/>
          </w:tcPr>
          <w:p>
            <w:pPr>
              <w:spacing w:after="0"/>
              <w:rPr>
                <w:sz w:val="14"/>
                <w:szCs w:val="14"/>
                <w:color w:val="auto"/>
              </w:rPr>
            </w:pPr>
          </w:p>
        </w:tc>
        <w:tc>
          <w:tcPr>
            <w:tcW w:w="12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Fee</w:t>
            </w:r>
          </w:p>
        </w:tc>
        <w:tc>
          <w:tcPr>
            <w:tcW w:w="26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Fee</w:t>
            </w:r>
          </w:p>
        </w:tc>
        <w:tc>
          <w:tcPr>
            <w:tcW w:w="11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Rate Loans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I</w:t>
            </w:r>
          </w:p>
        </w:tc>
        <w:tc>
          <w:tcPr>
            <w:tcW w:w="36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53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Less than 1.50 to 1.00</w:t>
            </w:r>
          </w:p>
        </w:tc>
        <w:tc>
          <w:tcPr>
            <w:tcW w:w="48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0.20%</w:t>
            </w:r>
          </w:p>
        </w:tc>
        <w:tc>
          <w:tcPr>
            <w:tcW w:w="260" w:type="dxa"/>
            <w:vAlign w:val="bottom"/>
            <w:vMerge w:val="continue"/>
            <w:shd w:val="clear" w:color="auto" w:fill="CCEEFF"/>
          </w:tcPr>
          <w:p>
            <w:pPr>
              <w:spacing w:after="0"/>
              <w:rPr>
                <w:sz w:val="17"/>
                <w:szCs w:val="17"/>
                <w:color w:val="auto"/>
              </w:rPr>
            </w:pPr>
          </w:p>
        </w:tc>
        <w:tc>
          <w:tcPr>
            <w:tcW w:w="16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1.75%</w:t>
            </w:r>
          </w:p>
        </w:tc>
        <w:tc>
          <w:tcPr>
            <w:tcW w:w="26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II</w:t>
            </w: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Greater than or equal to 1.50 to 1.00 but less than 2.00 to 1.00</w:t>
            </w:r>
          </w:p>
        </w:tc>
        <w:tc>
          <w:tcPr>
            <w:tcW w:w="1720" w:type="dxa"/>
            <w:vAlign w:val="bottom"/>
            <w:gridSpan w:val="3"/>
          </w:tcPr>
          <w:p>
            <w:pPr>
              <w:jc w:val="right"/>
              <w:ind w:right="260"/>
              <w:spacing w:after="0"/>
              <w:rPr>
                <w:sz w:val="20"/>
                <w:szCs w:val="20"/>
                <w:color w:val="auto"/>
              </w:rPr>
            </w:pPr>
            <w:r>
              <w:rPr>
                <w:rFonts w:ascii="Arial" w:cs="Arial" w:eastAsia="Arial" w:hAnsi="Arial"/>
                <w:sz w:val="18"/>
                <w:szCs w:val="18"/>
                <w:color w:val="auto"/>
              </w:rPr>
              <w:t>0.25%</w:t>
            </w:r>
          </w:p>
        </w:tc>
        <w:tc>
          <w:tcPr>
            <w:tcW w:w="1860" w:type="dxa"/>
            <w:vAlign w:val="bottom"/>
            <w:gridSpan w:val="3"/>
          </w:tcPr>
          <w:p>
            <w:pPr>
              <w:jc w:val="right"/>
              <w:ind w:right="260"/>
              <w:spacing w:after="0"/>
              <w:rPr>
                <w:sz w:val="20"/>
                <w:szCs w:val="20"/>
                <w:color w:val="auto"/>
              </w:rPr>
            </w:pPr>
            <w:r>
              <w:rPr>
                <w:rFonts w:ascii="Arial" w:cs="Arial" w:eastAsia="Arial" w:hAnsi="Arial"/>
                <w:sz w:val="18"/>
                <w:szCs w:val="18"/>
                <w:color w:val="auto"/>
              </w:rPr>
              <w:t>2.00%</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III</w:t>
            </w:r>
          </w:p>
        </w:tc>
        <w:tc>
          <w:tcPr>
            <w:tcW w:w="5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Greater than or equal to 2.00 to 1.00 but less than 2.50 to 1.00</w:t>
            </w:r>
          </w:p>
        </w:tc>
        <w:tc>
          <w:tcPr>
            <w:tcW w:w="1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0.30%</w:t>
            </w:r>
          </w:p>
        </w:tc>
        <w:tc>
          <w:tcPr>
            <w:tcW w:w="1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2.25%</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IV</w:t>
            </w:r>
          </w:p>
        </w:tc>
        <w:tc>
          <w:tcPr>
            <w:tcW w:w="5580" w:type="dxa"/>
            <w:vAlign w:val="bottom"/>
            <w:gridSpan w:val="2"/>
          </w:tcPr>
          <w:p>
            <w:pPr>
              <w:ind w:left="240"/>
              <w:spacing w:after="0"/>
              <w:rPr>
                <w:sz w:val="20"/>
                <w:szCs w:val="20"/>
                <w:color w:val="auto"/>
              </w:rPr>
            </w:pPr>
            <w:r>
              <w:rPr>
                <w:rFonts w:ascii="Arial" w:cs="Arial" w:eastAsia="Arial" w:hAnsi="Arial"/>
                <w:sz w:val="18"/>
                <w:szCs w:val="18"/>
                <w:color w:val="auto"/>
              </w:rPr>
              <w:t>Greater than or equal to 2.50 to 1.00 but less than 3.00 to 1.00</w:t>
            </w:r>
          </w:p>
        </w:tc>
        <w:tc>
          <w:tcPr>
            <w:tcW w:w="1720" w:type="dxa"/>
            <w:vAlign w:val="bottom"/>
            <w:gridSpan w:val="3"/>
          </w:tcPr>
          <w:p>
            <w:pPr>
              <w:jc w:val="right"/>
              <w:ind w:right="260"/>
              <w:spacing w:after="0"/>
              <w:rPr>
                <w:sz w:val="20"/>
                <w:szCs w:val="20"/>
                <w:color w:val="auto"/>
              </w:rPr>
            </w:pPr>
            <w:r>
              <w:rPr>
                <w:rFonts w:ascii="Arial" w:cs="Arial" w:eastAsia="Arial" w:hAnsi="Arial"/>
                <w:sz w:val="18"/>
                <w:szCs w:val="18"/>
                <w:color w:val="auto"/>
              </w:rPr>
              <w:t>0.35%</w:t>
            </w:r>
          </w:p>
        </w:tc>
        <w:tc>
          <w:tcPr>
            <w:tcW w:w="1860" w:type="dxa"/>
            <w:vAlign w:val="bottom"/>
            <w:gridSpan w:val="3"/>
          </w:tcPr>
          <w:p>
            <w:pPr>
              <w:jc w:val="right"/>
              <w:ind w:right="260"/>
              <w:spacing w:after="0"/>
              <w:rPr>
                <w:sz w:val="20"/>
                <w:szCs w:val="20"/>
                <w:color w:val="auto"/>
              </w:rPr>
            </w:pPr>
            <w:r>
              <w:rPr>
                <w:rFonts w:ascii="Arial" w:cs="Arial" w:eastAsia="Arial" w:hAnsi="Arial"/>
                <w:sz w:val="18"/>
                <w:szCs w:val="18"/>
                <w:color w:val="auto"/>
              </w:rPr>
              <w:t>2.50%</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w:t>
            </w:r>
          </w:p>
        </w:tc>
        <w:tc>
          <w:tcPr>
            <w:tcW w:w="5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Greater than or equal to 3.00 to 1.00</w:t>
            </w:r>
          </w:p>
        </w:tc>
        <w:tc>
          <w:tcPr>
            <w:tcW w:w="17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0.40%</w:t>
            </w:r>
          </w:p>
        </w:tc>
        <w:tc>
          <w:tcPr>
            <w:tcW w:w="1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2.75%</w:t>
            </w: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41"/>
        <w:spacing w:after="0" w:line="271" w:lineRule="auto"/>
        <w:rPr>
          <w:sz w:val="20"/>
          <w:szCs w:val="20"/>
          <w:color w:val="auto"/>
        </w:rPr>
      </w:pPr>
      <w:r>
        <w:rPr>
          <w:rFonts w:ascii="Arial" w:cs="Arial" w:eastAsia="Arial" w:hAnsi="Arial"/>
          <w:sz w:val="17"/>
          <w:szCs w:val="17"/>
          <w:color w:val="auto"/>
        </w:rPr>
        <w:t xml:space="preserve">Any increase or decrease in the Applicable Rate resulting from a change in the Consolidated Net Leverage Ratio shall become effective as of the first Business Day immediately following the date a Compliance Certificate is delivered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Compliance Certificate is not delivered when due in accordance with such Section, then, upon the request of the Required Term Loan Lenders (in the case of the Term Loan Facility) or the Required Revolving Credit Lenders (in the case of the Revolving Credit Facility), as the case may be, Pricing Level V shall apply in respect of the Term Loan Facility and the Revolving Credit Facility, as applicable, in each case as of the first Business Day after the date on which such Compliance Certificate was required to have been delivered until the first Business Day after such Compliance Certificate is delivered. The Applicable Rate in effect from the Closing Date until the first Business Day following the delivery of the Compliance Certificate for the fiscal quarter ending June 30, 2019, shall be determined based upon Pricing Level II.</w:t>
      </w:r>
    </w:p>
    <w:p>
      <w:pPr>
        <w:spacing w:after="0" w:line="1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74" w:right="419" w:bottom="1440" w:gutter="0" w:footer="0" w:header="0"/>
        </w:sectPr>
      </w:pPr>
    </w:p>
    <w:bookmarkStart w:id="13" w:name="page14"/>
    <w:bookmarkEnd w:id="13"/>
    <w:p>
      <w:pPr>
        <w:ind w:right="1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anything to the contrary contained in this definition, the determination of the Applicable Rate for any period shall be subject to the provisions of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70"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Revolving Credit Percentage</w:t>
      </w:r>
      <w:r>
        <w:rPr>
          <w:rFonts w:ascii="Arial" w:cs="Arial" w:eastAsia="Arial" w:hAnsi="Arial"/>
          <w:sz w:val="18"/>
          <w:szCs w:val="18"/>
          <w:color w:val="auto"/>
        </w:rPr>
        <w:t>” means with respect to any Revolving Credit Lender at any time, such Revolving Credit Lender’s Applicable Percentage in respect of the Revolving Credit Facility at such time.</w:t>
      </w:r>
    </w:p>
    <w:p>
      <w:pPr>
        <w:spacing w:after="0" w:line="170" w:lineRule="exact"/>
        <w:rPr>
          <w:sz w:val="20"/>
          <w:szCs w:val="20"/>
          <w:color w:val="auto"/>
        </w:rPr>
      </w:pPr>
    </w:p>
    <w:p>
      <w:pPr>
        <w:ind w:right="8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Time</w:t>
      </w:r>
      <w:r>
        <w:rPr>
          <w:rFonts w:ascii="Arial" w:cs="Arial" w:eastAsia="Arial" w:hAnsi="Arial"/>
          <w:sz w:val="17"/>
          <w:szCs w:val="17"/>
          <w:color w:val="auto"/>
        </w:rPr>
        <w:t>” means, with respect to any borrowings and payments in any Alternative Currency, the local time in the place of settlement for such Alternative Currency as may be determined by the Administrative Agent or the applicable L/C Issuer, as the case may be, to be necessary for timely settlement on the relevant date in accordance with normal banking procedures in the place of payment.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Applicant Borrower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Fund that is administered or managed by (a) a Lender, (b) an Affiliate of a Lender or (c) an entity or an Affiliate of an entity that administers or manages a Lender.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BofA Securities, Inc., in its capacity as sole lead arranger and sole bookrunner.</w:t>
      </w:r>
    </w:p>
    <w:p>
      <w:pPr>
        <w:spacing w:after="0" w:line="225" w:lineRule="exact"/>
        <w:rPr>
          <w:sz w:val="20"/>
          <w:szCs w:val="20"/>
          <w:color w:val="auto"/>
        </w:rPr>
      </w:pPr>
    </w:p>
    <w:p>
      <w:pPr>
        <w:jc w:val="both"/>
        <w:ind w:right="38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xml:space="preserve">” means an assignment and assumption entered into by a Lender and an assignee (with the consent of any party whose consent is required by </w:t>
      </w:r>
      <w:r>
        <w:rPr>
          <w:rFonts w:ascii="Arial" w:cs="Arial" w:eastAsia="Arial" w:hAnsi="Arial"/>
          <w:sz w:val="16"/>
          <w:szCs w:val="16"/>
          <w:u w:val="single" w:color="auto"/>
          <w:color w:val="auto"/>
        </w:rPr>
        <w:t>Section 10.06(b)</w:t>
      </w:r>
      <w:r>
        <w:rPr>
          <w:rFonts w:ascii="Arial" w:cs="Arial" w:eastAsia="Arial" w:hAnsi="Arial"/>
          <w:sz w:val="16"/>
          <w:szCs w:val="16"/>
          <w:color w:val="auto"/>
        </w:rPr>
        <w:t xml:space="preserve">), and accepted by the Administrative Agent, in substantially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or any other form (including electronic documentation generated by MarkitClear or other electronic platform) approved by the Administrative Agent.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 Beheer</w:t>
      </w:r>
      <w:r>
        <w:rPr>
          <w:rFonts w:ascii="Arial" w:cs="Arial" w:eastAsia="Arial" w:hAnsi="Arial"/>
          <w:sz w:val="18"/>
          <w:szCs w:val="18"/>
          <w:color w:val="auto"/>
        </w:rPr>
        <w:t>” means ATA Beheer B.V., a private limited company incorporated in the Netherlands.</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Attributable Indebtedness</w:t>
      </w:r>
      <w:r>
        <w:rPr>
          <w:rFonts w:ascii="Arial" w:cs="Arial" w:eastAsia="Arial" w:hAnsi="Arial"/>
          <w:sz w:val="18"/>
          <w:szCs w:val="18"/>
          <w:color w:val="auto"/>
        </w:rPr>
        <w:t>” means, on any date, (a) in respect of any capital lease of any Person, the capitalized amount thereof that would appear on a balance sheet of such Person prepared as of such date in accordance with GAAP, and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w:t>
      </w:r>
    </w:p>
    <w:p>
      <w:pPr>
        <w:spacing w:after="0" w:line="187"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Company and its Subsidiaries for the fiscal year ended December 31, 2018, and the related consolidated statements of income or operations, shareholders’ equity and cash flows for such fiscal year of the Company and its Subsidiaries, including the notes thereto.</w:t>
      </w:r>
    </w:p>
    <w:p>
      <w:pPr>
        <w:spacing w:after="0" w:line="181"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Availability Period</w:t>
      </w:r>
      <w:r>
        <w:rPr>
          <w:rFonts w:ascii="Arial" w:cs="Arial" w:eastAsia="Arial" w:hAnsi="Arial"/>
          <w:sz w:val="16"/>
          <w:szCs w:val="16"/>
          <w:color w:val="auto"/>
        </w:rPr>
        <w:t xml:space="preserve">” means the period from and including the Closing Date to the earliest of (a) the Maturity Date, (b) the date of termination of the Aggregate Revolving Credit Commitments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and (c) the date of termination of the commitment of each Revolving Credit Lender to make Revolving Credit Loans and of the obligation of each L/C Issuer to make L/C Credit Extensions pursuant to </w:t>
      </w:r>
      <w:r>
        <w:rPr>
          <w:rFonts w:ascii="Arial" w:cs="Arial" w:eastAsia="Arial" w:hAnsi="Arial"/>
          <w:sz w:val="16"/>
          <w:szCs w:val="16"/>
          <w:u w:val="single" w:color="auto"/>
          <w:color w:val="auto"/>
        </w:rPr>
        <w:t>Section 8.02</w:t>
      </w:r>
      <w:r>
        <w:rPr>
          <w:rFonts w:ascii="Arial" w:cs="Arial" w:eastAsia="Arial" w:hAnsi="Arial"/>
          <w:sz w:val="16"/>
          <w:szCs w:val="16"/>
          <w:color w:val="auto"/>
        </w:rPr>
        <w:t>.</w:t>
      </w:r>
    </w:p>
    <w:p>
      <w:pPr>
        <w:spacing w:after="0" w:line="147"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xml:space="preserve">” means for any day a fluctuating rate per annum equal to the highest of (a) the Federal Funds Rate plus 1/2 of 1%, (b) the rate of interest in effect for such day as publicly announced from time to time by Bank of America as its “prime rate,” (c) the Eurocurrency Rate plus 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6"/>
          <w:szCs w:val="16"/>
          <w:u w:val="single" w:color="auto"/>
          <w:color w:val="auto"/>
        </w:rPr>
        <w:t>Section 3.03</w:t>
      </w:r>
      <w:r>
        <w:rPr>
          <w:rFonts w:ascii="Arial" w:cs="Arial" w:eastAsia="Arial" w:hAnsi="Arial"/>
          <w:sz w:val="16"/>
          <w:szCs w:val="16"/>
          <w:color w:val="auto"/>
        </w:rPr>
        <w:t xml:space="preserve"> hereof, then the Base Rate shall be the greater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and shall be determined without reference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a Loan that bears interest based on the Base Rate. All Base Rate Loans shall be denominated in Dollars.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Revolving Credit Loan</w:t>
      </w:r>
      <w:r>
        <w:rPr>
          <w:rFonts w:ascii="Arial" w:cs="Arial" w:eastAsia="Arial" w:hAnsi="Arial"/>
          <w:sz w:val="18"/>
          <w:szCs w:val="18"/>
          <w:color w:val="auto"/>
        </w:rPr>
        <w:t>” means a Revolving Credit Loan that is a Base Rate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Beneficial Ownership Certification</w:t>
      </w:r>
      <w:r>
        <w:rPr>
          <w:rFonts w:ascii="Arial" w:cs="Arial" w:eastAsia="Arial" w:hAnsi="Arial"/>
          <w:sz w:val="16"/>
          <w:szCs w:val="16"/>
          <w:color w:val="auto"/>
        </w:rPr>
        <w:t>” means a certification regarding beneficial ownership as required by the Beneficial Ownership Regulation.</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and “</w:t>
      </w:r>
      <w:r>
        <w:rPr>
          <w:rFonts w:ascii="Arial" w:cs="Arial" w:eastAsia="Arial" w:hAnsi="Arial"/>
          <w:sz w:val="18"/>
          <w:szCs w:val="18"/>
          <w:u w:val="single" w:color="auto"/>
          <w:color w:val="auto"/>
        </w:rPr>
        <w:t>Borrowers</w:t>
      </w:r>
      <w:r>
        <w:rPr>
          <w:rFonts w:ascii="Arial" w:cs="Arial" w:eastAsia="Arial" w:hAnsi="Arial"/>
          <w:sz w:val="18"/>
          <w:szCs w:val="18"/>
          <w:color w:val="auto"/>
        </w:rPr>
        <w:t>” each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Credit Borrowing, a Swing Line Borrowing or a Term Loan Borrowing, as the context may require.</w:t>
      </w:r>
    </w:p>
    <w:p>
      <w:pPr>
        <w:spacing w:after="0" w:line="225"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a Saturday, Sunday or other day on which commercial banks are authorized to close under the Laws of, or are in fact closed in, the state where the Administrative Agent’s Office with respect to Obligations denominated in Dollars is located and:</w:t>
      </w:r>
    </w:p>
    <w:p>
      <w:pPr>
        <w:spacing w:after="0" w:line="16" w:lineRule="exact"/>
        <w:rPr>
          <w:sz w:val="20"/>
          <w:szCs w:val="20"/>
          <w:color w:val="auto"/>
        </w:rPr>
      </w:pPr>
    </w:p>
    <w:p>
      <w:pPr>
        <w:ind w:right="160" w:firstLine="444"/>
        <w:spacing w:after="0" w:line="264" w:lineRule="auto"/>
        <w:tabs>
          <w:tab w:leader="none" w:pos="6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Dollars, any fundings, disbursements, settlements and payments in Dollars in respect of any such Eurocurrency Rate Loan, or any other dealings in Dollars to be carried out pursuant to this Agreement in respect of any such Eurocurrency Rate Loan, means any London Banking Day;</w:t>
      </w:r>
    </w:p>
    <w:p>
      <w:pPr>
        <w:spacing w:after="0" w:line="73" w:lineRule="exact"/>
        <w:rPr>
          <w:rFonts w:ascii="Arial" w:cs="Arial" w:eastAsia="Arial" w:hAnsi="Arial"/>
          <w:sz w:val="18"/>
          <w:szCs w:val="18"/>
          <w:color w:val="auto"/>
        </w:rPr>
      </w:pPr>
    </w:p>
    <w:p>
      <w:pPr>
        <w:ind w:right="40" w:firstLine="444"/>
        <w:spacing w:after="0" w:line="264" w:lineRule="auto"/>
        <w:tabs>
          <w:tab w:leader="none" w:pos="6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Rate Loan denominated in Euro, any fundings, disbursements, settlements and payments in Euro in respect of any such Eurocurrency Rate Loan, or any other dealings in Euro to be carried out pursuant to this Agreement in respect of any such Eurocurrency Rate Loan, means a TARGET Day;</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15" w:name="page16"/>
    <w:bookmarkEnd w:id="15"/>
    <w:p>
      <w:pPr>
        <w:ind w:right="280" w:firstLine="444"/>
        <w:spacing w:after="0" w:line="264" w:lineRule="auto"/>
        <w:tabs>
          <w:tab w:leader="none" w:pos="685"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such day relates to any interest rate settings as to a Eurocurrency Rate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73" w:lineRule="exact"/>
        <w:rPr>
          <w:rFonts w:ascii="Arial" w:cs="Arial" w:eastAsia="Arial" w:hAnsi="Arial"/>
          <w:sz w:val="18"/>
          <w:szCs w:val="18"/>
          <w:color w:val="auto"/>
        </w:rPr>
      </w:pPr>
    </w:p>
    <w:p>
      <w:pPr>
        <w:ind w:right="240" w:firstLine="444"/>
        <w:spacing w:after="0" w:line="279" w:lineRule="auto"/>
        <w:tabs>
          <w:tab w:leader="none" w:pos="69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 such day relates to any fundings, disbursements, settlements and payments in a currency other than Dollars or Euro in respect of a Eurocurrency Rate Loan denominated in a currency other than Dollars or Euro, or any other dealings in any currency other than Dollars or Euro to be carried out pursuant to this Agreement in respect of any such Eurocurrency Rate Loan (other than any interest rate settings), means any such day on which banks are open for foreign exchange business in the principal financial center of the country of such currency.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w:t>
      </w:r>
      <w:r>
        <w:rPr>
          <w:rFonts w:ascii="Arial" w:cs="Arial" w:eastAsia="Arial" w:hAnsi="Arial"/>
          <w:sz w:val="18"/>
          <w:szCs w:val="18"/>
          <w:color w:val="auto"/>
        </w:rPr>
        <w:t>” and “</w:t>
      </w:r>
      <w:r>
        <w:rPr>
          <w:rFonts w:ascii="Arial" w:cs="Arial" w:eastAsia="Arial" w:hAnsi="Arial"/>
          <w:sz w:val="18"/>
          <w:szCs w:val="18"/>
          <w:u w:val="single" w:color="auto"/>
          <w:color w:val="auto"/>
        </w:rPr>
        <w:t>C$</w:t>
      </w:r>
      <w:r>
        <w:rPr>
          <w:rFonts w:ascii="Arial" w:cs="Arial" w:eastAsia="Arial" w:hAnsi="Arial"/>
          <w:sz w:val="18"/>
          <w:szCs w:val="18"/>
          <w:color w:val="auto"/>
        </w:rPr>
        <w:t>” mean the lawful currency of Canada.</w:t>
      </w:r>
    </w:p>
    <w:p>
      <w:pPr>
        <w:spacing w:after="0" w:line="225" w:lineRule="exact"/>
        <w:rPr>
          <w:sz w:val="20"/>
          <w:szCs w:val="20"/>
          <w:color w:val="auto"/>
        </w:rPr>
      </w:pPr>
    </w:p>
    <w:p>
      <w:pPr>
        <w:ind w:right="26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 Expenditures</w:t>
      </w:r>
      <w:r>
        <w:rPr>
          <w:rFonts w:ascii="Arial" w:cs="Arial" w:eastAsia="Arial" w:hAnsi="Arial"/>
          <w:sz w:val="17"/>
          <w:szCs w:val="17"/>
          <w:color w:val="auto"/>
        </w:rPr>
        <w:t>” means, with respect to any Person for any period, any expenditure in respect of the purchase or other acquisition of any fixed or capital asset (excluding normal replacements and maintenance which are properly charged to current operations).</w:t>
      </w:r>
    </w:p>
    <w:p>
      <w:pPr>
        <w:spacing w:after="0" w:line="14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means to pledge and deposit with or deliver to the Administrative Agent, for the benefit of one or more of the L/C Issuers, the Revolving Credit Lenders or PSLOC Banks, as collateral for L/C Obligations, Secured Permitted Standalone Letters of Credit or obligations of the Revolving Credit Lenders to fund participations in respect of L/C Obligations, cash or deposit account balances or, if the Administrative Agent and the L/C Issuers shall agree in their sole discretion, other credit support, in each case pursuant to documentation in form and substance reasonably satisfactory to (a) the Administrative Agent and (b) the L/C Issuers. “Cash Collateral” shall have a meaning correlative to the foregoing and shall include the proceeds of such cash collateral and other credit support.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any of the following types of Investments:</w:t>
      </w:r>
    </w:p>
    <w:p>
      <w:pPr>
        <w:spacing w:after="0" w:line="117" w:lineRule="exact"/>
        <w:rPr>
          <w:sz w:val="20"/>
          <w:szCs w:val="20"/>
          <w:color w:val="auto"/>
        </w:rPr>
      </w:pPr>
    </w:p>
    <w:p>
      <w:pPr>
        <w:jc w:val="both"/>
        <w:ind w:right="60" w:firstLine="444"/>
        <w:spacing w:after="0" w:line="264" w:lineRule="auto"/>
        <w:tabs>
          <w:tab w:leader="none" w:pos="685"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United States or any agency or instrumentality thereof having maturities of not more than 360 days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the United States is pledged in support thereof;</w:t>
      </w:r>
    </w:p>
    <w:p>
      <w:pPr>
        <w:spacing w:after="0" w:line="73" w:lineRule="exact"/>
        <w:rPr>
          <w:rFonts w:ascii="Arial" w:cs="Arial" w:eastAsia="Arial" w:hAnsi="Arial"/>
          <w:sz w:val="18"/>
          <w:szCs w:val="18"/>
          <w:color w:val="auto"/>
        </w:rPr>
      </w:pPr>
    </w:p>
    <w:p>
      <w:pPr>
        <w:ind w:right="200" w:firstLine="444"/>
        <w:spacing w:after="0" w:line="288" w:lineRule="auto"/>
        <w:tabs>
          <w:tab w:leader="none" w:pos="696" w:val="left"/>
        </w:tabs>
        <w:numPr>
          <w:ilvl w:val="1"/>
          <w:numId w:val="15"/>
        </w:numPr>
        <w:rPr>
          <w:rFonts w:ascii="Arial" w:cs="Arial" w:eastAsia="Arial" w:hAnsi="Arial"/>
          <w:sz w:val="16"/>
          <w:szCs w:val="16"/>
          <w:color w:val="auto"/>
        </w:rPr>
      </w:pPr>
      <w:r>
        <w:rPr>
          <w:rFonts w:ascii="Arial" w:cs="Arial" w:eastAsia="Arial" w:hAnsi="Arial"/>
          <w:sz w:val="16"/>
          <w:szCs w:val="16"/>
          <w:color w:val="auto"/>
        </w:rPr>
        <w:t>time deposits with, or insured certificates of deposit or bankers’ acceptances of, any commercial bank that (i) (A)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w:t>
      </w:r>
    </w:p>
    <w:p>
      <w:pPr>
        <w:ind w:firstLine="4"/>
        <w:spacing w:after="0" w:line="261" w:lineRule="auto"/>
        <w:tabs>
          <w:tab w:leader="none" w:pos="265"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issues (or the parent of which issues) commercial paper rated as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definition and (iii) has combined capital and surplus of at least $1,000,000,000, in each case with maturities of not more than 90 days from the date of acquisition thereof;</w:t>
      </w:r>
    </w:p>
    <w:p>
      <w:pPr>
        <w:spacing w:after="0" w:line="75" w:lineRule="exact"/>
        <w:rPr>
          <w:rFonts w:ascii="Arial" w:cs="Arial" w:eastAsia="Arial" w:hAnsi="Arial"/>
          <w:sz w:val="18"/>
          <w:szCs w:val="18"/>
          <w:color w:val="auto"/>
        </w:rPr>
      </w:pPr>
    </w:p>
    <w:p>
      <w:pPr>
        <w:ind w:right="180" w:firstLine="444"/>
        <w:spacing w:after="0" w:line="264" w:lineRule="auto"/>
        <w:tabs>
          <w:tab w:leader="none" w:pos="685" w:val="left"/>
        </w:tabs>
        <w:numPr>
          <w:ilvl w:val="1"/>
          <w:numId w:val="16"/>
        </w:numPr>
        <w:rPr>
          <w:rFonts w:ascii="Arial" w:cs="Arial" w:eastAsia="Arial" w:hAnsi="Arial"/>
          <w:sz w:val="18"/>
          <w:szCs w:val="18"/>
          <w:color w:val="auto"/>
        </w:rPr>
      </w:pPr>
      <w:r>
        <w:rPr>
          <w:rFonts w:ascii="Arial" w:cs="Arial" w:eastAsia="Arial" w:hAnsi="Arial"/>
          <w:sz w:val="18"/>
          <w:szCs w:val="18"/>
          <w:color w:val="auto"/>
        </w:rPr>
        <w:t>commercial paper issued by any Person organized under the laws of any state of the United States and rated at least “Prime-1” (or the then equivalent grade) by Moody’s or at least “A-1” (or the then equivalent grade) by S&amp;P, in each case with maturities of not more than 180 days from the date of acquisition thereof; and</w:t>
      </w:r>
    </w:p>
    <w:p>
      <w:pPr>
        <w:spacing w:after="0" w:line="73" w:lineRule="exact"/>
        <w:rPr>
          <w:rFonts w:ascii="Arial" w:cs="Arial" w:eastAsia="Arial" w:hAnsi="Arial"/>
          <w:sz w:val="18"/>
          <w:szCs w:val="18"/>
          <w:color w:val="auto"/>
        </w:rPr>
      </w:pPr>
    </w:p>
    <w:p>
      <w:pPr>
        <w:ind w:right="20" w:firstLine="444"/>
        <w:spacing w:after="0" w:line="259" w:lineRule="auto"/>
        <w:tabs>
          <w:tab w:leader="none" w:pos="696"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Investments, classified in accordance with GAAP as current assets of the Company or any of its Restricted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definition.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16" w:name="page17"/>
    <w:bookmarkEnd w:id="16"/>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 (including any Treasury Management Agreement).</w:t>
      </w:r>
    </w:p>
    <w:p>
      <w:pPr>
        <w:spacing w:after="0" w:line="18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Bank</w:t>
      </w:r>
      <w:r>
        <w:rPr>
          <w:rFonts w:ascii="Arial" w:cs="Arial" w:eastAsia="Arial" w:hAnsi="Arial"/>
          <w:sz w:val="18"/>
          <w:szCs w:val="18"/>
          <w:color w:val="auto"/>
        </w:rPr>
        <w:t>” means any Person in its capacity as a party to a Cash Management Agreement that, (a) at the time it enters into a Cash Management Agreement with a Loan Party, is a Lender or an Affiliate of a Lender, or (b) at the time it (or its Affiliate) becomes a Lender, is a party to a Cash Management Agreement with a Loan Party, in each case in its capacity as a party to such Cash Management Agreement (even if such Person ceases to be a Lender or such Person’s Affiliate ceased to be a Lender).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CECO B.V.</w:t>
      </w:r>
      <w:r>
        <w:rPr>
          <w:rFonts w:ascii="Arial" w:cs="Arial" w:eastAsia="Arial" w:hAnsi="Arial"/>
          <w:sz w:val="18"/>
          <w:szCs w:val="18"/>
          <w:color w:val="auto"/>
        </w:rPr>
        <w:t>” means CECO Environmental Netherlands B.V., a private limited company incorporated in the Netherlands.</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of any of the following: (a) the adoption, phase-in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 event or series of events by which:</w:t>
      </w:r>
    </w:p>
    <w:p>
      <w:pPr>
        <w:spacing w:after="0" w:line="117" w:lineRule="exact"/>
        <w:rPr>
          <w:sz w:val="20"/>
          <w:szCs w:val="20"/>
          <w:color w:val="auto"/>
        </w:rPr>
      </w:pPr>
    </w:p>
    <w:p>
      <w:pPr>
        <w:ind w:left="440" w:right="60" w:firstLine="428"/>
        <w:spacing w:after="0" w:line="254" w:lineRule="auto"/>
        <w:tabs>
          <w:tab w:leader="none" w:pos="110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8"/>
          <w:szCs w:val="18"/>
          <w:u w:val="single" w:color="auto"/>
          <w:color w:val="auto"/>
        </w:rPr>
        <w:t>option right</w:t>
      </w:r>
      <w:r>
        <w:rPr>
          <w:rFonts w:ascii="Arial" w:cs="Arial" w:eastAsia="Arial" w:hAnsi="Arial"/>
          <w:sz w:val="18"/>
          <w:szCs w:val="18"/>
          <w:color w:val="auto"/>
        </w:rPr>
        <w:t>”)), directly or indirectly, of 35%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 or</w:t>
      </w:r>
    </w:p>
    <w:p>
      <w:pPr>
        <w:spacing w:after="0" w:line="84" w:lineRule="exact"/>
        <w:rPr>
          <w:rFonts w:ascii="Arial" w:cs="Arial" w:eastAsia="Arial" w:hAnsi="Arial"/>
          <w:sz w:val="18"/>
          <w:szCs w:val="18"/>
          <w:color w:val="auto"/>
        </w:rPr>
      </w:pPr>
    </w:p>
    <w:p>
      <w:pPr>
        <w:ind w:left="440" w:right="160" w:firstLine="428"/>
        <w:spacing w:after="0" w:line="273" w:lineRule="auto"/>
        <w:tabs>
          <w:tab w:leader="none" w:pos="1118"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during any period of 12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constituting at the time of such election or nomination at least a majority of that board or equivalent governing body.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7" w:name="page18"/>
    <w:bookmarkEnd w:id="17"/>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means the first date all the conditions precedent in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10.01</w:t>
      </w:r>
      <w:r>
        <w:rPr>
          <w:rFonts w:ascii="Arial" w:cs="Arial" w:eastAsia="Arial" w:hAnsi="Arial"/>
          <w:sz w:val="17"/>
          <w:szCs w:val="17"/>
          <w:color w:val="auto"/>
        </w:rPr>
        <w: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all of the property that is or is intended under the terms of the Collateral Documents to be subject to Liens in favor of the Administrative Agent for the benefit of the Secured Parties, including all of the “Collateral” referred to therein.</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collectively, each Security Agreement, each Security Joinder Agreement, each Pledge Agreement, each Pledge Joinder Agreement, each Pledge Agreement Supplement and each of the other security agreements, pledge agreements, collateral assignments or other similar agreements, instruments or documents that creates or purports to create a Lien in favor of the Administrative Agent for the benefit of the Secured Parties.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a Term Loan Commitment or a Revolving Credit Commitment, as the context may require.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i w:val="1"/>
          <w:iCs w:val="1"/>
          <w:color w:val="auto"/>
        </w:rPr>
        <w:t>et seq</w:t>
      </w:r>
      <w:r>
        <w:rPr>
          <w:rFonts w:ascii="Arial" w:cs="Arial" w:eastAsia="Arial" w:hAnsi="Arial"/>
          <w:sz w:val="16"/>
          <w:szCs w:val="16"/>
          <w:color w:val="auto"/>
        </w:rPr>
        <w:t>.), as amended from time to time, and any successor statute.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Guaranty</w:t>
      </w:r>
      <w:r>
        <w:rPr>
          <w:rFonts w:ascii="Arial" w:cs="Arial" w:eastAsia="Arial" w:hAnsi="Arial"/>
          <w:sz w:val="18"/>
          <w:szCs w:val="18"/>
          <w:color w:val="auto"/>
        </w:rPr>
        <w:t>” means the Amended and Restated Company Guaranty Agreement dated as of the Closing Date, made by the Company in favor of the Administrative Agent for the benefit of the Secured Parties.</w:t>
      </w:r>
    </w:p>
    <w:p>
      <w:pPr>
        <w:spacing w:after="0" w:line="170"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Competitor</w:t>
      </w:r>
      <w:r>
        <w:rPr>
          <w:rFonts w:ascii="Arial" w:cs="Arial" w:eastAsia="Arial" w:hAnsi="Arial"/>
          <w:sz w:val="18"/>
          <w:szCs w:val="18"/>
          <w:color w:val="auto"/>
        </w:rPr>
        <w:t>” means (a) any Person (a “</w:t>
      </w:r>
      <w:r>
        <w:rPr>
          <w:rFonts w:ascii="Arial" w:cs="Arial" w:eastAsia="Arial" w:hAnsi="Arial"/>
          <w:sz w:val="18"/>
          <w:szCs w:val="18"/>
          <w:u w:val="single" w:color="auto"/>
          <w:color w:val="auto"/>
        </w:rPr>
        <w:t>Direct Competitor</w:t>
      </w:r>
      <w:r>
        <w:rPr>
          <w:rFonts w:ascii="Arial" w:cs="Arial" w:eastAsia="Arial" w:hAnsi="Arial"/>
          <w:sz w:val="18"/>
          <w:szCs w:val="18"/>
          <w:color w:val="auto"/>
        </w:rPr>
        <w:t>”) that is a bona fide direct competitor of the Company or any of its Subsidiaries in the same industry or a substantially similar industry which offers a substantially similar product or service as the Company or any of its Subsidiaries, and (b) any Person whose primary business is owning a Direct Competitor.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25"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EBITDA</w:t>
      </w:r>
      <w:r>
        <w:rPr>
          <w:rFonts w:ascii="Arial" w:cs="Arial" w:eastAsia="Arial" w:hAnsi="Arial"/>
          <w:sz w:val="18"/>
          <w:szCs w:val="18"/>
          <w:color w:val="auto"/>
        </w:rPr>
        <w:t xml:space="preserve">” means, for any period, for the Company and its Restricted Subsidiaries on a consolidated basis, subject to </w:t>
      </w:r>
      <w:r>
        <w:rPr>
          <w:rFonts w:ascii="Arial" w:cs="Arial" w:eastAsia="Arial" w:hAnsi="Arial"/>
          <w:sz w:val="18"/>
          <w:szCs w:val="18"/>
          <w:u w:val="single" w:color="auto"/>
          <w:color w:val="auto"/>
        </w:rPr>
        <w:t>Section 1.07</w:t>
      </w:r>
      <w:r>
        <w:rPr>
          <w:rFonts w:ascii="Arial" w:cs="Arial" w:eastAsia="Arial" w:hAnsi="Arial"/>
          <w:sz w:val="18"/>
          <w:szCs w:val="18"/>
          <w:color w:val="auto"/>
        </w:rPr>
        <w:t>, an amount equal to:</w:t>
      </w:r>
    </w:p>
    <w:p>
      <w:pPr>
        <w:spacing w:after="0" w:line="62" w:lineRule="exact"/>
        <w:rPr>
          <w:sz w:val="20"/>
          <w:szCs w:val="20"/>
          <w:color w:val="auto"/>
        </w:rPr>
      </w:pPr>
    </w:p>
    <w:p>
      <w:pPr>
        <w:ind w:left="860" w:right="6880" w:firstLine="8"/>
        <w:spacing w:after="0" w:line="375" w:lineRule="auto"/>
        <w:tabs>
          <w:tab w:leader="none" w:pos="11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Consolidated Net Income for such period, </w:t>
      </w:r>
      <w:r>
        <w:rPr>
          <w:rFonts w:ascii="Arial" w:cs="Arial" w:eastAsia="Arial" w:hAnsi="Arial"/>
          <w:sz w:val="18"/>
          <w:szCs w:val="18"/>
          <w:u w:val="single" w:color="auto"/>
          <w:color w:val="auto"/>
        </w:rPr>
        <w:t>plus</w:t>
      </w:r>
    </w:p>
    <w:p>
      <w:pPr>
        <w:spacing w:after="0" w:line="1" w:lineRule="exact"/>
        <w:rPr>
          <w:rFonts w:ascii="Arial" w:cs="Arial" w:eastAsia="Arial" w:hAnsi="Arial"/>
          <w:sz w:val="18"/>
          <w:szCs w:val="18"/>
          <w:color w:val="auto"/>
        </w:rPr>
      </w:pPr>
    </w:p>
    <w:p>
      <w:pPr>
        <w:ind w:left="1120" w:hanging="252"/>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following to the extent deducted in calculating such Consolidated Net Income (without duplication):</w:t>
      </w:r>
    </w:p>
    <w:p>
      <w:pPr>
        <w:spacing w:after="0" w:line="117" w:lineRule="exact"/>
        <w:rPr>
          <w:rFonts w:ascii="Arial" w:cs="Arial" w:eastAsia="Arial" w:hAnsi="Arial"/>
          <w:sz w:val="18"/>
          <w:szCs w:val="18"/>
          <w:color w:val="auto"/>
        </w:rPr>
      </w:pPr>
    </w:p>
    <w:p>
      <w:pPr>
        <w:ind w:left="1500" w:hanging="209"/>
        <w:spacing w:after="0"/>
        <w:tabs>
          <w:tab w:leader="none" w:pos="15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Consolidated Interest Charges for such period,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8" w:name="page19"/>
    <w:bookmarkEnd w:id="18"/>
    <w:p>
      <w:pPr>
        <w:ind w:left="700" w:hanging="269"/>
        <w:spacing w:after="0"/>
        <w:tabs>
          <w:tab w:leader="none" w:pos="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provision for Federal, state, local and foreign income taxes by the Company and its Restricted Subsidiaries for such period,</w:t>
      </w:r>
    </w:p>
    <w:p>
      <w:pPr>
        <w:spacing w:after="0" w:line="140" w:lineRule="exact"/>
        <w:rPr>
          <w:rFonts w:ascii="Arial" w:cs="Arial" w:eastAsia="Arial" w:hAnsi="Arial"/>
          <w:sz w:val="16"/>
          <w:szCs w:val="16"/>
          <w:color w:val="auto"/>
        </w:rPr>
      </w:pPr>
    </w:p>
    <w:p>
      <w:pPr>
        <w:ind w:left="740" w:hanging="309"/>
        <w:spacing w:after="0"/>
        <w:tabs>
          <w:tab w:leader="none" w:pos="7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depreciation and amortization expense for such period,</w:t>
      </w:r>
    </w:p>
    <w:p>
      <w:pPr>
        <w:spacing w:after="0" w:line="117" w:lineRule="exact"/>
        <w:rPr>
          <w:rFonts w:ascii="Arial" w:cs="Arial" w:eastAsia="Arial" w:hAnsi="Arial"/>
          <w:sz w:val="18"/>
          <w:szCs w:val="18"/>
          <w:color w:val="auto"/>
        </w:rPr>
      </w:pPr>
    </w:p>
    <w:p>
      <w:pPr>
        <w:ind w:left="20" w:right="340" w:firstLine="411"/>
        <w:spacing w:after="0" w:line="277" w:lineRule="auto"/>
        <w:tabs>
          <w:tab w:leader="none" w:pos="7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“earn-out” or deferred purchase price and similar expenses in connection with Investments permitted hereby that reduced Consolidated Net Income for such period,</w:t>
      </w:r>
    </w:p>
    <w:p>
      <w:pPr>
        <w:spacing w:after="0" w:line="62" w:lineRule="exact"/>
        <w:rPr>
          <w:rFonts w:ascii="Arial" w:cs="Arial" w:eastAsia="Arial" w:hAnsi="Arial"/>
          <w:sz w:val="18"/>
          <w:szCs w:val="18"/>
          <w:color w:val="auto"/>
        </w:rPr>
      </w:pPr>
    </w:p>
    <w:p>
      <w:pPr>
        <w:ind w:left="20" w:right="40" w:firstLine="411"/>
        <w:spacing w:after="0" w:line="276" w:lineRule="auto"/>
        <w:tabs>
          <w:tab w:leader="none" w:pos="6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non-recurring cash expenses (including, without limitation, as part of a restructuring, business optimization, consolidation, relocation or integration);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aggregate amount permitted to be added back pursuant to this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with respect to any particular period of four consecutive fiscal quarters shall not exceed the greater of (A) $5,000,000 or (B) 10% of Consolidated EBITDA for such period (calculated without giving effect to this </w:t>
      </w:r>
      <w:r>
        <w:rPr>
          <w:rFonts w:ascii="Arial" w:cs="Arial" w:eastAsia="Arial" w:hAnsi="Arial"/>
          <w:sz w:val="17"/>
          <w:szCs w:val="17"/>
          <w:u w:val="single" w:color="auto"/>
          <w:color w:val="auto"/>
        </w:rPr>
        <w:t>clause (v)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1.07(b)</w:t>
      </w:r>
      <w:r>
        <w:rPr>
          <w:rFonts w:ascii="Arial" w:cs="Arial" w:eastAsia="Arial" w:hAnsi="Arial"/>
          <w:sz w:val="17"/>
          <w:szCs w:val="17"/>
          <w:color w:val="auto"/>
        </w:rPr>
        <w:t xml:space="preserve"> or the last paragraph of this definition which deems Consolidated EBITDA to be a certain amount for certain fiscal quarters),</w:t>
      </w:r>
    </w:p>
    <w:p>
      <w:pPr>
        <w:spacing w:after="0" w:line="64" w:lineRule="exact"/>
        <w:rPr>
          <w:rFonts w:ascii="Arial" w:cs="Arial" w:eastAsia="Arial" w:hAnsi="Arial"/>
          <w:sz w:val="17"/>
          <w:szCs w:val="17"/>
          <w:color w:val="auto"/>
        </w:rPr>
      </w:pPr>
    </w:p>
    <w:p>
      <w:pPr>
        <w:ind w:left="20" w:right="440" w:firstLine="411"/>
        <w:spacing w:after="0" w:line="342" w:lineRule="auto"/>
        <w:tabs>
          <w:tab w:leader="none" w:pos="73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expenses associated with foreign exchange remeasurements;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permitted to be added back pursuant to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with respect to any particular period of four consecutive fiscal quarters shall not exceed $1,000,000,</w:t>
      </w:r>
    </w:p>
    <w:p>
      <w:pPr>
        <w:spacing w:after="0" w:line="15" w:lineRule="exact"/>
        <w:rPr>
          <w:rFonts w:ascii="Arial" w:cs="Arial" w:eastAsia="Arial" w:hAnsi="Arial"/>
          <w:sz w:val="16"/>
          <w:szCs w:val="16"/>
          <w:color w:val="auto"/>
        </w:rPr>
      </w:pPr>
    </w:p>
    <w:p>
      <w:pPr>
        <w:ind w:left="20" w:firstLine="411"/>
        <w:spacing w:after="0" w:line="264"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items reducing Consolidated Net Income that do not constitute a cash charge or cash expense in such period or in any future period, including, without limitation, goodwill impairment charges, stock compensation or other stock related charges (excluding amortization of a prepaid cash item that was paid in a prior period),</w:t>
      </w:r>
    </w:p>
    <w:p>
      <w:pPr>
        <w:spacing w:after="0" w:line="73" w:lineRule="exact"/>
        <w:rPr>
          <w:rFonts w:ascii="Arial" w:cs="Arial" w:eastAsia="Arial" w:hAnsi="Arial"/>
          <w:sz w:val="18"/>
          <w:szCs w:val="18"/>
          <w:color w:val="auto"/>
        </w:rPr>
      </w:pPr>
    </w:p>
    <w:p>
      <w:pPr>
        <w:ind w:left="840" w:hanging="409"/>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fees, costs and expenses incurred in connection with this Agreement and the transactions contemplated hereby,</w:t>
      </w:r>
    </w:p>
    <w:p>
      <w:pPr>
        <w:spacing w:after="0" w:line="117" w:lineRule="exact"/>
        <w:rPr>
          <w:rFonts w:ascii="Arial" w:cs="Arial" w:eastAsia="Arial" w:hAnsi="Arial"/>
          <w:sz w:val="18"/>
          <w:szCs w:val="18"/>
          <w:color w:val="auto"/>
        </w:rPr>
      </w:pPr>
    </w:p>
    <w:p>
      <w:pPr>
        <w:ind w:left="20" w:right="180" w:firstLine="411"/>
        <w:spacing w:after="0" w:line="264" w:lineRule="auto"/>
        <w:tabs>
          <w:tab w:leader="none" w:pos="7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non-recurring charges, costs and expenses incurred in connection with proposed or closed Dispositions, Acquisitions or Investments (including, without limitation, legal costs and accounting fees), incurrence of Indebtedness or issuance of Equity Interests (in each case, whether or not consummated), including amendments thereof, and</w:t>
      </w:r>
    </w:p>
    <w:p>
      <w:pPr>
        <w:spacing w:after="0" w:line="73" w:lineRule="exact"/>
        <w:rPr>
          <w:rFonts w:ascii="Arial" w:cs="Arial" w:eastAsia="Arial" w:hAnsi="Arial"/>
          <w:sz w:val="18"/>
          <w:szCs w:val="18"/>
          <w:color w:val="auto"/>
        </w:rPr>
      </w:pPr>
    </w:p>
    <w:p>
      <w:pPr>
        <w:ind w:left="20" w:right="480" w:firstLine="411"/>
        <w:spacing w:after="0" w:line="342" w:lineRule="auto"/>
        <w:tabs>
          <w:tab w:leader="none" w:pos="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deferred financing costs written off and premiums paid in connection with the any early extinguishment or conversion of Indebtedness, Swap Contracts or other derivative instruments (including deferred financing expenses written off and premiums paid),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minus</w:t>
      </w:r>
    </w:p>
    <w:p>
      <w:pPr>
        <w:spacing w:after="0" w:line="117"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to the extent included in calculating such Consolidated Net Income:</w:t>
      </w:r>
    </w:p>
    <w:p>
      <w:pPr>
        <w:spacing w:after="0" w:line="117" w:lineRule="exact"/>
        <w:rPr>
          <w:rFonts w:ascii="Arial" w:cs="Arial" w:eastAsia="Arial" w:hAnsi="Arial"/>
          <w:sz w:val="18"/>
          <w:szCs w:val="18"/>
          <w:color w:val="auto"/>
        </w:rPr>
      </w:pPr>
    </w:p>
    <w:p>
      <w:pPr>
        <w:ind w:left="640" w:hanging="209"/>
        <w:spacing w:after="0"/>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Federal, state, local and foreign income tax credits of the Company and its Restricted Subsidiaries for such period,</w:t>
      </w:r>
    </w:p>
    <w:p>
      <w:pPr>
        <w:spacing w:after="0" w:line="117" w:lineRule="exact"/>
        <w:rPr>
          <w:rFonts w:ascii="Arial" w:cs="Arial" w:eastAsia="Arial" w:hAnsi="Arial"/>
          <w:sz w:val="18"/>
          <w:szCs w:val="18"/>
          <w:color w:val="auto"/>
        </w:rPr>
      </w:pPr>
    </w:p>
    <w:p>
      <w:pPr>
        <w:ind w:left="700" w:hanging="269"/>
        <w:spacing w:after="0"/>
        <w:tabs>
          <w:tab w:leader="none" w:pos="7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gain or benefit associated with foreign exchange remeasurements, and</w:t>
      </w:r>
    </w:p>
    <w:p>
      <w:pPr>
        <w:spacing w:after="0" w:line="117" w:lineRule="exact"/>
        <w:rPr>
          <w:rFonts w:ascii="Arial" w:cs="Arial" w:eastAsia="Arial" w:hAnsi="Arial"/>
          <w:sz w:val="18"/>
          <w:szCs w:val="18"/>
          <w:color w:val="auto"/>
        </w:rPr>
      </w:pPr>
    </w:p>
    <w:p>
      <w:pPr>
        <w:ind w:left="740" w:hanging="309"/>
        <w:spacing w:after="0"/>
        <w:tabs>
          <w:tab w:leader="none" w:pos="7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non-cash items increasing Consolidated Net Income for such period.</w:t>
      </w:r>
    </w:p>
    <w:p>
      <w:pPr>
        <w:spacing w:after="0" w:line="15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20"/>
          </w:cols>
          <w:pgMar w:left="1300" w:top="274" w:right="479" w:bottom="1440" w:gutter="0" w:footer="0" w:header="0"/>
        </w:sectPr>
      </w:pPr>
    </w:p>
    <w:bookmarkStart w:id="19" w:name="page20"/>
    <w:bookmarkEnd w:id="19"/>
    <w:p>
      <w:pPr>
        <w:ind w:right="5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the foregoing, for each of the fiscal quarters ending September 30, 2018, December 31, 2018 and March 31, 2019, Consolidated EBITDA for such fiscal quarters shall be deemed to be $9,397,000, $10,983,000, and $8,722,000, respectively.</w:t>
      </w:r>
    </w:p>
    <w:p>
      <w:pPr>
        <w:spacing w:after="0" w:line="170" w:lineRule="exact"/>
        <w:rPr>
          <w:sz w:val="20"/>
          <w:szCs w:val="20"/>
          <w:color w:val="auto"/>
        </w:rPr>
      </w:pPr>
    </w:p>
    <w:p>
      <w:pPr>
        <w:ind w:right="160"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Fixed Charge Coverage Ratio</w:t>
      </w:r>
      <w:r>
        <w:rPr>
          <w:rFonts w:ascii="Arial" w:cs="Arial" w:eastAsia="Arial" w:hAnsi="Arial"/>
          <w:sz w:val="17"/>
          <w:szCs w:val="17"/>
          <w:color w:val="auto"/>
        </w:rPr>
        <w:t xml:space="preserve">” means, as of any date of determination, the ratio of (a) the remainder of (i) Consolidated EBITDA for the period of the four fiscal quarters most recently ended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 Capital Expenditures during such period (excluding (A) Capital Expenditures constituting payments in respect of capital leases and Capital Expenditures financed by Indebtedness permitted hereunder, (B) amounts expended as consideration for Acquisitions permitted hereunder to the extent such amounts would otherwise be included as Capital Expenditures and (C) Capital Expenditures paid for with proceeds of casualty insurance as evidenced in writing and submitted to the Administrative Agent together with any Compliance Certificate delivered pursuant to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(iii) Federal, state, local and foreign income taxes paid by the Company and its Restricted Subsidiaries during such period </w:t>
      </w:r>
      <w:r>
        <w:rPr>
          <w:rFonts w:ascii="Arial" w:cs="Arial" w:eastAsia="Arial" w:hAnsi="Arial"/>
          <w:sz w:val="17"/>
          <w:szCs w:val="17"/>
          <w:i w:val="1"/>
          <w:iCs w:val="1"/>
          <w:color w:val="auto"/>
        </w:rPr>
        <w:t>to</w:t>
      </w:r>
      <w:r>
        <w:rPr>
          <w:rFonts w:ascii="Arial" w:cs="Arial" w:eastAsia="Arial" w:hAnsi="Arial"/>
          <w:sz w:val="17"/>
          <w:szCs w:val="17"/>
          <w:color w:val="auto"/>
        </w:rPr>
        <w:t xml:space="preserve"> (b) Consolidated Fixed Charges for such period.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Fixed Charges</w:t>
      </w:r>
      <w:r>
        <w:rPr>
          <w:rFonts w:ascii="Arial" w:cs="Arial" w:eastAsia="Arial" w:hAnsi="Arial"/>
          <w:sz w:val="17"/>
          <w:szCs w:val="17"/>
          <w:color w:val="auto"/>
        </w:rPr>
        <w:t>” means, for any period, for the Company and its Restricted Subsidiaries on a consolidated basis, the sum of</w:t>
      </w:r>
    </w:p>
    <w:p>
      <w:pPr>
        <w:spacing w:after="0" w:line="35" w:lineRule="exact"/>
        <w:rPr>
          <w:sz w:val="20"/>
          <w:szCs w:val="20"/>
          <w:color w:val="auto"/>
        </w:rPr>
      </w:pPr>
    </w:p>
    <w:p>
      <w:pPr>
        <w:ind w:firstLine="4"/>
        <w:spacing w:after="0" w:line="285" w:lineRule="auto"/>
        <w:tabs>
          <w:tab w:leader="none" w:pos="245"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Consolidated Interest Charges paid in cash during such period, (b) scheduled principal payments of Consolidated Funded Indebtedness during such period (it being acknowledged and agreed that, solely for purposes of calculating the foregoing, (i) scheduled principal payments of Consolidated Funded Indebtedness (other than in respect of the Term Loans) shall be those originally scheduled either at the time of incurrence of such Consolidated Funded Indebtedness or as subsequently modified by an agreement expressly modifying such originally scheduled principal payments (without giving effect to any reduction in such originally scheduled principal payments as a result of the application of any principal prepayments) and (ii) scheduled principal payments of the Term Loans shall be those set forth on </w:t>
      </w:r>
      <w:r>
        <w:rPr>
          <w:rFonts w:ascii="Arial" w:cs="Arial" w:eastAsia="Arial" w:hAnsi="Arial"/>
          <w:sz w:val="16"/>
          <w:szCs w:val="16"/>
          <w:u w:val="single" w:color="auto"/>
          <w:color w:val="auto"/>
        </w:rPr>
        <w:t>Schedule 2.07(a)</w:t>
      </w:r>
      <w:r>
        <w:rPr>
          <w:rFonts w:ascii="Arial" w:cs="Arial" w:eastAsia="Arial" w:hAnsi="Arial"/>
          <w:sz w:val="16"/>
          <w:szCs w:val="16"/>
          <w:color w:val="auto"/>
        </w:rPr>
        <w:t xml:space="preserve"> as of the Closing Date, except that, to the extent any prepayment of the Term Loans is made after the Closing Date, such scheduled principal payments shall be reduced by an amount equal to the lesser of (A) the actual reduction to such scheduled principal payments from such prepayment and (B) the amount by which such scheduled principal payment would have been reduced if the prepayment had been applied on a pro rata basis to all remaining scheduled principal payments (including the final payment due at maturity) of the Term Loans (regardless of the actual application of such prepayment), (c) dividends and distributions paid in cash by the Company to its shareholders or cash redemptions by the Company of its Equity Interests during such period and (d) any “earn-out” or deferred purchase price and similar payments in connection with Investments that are paid in cash during such period.</w:t>
      </w:r>
    </w:p>
    <w:p>
      <w:pPr>
        <w:spacing w:after="0" w:line="173"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Funded Indebtedness</w:t>
      </w:r>
      <w:r>
        <w:rPr>
          <w:rFonts w:ascii="Arial" w:cs="Arial" w:eastAsia="Arial" w:hAnsi="Arial"/>
          <w:sz w:val="17"/>
          <w:szCs w:val="17"/>
          <w:color w:val="auto"/>
        </w:rPr>
        <w:t>” means, as of any date of determination, for the Company and its Restricted Subsidiaries on a consolidated basis, and without duplication, the sum of (a) the outstanding principal amount of all obligations, whether current or long-term, for borrowed money (including Obligations hereunder) and all obligations evidenced by bonds, debentures, notes, loan agreements or other similar instruments, (b) all purchase money Indebtedness, (c) all direct obligations arising under letters of credit (including standby and commercial), bankers’ acceptances, bank guaranties, surety bonds and similar instruments (excluding from such calculation direct obligations with respect to (i) undrawn performance standby letters of credit, (ii) undrawn performance-based bankers’ acceptances and undrawn performance-based bank guarantees, (iii) performance-based surety bonds on which no claims have been asserted and (iv) undrawn letters of credit, undrawn bankers’ acceptances and undrawn bank guarantees securing customer contracts, but in all cases including (x) any payment and reimbursement obligations due in respect of the foregoing, and (y) all obligations with respect to financial standby letters of credit, bankers’ acceptances and bank guarantees or bonds providing assurance with respect to financial obligations), (d) all obligations in respect of the deferred purchase price of property or services (other than (x) trade accounts payable in the ordinary course of business and (y) “earnout” and similar payments in connection with Acquisitions permitted hereby), (e) Attributable Indebtedness in respect of capital leases and Synthetic</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0" w:name="page21"/>
    <w:bookmarkEnd w:id="2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Lease Obligations (for the purpose of calculating the Consolidated Net Leverage Ratio only, excluding (i) the Specified Existing Capital Leases and</w:t>
      </w:r>
    </w:p>
    <w:p>
      <w:pPr>
        <w:spacing w:after="0" w:line="46" w:lineRule="exact"/>
        <w:rPr>
          <w:sz w:val="20"/>
          <w:szCs w:val="20"/>
          <w:color w:val="auto"/>
        </w:rPr>
      </w:pPr>
    </w:p>
    <w:p>
      <w:pPr>
        <w:ind w:right="20" w:firstLine="4"/>
        <w:spacing w:after="0" w:line="268" w:lineRule="auto"/>
        <w:tabs>
          <w:tab w:leader="none" w:pos="265"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any Attributable Indebtedness from capital leases arising from any sale-leaseback transaction permitted hereunder the Net Cash Proceeds of which are used substantially contemporaneously with the receipt thereof to prepay Term Loans hereunder pursuant to </w:t>
      </w:r>
      <w:r>
        <w:rPr>
          <w:rFonts w:ascii="Arial" w:cs="Arial" w:eastAsia="Arial" w:hAnsi="Arial"/>
          <w:sz w:val="17"/>
          <w:szCs w:val="17"/>
          <w:u w:val="single" w:color="auto"/>
          <w:color w:val="auto"/>
        </w:rPr>
        <w:t>Section 2.05(b)(i)</w:t>
      </w:r>
      <w:r>
        <w:rPr>
          <w:rFonts w:ascii="Arial" w:cs="Arial" w:eastAsia="Arial" w:hAnsi="Arial"/>
          <w:sz w:val="17"/>
          <w:szCs w:val="17"/>
          <w:color w:val="auto"/>
        </w:rPr>
        <w:t>), (f) without duplication, all Guarantees with respect to outstanding Indebtedness of the types specified in clauses (a) through (e) above of Persons other than the Company or any Restricted Subsidiary, and (g) all Indebtedness of the types referred to in clauses (a) through (f) above of any partnership or joint venture (other than a joint venture that is itself a corporation or limited liability company) in which the Company or a Restricted Subsidiary is a general partner or joint venturer, unless such Indebtedness is expressly made nonrecourse to the Company or such Restricted Subsidiary (it being understood that any Indebtedness owed by the Company to any Restricted Subsidiary, by any Restricted Subsidiary to the Company or by any Restricted Subsidiary to another Restricted Subsidiary will be netted out for purposes of calculating Consolidated Funded Indebtedness to the extent such netting would be made when making calculations on “a consolidated basis” in accordance with GAAP).</w:t>
      </w:r>
    </w:p>
    <w:p>
      <w:pPr>
        <w:spacing w:after="0" w:line="182"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Charges</w:t>
      </w:r>
      <w:r>
        <w:rPr>
          <w:rFonts w:ascii="Arial" w:cs="Arial" w:eastAsia="Arial" w:hAnsi="Arial"/>
          <w:sz w:val="17"/>
          <w:szCs w:val="17"/>
          <w:color w:val="auto"/>
        </w:rPr>
        <w:t xml:space="preserve">” means, for any period, for the Company and its Restricted Subsidiaries on a consolidated basis, the sum of (a) all interest, premium payments, debt discount, fees, charges and related expenses of the Company and its Restricted Subsidiaries in connection with borrowed money (including capitalized interest) or in connection with the deferred purchase price of assets, in each case to the extent treated as interest in accordance with GAAP, and (b) the portion of rent expense of the Company and its Restricted Subsidiaries with respect to such period under capital leases (subject to </w:t>
      </w:r>
      <w:r>
        <w:rPr>
          <w:rFonts w:ascii="Arial" w:cs="Arial" w:eastAsia="Arial" w:hAnsi="Arial"/>
          <w:sz w:val="17"/>
          <w:szCs w:val="17"/>
          <w:u w:val="single" w:color="auto"/>
          <w:color w:val="auto"/>
        </w:rPr>
        <w:t>Section 1.03(b)</w:t>
      </w:r>
      <w:r>
        <w:rPr>
          <w:rFonts w:ascii="Arial" w:cs="Arial" w:eastAsia="Arial" w:hAnsi="Arial"/>
          <w:sz w:val="17"/>
          <w:szCs w:val="17"/>
          <w:color w:val="auto"/>
        </w:rPr>
        <w:t>) that is treated as interest in accordance with GAAP.</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means, for any period, for the Company and its Restricted Subsidiaries on a consolidated basis, subject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1.07</w:t>
      </w:r>
      <w:r>
        <w:rPr>
          <w:rFonts w:ascii="Arial" w:cs="Arial" w:eastAsia="Arial" w:hAnsi="Arial"/>
          <w:sz w:val="16"/>
          <w:szCs w:val="16"/>
          <w:color w:val="auto"/>
        </w:rPr>
        <w:t>, the net income (or loss) of the Company and its Restricted Subsidiaries for such period determined on a consolidated basis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GAAP, but excluding therefrom (to the extent otherwise included therein) (a) any extraordinary gains or losses, (b) any gains attributable to a sale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assets (other than inventory sold in the ordinary course of business) and the write-up of assets, (c) any equity interest of the Company or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Restricted Subsidiary of the Company in the unremitted earnings of any Person that is not a Restricted Subsidiary, (d) the net income of any Restricted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Subsidiary to the extent that the declaration or payment of dividends or similar distributions by such Restricted Subsidiary of such income is not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permitted by operation of the terms of its Organization Documents or any agreement, instrument or Law applicable to such Restricted Subsidiary, except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that the Company’s equity in any net loss of any such Restricted Subsidiary shall be included in determining Consolidated Net Income and (e)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income (or loss) of any Person accrued prior to the date it becomes a Restricted Subsidiary or is merged into or consolidated with the Company or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Restricted Subsidiary or the date that such Person’s assets are acquired by the Company or any Restricted Subsidiary; </w:t>
      </w:r>
      <w:r>
        <w:rPr>
          <w:rFonts w:ascii="Arial" w:cs="Arial" w:eastAsia="Arial" w:hAnsi="Arial"/>
          <w:sz w:val="16"/>
          <w:szCs w:val="16"/>
          <w:u w:val="single" w:color="auto"/>
          <w:color w:val="auto"/>
        </w:rPr>
        <w:t>provided that</w:t>
      </w:r>
      <w:r>
        <w:rPr>
          <w:rFonts w:ascii="Arial" w:cs="Arial" w:eastAsia="Arial" w:hAnsi="Arial"/>
          <w:sz w:val="16"/>
          <w:szCs w:val="16"/>
          <w:color w:val="auto"/>
        </w:rPr>
        <w:t>, to the extent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already included therein, Consolidated Net Income for any period shall be increased by the amount of cash dividends or other distributions actually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Company or any Restricted Subsidiary by any Person that is not a Restricted Subsidiary during such period in respect of the income earned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Person in such period or in any prior period (to the extent not previously included in Consolidated Net Income) (and in the case of a dividend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distribution to a Restricted Subsidiary, such Restricted Subsidiary is not precluded from further distributing such amount to the Company 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described in the foregoing </w:t>
      </w:r>
      <w:r>
        <w:rPr>
          <w:rFonts w:ascii="Arial" w:cs="Arial" w:eastAsia="Arial" w:hAnsi="Arial"/>
          <w:sz w:val="18"/>
          <w:szCs w:val="18"/>
          <w:u w:val="single" w:color="auto"/>
          <w:color w:val="auto"/>
        </w:rPr>
        <w:t>clause (d)</w:t>
      </w:r>
      <w:r>
        <w:rPr>
          <w:rFonts w:ascii="Arial" w:cs="Arial" w:eastAsia="Arial" w:hAnsi="Arial"/>
          <w:sz w:val="18"/>
          <w:szCs w:val="18"/>
          <w:color w:val="auto"/>
        </w:rPr>
        <w:t>).</w:t>
      </w:r>
    </w:p>
    <w:p>
      <w:pPr>
        <w:spacing w:after="0" w:line="211"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Leverage Ratio</w:t>
      </w:r>
      <w:r>
        <w:rPr>
          <w:rFonts w:ascii="Arial" w:cs="Arial" w:eastAsia="Arial" w:hAnsi="Arial"/>
          <w:sz w:val="16"/>
          <w:szCs w:val="16"/>
          <w:color w:val="auto"/>
        </w:rPr>
        <w:t xml:space="preserve">” means, as of any date of determination, the ratio of (a) the difference of (i) Consolidated Funded Indebtedness as of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100% of unrestricted cash or Cash Equivalents of the Loan Parties maintained in the United States or Canada with a Lender </w:t>
      </w:r>
      <w:r>
        <w:rPr>
          <w:rFonts w:ascii="Arial" w:cs="Arial" w:eastAsia="Arial" w:hAnsi="Arial"/>
          <w:sz w:val="16"/>
          <w:szCs w:val="16"/>
          <w:i w:val="1"/>
          <w:iCs w:val="1"/>
          <w:color w:val="auto"/>
        </w:rPr>
        <w:t>to</w:t>
      </w:r>
    </w:p>
    <w:p>
      <w:pPr>
        <w:ind w:left="5420" w:right="4660" w:hanging="5416"/>
        <w:spacing w:after="0" w:line="433" w:lineRule="auto"/>
        <w:tabs>
          <w:tab w:leader="none" w:pos="2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Consolidated EBITDA for the period of the four fiscal quarters most recently ended. 11</w:t>
      </w:r>
    </w:p>
    <w:p>
      <w:pPr>
        <w:sectPr>
          <w:pgSz w:w="11900" w:h="16838" w:orient="portrait"/>
          <w:cols w:equalWidth="0" w:num="1">
            <w:col w:w="11000"/>
          </w:cols>
          <w:pgMar w:left="440" w:top="274" w:right="459" w:bottom="1440" w:gutter="0" w:footer="0" w:header="0"/>
        </w:sectPr>
      </w:pPr>
    </w:p>
    <w:bookmarkStart w:id="21" w:name="page22"/>
    <w:bookmarkEnd w:id="21"/>
    <w:p>
      <w:pPr>
        <w:ind w:right="12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Consolidated Total Assets</w:t>
      </w:r>
      <w:r>
        <w:rPr>
          <w:rFonts w:ascii="Arial" w:cs="Arial" w:eastAsia="Arial" w:hAnsi="Arial"/>
          <w:sz w:val="18"/>
          <w:szCs w:val="18"/>
          <w:color w:val="auto"/>
        </w:rPr>
        <w:t>” means, as of any date of determination, the net book value of all assets of the Company and its Subsidiaries on such date determined on a consolidated basis in accordance with GAAP.</w:t>
      </w:r>
    </w:p>
    <w:p>
      <w:pPr>
        <w:spacing w:after="0" w:line="170"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70" w:lineRule="exact"/>
        <w:rPr>
          <w:sz w:val="20"/>
          <w:szCs w:val="20"/>
          <w:color w:val="auto"/>
        </w:rPr>
      </w:pPr>
    </w:p>
    <w:p>
      <w:pPr>
        <w:ind w:right="34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the following: (a) a Borrowing and (b) an L/C Credit Extension.</w:t>
      </w:r>
    </w:p>
    <w:p>
      <w:pPr>
        <w:spacing w:after="0" w:line="22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81"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means (a) when used with respect to Obligations other than Letter of Credit Fees, an interest rate equal to (i) the Base Rate </w:t>
      </w:r>
      <w:r>
        <w:rPr>
          <w:rFonts w:ascii="Arial" w:cs="Arial" w:eastAsia="Arial" w:hAnsi="Arial"/>
          <w:sz w:val="16"/>
          <w:szCs w:val="16"/>
          <w:u w:val="single" w:color="auto"/>
          <w:color w:val="auto"/>
        </w:rPr>
        <w:t>plus</w:t>
      </w:r>
    </w:p>
    <w:p>
      <w:pPr>
        <w:spacing w:after="0" w:line="46" w:lineRule="exact"/>
        <w:rPr>
          <w:sz w:val="20"/>
          <w:szCs w:val="20"/>
          <w:color w:val="auto"/>
        </w:rPr>
      </w:pPr>
    </w:p>
    <w:p>
      <w:pPr>
        <w:ind w:right="80" w:firstLine="4"/>
        <w:spacing w:after="0" w:line="277" w:lineRule="auto"/>
        <w:tabs>
          <w:tab w:leader="none" w:pos="265"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the Applicable Rate, if any, applicable to Base Rate Loans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(iii) 2% per annum;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 respect to a Eurocurrency Rate Loan, the Default Rate shall be an interest rate equal to the interest rate (including any Applicable Rate) otherwise applicable to such Loan plus 2% per annum, and (b) when used with respect to Letter of Credit Fees, a rate equal to the Applicable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2% per annum.</w:t>
      </w:r>
    </w:p>
    <w:p>
      <w:pPr>
        <w:spacing w:after="0" w:line="173" w:lineRule="exact"/>
        <w:rPr>
          <w:sz w:val="20"/>
          <w:szCs w:val="20"/>
          <w:color w:val="auto"/>
        </w:rPr>
      </w:pPr>
    </w:p>
    <w:p>
      <w:pPr>
        <w:ind w:right="140"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subject to </w:t>
      </w:r>
      <w:r>
        <w:rPr>
          <w:rFonts w:ascii="Arial" w:cs="Arial" w:eastAsia="Arial" w:hAnsi="Arial"/>
          <w:sz w:val="16"/>
          <w:szCs w:val="16"/>
          <w:u w:val="single" w:color="auto"/>
          <w:color w:val="auto"/>
        </w:rPr>
        <w:t>Section 2.17(b)</w:t>
      </w:r>
      <w:r>
        <w:rPr>
          <w:rFonts w:ascii="Arial" w:cs="Arial" w:eastAsia="Arial" w:hAnsi="Arial"/>
          <w:sz w:val="16"/>
          <w:szCs w:val="16"/>
          <w:color w:val="auto"/>
        </w:rPr>
        <w:t>, any Lender that (a) has failed to (i) fund all or any portion of its Loans within two Business Days of the date such Loans were required to be 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the case of any Revolving Credit Lender, in respect of its participation in Letters of Credit or Swing Line Loans) within two Business Days of the date when due,</w:t>
      </w:r>
    </w:p>
    <w:p>
      <w:pPr>
        <w:spacing w:after="0" w:line="5" w:lineRule="exact"/>
        <w:rPr>
          <w:sz w:val="20"/>
          <w:szCs w:val="20"/>
          <w:color w:val="auto"/>
        </w:rPr>
      </w:pPr>
    </w:p>
    <w:p>
      <w:pPr>
        <w:ind w:firstLine="4"/>
        <w:spacing w:after="0" w:line="268" w:lineRule="auto"/>
        <w:tabs>
          <w:tab w:leader="none" w:pos="2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has notified the Company, the Administrative Agent, any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2" w:name="page23"/>
    <w:bookmarkEnd w:id="2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regulatory authority acting in such a capacity or (iii)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above, and of the effective date of such status, shall be conclusive and binding absent manifest error, and such Lender shall be deemed to be a Defaulting Lender (subject to </w:t>
      </w:r>
      <w:r>
        <w:rPr>
          <w:rFonts w:ascii="Arial" w:cs="Arial" w:eastAsia="Arial" w:hAnsi="Arial"/>
          <w:sz w:val="17"/>
          <w:szCs w:val="17"/>
          <w:u w:val="single" w:color="auto"/>
          <w:color w:val="auto"/>
        </w:rPr>
        <w:t>Section 2.17(b)</w:t>
      </w:r>
      <w:r>
        <w:rPr>
          <w:rFonts w:ascii="Arial" w:cs="Arial" w:eastAsia="Arial" w:hAnsi="Arial"/>
          <w:sz w:val="17"/>
          <w:szCs w:val="17"/>
          <w:color w:val="auto"/>
        </w:rPr>
        <w:t>) as of the date established therefor by the Administrative Agent in a written notice of such determination, which shall be delivered by the Administrative Agent to the Company, each L/C Issuer, the Swing Line Lender and each other Lender promptly following such determination.</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LLC</w:t>
      </w:r>
      <w:r>
        <w:rPr>
          <w:rFonts w:ascii="Arial" w:cs="Arial" w:eastAsia="Arial" w:hAnsi="Arial"/>
          <w:sz w:val="18"/>
          <w:szCs w:val="18"/>
          <w:color w:val="auto"/>
        </w:rPr>
        <w:t>” means any limited liability company organized or formed under the laws of the State of Delaware.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Divided LLC</w:t>
      </w:r>
      <w:r>
        <w:rPr>
          <w:rFonts w:ascii="Arial" w:cs="Arial" w:eastAsia="Arial" w:hAnsi="Arial"/>
          <w:sz w:val="18"/>
          <w:szCs w:val="18"/>
          <w:color w:val="auto"/>
        </w:rPr>
        <w:t>” means any Delaware LLC which has been formed upon consummation of a Delaware LLC Division.</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LLC Division</w:t>
      </w:r>
      <w:r>
        <w:rPr>
          <w:rFonts w:ascii="Arial" w:cs="Arial" w:eastAsia="Arial" w:hAnsi="Arial"/>
          <w:sz w:val="18"/>
          <w:szCs w:val="18"/>
          <w:color w:val="auto"/>
        </w:rPr>
        <w:t>” means the statutory division of any Delaware LLC into two or more Delaware LLCs pursuant to Section 18-217 of the Delaware Limited Liability Company 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w:t>
      </w:r>
      <w:r>
        <w:rPr>
          <w:rFonts w:ascii="Arial" w:cs="Arial" w:eastAsia="Arial" w:hAnsi="Arial"/>
          <w:sz w:val="18"/>
          <w:szCs w:val="18"/>
          <w:color w:val="auto"/>
        </w:rPr>
        <w:t>” has the meaning specified in the introductory paragraph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Notice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Borrower Request and Assumption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right="40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Non-U.S. Borrower Sublimit</w:t>
      </w:r>
      <w:r>
        <w:rPr>
          <w:rFonts w:ascii="Arial" w:cs="Arial" w:eastAsia="Arial" w:hAnsi="Arial"/>
          <w:sz w:val="16"/>
          <w:szCs w:val="16"/>
          <w:color w:val="auto"/>
        </w:rPr>
        <w:t>” means an amount equal to the lesser of (a) the Aggregate Revolving Credit Commitments and (b) $30,000,000. The Designated Non-U.S. Borrower Sublimit is part of, and not in addition to, the Aggregate Revolving Credit Commitments.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Designated Jurisdiction</w:t>
      </w:r>
      <w:r>
        <w:rPr>
          <w:rFonts w:ascii="Arial" w:cs="Arial" w:eastAsia="Arial" w:hAnsi="Arial"/>
          <w:sz w:val="17"/>
          <w:szCs w:val="17"/>
          <w:color w:val="auto"/>
        </w:rPr>
        <w:t>” means any country or territory to the extent that such country or territory itself is the subject of any Sanction.</w:t>
      </w:r>
    </w:p>
    <w:p>
      <w:pPr>
        <w:spacing w:after="0" w:line="237" w:lineRule="exact"/>
        <w:rPr>
          <w:sz w:val="20"/>
          <w:szCs w:val="20"/>
          <w:color w:val="auto"/>
        </w:rPr>
      </w:pPr>
    </w:p>
    <w:p>
      <w:pPr>
        <w:ind w:right="16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Disposition</w:t>
      </w:r>
      <w:r>
        <w:rPr>
          <w:rFonts w:ascii="Arial" w:cs="Arial" w:eastAsia="Arial" w:hAnsi="Arial"/>
          <w:sz w:val="16"/>
          <w:szCs w:val="16"/>
          <w:color w:val="auto"/>
        </w:rPr>
        <w:t>” or “</w:t>
      </w:r>
      <w:r>
        <w:rPr>
          <w:rFonts w:ascii="Arial" w:cs="Arial" w:eastAsia="Arial" w:hAnsi="Arial"/>
          <w:sz w:val="16"/>
          <w:szCs w:val="16"/>
          <w:u w:val="single" w:color="auto"/>
          <w:color w:val="auto"/>
        </w:rPr>
        <w:t>Dispose</w:t>
      </w:r>
      <w:r>
        <w:rPr>
          <w:rFonts w:ascii="Arial" w:cs="Arial" w:eastAsia="Arial" w:hAnsi="Arial"/>
          <w:sz w:val="16"/>
          <w:szCs w:val="16"/>
          <w:color w:val="auto"/>
        </w:rPr>
        <w:t>” 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 and including any disposition of property to a Delaware Divided LLC pursuant to a Delaware LLC Division.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applicable L/C Issuer, as the case may be, at such time on the basis of the Spot Rate (determined in respect of the most recent Revaluation Date) for the purchase of Dollars with such Alternative Currency.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3" w:name="page24"/>
    <w:bookmarkEnd w:id="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organized under the laws of any political subdivision of the United States.</w:t>
      </w:r>
    </w:p>
    <w:p>
      <w:pPr>
        <w:spacing w:after="0" w:line="225"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10.06(b)(iii)</w:t>
      </w:r>
      <w:r>
        <w:rPr>
          <w:rFonts w:ascii="Arial" w:cs="Arial" w:eastAsia="Arial" w:hAnsi="Arial"/>
          <w:sz w:val="18"/>
          <w:szCs w:val="18"/>
          <w:color w:val="auto"/>
        </w:rPr>
        <w:t>).</w:t>
      </w:r>
    </w:p>
    <w:p>
      <w:pPr>
        <w:spacing w:after="0" w:line="170" w:lineRule="exact"/>
        <w:rPr>
          <w:sz w:val="20"/>
          <w:szCs w:val="20"/>
          <w:color w:val="auto"/>
        </w:rPr>
      </w:pPr>
    </w:p>
    <w:p>
      <w:pPr>
        <w:ind w:right="56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spacing w:after="0" w:line="187" w:lineRule="exact"/>
        <w:rPr>
          <w:sz w:val="20"/>
          <w:szCs w:val="20"/>
          <w:color w:val="auto"/>
        </w:rPr>
      </w:pPr>
    </w:p>
    <w:p>
      <w:pPr>
        <w:ind w:right="16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Permit</w:t>
      </w:r>
      <w:r>
        <w:rPr>
          <w:rFonts w:ascii="Arial" w:cs="Arial" w:eastAsia="Arial" w:hAnsi="Arial"/>
          <w:sz w:val="16"/>
          <w:szCs w:val="16"/>
          <w:color w:val="auto"/>
        </w:rPr>
        <w:t>” means any permit, approval, identification number, license or other authorization required under any Environmental Law.</w:t>
      </w:r>
    </w:p>
    <w:p>
      <w:pPr>
        <w:spacing w:after="0" w:line="248"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4" w:name="page25"/>
    <w:bookmarkEnd w:id="24"/>
    <w:p>
      <w:pPr>
        <w:ind w:right="32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any trade or business (whether or not incorporated) under common control with the Company within the meaning of Section 414(b) or (c) of the Code (and Sections 414(m) and (o) of the Code for purposes of provisions relating to Section 412 of the Code).</w:t>
      </w:r>
    </w:p>
    <w:p>
      <w:pPr>
        <w:spacing w:after="0" w:line="124"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Event</w:t>
      </w:r>
      <w:r>
        <w:rPr>
          <w:rFonts w:ascii="Arial" w:cs="Arial" w:eastAsia="Arial" w:hAnsi="Arial"/>
          <w:sz w:val="18"/>
          <w:szCs w:val="18"/>
          <w:color w:val="auto"/>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 under Title IV of ERISA, other than for PBGC premiums due but not delinquent under Section 4007 of ERISA, upon the Company or any ERISA Affiliate.</w:t>
      </w:r>
    </w:p>
    <w:p>
      <w:pPr>
        <w:spacing w:after="0" w:line="195"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single currency of the Participating Member States.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w:t>
      </w:r>
    </w:p>
    <w:p>
      <w:pPr>
        <w:spacing w:after="0" w:line="117" w:lineRule="exact"/>
        <w:rPr>
          <w:sz w:val="20"/>
          <w:szCs w:val="20"/>
          <w:color w:val="auto"/>
        </w:rPr>
      </w:pPr>
    </w:p>
    <w:p>
      <w:pPr>
        <w:ind w:left="680" w:hanging="236"/>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any Interest Period with respect to a Eurocurrency Rate Loan,</w:t>
      </w:r>
    </w:p>
    <w:p>
      <w:pPr>
        <w:spacing w:after="0" w:line="117" w:lineRule="exact"/>
        <w:rPr>
          <w:rFonts w:ascii="Arial" w:cs="Arial" w:eastAsia="Arial" w:hAnsi="Arial"/>
          <w:sz w:val="18"/>
          <w:szCs w:val="18"/>
          <w:color w:val="auto"/>
        </w:rPr>
      </w:pPr>
    </w:p>
    <w:p>
      <w:pPr>
        <w:ind w:left="440" w:right="20" w:firstLine="428"/>
        <w:spacing w:after="0" w:line="255" w:lineRule="auto"/>
        <w:tabs>
          <w:tab w:leader="none" w:pos="107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denominated in a LIBOR Quoted Currency, the rate per annum equal to the London Interbank Offered Rate as administered by ICE Benchmark Administration (or any other Person that takes over the administration of such rate for such currency for a period equal in length to such Interest Period) (“</w:t>
      </w:r>
      <w:r>
        <w:rPr>
          <w:rFonts w:ascii="Arial" w:cs="Arial" w:eastAsia="Arial" w:hAnsi="Arial"/>
          <w:sz w:val="18"/>
          <w:szCs w:val="18"/>
          <w:u w:val="single" w:color="auto"/>
          <w:color w:val="auto"/>
        </w:rPr>
        <w:t>LIBOR</w:t>
      </w:r>
      <w:r>
        <w:rPr>
          <w:rFonts w:ascii="Arial" w:cs="Arial" w:eastAsia="Arial" w:hAnsi="Arial"/>
          <w:sz w:val="18"/>
          <w:szCs w:val="18"/>
          <w:color w:val="auto"/>
        </w:rPr>
        <w: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w:t>
      </w:r>
    </w:p>
    <w:p>
      <w:pPr>
        <w:spacing w:after="0" w:line="85" w:lineRule="exact"/>
        <w:rPr>
          <w:rFonts w:ascii="Arial" w:cs="Arial" w:eastAsia="Arial" w:hAnsi="Arial"/>
          <w:sz w:val="18"/>
          <w:szCs w:val="18"/>
          <w:color w:val="auto"/>
        </w:rPr>
      </w:pPr>
    </w:p>
    <w:p>
      <w:pPr>
        <w:jc w:val="both"/>
        <w:ind w:left="440" w:right="160" w:firstLine="428"/>
        <w:spacing w:after="0" w:line="279" w:lineRule="auto"/>
        <w:tabs>
          <w:tab w:leader="none" w:pos="1128"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denominated in Canadian dollars, the rate per annum equal to the Canadian Dealer Offered Rate (“</w:t>
      </w:r>
      <w:r>
        <w:rPr>
          <w:rFonts w:ascii="Arial" w:cs="Arial" w:eastAsia="Arial" w:hAnsi="Arial"/>
          <w:sz w:val="17"/>
          <w:szCs w:val="17"/>
          <w:u w:val="single" w:color="auto"/>
          <w:color w:val="auto"/>
        </w:rPr>
        <w:t>CDOR</w:t>
      </w:r>
      <w:r>
        <w:rPr>
          <w:rFonts w:ascii="Arial" w:cs="Arial" w:eastAsia="Arial" w:hAnsi="Arial"/>
          <w:sz w:val="17"/>
          <w:szCs w:val="17"/>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10:00 a.m. (Toronto, Ontario time) on the Rate Determination Date with a term equivalent to such Interest Period;</w:t>
      </w:r>
    </w:p>
    <w:p>
      <w:pPr>
        <w:spacing w:after="0" w:line="63" w:lineRule="exact"/>
        <w:rPr>
          <w:rFonts w:ascii="Arial" w:cs="Arial" w:eastAsia="Arial" w:hAnsi="Arial"/>
          <w:sz w:val="17"/>
          <w:szCs w:val="17"/>
          <w:color w:val="auto"/>
        </w:rPr>
      </w:pPr>
    </w:p>
    <w:p>
      <w:pPr>
        <w:ind w:left="440" w:right="220" w:firstLine="428"/>
        <w:spacing w:after="0" w:line="286" w:lineRule="auto"/>
        <w:tabs>
          <w:tab w:leader="none" w:pos="1178" w:val="left"/>
        </w:tabs>
        <w:numPr>
          <w:ilvl w:val="1"/>
          <w:numId w:val="26"/>
        </w:numPr>
        <w:rPr>
          <w:rFonts w:ascii="Arial" w:cs="Arial" w:eastAsia="Arial" w:hAnsi="Arial"/>
          <w:sz w:val="17"/>
          <w:szCs w:val="17"/>
          <w:color w:val="auto"/>
        </w:rPr>
      </w:pPr>
      <w:r>
        <w:rPr>
          <w:rFonts w:ascii="Arial" w:cs="Arial" w:eastAsia="Arial" w:hAnsi="Arial"/>
          <w:sz w:val="17"/>
          <w:szCs w:val="17"/>
          <w:color w:val="auto"/>
        </w:rPr>
        <w:t xml:space="preserve">denominated in a Non-LIBOR Quoted Currency, the rate per annum as designated with respect to such currency at the time such currency was approved by the Administrative Agent and the Revolving Credit Lenders pursuant to </w:t>
      </w:r>
      <w:r>
        <w:rPr>
          <w:rFonts w:ascii="Arial" w:cs="Arial" w:eastAsia="Arial" w:hAnsi="Arial"/>
          <w:sz w:val="17"/>
          <w:szCs w:val="17"/>
          <w:u w:val="single" w:color="auto"/>
          <w:color w:val="auto"/>
        </w:rPr>
        <w:t>Section 1.09(a)</w:t>
      </w:r>
      <w:r>
        <w:rPr>
          <w:rFonts w:ascii="Arial" w:cs="Arial" w:eastAsia="Arial" w:hAnsi="Arial"/>
          <w:sz w:val="17"/>
          <w:szCs w:val="17"/>
          <w:color w:val="auto"/>
        </w:rPr>
        <w:t xml:space="preserve"> or, if such rate is unavailable on any date of determination for any reason, a comparable or successor rate approved by the Administrative Agent;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5" w:name="page26"/>
    <w:bookmarkEnd w:id="25"/>
    <w:p>
      <w:pPr>
        <w:ind w:right="160" w:firstLine="444"/>
        <w:spacing w:after="0" w:line="308" w:lineRule="auto"/>
        <w:tabs>
          <w:tab w:leader="none" w:pos="696" w:val="left"/>
        </w:tabs>
        <w:numPr>
          <w:ilvl w:val="0"/>
          <w:numId w:val="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any interest calculation with respect to a Base Rate Loan on any date, the rate per annum equal to LIBOR, at or about 11:00 a.m., London time determined two Business Days prior to such date for Dollar deposits with a term of one month commencing that day; and</w:t>
      </w:r>
    </w:p>
    <w:p>
      <w:pPr>
        <w:spacing w:after="0" w:line="38" w:lineRule="exact"/>
        <w:rPr>
          <w:rFonts w:ascii="Arial" w:cs="Arial" w:eastAsia="Arial" w:hAnsi="Arial"/>
          <w:sz w:val="17"/>
          <w:szCs w:val="17"/>
          <w:color w:val="auto"/>
        </w:rPr>
      </w:pPr>
    </w:p>
    <w:p>
      <w:pPr>
        <w:ind w:left="680" w:hanging="236"/>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Eurocurrency Rate shall be less than zero, such rate shall be deemed zero for purposes of this Agreement.</w:t>
      </w:r>
    </w:p>
    <w:p>
      <w:pPr>
        <w:spacing w:after="0" w:line="22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 Loan</w:t>
      </w:r>
      <w:r>
        <w:rPr>
          <w:rFonts w:ascii="Arial" w:cs="Arial" w:eastAsia="Arial" w:hAnsi="Arial"/>
          <w:sz w:val="18"/>
          <w:szCs w:val="18"/>
          <w:color w:val="auto"/>
        </w:rPr>
        <w:t xml:space="preserve">” means a Revolving Credit Loan or a Term Loan that bears interest at a rate based on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of “Eurocurrency Rate.” Term Loans that are Eurocurrency Rate Loans must be denominated in Dollars. Revolving Credit Loans that are Eurocurrency Rate Loans may be denominated in Dollars or in an Alternative Currency. All Revolving Credit Loans denominated in an Alternative Currency must be Eurocurrency Rate Loans.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right="14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xml:space="preserve">” means, with respect to any Subsidiary Guarantor, any Swap Obligation if, and to the extent that, all or a portion of the Guarantee of such Subsidiary Guarantor of, or the grant by such Subsidiary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Subsidiary Guarantor’s failure for any reason to constitute an “eligible contract participant” as defined in the Commodity Exchange Act (determined after giving effect to </w:t>
      </w:r>
      <w:r>
        <w:rPr>
          <w:rFonts w:ascii="Arial" w:cs="Arial" w:eastAsia="Arial" w:hAnsi="Arial"/>
          <w:sz w:val="17"/>
          <w:szCs w:val="17"/>
          <w:u w:val="single" w:color="auto"/>
          <w:color w:val="auto"/>
        </w:rPr>
        <w:t>Section 10.19</w:t>
      </w:r>
      <w:r>
        <w:rPr>
          <w:rFonts w:ascii="Arial" w:cs="Arial" w:eastAsia="Arial" w:hAnsi="Arial"/>
          <w:sz w:val="17"/>
          <w:szCs w:val="17"/>
          <w:color w:val="auto"/>
        </w:rPr>
        <w:t xml:space="preserve"> and any other “keepwell, support or other agreement” for the benefit of such Subsidiary Guarantor and any and all guarantees of such Subsidiary Guarantor’s Swap Obligations by other Loan Parties) at the time the Guarantee of such Subsidiary Guarantor, or a grant by such Subsidiary Guarantor of a Lien,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excluded in accordance with the first sentence of this definition.</w:t>
      </w:r>
    </w:p>
    <w:p>
      <w:pPr>
        <w:spacing w:after="0" w:line="17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Arial" w:cs="Arial" w:eastAsia="Arial" w:hAnsi="Arial"/>
          <w:sz w:val="17"/>
          <w:szCs w:val="17"/>
          <w:u w:val="single" w:color="auto"/>
          <w:color w:val="auto"/>
        </w:rPr>
        <w:t>Section 10.13</w:t>
      </w:r>
      <w:r>
        <w:rPr>
          <w:rFonts w:ascii="Arial" w:cs="Arial" w:eastAsia="Arial" w:hAnsi="Arial"/>
          <w:sz w:val="17"/>
          <w:szCs w:val="17"/>
          <w:color w:val="auto"/>
        </w:rPr>
        <w:t xml:space="preserve">) or (ii) such Lender changes its Lending Office, except in each case to the extent that, pursuant to </w:t>
      </w:r>
      <w:r>
        <w:rPr>
          <w:rFonts w:ascii="Arial" w:cs="Arial" w:eastAsia="Arial" w:hAnsi="Arial"/>
          <w:sz w:val="17"/>
          <w:szCs w:val="17"/>
          <w:u w:val="single" w:color="auto"/>
          <w:color w:val="auto"/>
        </w:rPr>
        <w:t>Section 3.01(a)(ii)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(a)(iii)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and (d) any Taxes imposed pursuant to FATCA.</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Recital 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those letters of credit described on </w:t>
      </w:r>
      <w:r>
        <w:rPr>
          <w:rFonts w:ascii="Arial" w:cs="Arial" w:eastAsia="Arial" w:hAnsi="Arial"/>
          <w:sz w:val="18"/>
          <w:szCs w:val="18"/>
          <w:u w:val="single" w:color="auto"/>
          <w:color w:val="auto"/>
        </w:rPr>
        <w:t>Schedule 1.01B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means the Term Loan Facility or the Revolving Credit Facility, as the context may require.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6" w:name="page27"/>
    <w:bookmarkEnd w:id="2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Facility Termination Date</w:t>
      </w:r>
      <w:r>
        <w:rPr>
          <w:rFonts w:ascii="Arial" w:cs="Arial" w:eastAsia="Arial" w:hAnsi="Arial"/>
          <w:sz w:val="16"/>
          <w:szCs w:val="16"/>
          <w:color w:val="auto"/>
        </w:rPr>
        <w:t>” means the date as of which all of the following shall have occurred: (a) the Aggregate Commitments have terminated,</w:t>
      </w:r>
    </w:p>
    <w:p>
      <w:pPr>
        <w:spacing w:after="0" w:line="46" w:lineRule="exact"/>
        <w:rPr>
          <w:sz w:val="20"/>
          <w:szCs w:val="20"/>
          <w:color w:val="auto"/>
        </w:rPr>
      </w:pPr>
    </w:p>
    <w:p>
      <w:pPr>
        <w:ind w:right="120" w:firstLine="4"/>
        <w:spacing w:after="0" w:line="252"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Obligations have been paid in full (other than (x) contingent indemnification obligations and (y) obligations and liabilities under Secured Cash Management Agreements, Secured Hedge Agreements and Secured Permitted Standalone Letters of Credit as to which arrangements reasonably satisfactory to the applicable Cash Management Bank, Hedge Bank or PSLOC Bank shall have been made) and (c) all Letters of Credit and Secured Permitted Standalone Letters of Credit have terminated or expired (other than Letters of Credit or Secured Permitted Standalone Letters of Credit as to which other arrangements with respect thereto reasonably satisfactory to the Administrative Agent and the L/C Issuers or the applicable PSLOC Bank, as applicable, shall have been made).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ind w:right="280" w:firstLine="441"/>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applicable intergovernmental agreements with respect to the foregoing.</w:t>
      </w:r>
    </w:p>
    <w:p>
      <w:pPr>
        <w:spacing w:after="0" w:line="147" w:lineRule="exact"/>
        <w:rPr>
          <w:sz w:val="20"/>
          <w:szCs w:val="20"/>
          <w:color w:val="auto"/>
        </w:rPr>
      </w:pPr>
    </w:p>
    <w:p>
      <w:pPr>
        <w:ind w:right="20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w:t>
      </w:r>
    </w:p>
    <w:p>
      <w:pPr>
        <w:spacing w:after="0" w:line="178"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Letters</w:t>
      </w:r>
      <w:r>
        <w:rPr>
          <w:rFonts w:ascii="Arial" w:cs="Arial" w:eastAsia="Arial" w:hAnsi="Arial"/>
          <w:sz w:val="18"/>
          <w:szCs w:val="18"/>
          <w:color w:val="auto"/>
        </w:rPr>
        <w:t>” means (a) the letter agreement dated as of April 15, 2019, between the Company and the Arranger, as amended, and (b) the letter agreement dated as of the Closing Date, between the Company and Bank of America, as amended.</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with respect to any Borrower, (a) if such Borrower is a U.S. Person, a Lender that is not a U.S. Person, and (b) if such Borrower is not a U.S. Person, a Lender that is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Obligor</w:t>
      </w:r>
      <w:r>
        <w:rPr>
          <w:rFonts w:ascii="Arial" w:cs="Arial" w:eastAsia="Arial" w:hAnsi="Arial"/>
          <w:sz w:val="18"/>
          <w:szCs w:val="18"/>
          <w:color w:val="auto"/>
        </w:rPr>
        <w:t>” means a Loan Party that is a Foreign Subsidiary.</w:t>
      </w:r>
    </w:p>
    <w:p>
      <w:pPr>
        <w:spacing w:after="0" w:line="225"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xml:space="preserve">” means (a) any Subsidiary that is not a Domestic Subsidiary, (b) any Domestic Subsidiary all or substantially all of the assets of which consist of equity or debt of one or more Subsidiaries of the type described in the preceding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and (c) any Subsidiary of any Subsidiary of the type described in the preceding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Fronting Exposure</w:t>
      </w:r>
      <w:r>
        <w:rPr>
          <w:rFonts w:ascii="Arial" w:cs="Arial" w:eastAsia="Arial" w:hAnsi="Arial"/>
          <w:sz w:val="18"/>
          <w:szCs w:val="18"/>
          <w:color w:val="auto"/>
        </w:rPr>
        <w:t>” means, at any time there is a Defaulting Lender that is a Revolving Credit Lender, (a) with respect to any L/C Issuer, such Defaulting Lender’s Applicable Percentage of the outstanding L/C Obligations on account of Letters of Credit issued by such L/C Issuer other than L/C Obligations as to which such Defaulting Lender’s participation obligation has been reallocated to other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7" w:name="page28"/>
    <w:bookmarkEnd w:id="27"/>
    <w:p>
      <w:pPr>
        <w:jc w:val="both"/>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Revolving Credit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Revolving Credit Lenders in accordance with the terms hereof.</w:t>
      </w:r>
    </w:p>
    <w:p>
      <w:pPr>
        <w:spacing w:after="0" w:line="181"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spacing w:after="0" w:line="18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w:t>
      </w:r>
    </w:p>
    <w:p>
      <w:pPr>
        <w:spacing w:after="0" w:line="1" w:lineRule="exact"/>
        <w:rPr>
          <w:sz w:val="20"/>
          <w:szCs w:val="20"/>
          <w:color w:val="auto"/>
        </w:rPr>
      </w:pPr>
    </w:p>
    <w:p>
      <w:pPr>
        <w:ind w:firstLine="4"/>
        <w:spacing w:after="0" w:line="271" w:lineRule="auto"/>
        <w:tabs>
          <w:tab w:leader="none" w:pos="2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Guaranties</w:t>
      </w:r>
      <w:r>
        <w:rPr>
          <w:rFonts w:ascii="Arial" w:cs="Arial" w:eastAsia="Arial" w:hAnsi="Arial"/>
          <w:sz w:val="18"/>
          <w:szCs w:val="18"/>
          <w:color w:val="auto"/>
        </w:rPr>
        <w:t>” means, collectively, the Company Guaranty and the Subsidiary Guaranties.</w:t>
      </w:r>
    </w:p>
    <w:p>
      <w:pPr>
        <w:spacing w:after="0" w:line="225"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81"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xml:space="preserve">” means any Person that, (a) at the time it enters into a Swap Contract not prohibited under </w:t>
      </w:r>
      <w:r>
        <w:rPr>
          <w:rFonts w:ascii="Arial" w:cs="Arial" w:eastAsia="Arial" w:hAnsi="Arial"/>
          <w:sz w:val="18"/>
          <w:szCs w:val="18"/>
          <w:u w:val="single" w:color="auto"/>
          <w:color w:val="auto"/>
        </w:rPr>
        <w:t>Article VII</w:t>
      </w:r>
      <w:r>
        <w:rPr>
          <w:rFonts w:ascii="Arial" w:cs="Arial" w:eastAsia="Arial" w:hAnsi="Arial"/>
          <w:sz w:val="18"/>
          <w:szCs w:val="18"/>
          <w:color w:val="auto"/>
        </w:rPr>
        <w:t>, is a Lender or an Affiliate of a Lender, or (b) at the time it (or its Affiliate) becomes a Lender, is party to a Swap Contract, in each case, in its capacity as a party to such Swap Contract.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8" w:name="page29"/>
    <w:bookmarkEnd w:id="2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Impacted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3.03(a)</w:t>
      </w:r>
      <w:r>
        <w:rPr>
          <w:rFonts w:ascii="Arial" w:cs="Arial" w:eastAsia="Arial" w:hAnsi="Arial"/>
          <w:sz w:val="18"/>
          <w:szCs w:val="18"/>
          <w:color w:val="auto"/>
        </w:rPr>
        <w:t>.</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62" w:lineRule="exact"/>
        <w:rPr>
          <w:sz w:val="20"/>
          <w:szCs w:val="20"/>
          <w:color w:val="auto"/>
        </w:rPr>
      </w:pPr>
    </w:p>
    <w:p>
      <w:pPr>
        <w:ind w:left="440" w:right="480" w:firstLine="428"/>
        <w:spacing w:after="0" w:line="277" w:lineRule="auto"/>
        <w:tabs>
          <w:tab w:leader="none" w:pos="110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62" w:lineRule="exact"/>
        <w:rPr>
          <w:rFonts w:ascii="Arial" w:cs="Arial" w:eastAsia="Arial" w:hAnsi="Arial"/>
          <w:sz w:val="18"/>
          <w:szCs w:val="18"/>
          <w:color w:val="auto"/>
        </w:rPr>
      </w:pPr>
    </w:p>
    <w:p>
      <w:pPr>
        <w:ind w:left="440" w:right="760" w:firstLine="428"/>
        <w:spacing w:after="0" w:line="277" w:lineRule="auto"/>
        <w:tabs>
          <w:tab w:leader="none" w:pos="11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direct or contingent obligations of such Person arising under letters of credit (including standby and commercial), bankers’ acceptances, bank guaranties, surety bonds and similar instruments;</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117" w:lineRule="exact"/>
        <w:rPr>
          <w:rFonts w:ascii="Arial" w:cs="Arial" w:eastAsia="Arial" w:hAnsi="Arial"/>
          <w:sz w:val="18"/>
          <w:szCs w:val="18"/>
          <w:color w:val="auto"/>
        </w:rPr>
      </w:pPr>
    </w:p>
    <w:p>
      <w:pPr>
        <w:ind w:left="440" w:right="420" w:firstLine="428"/>
        <w:spacing w:after="0" w:line="291" w:lineRule="auto"/>
        <w:tabs>
          <w:tab w:leader="none" w:pos="1118"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obligations of such Person to pay the deferred purchase price of property or services (other than trade accounts payable in the ordinary course of business that are (i) not past due for more than 90 days after the date on which such trade account payable was created or</w:t>
      </w:r>
    </w:p>
    <w:p>
      <w:pPr>
        <w:ind w:left="440" w:right="340" w:firstLine="4"/>
        <w:spacing w:after="0" w:line="261" w:lineRule="auto"/>
        <w:tabs>
          <w:tab w:leader="none" w:pos="7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being contested in good faith by appropriate proceedings diligently conducted and adequate reserves in accordance with GAAP are being maintained by the applicable Person);</w:t>
      </w:r>
    </w:p>
    <w:p>
      <w:pPr>
        <w:spacing w:after="0" w:line="75" w:lineRule="exact"/>
        <w:rPr>
          <w:rFonts w:ascii="Arial" w:cs="Arial" w:eastAsia="Arial" w:hAnsi="Arial"/>
          <w:sz w:val="18"/>
          <w:szCs w:val="18"/>
          <w:color w:val="auto"/>
        </w:rPr>
      </w:pPr>
    </w:p>
    <w:p>
      <w:pPr>
        <w:jc w:val="both"/>
        <w:ind w:left="440" w:right="220" w:firstLine="428"/>
        <w:spacing w:after="0" w:line="264" w:lineRule="auto"/>
        <w:tabs>
          <w:tab w:leader="none" w:pos="1108"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73" w:lineRule="exact"/>
        <w:rPr>
          <w:rFonts w:ascii="Arial" w:cs="Arial" w:eastAsia="Arial" w:hAnsi="Arial"/>
          <w:sz w:val="18"/>
          <w:szCs w:val="18"/>
          <w:color w:val="auto"/>
        </w:rPr>
      </w:pPr>
    </w:p>
    <w:p>
      <w:pPr>
        <w:ind w:left="1100" w:hanging="232"/>
        <w:spacing w:after="0"/>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capital leases and Synthetic Lease Obligations;</w:t>
      </w:r>
    </w:p>
    <w:p>
      <w:pPr>
        <w:spacing w:after="0" w:line="117" w:lineRule="exact"/>
        <w:rPr>
          <w:rFonts w:ascii="Arial" w:cs="Arial" w:eastAsia="Arial" w:hAnsi="Arial"/>
          <w:sz w:val="18"/>
          <w:szCs w:val="18"/>
          <w:color w:val="auto"/>
        </w:rPr>
      </w:pPr>
    </w:p>
    <w:p>
      <w:pPr>
        <w:jc w:val="both"/>
        <w:ind w:left="440" w:right="220" w:firstLine="428"/>
        <w:spacing w:after="0" w:line="264" w:lineRule="auto"/>
        <w:tabs>
          <w:tab w:leader="none" w:pos="11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all obligations of such Person to purchase, redeem, retire, defease or otherwise make any payment in respect of any Equity Interest in such Person or any other Person, valued, in the case of a redeemable preferred interest, at the greater of its voluntary or involuntary liquidation preference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dividends; and</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For all purposes hereof,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Contract on any date shall be deemed to be the Swap Termination Value thereof as of such date. The amount of any capital lease or Synthetic Lease Obligation as of any date shall be deemed to be the amount of Attributable Indebtedness in respect thereof as of such date.</w:t>
      </w:r>
    </w:p>
    <w:p>
      <w:pPr>
        <w:spacing w:after="0" w:line="188" w:lineRule="exact"/>
        <w:rPr>
          <w:sz w:val="20"/>
          <w:szCs w:val="20"/>
          <w:color w:val="auto"/>
        </w:rPr>
      </w:pPr>
    </w:p>
    <w:p>
      <w:pPr>
        <w:ind w:right="50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Taxes</w:t>
      </w:r>
      <w:r>
        <w:rPr>
          <w:rFonts w:ascii="Arial" w:cs="Arial" w:eastAsia="Arial" w:hAnsi="Arial"/>
          <w:sz w:val="17"/>
          <w:szCs w:val="17"/>
          <w:color w:val="auto"/>
        </w:rPr>
        <w:t>” means (a) Taxes other than Excluded Taxes imposed on or with respect to any payment made by or on account of any obligation of any Loan Party under any Loan Document and (b) to the extent not otherwise described in clause (a), Other Taxes.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w:t>
      </w:r>
      <w:r>
        <w:rPr>
          <w:rFonts w:ascii="Arial" w:cs="Arial" w:eastAsia="Arial" w:hAnsi="Arial"/>
          <w:sz w:val="18"/>
          <w:szCs w:val="18"/>
          <w:color w:val="auto"/>
        </w:rPr>
        <w: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40" w:top="274" w:right="519" w:bottom="1440" w:gutter="0" w:footer="0" w:header="0"/>
        </w:sectPr>
      </w:pPr>
    </w:p>
    <w:bookmarkStart w:id="29" w:name="page30"/>
    <w:bookmarkEnd w:id="29"/>
    <w:p>
      <w:pPr>
        <w:ind w:right="140" w:firstLine="44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Insurance and Condemnation Event</w:t>
      </w:r>
      <w:r>
        <w:rPr>
          <w:rFonts w:ascii="Arial" w:cs="Arial" w:eastAsia="Arial" w:hAnsi="Arial"/>
          <w:sz w:val="17"/>
          <w:szCs w:val="17"/>
          <w:color w:val="auto"/>
        </w:rPr>
        <w:t>” means the receipt by any Loan Party or any Restricted Subsidiary of any proceeds of insurance (other than proceeds of business interruption insurance to the extent such proceeds constitute compensation for lost earnings) or condemnation award payable by reason of theft, loss, physical destruction or damage, taking or similar event with respect to any of their respective property.</w:t>
      </w:r>
    </w:p>
    <w:p>
      <w:pPr>
        <w:spacing w:after="0" w:line="166"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xml:space="preserve">” means, (a) as to any Eurocurrency Loan, the last day of each Interest Period applicable to such Loan and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Interest Period for a Eurocurrency Rate Loan exceeds three months, the respective dates that fall every three months after the beginning of such Interest Period shall also be Interest Payment Dates; (b) as to any Base Rate Loan (including a Swing Line Loan), the last Business Day of each March, June, September and December and the Maturity Date; and (c) as to any Swing Line Loan, such other date as may be specified in any Treasury Management Agreement.</w:t>
      </w:r>
    </w:p>
    <w:p>
      <w:pPr>
        <w:spacing w:after="0" w:line="188"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as to each Eurocurrency Rate Loan, the period commencing on the date such Eurocurrency Rate Loan is disbursed or converted to or continued as a Eurocurrency Rate Loan and ending on the date one, two, three or six months thereafter (in each case subject to availability), as selected by the Company in its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3" w:lineRule="exact"/>
        <w:rPr>
          <w:sz w:val="20"/>
          <w:szCs w:val="20"/>
          <w:color w:val="auto"/>
        </w:rPr>
      </w:pPr>
    </w:p>
    <w:p>
      <w:pPr>
        <w:ind w:left="440" w:right="140" w:firstLine="428"/>
        <w:spacing w:after="0" w:line="342" w:lineRule="auto"/>
        <w:tabs>
          <w:tab w:leader="none" w:pos="1108"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5" w:lineRule="exact"/>
        <w:rPr>
          <w:rFonts w:ascii="Arial" w:cs="Arial" w:eastAsia="Arial" w:hAnsi="Arial"/>
          <w:sz w:val="16"/>
          <w:szCs w:val="16"/>
          <w:color w:val="auto"/>
        </w:rPr>
      </w:pPr>
    </w:p>
    <w:p>
      <w:pPr>
        <w:ind w:left="440" w:right="100" w:firstLine="428"/>
        <w:spacing w:after="0" w:line="264" w:lineRule="auto"/>
        <w:tabs>
          <w:tab w:leader="none" w:pos="111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5" w:lineRule="exact"/>
        <w:rPr>
          <w:sz w:val="20"/>
          <w:szCs w:val="20"/>
          <w:color w:val="auto"/>
        </w:rPr>
      </w:pPr>
    </w:p>
    <w:p>
      <w:pPr>
        <w:ind w:right="8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that constitute a business unit. For purposes of covenant compliance, the amount of any Investment shall be the amount actually invested, without adjustment for subsequent increases or decreases in the value of such Investment.</w:t>
      </w:r>
    </w:p>
    <w:p>
      <w:pPr>
        <w:spacing w:after="0" w:line="165"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 Amount</w:t>
      </w:r>
      <w:r>
        <w:rPr>
          <w:rFonts w:ascii="Arial" w:cs="Arial" w:eastAsia="Arial" w:hAnsi="Arial"/>
          <w:sz w:val="16"/>
          <w:szCs w:val="16"/>
          <w:color w:val="auto"/>
        </w:rPr>
        <w:t xml:space="preserve">” means the sum of (a) $20,000,000,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cumulative amount of all dividends and distributions received in cash by the Company or any Restricted Subsidiary after the Closing Date in respect of Investments made pursuant to </w:t>
      </w:r>
      <w:r>
        <w:rPr>
          <w:rFonts w:ascii="Arial" w:cs="Arial" w:eastAsia="Arial" w:hAnsi="Arial"/>
          <w:sz w:val="16"/>
          <w:szCs w:val="16"/>
          <w:u w:val="single" w:color="auto"/>
          <w:color w:val="auto"/>
        </w:rPr>
        <w:t>Section 7.02(f)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7.02(g)(ii)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cumulative amount of all gains received in cash by the Company or any Restricted Subsidiary after the Closing Date in respect of Investments made pursuant to </w:t>
      </w:r>
      <w:r>
        <w:rPr>
          <w:rFonts w:ascii="Arial" w:cs="Arial" w:eastAsia="Arial" w:hAnsi="Arial"/>
          <w:sz w:val="16"/>
          <w:szCs w:val="16"/>
          <w:u w:val="single" w:color="auto"/>
          <w:color w:val="auto"/>
        </w:rPr>
        <w:t>Section 7.02(f)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7.02(g)(ii)</w:t>
      </w:r>
      <w:r>
        <w:rPr>
          <w:rFonts w:ascii="Arial" w:cs="Arial" w:eastAsia="Arial" w:hAnsi="Arial"/>
          <w:sz w:val="16"/>
          <w:szCs w:val="16"/>
          <w:color w:val="auto"/>
        </w:rPr>
        <w:t xml:space="preserve"> as a result of the sale, transfer or other disposition of its ownership interest in any such Investment.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30" w:name="page31"/>
    <w:bookmarkEnd w:id="30"/>
    <w:p>
      <w:pPr>
        <w:ind w:right="1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ISP</w:t>
      </w:r>
      <w:r>
        <w:rPr>
          <w:rFonts w:ascii="Arial" w:cs="Arial" w:eastAsia="Arial" w:hAnsi="Arial"/>
          <w:sz w:val="18"/>
          <w:szCs w:val="18"/>
          <w:color w:val="auto"/>
        </w:rPr>
        <w:t>” means the International Standby Practices, International Chamber of Commerce Publication No. 590 (or such later version thereof as may be in effect at the applicable time).</w:t>
      </w:r>
    </w:p>
    <w:p>
      <w:pPr>
        <w:spacing w:after="0" w:line="170"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with respect to any Letter of Credit, the Letter of Credit Application, and any other document, agreement and instrument entered into by the applicable L/C Issuer and the Company (or any Subsidiary) or in favor of such L/C Issuer and relating to such Letter of Credit.</w:t>
      </w:r>
    </w:p>
    <w:p>
      <w:pPr>
        <w:spacing w:after="0" w:line="181"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71"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Revolving Credit Lender, such Lender’s funding of its participation in any L/C Borrowing in accordance with its Applicable Revolving Credit Percentage. All L/C Advances shall be denominated in Dollars.</w:t>
      </w:r>
    </w:p>
    <w:p>
      <w:pPr>
        <w:spacing w:after="0" w:line="170"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Borrowing</w:t>
      </w:r>
      <w:r>
        <w:rPr>
          <w:rFonts w:ascii="Arial" w:cs="Arial" w:eastAsia="Arial" w:hAnsi="Arial"/>
          <w:sz w:val="18"/>
          <w:szCs w:val="18"/>
          <w:color w:val="auto"/>
        </w:rPr>
        <w:t>” means an extension of credit resulting from a drawing under any Letter of Credit which has not been reimbursed on the date when made or refinanced as a Revolving Credit Borrowing. All L/C Borrowings shall be denominated in Dollars.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Commitment</w:t>
      </w:r>
      <w:r>
        <w:rPr>
          <w:rFonts w:ascii="Arial" w:cs="Arial" w:eastAsia="Arial" w:hAnsi="Arial"/>
          <w:sz w:val="18"/>
          <w:szCs w:val="18"/>
          <w:color w:val="auto"/>
        </w:rPr>
        <w:t>” has the meaning specified in the definition of “L/C Issuer”.</w:t>
      </w:r>
    </w:p>
    <w:p>
      <w:pPr>
        <w:spacing w:after="0" w:line="225"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L/C Issuer</w:t>
      </w:r>
      <w:r>
        <w:rPr>
          <w:rFonts w:ascii="Arial" w:cs="Arial" w:eastAsia="Arial" w:hAnsi="Arial"/>
          <w:sz w:val="16"/>
          <w:szCs w:val="16"/>
          <w:color w:val="auto"/>
        </w:rPr>
        <w:t xml:space="preserve">” means, individually or collectively as the context may indicate, (a) Bank of America, in its capacity as an issuer of Letters of Credit hereunder or any successor to Bank of America in its capacity as an issuer of Letters of Credit hereunder, (b) Citibank, N.A., in its capacity as an issuer of Letters of Credit hereunder or any successor to Citibank, N.A. in its capacity as an issuer of Letters of Credit hereunder and (c) to the extent approved by the Administrative Agent in its sole discretion, any other Revolving Credit Lender selected by the Company, which consents to its appointment by the Company as an issuer of Letters of Credit hereunder and becomes an L/C Issuer hereunder pursuant to a joinder agreement in form and substance reasonably satisfactory to the Administrative Agent, in its capacity as an issuer of Letters of Credit hereunder or any successor to such Lender in its capacity as an issuer of Letters of Credit hereunder, each with the commitment set forth opposite such L/C Issuer’s name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caption “Letter of Credit Sublimit” or in the joinder agreement pursuant to which such L/C Issuer becomes a party hereto as an L/C Issuer, as applicable, as such amount may be adjusted from time to time in accordance with this Agreement (each such commitment, a “</w:t>
      </w:r>
      <w:r>
        <w:rPr>
          <w:rFonts w:ascii="Arial" w:cs="Arial" w:eastAsia="Arial" w:hAnsi="Arial"/>
          <w:sz w:val="16"/>
          <w:szCs w:val="16"/>
          <w:u w:val="single" w:color="auto"/>
          <w:color w:val="auto"/>
        </w:rPr>
        <w:t>L/C Commitment</w:t>
      </w:r>
      <w:r>
        <w:rPr>
          <w:rFonts w:ascii="Arial" w:cs="Arial" w:eastAsia="Arial" w:hAnsi="Arial"/>
          <w:sz w:val="16"/>
          <w:szCs w:val="16"/>
          <w:color w:val="auto"/>
        </w:rPr>
        <w:t>”).</w:t>
      </w:r>
    </w:p>
    <w:p>
      <w:pPr>
        <w:spacing w:after="0" w:line="167"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Obligations</w:t>
      </w:r>
      <w:r>
        <w:rPr>
          <w:rFonts w:ascii="Arial" w:cs="Arial" w:eastAsia="Arial" w:hAnsi="Arial"/>
          <w:sz w:val="17"/>
          <w:szCs w:val="17"/>
          <w:color w:val="auto"/>
        </w:rPr>
        <w:t xml:space="preserve">” means, as at any date of determination, the aggregate amount available to be drawn under all outstanding Letters of Credit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73"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w:t>
      </w:r>
      <w:r>
        <w:rPr>
          <w:rFonts w:ascii="Arial" w:cs="Arial" w:eastAsia="Arial" w:hAnsi="Arial"/>
          <w:sz w:val="18"/>
          <w:szCs w:val="18"/>
          <w:color w:val="auto"/>
        </w:rPr>
        <w:t>” has the meaning specified in the introductory paragraph hereto and, unless the context requires otherwise, includes the Swing Line Lender.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1" w:name="page32"/>
    <w:bookmarkEnd w:id="31"/>
    <w:p>
      <w:pPr>
        <w:ind w:right="10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(including in its capacity as an L/C Issuer) shall include its applicable Lending Office.</w:t>
      </w:r>
    </w:p>
    <w:p>
      <w:pPr>
        <w:spacing w:after="0" w:line="187"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hereunder and shall include the Existing Letters of Credit. Letters of Credit may be issued in Dollars or in an Alternative Currency.</w:t>
      </w:r>
    </w:p>
    <w:p>
      <w:pPr>
        <w:spacing w:after="0" w:line="170"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the applicable L/C Issuer.</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Expiration Date</w:t>
      </w:r>
      <w:r>
        <w:rPr>
          <w:rFonts w:ascii="Arial" w:cs="Arial" w:eastAsia="Arial" w:hAnsi="Arial"/>
          <w:sz w:val="18"/>
          <w:szCs w:val="18"/>
          <w:color w:val="auto"/>
        </w:rPr>
        <w:t>” means the day that is seven days prior to the Maturity Date then in effect (or, if such day is not a Business Day, the next preceding Business Day).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2.03(h)</w:t>
      </w:r>
      <w:r>
        <w:rPr>
          <w:rFonts w:ascii="Arial" w:cs="Arial" w:eastAsia="Arial" w:hAnsi="Arial"/>
          <w:sz w:val="18"/>
          <w:szCs w:val="18"/>
          <w:color w:val="auto"/>
        </w:rPr>
        <w:t>.</w:t>
      </w:r>
    </w:p>
    <w:p>
      <w:pPr>
        <w:spacing w:after="0" w:line="225"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the lesser of (a) the Aggregate Revolving Credit Commitments and (b) $75,000,000. The Letter of Credit Sublimit is part of, and not in addition to, the Aggregate Revolving Credit Commitments.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specified in the definition of “Eurocurrency Rate”.</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Quoted Currency</w:t>
      </w:r>
      <w:r>
        <w:rPr>
          <w:rFonts w:ascii="Arial" w:cs="Arial" w:eastAsia="Arial" w:hAnsi="Arial"/>
          <w:sz w:val="18"/>
          <w:szCs w:val="18"/>
          <w:color w:val="auto"/>
        </w:rPr>
        <w:t>” means each of the following currencies: Dollars; Euro; Sterling; Swiss Franc; and Yen; in each case as long as there is a published LIBOR rate with respect thereto.</w:t>
      </w:r>
    </w:p>
    <w:p>
      <w:pPr>
        <w:spacing w:after="0" w:line="170" w:lineRule="exact"/>
        <w:rPr>
          <w:sz w:val="20"/>
          <w:szCs w:val="20"/>
          <w:color w:val="auto"/>
        </w:rPr>
      </w:pPr>
    </w:p>
    <w:p>
      <w:pPr>
        <w:ind w:right="12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LIBOR Screen Rate</w:t>
      </w:r>
      <w:r>
        <w:rPr>
          <w:rFonts w:ascii="Arial" w:cs="Arial" w:eastAsia="Arial" w:hAnsi="Arial"/>
          <w:sz w:val="17"/>
          <w:szCs w:val="17"/>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3.03(c)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 Conforming Changes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3.03(c)</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87"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xml:space="preserve">” means an extension of credit by a Lender to a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in the form of a Revolving Credit Loan, a Swing Line Loan or a Term Loan.</w:t>
      </w:r>
    </w:p>
    <w:p>
      <w:pPr>
        <w:spacing w:after="0" w:line="170" w:lineRule="exact"/>
        <w:rPr>
          <w:sz w:val="20"/>
          <w:szCs w:val="20"/>
          <w:color w:val="auto"/>
        </w:rPr>
      </w:pPr>
    </w:p>
    <w:p>
      <w:pPr>
        <w:ind w:right="140"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xml:space="preserve">” means, collectively, this Agreement, each Designated Borrower Request and Assumption Agreement, each Note, each Collateral Document, each Issuer Document, any agreement creating or perfecting rights in Cash Collateral pursuant to the provisions of </w:t>
      </w:r>
      <w:r>
        <w:rPr>
          <w:rFonts w:ascii="Arial" w:cs="Arial" w:eastAsia="Arial" w:hAnsi="Arial"/>
          <w:sz w:val="17"/>
          <w:szCs w:val="17"/>
          <w:u w:val="single" w:color="auto"/>
          <w:color w:val="auto"/>
        </w:rPr>
        <w:t>Section 2.16</w:t>
      </w:r>
      <w:r>
        <w:rPr>
          <w:rFonts w:ascii="Arial" w:cs="Arial" w:eastAsia="Arial" w:hAnsi="Arial"/>
          <w:sz w:val="17"/>
          <w:szCs w:val="17"/>
          <w:color w:val="auto"/>
        </w:rPr>
        <w:t>, the Fee Letters, the Company Guaranty, each Subsidiary Guaranty and each Subsidiary Guaranty Joinder Agreement and any amendments, modifications or supplements hereto or to any other Loan Document or waivers hereof or to any other Loan Document.</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32" w:name="page33"/>
    <w:bookmarkEnd w:id="32"/>
    <w:p>
      <w:pPr>
        <w:jc w:val="both"/>
        <w:ind w:right="80" w:firstLine="44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Loan Notice</w:t>
      </w:r>
      <w:r>
        <w:rPr>
          <w:rFonts w:ascii="Arial" w:cs="Arial" w:eastAsia="Arial" w:hAnsi="Arial"/>
          <w:sz w:val="16"/>
          <w:szCs w:val="16"/>
          <w:color w:val="auto"/>
        </w:rPr>
        <w:t xml:space="preserve">” means a notice of (a) a Term Loan Borrowing, (b) a Revolving Credit Borrowing, (c) a conversion of Loans from one Type to the other, or (d) a continuation of Eurocurrency Rate Loans, pursuant to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which, if in writing, shall be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Company, each Subsidiary Guarantor and each Designated Borrower.</w:t>
      </w:r>
    </w:p>
    <w:p>
      <w:pPr>
        <w:spacing w:after="0" w:line="225"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Banking Day</w:t>
      </w:r>
      <w:r>
        <w:rPr>
          <w:rFonts w:ascii="Arial" w:cs="Arial" w:eastAsia="Arial" w:hAnsi="Arial"/>
          <w:sz w:val="18"/>
          <w:szCs w:val="18"/>
          <w:color w:val="auto"/>
        </w:rPr>
        <w:t>” means any day on which dealings in Dollar deposits are conducted by and between banks in the London interbank eurodollar market.</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change in, or a material adverse effect upon, the operations, business, properties, liabilities (actual or contingent) or financial condition of the Company or the Company and its Restricted Subsidiaries taken as a whole; (b) a material impairment of the rights and remedies of the Administrative Agent or any Lender under any Loan Document or of the ability of any Loan Party to perform its obligations under any Loan Document to which it is a party; or (c) a material adverse effect upon the legality, validity, binding effect or enforceability against any Loan Party of any Loan Document to which it is a party.</w:t>
      </w:r>
    </w:p>
    <w:p>
      <w:pPr>
        <w:spacing w:after="0" w:line="188"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Subsidiary</w:t>
      </w:r>
      <w:r>
        <w:rPr>
          <w:rFonts w:ascii="Arial" w:cs="Arial" w:eastAsia="Arial" w:hAnsi="Arial"/>
          <w:sz w:val="17"/>
          <w:szCs w:val="17"/>
          <w:color w:val="auto"/>
        </w:rPr>
        <w:t xml:space="preserve">” means, as of any date of determination, each direct or indirect Subsidiary of the Company that either (a) has assets as of such date equal to 5% or more of the Consolidated Total Assets as of the last day of the four fiscal quarter period of the Company most recently ended for which financial information is available or (b) had revenues in such four fiscal quarter period equal to 5% or more of the consolidated total revenues of the Company and its Subsidiaries. For the purpose of the foregoing calculations, (i) revenues shall be calculated giving effect to any pro forma adjustments, with respect to any Specified Transaction, in a manner consistent with the adjustments described in </w:t>
      </w:r>
      <w:r>
        <w:rPr>
          <w:rFonts w:ascii="Arial" w:cs="Arial" w:eastAsia="Arial" w:hAnsi="Arial"/>
          <w:sz w:val="17"/>
          <w:szCs w:val="17"/>
          <w:u w:val="single" w:color="auto"/>
          <w:color w:val="auto"/>
        </w:rPr>
        <w:t>Section 1.07</w:t>
      </w:r>
      <w:r>
        <w:rPr>
          <w:rFonts w:ascii="Arial" w:cs="Arial" w:eastAsia="Arial" w:hAnsi="Arial"/>
          <w:sz w:val="17"/>
          <w:szCs w:val="17"/>
          <w:color w:val="auto"/>
        </w:rPr>
        <w:t xml:space="preserve"> and (ii) the assets and revenues of a Subsidiary shall be deemed to include the assets and revenues of its Subsidiaries.</w:t>
      </w:r>
    </w:p>
    <w:p>
      <w:pPr>
        <w:spacing w:after="0" w:line="178"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xml:space="preserve">” means June 11, 2024;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the Maturity Date shall be the next preceding Business Day.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Mefiag B.V.</w:t>
      </w:r>
      <w:r>
        <w:rPr>
          <w:rFonts w:ascii="Arial" w:cs="Arial" w:eastAsia="Arial" w:hAnsi="Arial"/>
          <w:sz w:val="18"/>
          <w:szCs w:val="18"/>
          <w:color w:val="auto"/>
        </w:rPr>
        <w:t>” means Mefiag B.V., a private limited company incorporated in the Netherlands.</w:t>
      </w:r>
    </w:p>
    <w:p>
      <w:pPr>
        <w:spacing w:after="0" w:line="225"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Minimum Collateral Amount</w:t>
      </w:r>
      <w:r>
        <w:rPr>
          <w:rFonts w:ascii="Arial" w:cs="Arial" w:eastAsia="Arial" w:hAnsi="Arial"/>
          <w:sz w:val="16"/>
          <w:szCs w:val="16"/>
          <w:color w:val="auto"/>
        </w:rPr>
        <w:t xml:space="preserve">” means, at any time, (a) with respect to Cash Collateral consisting of cash or deposit account balances provided to reduce or eliminate Fronting Exposure during the existence of a Defaulting Lender, an amount equal to 103% of the Fronting Exposure of any L/C Issuer with respect to Letters of Credit issued by such L/C Issuer and outstanding at such time, (b) with respect to Cash Collateral consisting of cash or deposit account balances provided in accordance with the provisions of </w:t>
      </w:r>
      <w:r>
        <w:rPr>
          <w:rFonts w:ascii="Arial" w:cs="Arial" w:eastAsia="Arial" w:hAnsi="Arial"/>
          <w:sz w:val="16"/>
          <w:szCs w:val="16"/>
          <w:u w:val="single" w:color="auto"/>
          <w:color w:val="auto"/>
        </w:rPr>
        <w:t>Section 2.16(a)(i)</w:t>
      </w:r>
      <w:r>
        <w:rPr>
          <w:rFonts w:ascii="Arial" w:cs="Arial" w:eastAsia="Arial" w:hAnsi="Arial"/>
          <w:sz w:val="16"/>
          <w:szCs w:val="16"/>
          <w:color w:val="auto"/>
        </w:rPr>
        <w:t xml:space="preserve">, </w:t>
      </w:r>
      <w:r>
        <w:rPr>
          <w:rFonts w:ascii="Arial" w:cs="Arial" w:eastAsia="Arial" w:hAnsi="Arial"/>
          <w:sz w:val="16"/>
          <w:szCs w:val="16"/>
          <w:u w:val="single" w:color="auto"/>
          <w:color w:val="auto"/>
        </w:rPr>
        <w:t>(a)(ii)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(a)(iii)</w:t>
      </w:r>
      <w:r>
        <w:rPr>
          <w:rFonts w:ascii="Arial" w:cs="Arial" w:eastAsia="Arial" w:hAnsi="Arial"/>
          <w:sz w:val="16"/>
          <w:szCs w:val="16"/>
          <w:color w:val="auto"/>
        </w:rPr>
        <w:t>, an amount equal to 103% of the Outstanding Amount of all L/C Obligations, and (c) otherwise, an amount determined by the Administrative Agent and the L/C Issuers in their sole discretion.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 and any successor thereto.</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3" w:name="page34"/>
    <w:bookmarkEnd w:id="33"/>
    <w:p>
      <w:pPr>
        <w:ind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spacing w:after="0" w:line="124"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which has two or more contributing sponsors (including the Company or any ERISA Affiliate) at least two of whom are not under common control, as such a plan is described in Section 4064 of ERISA.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w:t>
      </w:r>
    </w:p>
    <w:p>
      <w:pPr>
        <w:spacing w:after="0" w:line="117" w:lineRule="exact"/>
        <w:rPr>
          <w:sz w:val="20"/>
          <w:szCs w:val="20"/>
          <w:color w:val="auto"/>
        </w:rPr>
      </w:pPr>
    </w:p>
    <w:p>
      <w:pPr>
        <w:ind w:firstLine="444"/>
        <w:spacing w:after="0" w:line="284" w:lineRule="auto"/>
        <w:tabs>
          <w:tab w:leader="none" w:pos="685"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with respect to any Disposition by the Company or any of its Restricted Subsidiaries or any Insurance and Condemnation Event, the excess, if any, of (i) the sum of cash and Cash Equivalents received in connection with such transaction (including any cash or Cash Equivalents received by way of deferred payment pursuant to, or by monetization of, a note receivable or otherwise, but only as and when so received) over (ii) the sum of (A) the principal amount of any Indebtedness that is secured by the applicable asset and that is required to be repaid in connection with such transaction (other than Indebtedness under the Loan Documents), (B) the reasonable and customary out-of-pocket expenses incurred by the Company or such Restricted Subsidiary in connection with such transaction and (C) income taxes reasonably estimated to be actually payable within two years of the date of the relevant transaction as a result of any gain recognized in connection therewith;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amount of any estimated taxes pursuant to </w:t>
      </w:r>
      <w:r>
        <w:rPr>
          <w:rFonts w:ascii="Arial" w:cs="Arial" w:eastAsia="Arial" w:hAnsi="Arial"/>
          <w:sz w:val="16"/>
          <w:szCs w:val="16"/>
          <w:u w:val="single" w:color="auto"/>
          <w:color w:val="auto"/>
        </w:rPr>
        <w:t>subclause</w:t>
      </w:r>
    </w:p>
    <w:p>
      <w:pPr>
        <w:spacing w:after="0" w:line="2" w:lineRule="exact"/>
        <w:rPr>
          <w:rFonts w:ascii="Arial" w:cs="Arial" w:eastAsia="Arial" w:hAnsi="Arial"/>
          <w:sz w:val="16"/>
          <w:szCs w:val="16"/>
          <w:color w:val="auto"/>
        </w:rPr>
      </w:pPr>
    </w:p>
    <w:p>
      <w:pPr>
        <w:ind w:right="80" w:firstLine="4"/>
        <w:spacing w:after="0" w:line="261" w:lineRule="auto"/>
        <w:tabs>
          <w:tab w:leader="none" w:pos="285" w:val="left"/>
        </w:tabs>
        <w:numPr>
          <w:ilvl w:val="0"/>
          <w:numId w:val="34"/>
        </w:numPr>
        <w:rPr>
          <w:rFonts w:ascii="Arial" w:cs="Arial" w:eastAsia="Arial" w:hAnsi="Arial"/>
          <w:sz w:val="18"/>
          <w:szCs w:val="18"/>
          <w:u w:val="single" w:color="auto"/>
          <w:color w:val="auto"/>
        </w:rPr>
      </w:pPr>
      <w:r>
        <w:rPr>
          <w:rFonts w:ascii="Arial" w:cs="Arial" w:eastAsia="Arial" w:hAnsi="Arial"/>
          <w:sz w:val="18"/>
          <w:szCs w:val="18"/>
          <w:color w:val="auto"/>
        </w:rPr>
        <w:t>exceeds the amount of taxes actually required to be paid in cash in respect of such transaction, the aggregate amount of such excess shall constitute Net Cash Proceeds; and</w:t>
      </w:r>
    </w:p>
    <w:p>
      <w:pPr>
        <w:spacing w:after="0" w:line="75" w:lineRule="exact"/>
        <w:rPr>
          <w:rFonts w:ascii="Arial" w:cs="Arial" w:eastAsia="Arial" w:hAnsi="Arial"/>
          <w:sz w:val="18"/>
          <w:szCs w:val="18"/>
          <w:u w:val="single" w:color="auto"/>
          <w:color w:val="auto"/>
        </w:rPr>
      </w:pPr>
    </w:p>
    <w:p>
      <w:pPr>
        <w:ind w:right="100" w:firstLine="444"/>
        <w:spacing w:after="0" w:line="286" w:lineRule="auto"/>
        <w:tabs>
          <w:tab w:leader="none" w:pos="696" w:val="left"/>
        </w:tabs>
        <w:numPr>
          <w:ilvl w:val="1"/>
          <w:numId w:val="34"/>
        </w:numPr>
        <w:rPr>
          <w:rFonts w:ascii="Arial" w:cs="Arial" w:eastAsia="Arial" w:hAnsi="Arial"/>
          <w:sz w:val="17"/>
          <w:szCs w:val="17"/>
          <w:color w:val="auto"/>
        </w:rPr>
      </w:pPr>
      <w:r>
        <w:rPr>
          <w:rFonts w:ascii="Arial" w:cs="Arial" w:eastAsia="Arial" w:hAnsi="Arial"/>
          <w:sz w:val="17"/>
          <w:szCs w:val="17"/>
          <w:color w:val="auto"/>
        </w:rPr>
        <w:t>with respect to the incurrence or issuance of any Indebtedness by the Company or any of its Restricted Subsidiaries, the excess of (i) the sum of the cash and Cash Equivalents received in connection with such transaction over (ii) the underwriting discounts and commissions, and other reasonable and customary out-of-pocket expenses, incurred by the Company or such Restricted Subsidiary in connection therewith.</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Netherlands Designated Borrowers</w:t>
      </w:r>
      <w:r>
        <w:rPr>
          <w:rFonts w:ascii="Arial" w:cs="Arial" w:eastAsia="Arial" w:hAnsi="Arial"/>
          <w:sz w:val="18"/>
          <w:szCs w:val="18"/>
          <w:color w:val="auto"/>
        </w:rPr>
        <w:t>” means, collectively, CECO B.V., ATA Beheer, Aarding B.V. and Mefiag B.V.</w:t>
      </w:r>
    </w:p>
    <w:p>
      <w:pPr>
        <w:spacing w:after="0" w:line="225" w:lineRule="exact"/>
        <w:rPr>
          <w:sz w:val="20"/>
          <w:szCs w:val="20"/>
          <w:color w:val="auto"/>
        </w:rPr>
      </w:pPr>
    </w:p>
    <w:p>
      <w:pPr>
        <w:ind w:right="360" w:firstLine="44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means, as applicable, (a) any Lender that does not approve any consent, waiver or amendment that (i) requires the approval of all Lenders or all affected Lenders in accordance with the terms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and (ii) has been approved by the Required Lenders,</w:t>
      </w:r>
    </w:p>
    <w:p>
      <w:pPr>
        <w:ind w:right="20" w:firstLine="4"/>
        <w:spacing w:after="0" w:line="295" w:lineRule="auto"/>
        <w:tabs>
          <w:tab w:leader="none" w:pos="255"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any Revolving Credit Lender that does not approve any consent, waiver or amendment that (i) requires the approval of all Revolving Credit Lenders or all affected Revolving Credit Lenders in accordance with the terms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and (ii) has been approved by the Required Revolving Credit Lenders or (c) any Term Loan Lender that does not approve any consent, waiver or amendment that (i) requires the approval of all Term Loan Lenders or all affected Term Loan Lenders in accordance with the terms of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and (ii) has been approved by the Required Term Loan Lenders.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Lender</w:t>
      </w:r>
      <w:r>
        <w:rPr>
          <w:rFonts w:ascii="Arial" w:cs="Arial" w:eastAsia="Arial" w:hAnsi="Arial"/>
          <w:sz w:val="18"/>
          <w:szCs w:val="18"/>
          <w:color w:val="auto"/>
        </w:rPr>
        <w:t>” means, at any time, each Lender that is not a Defaulting Lender at such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Non-LIBOR Quoted Currency</w:t>
      </w:r>
      <w:r>
        <w:rPr>
          <w:rFonts w:ascii="Arial" w:cs="Arial" w:eastAsia="Arial" w:hAnsi="Arial"/>
          <w:sz w:val="18"/>
          <w:szCs w:val="18"/>
          <w:color w:val="auto"/>
        </w:rPr>
        <w:t>” means any currency other than a LIBOR Quoted Currency.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means a Term Loan Note or a Revolving Credit Note, as the context may require.</w:t>
      </w:r>
    </w:p>
    <w:p>
      <w:pPr>
        <w:spacing w:after="0" w:line="225"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Notice of Loan Prepayment</w:t>
      </w:r>
      <w:r>
        <w:rPr>
          <w:rFonts w:ascii="Arial" w:cs="Arial" w:eastAsia="Arial" w:hAnsi="Arial"/>
          <w:sz w:val="17"/>
          <w:szCs w:val="17"/>
          <w:color w:val="auto"/>
        </w:rPr>
        <w:t xml:space="preserve">” means a notice of prepayment with respect to a Loan, which shall be substantially in the form of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Company.</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0"/>
          </w:cols>
          <w:pgMar w:left="440" w:top="274" w:right="499" w:bottom="1440" w:gutter="0" w:footer="0" w:header="0"/>
        </w:sectPr>
      </w:pPr>
    </w:p>
    <w:bookmarkStart w:id="34" w:name="page35"/>
    <w:bookmarkEnd w:id="34"/>
    <w:p>
      <w:pPr>
        <w:ind w:right="20" w:firstLine="44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u w:val="single" w:color="auto"/>
          <w:color w:val="auto"/>
        </w:rPr>
        <w:t>Obligations</w:t>
      </w:r>
      <w:r>
        <w:rPr>
          <w:rFonts w:ascii="Arial" w:cs="Arial" w:eastAsia="Arial" w:hAnsi="Arial"/>
          <w:sz w:val="17"/>
          <w:szCs w:val="17"/>
          <w:color w:val="auto"/>
        </w:rPr>
        <w:t xml:space="preserve">” means all advances to, and debts, liabilities, obligations, covenants and duties of, any Loan Party arising under any Loan Document or otherwise with respect to any Loan, Letter of Credit, Secured Cash Management Agreement, Secured Hedge Agreement or Secured Permitted Standalone Letter of Credit, in each case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“Obligations” of a Subsidiary Guarantor shall exclude any Excluded Swap Obligations with respect to such Subsidiary Guarantor.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charter or certificate or articles of incorporation and the bylaws (or equivalent or comparable constitutive documents with respect to any non-U.S. jurisdiction); (b) with respect to any limited liability company, the certificate or articles of formation or organization or association and, as applicable, operating or limited liability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9"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18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(a) with respect to Term Loans, Revolving Credit Loans and Swing Line Loans on any date, the Dollar Equivalent Amount of the aggregate outstanding principal amount thereof after giving effect to any borrowings and prepayments or repayments of Term Loans, Revolving Credit Loans and Swing Line Loans, as the case may be, occurring on such date; and (b) with respect to any L/C Obligations on any date, the Dollar Equivalent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35" w:name="page36"/>
    <w:bookmarkEnd w:id="35"/>
    <w:p>
      <w:pPr>
        <w:ind w:right="2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(a) with respect to any amount denominated in Dollars, the greater of (i) the Federal Funds Rate and (ii) an overnight rate determined by the Administrative Agent, the applicable L/C Issuer, or the Swing 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10.06(d)</w:t>
      </w:r>
      <w:r>
        <w:rPr>
          <w:rFonts w:ascii="Arial" w:cs="Arial" w:eastAsia="Arial" w:hAnsi="Arial"/>
          <w:sz w:val="18"/>
          <w:szCs w:val="18"/>
          <w:color w:val="auto"/>
        </w:rPr>
        <w:t>.</w:t>
      </w:r>
    </w:p>
    <w:p>
      <w:pPr>
        <w:spacing w:after="0" w:line="225"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Union that has the Euro as its lawful currency in accordance with legislation of the European Union relating to Economic and Monetary Union.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Act</w:t>
      </w:r>
      <w:r>
        <w:rPr>
          <w:rFonts w:ascii="Arial" w:cs="Arial" w:eastAsia="Arial" w:hAnsi="Arial"/>
          <w:sz w:val="18"/>
          <w:szCs w:val="18"/>
          <w:color w:val="auto"/>
        </w:rPr>
        <w:t>” means the Pension Protection Act of 2006.</w:t>
      </w:r>
    </w:p>
    <w:p>
      <w:pPr>
        <w:spacing w:after="0" w:line="22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Funding Rules</w:t>
      </w:r>
      <w:r>
        <w:rPr>
          <w:rFonts w:ascii="Arial" w:cs="Arial" w:eastAsia="Arial" w:hAnsi="Arial"/>
          <w:sz w:val="18"/>
          <w:szCs w:val="18"/>
          <w:color w:val="auto"/>
        </w:rPr>
        <w:t>” 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 412, 430, 431, 432 and 436 of the Code and Sections 302, 303, 304 and 305 of ERISA.</w:t>
      </w:r>
    </w:p>
    <w:p>
      <w:pPr>
        <w:spacing w:after="0" w:line="187"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the Company and any ERISA Affiliate and is either covered by Title IV of ERISA or is subject to the minimum funding standards under Section 412 of the Code.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means any Acquisition by the Company or any Restricted Subsidiary as to which the following conditions are satisfied:</w:t>
      </w:r>
    </w:p>
    <w:p>
      <w:pPr>
        <w:spacing w:after="0" w:line="140" w:lineRule="exact"/>
        <w:rPr>
          <w:sz w:val="20"/>
          <w:szCs w:val="20"/>
          <w:color w:val="auto"/>
        </w:rPr>
      </w:pPr>
    </w:p>
    <w:p>
      <w:pPr>
        <w:ind w:left="440" w:right="20" w:firstLine="428"/>
        <w:spacing w:after="0" w:line="277" w:lineRule="auto"/>
        <w:tabs>
          <w:tab w:leader="none" w:pos="11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any such Acquisition (including any assumption or incurrence of Indebtedness in connection therewith), no Default shall have occurred and be continuing;</w:t>
      </w:r>
    </w:p>
    <w:p>
      <w:pPr>
        <w:spacing w:after="0" w:line="62" w:lineRule="exact"/>
        <w:rPr>
          <w:rFonts w:ascii="Arial" w:cs="Arial" w:eastAsia="Arial" w:hAnsi="Arial"/>
          <w:sz w:val="18"/>
          <w:szCs w:val="18"/>
          <w:color w:val="auto"/>
        </w:rPr>
      </w:pPr>
    </w:p>
    <w:p>
      <w:pPr>
        <w:jc w:val="both"/>
        <w:ind w:left="440" w:right="40" w:firstLine="428"/>
        <w:spacing w:after="0" w:line="264" w:lineRule="auto"/>
        <w:tabs>
          <w:tab w:leader="none" w:pos="1118" w:val="left"/>
        </w:tabs>
        <w:numPr>
          <w:ilvl w:val="0"/>
          <w:numId w:val="36"/>
        </w:numPr>
        <w:rPr>
          <w:rFonts w:ascii="Arial" w:cs="Arial" w:eastAsia="Arial" w:hAnsi="Arial"/>
          <w:sz w:val="18"/>
          <w:szCs w:val="18"/>
          <w:color w:val="auto"/>
        </w:rPr>
      </w:pPr>
      <w:r>
        <w:rPr>
          <w:rFonts w:ascii="Arial" w:cs="Arial" w:eastAsia="Arial" w:hAnsi="Arial"/>
          <w:sz w:val="18"/>
          <w:szCs w:val="18"/>
          <w:color w:val="auto"/>
        </w:rPr>
        <w:t>either the required majority of the Board of Directors (or other equivalent governing body) of the Person so to be acquired (or that owns the assets to be acquired) incumbent at the time such Acquisition is proposed has acquiesced to such Acquisition, or such Acquisition is otherwise deemed in the reasonable judgment of the Administrative Agent to be a “friendly” Acquisition;</w:t>
      </w:r>
    </w:p>
    <w:p>
      <w:pPr>
        <w:spacing w:after="0" w:line="73" w:lineRule="exact"/>
        <w:rPr>
          <w:rFonts w:ascii="Arial" w:cs="Arial" w:eastAsia="Arial" w:hAnsi="Arial"/>
          <w:sz w:val="18"/>
          <w:szCs w:val="18"/>
          <w:color w:val="auto"/>
        </w:rPr>
      </w:pPr>
    </w:p>
    <w:p>
      <w:pPr>
        <w:ind w:left="1120" w:hanging="252"/>
        <w:spacing w:after="0"/>
        <w:tabs>
          <w:tab w:leader="none" w:pos="11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the lines of business of the Person to be (or the property of which is to be) so acquired shall be permitted by </w:t>
      </w:r>
      <w:r>
        <w:rPr>
          <w:rFonts w:ascii="Arial" w:cs="Arial" w:eastAsia="Arial" w:hAnsi="Arial"/>
          <w:sz w:val="17"/>
          <w:szCs w:val="17"/>
          <w:u w:val="single" w:color="auto"/>
          <w:color w:val="auto"/>
        </w:rPr>
        <w:t>Section 7.07</w:t>
      </w:r>
      <w:r>
        <w:rPr>
          <w:rFonts w:ascii="Arial" w:cs="Arial" w:eastAsia="Arial" w:hAnsi="Arial"/>
          <w:sz w:val="17"/>
          <w:szCs w:val="17"/>
          <w:color w:val="auto"/>
        </w:rPr>
        <w:t>; and</w:t>
      </w:r>
    </w:p>
    <w:p>
      <w:pPr>
        <w:spacing w:after="0" w:line="128" w:lineRule="exact"/>
        <w:rPr>
          <w:rFonts w:ascii="Arial" w:cs="Arial" w:eastAsia="Arial" w:hAnsi="Arial"/>
          <w:sz w:val="17"/>
          <w:szCs w:val="17"/>
          <w:color w:val="auto"/>
        </w:rPr>
      </w:pPr>
    </w:p>
    <w:p>
      <w:pPr>
        <w:ind w:left="440" w:firstLine="428"/>
        <w:spacing w:after="0" w:line="257" w:lineRule="auto"/>
        <w:tabs>
          <w:tab w:leader="none" w:pos="1118"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Company and its Restricted Subsidiaries shall be in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compliance with the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such compliance to be determined on the basis of financial information for the fiscal period most recently ended for which financial information is available and calculated in accordance with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each Acquisition or series of related Acquisitions involving aggregate consideration of $15,000,000 or more, the Company shall have delivered to the Administrative Agent a Compliance Certificate demonstrating the pro forma compliance required by this </w:t>
      </w:r>
      <w:r>
        <w:rPr>
          <w:rFonts w:ascii="Arial" w:cs="Arial" w:eastAsia="Arial" w:hAnsi="Arial"/>
          <w:sz w:val="18"/>
          <w:szCs w:val="18"/>
          <w:u w:val="single" w:color="auto"/>
          <w:color w:val="auto"/>
        </w:rPr>
        <w:t>clause (d)</w:t>
      </w:r>
      <w:r>
        <w:rPr>
          <w:rFonts w:ascii="Arial" w:cs="Arial" w:eastAsia="Arial" w:hAnsi="Arial"/>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the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25" w:lineRule="exact"/>
        <w:rPr>
          <w:sz w:val="20"/>
          <w:szCs w:val="20"/>
          <w:color w:val="auto"/>
        </w:rPr>
      </w:pPr>
    </w:p>
    <w:p>
      <w:pPr>
        <w:ind w:right="2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Standalone Letter of Credit</w:t>
      </w:r>
      <w:r>
        <w:rPr>
          <w:rFonts w:ascii="Arial" w:cs="Arial" w:eastAsia="Arial" w:hAnsi="Arial"/>
          <w:sz w:val="18"/>
          <w:szCs w:val="18"/>
          <w:color w:val="auto"/>
        </w:rPr>
        <w:t xml:space="preserve">” means any commercial letter of credit, standby letter of credit, bankers’ acceptance or bank guarantee issued by a PSLOC Bank for the account of any Loan Party or any Subsidiary on a bilateral basis and not as part of the facilities provided under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face amount of all such letters of credit, bankers’ acceptances and bank guarantees shall not exceed $50,000,000 at any time.</w:t>
      </w:r>
    </w:p>
    <w:p>
      <w:pPr>
        <w:spacing w:after="0" w:line="187"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Agreements</w:t>
      </w:r>
      <w:r>
        <w:rPr>
          <w:rFonts w:ascii="Arial" w:cs="Arial" w:eastAsia="Arial" w:hAnsi="Arial"/>
          <w:sz w:val="18"/>
          <w:szCs w:val="18"/>
          <w:color w:val="auto"/>
        </w:rPr>
        <w:t>” means, collectively, (a) the Amended and Restated Securities Pledge Agreement (the “</w:t>
      </w:r>
      <w:r>
        <w:rPr>
          <w:rFonts w:ascii="Arial" w:cs="Arial" w:eastAsia="Arial" w:hAnsi="Arial"/>
          <w:sz w:val="18"/>
          <w:szCs w:val="18"/>
          <w:u w:val="single" w:color="auto"/>
          <w:color w:val="auto"/>
        </w:rPr>
        <w:t>U.S. Pledge Agreement</w:t>
      </w:r>
      <w:r>
        <w:rPr>
          <w:rFonts w:ascii="Arial" w:cs="Arial" w:eastAsia="Arial" w:hAnsi="Arial"/>
          <w:sz w:val="18"/>
          <w:szCs w:val="18"/>
          <w:color w:val="auto"/>
        </w:rPr>
        <w:t>”) dated as of the date hereof, made by the Company and certain other Loan Parties in favor of the Administrative Agent for the benefit of the Secured Parties specified therein and (b) any other securities pledge agreement now or hereafter in effect executed by one or more Loan Parties that are Foreign Subsidiaries in favor of the Administrative Agent for the benefit of any of the Secured Parties, each of which shall be in form and substance satisfactory to the Administrative Agent, in each case, as supplemented from time to time by the execution and delivery of Pledge Joinder Agreements and Pledge Agreement Supplements.</w:t>
      </w:r>
    </w:p>
    <w:p>
      <w:pPr>
        <w:spacing w:after="0" w:line="193"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 Supplement</w:t>
      </w:r>
      <w:r>
        <w:rPr>
          <w:rFonts w:ascii="Arial" w:cs="Arial" w:eastAsia="Arial" w:hAnsi="Arial"/>
          <w:sz w:val="18"/>
          <w:szCs w:val="18"/>
          <w:color w:val="auto"/>
        </w:rPr>
        <w:t>” means each Pledge Agreement Supplement, substantially in the form thereof attached to a Pledge Agreement, executed and delivered by a Loan Party to the Administrative Agent.</w:t>
      </w:r>
    </w:p>
    <w:p>
      <w:pPr>
        <w:spacing w:after="0" w:line="170" w:lineRule="exact"/>
        <w:rPr>
          <w:sz w:val="20"/>
          <w:szCs w:val="20"/>
          <w:color w:val="auto"/>
        </w:rPr>
      </w:pPr>
    </w:p>
    <w:p>
      <w:pPr>
        <w:jc w:val="both"/>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Joinder Agreement</w:t>
      </w:r>
      <w:r>
        <w:rPr>
          <w:rFonts w:ascii="Arial" w:cs="Arial" w:eastAsia="Arial" w:hAnsi="Arial"/>
          <w:sz w:val="18"/>
          <w:szCs w:val="18"/>
          <w:color w:val="auto"/>
        </w:rPr>
        <w:t>” means each Pledge Joinder Agreement, substantially in the form thereof attached to a Pledge Agreement, executed and delivered by a Restricted Subsidiary to the Administrative Agent.</w:t>
      </w:r>
    </w:p>
    <w:p>
      <w:pPr>
        <w:spacing w:after="0" w:line="170"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PSLOC Bank</w:t>
      </w:r>
      <w:r>
        <w:rPr>
          <w:rFonts w:ascii="Arial" w:cs="Arial" w:eastAsia="Arial" w:hAnsi="Arial"/>
          <w:sz w:val="18"/>
          <w:szCs w:val="18"/>
          <w:color w:val="auto"/>
        </w:rPr>
        <w:t>” means any Person that, (a) at the time it issues a Permitted Standalone Letter of Credit for the account of any Loan Party or any Subsidiary, is a Lender or an Affiliate of a Lender, or (b) at the time it (or its Affiliate) becomes a Lender, is party to a Permitted Standalone Letter of Credit, in each case, in its capacity as the issuer of such Permitted Standalone Letter of Credit.</w:t>
      </w:r>
    </w:p>
    <w:p>
      <w:pPr>
        <w:spacing w:after="0" w:line="181"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Determination Date</w:t>
      </w:r>
      <w:r>
        <w:rPr>
          <w:rFonts w:ascii="Arial" w:cs="Arial" w:eastAsia="Arial" w:hAnsi="Arial"/>
          <w:sz w:val="18"/>
          <w:szCs w:val="18"/>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such other day as otherwise reasonably determined by the Administrative Agent).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4" w:right="499" w:bottom="1440" w:gutter="0" w:footer="0" w:header="0"/>
        </w:sectPr>
      </w:pPr>
    </w:p>
    <w:bookmarkStart w:id="37" w:name="page38"/>
    <w:bookmarkEnd w:id="37"/>
    <w:p>
      <w:pPr>
        <w:ind w:right="2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any L/C Issuer or any other recipient of any payment to be made by or on account of any obligation of any Loan Party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10.06(c)</w:t>
      </w:r>
      <w:r>
        <w:rPr>
          <w:rFonts w:ascii="Arial" w:cs="Arial" w:eastAsia="Arial" w:hAnsi="Arial"/>
          <w:sz w:val="18"/>
          <w:szCs w:val="18"/>
          <w:color w:val="auto"/>
        </w:rPr>
        <w:t>.</w:t>
      </w:r>
    </w:p>
    <w:p>
      <w:pPr>
        <w:spacing w:after="0" w:line="225"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any of the events set forth in Section 4043(c) of ERISA.</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Credit Extension</w:t>
      </w:r>
      <w:r>
        <w:rPr>
          <w:rFonts w:ascii="Arial" w:cs="Arial" w:eastAsia="Arial" w:hAnsi="Arial"/>
          <w:sz w:val="18"/>
          <w:szCs w:val="18"/>
          <w:color w:val="auto"/>
        </w:rPr>
        <w:t>” means (a) with respect to a Borrowing, conversion or continuation of Revolving Credit Loans or Term Loans, a Loan Notice, (b) with respect to an L/C Credit Extension, a Letter of Credit Application, and (c) with respect to a Swing Line Loan, a Swing Line Loan Notice.</w:t>
      </w:r>
    </w:p>
    <w:p>
      <w:pPr>
        <w:spacing w:after="0" w:line="181"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Facility Lenders</w:t>
      </w:r>
      <w:r>
        <w:rPr>
          <w:rFonts w:ascii="Arial" w:cs="Arial" w:eastAsia="Arial" w:hAnsi="Arial"/>
          <w:sz w:val="18"/>
          <w:szCs w:val="18"/>
          <w:color w:val="auto"/>
        </w:rPr>
        <w:t>” means (a) for the Revolving Credit Facility, the Required Revolving Credit Lenders and (b) for the Term Loan Facility, the Required Term Loan Lenders.</w:t>
      </w:r>
    </w:p>
    <w:p>
      <w:pPr>
        <w:spacing w:after="0" w:line="170" w:lineRule="exact"/>
        <w:rPr>
          <w:sz w:val="20"/>
          <w:szCs w:val="20"/>
          <w:color w:val="auto"/>
        </w:rPr>
      </w:pPr>
    </w:p>
    <w:p>
      <w:pPr>
        <w:ind w:right="16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any participation in any Swing Line Loan and Unreimbursed Amounts that any Defaulting Lender which is a Revolving Credit Lender has failed to fund that have not been reallocated to and funded by another Revolving Credit Lender shall be deemed to be held by the Lender that is the Swing Line Lender or an L/C Issuer, as the case may be, in making such determination.</w:t>
      </w:r>
    </w:p>
    <w:p>
      <w:pPr>
        <w:spacing w:after="0" w:line="17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Credit Lenders</w:t>
      </w:r>
      <w:r>
        <w:rPr>
          <w:rFonts w:ascii="Arial" w:cs="Arial" w:eastAsia="Arial" w:hAnsi="Arial"/>
          <w:sz w:val="18"/>
          <w:szCs w:val="18"/>
          <w:color w:val="auto"/>
        </w:rPr>
        <w:t xml:space="preserve">” means, at any time, Lenders having more than 50% of the sum of the aggregate Revolving Credit Exposure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unused Revolving Credit Commitments. The Revolving Credit Exposure and unused Revolving Credit Commitment of any Defaulting Lender shall be disregarded in determining Required Revolving Credit Lenders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participation in any Swing Line Loan and Unreimbursed Amounts that such Defaulting Lender has failed to fund that have not been reallocated to and funded by another Revolving Credit Lender shall be deemed to be held by the Lender that is the Swing Line Lender or an L/C Issuer, as the case may be, in making such determination.</w:t>
      </w:r>
    </w:p>
    <w:p>
      <w:pPr>
        <w:spacing w:after="0" w:line="193"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Term Loan Lenders</w:t>
      </w:r>
      <w:r>
        <w:rPr>
          <w:rFonts w:ascii="Arial" w:cs="Arial" w:eastAsia="Arial" w:hAnsi="Arial"/>
          <w:sz w:val="18"/>
          <w:szCs w:val="18"/>
          <w:color w:val="auto"/>
        </w:rPr>
        <w:t xml:space="preserve">” means, at any time, Lenders having more than 50% of the sum of the Outstanding Amount of Term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unfunded Term Loan Commitments. The Outstanding Amount of Term Loans and unfunded Term Loan Commitments of any Defaulting Lender shall be disregarded in determining Required Term Loan Lenders at any time.</w:t>
      </w:r>
    </w:p>
    <w:p>
      <w:pPr>
        <w:spacing w:after="0" w:line="181"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xml:space="preserve">” means the chief executive officer, president, chief financial officer, treasurer, assistant treasurer or controller of a Loan Party, or in the case of a Netherlands Designated Borrower, an authorized signatory, solely for purposes of the delivery of incumbency certificates pursuant to </w:t>
      </w: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the secretary or any assistant secretary of a Loan Party and, solely for purposes of notices given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74" w:right="439" w:bottom="1440" w:gutter="0" w:footer="0" w:header="0"/>
        </w:sectPr>
      </w:pPr>
    </w:p>
    <w:bookmarkStart w:id="38" w:name="page39"/>
    <w:bookmarkEnd w:id="38"/>
    <w:p>
      <w:pPr>
        <w:ind w:right="1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reasonably requested by the Administrative Agent, appropriate authorization documentation, in form and substance reasonably satisfactory to the Administrative Agent.</w:t>
      </w:r>
    </w:p>
    <w:p>
      <w:pPr>
        <w:spacing w:after="0" w:line="154"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any dividend or other distribution (whether in cash, securities or other property) with respect to any capital stock or other Equity Interest of the Company or any Restricted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Company’s stockholders, partners or members (or the equivalent Person thereof).</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any Subsidiary of the Company that is not an Unrestricted Subsidiary.</w:t>
      </w:r>
    </w:p>
    <w:p>
      <w:pPr>
        <w:spacing w:after="0" w:line="225" w:lineRule="exact"/>
        <w:rPr>
          <w:sz w:val="20"/>
          <w:szCs w:val="20"/>
          <w:color w:val="auto"/>
        </w:rPr>
      </w:pPr>
    </w:p>
    <w:p>
      <w:pPr>
        <w:ind w:right="20"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Revaluation Date</w:t>
      </w:r>
      <w:r>
        <w:rPr>
          <w:rFonts w:ascii="Arial" w:cs="Arial" w:eastAsia="Arial" w:hAnsi="Arial"/>
          <w:sz w:val="16"/>
          <w:szCs w:val="16"/>
          <w:color w:val="auto"/>
        </w:rPr>
        <w:t xml:space="preserve">” means (a) with respect to any Revolving Credit Loan, each of the following: (i) each date of a Borrowing of a Eurocurrency Rate Loan denominated in an Alternative Currency, (ii) each date of a continuation of a Eurocurrency Rate Loan denominated in an Alternative Currency pursuant to </w:t>
      </w:r>
      <w:r>
        <w:rPr>
          <w:rFonts w:ascii="Arial" w:cs="Arial" w:eastAsia="Arial" w:hAnsi="Arial"/>
          <w:sz w:val="16"/>
          <w:szCs w:val="16"/>
          <w:u w:val="single" w:color="auto"/>
          <w:color w:val="auto"/>
        </w:rPr>
        <w:t>Section 2.02</w:t>
      </w:r>
      <w:r>
        <w:rPr>
          <w:rFonts w:ascii="Arial" w:cs="Arial" w:eastAsia="Arial" w:hAnsi="Arial"/>
          <w:sz w:val="16"/>
          <w:szCs w:val="16"/>
          <w:color w:val="auto"/>
        </w:rPr>
        <w:t>, and (iii) such additional dates as the Administrative Agent shall determine or the Required Revolving Credit Lenders shall require; and (b)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the applicable L/C Issuer under any Letter of Credit denominated in an Alternative Currency,</w:t>
      </w:r>
    </w:p>
    <w:p>
      <w:pPr>
        <w:spacing w:after="0" w:line="5" w:lineRule="exact"/>
        <w:rPr>
          <w:sz w:val="20"/>
          <w:szCs w:val="20"/>
          <w:color w:val="auto"/>
        </w:rPr>
      </w:pPr>
    </w:p>
    <w:p>
      <w:pPr>
        <w:ind w:right="940" w:firstLine="4"/>
        <w:spacing w:after="0" w:line="323" w:lineRule="auto"/>
        <w:tabs>
          <w:tab w:leader="none" w:pos="305"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case of all Existing Letters of Credit denominated in Alternative Currencies, the Closing Date and (v) such additional dates as the Administrative Agent or any L/C Issuer shall reasonably determine or the Required Revolving Credit Lenders shall reasonably require.</w:t>
      </w:r>
    </w:p>
    <w:p>
      <w:pPr>
        <w:spacing w:after="0" w:line="139" w:lineRule="exact"/>
        <w:rPr>
          <w:sz w:val="20"/>
          <w:szCs w:val="20"/>
          <w:color w:val="auto"/>
        </w:rPr>
      </w:pPr>
    </w:p>
    <w:p>
      <w:pPr>
        <w:ind w:right="32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Credit Borrowing</w:t>
      </w:r>
      <w:r>
        <w:rPr>
          <w:rFonts w:ascii="Arial" w:cs="Arial" w:eastAsia="Arial" w:hAnsi="Arial"/>
          <w:sz w:val="16"/>
          <w:szCs w:val="16"/>
          <w:color w:val="auto"/>
        </w:rPr>
        <w:t xml:space="preserve">” means a borrowing consisting of simultaneous Revolving Credit Loans of the same Type, in the same currency and, in the case of Eurocurrency Rate Loans, having the same Interest Period made by each of the Lenders pursuant to </w:t>
      </w:r>
      <w:r>
        <w:rPr>
          <w:rFonts w:ascii="Arial" w:cs="Arial" w:eastAsia="Arial" w:hAnsi="Arial"/>
          <w:sz w:val="16"/>
          <w:szCs w:val="16"/>
          <w:u w:val="single" w:color="auto"/>
          <w:color w:val="auto"/>
        </w:rPr>
        <w:t>Section 2.01(a)</w:t>
      </w:r>
      <w:r>
        <w:rPr>
          <w:rFonts w:ascii="Arial" w:cs="Arial" w:eastAsia="Arial" w:hAnsi="Arial"/>
          <w:sz w:val="16"/>
          <w:szCs w:val="16"/>
          <w:color w:val="auto"/>
        </w:rPr>
        <w:t>.</w:t>
      </w:r>
    </w:p>
    <w:p>
      <w:pPr>
        <w:spacing w:after="0" w:line="124"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Credit Commitment</w:t>
      </w:r>
      <w:r>
        <w:rPr>
          <w:rFonts w:ascii="Arial" w:cs="Arial" w:eastAsia="Arial" w:hAnsi="Arial"/>
          <w:sz w:val="17"/>
          <w:szCs w:val="17"/>
          <w:color w:val="auto"/>
        </w:rPr>
        <w:t xml:space="preserve">” means, as to each Lender, its obligation to (a) make Revolving Credit Loans to the Borrowers pursuant to </w:t>
      </w:r>
      <w:r>
        <w:rPr>
          <w:rFonts w:ascii="Arial" w:cs="Arial" w:eastAsia="Arial" w:hAnsi="Arial"/>
          <w:sz w:val="17"/>
          <w:szCs w:val="17"/>
          <w:u w:val="single" w:color="auto"/>
          <w:color w:val="auto"/>
        </w:rPr>
        <w:t>Section 2.01(a)</w:t>
      </w:r>
      <w:r>
        <w:rPr>
          <w:rFonts w:ascii="Arial" w:cs="Arial" w:eastAsia="Arial" w:hAnsi="Arial"/>
          <w:sz w:val="17"/>
          <w:szCs w:val="17"/>
          <w:color w:val="auto"/>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Arial" w:cs="Arial" w:eastAsia="Arial" w:hAnsi="Arial"/>
          <w:sz w:val="17"/>
          <w:szCs w:val="17"/>
          <w:u w:val="single" w:color="auto"/>
          <w:color w:val="auto"/>
        </w:rPr>
        <w:t>Schedule 2.01</w:t>
      </w:r>
      <w:r>
        <w:rPr>
          <w:rFonts w:ascii="Arial" w:cs="Arial" w:eastAsia="Arial" w:hAnsi="Arial"/>
          <w:sz w:val="17"/>
          <w:szCs w:val="17"/>
          <w:color w:val="auto"/>
        </w:rPr>
        <w:t xml:space="preserve"> under the caption “Revolving Credit Commitment” or opposite such caption in the Assignment and Assumption pursuant to which such Lender becomes a party hereto, as applicable, as such amount may be adjusted from time to time in accordance with this Agreement.</w:t>
      </w:r>
    </w:p>
    <w:p>
      <w:pPr>
        <w:spacing w:after="0" w:line="173"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to any Lender at any time, the aggregate principal amount at such time of its outstanding Revolving Credit Loans and such Lender’s participations in L/C Obligations and Swing Line Loans at such time.</w:t>
      </w:r>
    </w:p>
    <w:p>
      <w:pPr>
        <w:spacing w:after="0" w:line="170"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means, at any time, the revolving credit facility provided in this Agreement pursuant to the Aggregate Revolving Credit Commitments, including the participations in L/C Obligations and Swing Line Loans thereunder.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9" w:name="page40"/>
    <w:bookmarkEnd w:id="39"/>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Revolving Credit Lender</w:t>
      </w:r>
      <w:r>
        <w:rPr>
          <w:rFonts w:ascii="Arial" w:cs="Arial" w:eastAsia="Arial" w:hAnsi="Arial"/>
          <w:sz w:val="16"/>
          <w:szCs w:val="16"/>
          <w:color w:val="auto"/>
        </w:rPr>
        <w:t>” means, at any time, any Lender that has a Revolving Credit Commitment or Revolving Credit Exposure at such time.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Note</w:t>
      </w:r>
      <w:r>
        <w:rPr>
          <w:rFonts w:ascii="Arial" w:cs="Arial" w:eastAsia="Arial" w:hAnsi="Arial"/>
          <w:sz w:val="18"/>
          <w:szCs w:val="18"/>
          <w:color w:val="auto"/>
        </w:rPr>
        <w:t xml:space="preserve">” means a promissory note made by a Borrower in favor of a Revolving Credit Lender evidencing Revolving Credit Loans made by such Revolving Credit Lender to such Borrower, substantially in the form of </w:t>
      </w:r>
      <w:r>
        <w:rPr>
          <w:rFonts w:ascii="Arial" w:cs="Arial" w:eastAsia="Arial" w:hAnsi="Arial"/>
          <w:sz w:val="18"/>
          <w:szCs w:val="18"/>
          <w:u w:val="single" w:color="auto"/>
          <w:color w:val="auto"/>
        </w:rPr>
        <w:t>Exhibit C-1</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Rupees</w:t>
      </w:r>
      <w:r>
        <w:rPr>
          <w:rFonts w:ascii="Arial" w:cs="Arial" w:eastAsia="Arial" w:hAnsi="Arial"/>
          <w:sz w:val="18"/>
          <w:szCs w:val="18"/>
          <w:color w:val="auto"/>
        </w:rPr>
        <w:t>” means the lawful currency of India.</w:t>
      </w:r>
    </w:p>
    <w:p>
      <w:pPr>
        <w:spacing w:after="0" w:line="225"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Day Funds</w:t>
      </w:r>
      <w:r>
        <w:rPr>
          <w:rFonts w:ascii="Arial" w:cs="Arial" w:eastAsia="Arial" w:hAnsi="Arial"/>
          <w:sz w:val="18"/>
          <w:szCs w:val="18"/>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L/C Issuer, as the case may be, to be customary in the place of disbursement or payment for the settlement of international banking transactions in the relevant Alternative Currency.</w:t>
      </w:r>
    </w:p>
    <w:p>
      <w:pPr>
        <w:spacing w:after="0" w:line="187" w:lineRule="exact"/>
        <w:rPr>
          <w:sz w:val="20"/>
          <w:szCs w:val="20"/>
          <w:color w:val="auto"/>
        </w:rPr>
      </w:pPr>
    </w:p>
    <w:p>
      <w:pPr>
        <w:ind w:right="260" w:firstLine="44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w:t>
      </w:r>
      <w:r>
        <w:rPr>
          <w:rFonts w:ascii="Arial" w:cs="Arial" w:eastAsia="Arial" w:hAnsi="Arial"/>
          <w:sz w:val="16"/>
          <w:szCs w:val="16"/>
          <w:color w:val="auto"/>
        </w:rPr>
        <w:t>” means any international economic sanction administered or enforced by the United States Government (including without limitation, OFAC), the United Nations Security Council, the European Union, Her Majesty’s Treasury (“</w:t>
      </w:r>
      <w:r>
        <w:rPr>
          <w:rFonts w:ascii="Arial" w:cs="Arial" w:eastAsia="Arial" w:hAnsi="Arial"/>
          <w:sz w:val="16"/>
          <w:szCs w:val="16"/>
          <w:u w:val="single" w:color="auto"/>
          <w:color w:val="auto"/>
        </w:rPr>
        <w:t>HMT</w:t>
      </w:r>
      <w:r>
        <w:rPr>
          <w:rFonts w:ascii="Arial" w:cs="Arial" w:eastAsia="Arial" w:hAnsi="Arial"/>
          <w:sz w:val="16"/>
          <w:szCs w:val="16"/>
          <w:color w:val="auto"/>
        </w:rPr>
        <w:t>”) or other relevant sanctions authority.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Financial Services LLC, a subsidiary of S&amp;P Global Inc., and any successor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Cash Management Agreement</w:t>
      </w:r>
      <w:r>
        <w:rPr>
          <w:rFonts w:ascii="Arial" w:cs="Arial" w:eastAsia="Arial" w:hAnsi="Arial"/>
          <w:sz w:val="18"/>
          <w:szCs w:val="18"/>
          <w:color w:val="auto"/>
        </w:rPr>
        <w:t>” means any Cash Management Agreement that is entered into by and between any Loan Party and any Cash Management Bank.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Hedge Agreement</w:t>
      </w:r>
      <w:r>
        <w:rPr>
          <w:rFonts w:ascii="Arial" w:cs="Arial" w:eastAsia="Arial" w:hAnsi="Arial"/>
          <w:sz w:val="16"/>
          <w:szCs w:val="16"/>
          <w:color w:val="auto"/>
        </w:rPr>
        <w:t>” means any Swap Contract permitted hereunder that is entered into by and between any Loan Party and any Hedge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Bank.</w:t>
      </w:r>
    </w:p>
    <w:p>
      <w:pPr>
        <w:spacing w:after="0" w:line="211" w:lineRule="exact"/>
        <w:rPr>
          <w:sz w:val="20"/>
          <w:szCs w:val="20"/>
          <w:color w:val="auto"/>
        </w:rPr>
      </w:pPr>
    </w:p>
    <w:p>
      <w:pPr>
        <w:jc w:val="both"/>
        <w:ind w:right="20" w:firstLine="44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Parties</w:t>
      </w:r>
      <w:r>
        <w:rPr>
          <w:rFonts w:ascii="Arial" w:cs="Arial" w:eastAsia="Arial" w:hAnsi="Arial"/>
          <w:sz w:val="17"/>
          <w:szCs w:val="17"/>
          <w:color w:val="auto"/>
        </w:rPr>
        <w:t xml:space="preserve">” means, collectively, the Administrative Agent, the Lenders, the L/C Issuers, the Hedge Banks, the Cash Management Banks, the PSLOC Banks, each co-agent or sub-agent appointed by the Administrative Agent from time to time pursuant to </w:t>
      </w:r>
      <w:r>
        <w:rPr>
          <w:rFonts w:ascii="Arial" w:cs="Arial" w:eastAsia="Arial" w:hAnsi="Arial"/>
          <w:sz w:val="17"/>
          <w:szCs w:val="17"/>
          <w:u w:val="single" w:color="auto"/>
          <w:color w:val="auto"/>
        </w:rPr>
        <w:t>Section 9.05</w:t>
      </w:r>
      <w:r>
        <w:rPr>
          <w:rFonts w:ascii="Arial" w:cs="Arial" w:eastAsia="Arial" w:hAnsi="Arial"/>
          <w:sz w:val="17"/>
          <w:szCs w:val="17"/>
          <w:color w:val="auto"/>
        </w:rPr>
        <w:t>, and the other Persons the Obligations owing to which are or are purported to be secured by the Collateral under the terms of the Collateral Documents.</w:t>
      </w:r>
    </w:p>
    <w:p>
      <w:pPr>
        <w:spacing w:after="0" w:line="166"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Permitted Standalone Letter of Credit</w:t>
      </w:r>
      <w:r>
        <w:rPr>
          <w:rFonts w:ascii="Arial" w:cs="Arial" w:eastAsia="Arial" w:hAnsi="Arial"/>
          <w:sz w:val="18"/>
          <w:szCs w:val="18"/>
          <w:color w:val="auto"/>
        </w:rPr>
        <w:t xml:space="preserve">” means any Permitted Standalone Letter of Credit specifically designated as such to the Administrative Agent in writing by the Company and the relevant PSLOC Bank as a “Secured Permitted Standalone Letter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any Permitted Standalone Letter of Credit be a Secured Permitted Standalone Letter of Credit if it is secured by Liens permitted by </w:t>
      </w:r>
      <w:r>
        <w:rPr>
          <w:rFonts w:ascii="Arial" w:cs="Arial" w:eastAsia="Arial" w:hAnsi="Arial"/>
          <w:sz w:val="18"/>
          <w:szCs w:val="18"/>
          <w:u w:val="single" w:color="auto"/>
          <w:color w:val="auto"/>
        </w:rPr>
        <w:t>Section 7.01(k)</w:t>
      </w:r>
      <w:r>
        <w:rPr>
          <w:rFonts w:ascii="Arial" w:cs="Arial" w:eastAsia="Arial" w:hAnsi="Arial"/>
          <w:sz w:val="18"/>
          <w:szCs w:val="18"/>
          <w:color w:val="auto"/>
        </w:rPr>
        <w:t>.</w:t>
      </w:r>
    </w:p>
    <w:p>
      <w:pPr>
        <w:spacing w:after="0" w:line="187"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Security Agreements</w:t>
      </w:r>
      <w:r>
        <w:rPr>
          <w:rFonts w:ascii="Arial" w:cs="Arial" w:eastAsia="Arial" w:hAnsi="Arial"/>
          <w:sz w:val="16"/>
          <w:szCs w:val="16"/>
          <w:color w:val="auto"/>
        </w:rPr>
        <w:t>” means, collectively, (a) the Amended and Restated Security Agreement (the “</w:t>
      </w:r>
      <w:r>
        <w:rPr>
          <w:rFonts w:ascii="Arial" w:cs="Arial" w:eastAsia="Arial" w:hAnsi="Arial"/>
          <w:sz w:val="16"/>
          <w:szCs w:val="16"/>
          <w:u w:val="single" w:color="auto"/>
          <w:color w:val="auto"/>
        </w:rPr>
        <w:t>U.S. Security Agreement</w:t>
      </w:r>
      <w:r>
        <w:rPr>
          <w:rFonts w:ascii="Arial" w:cs="Arial" w:eastAsia="Arial" w:hAnsi="Arial"/>
          <w:sz w:val="16"/>
          <w:szCs w:val="16"/>
          <w:color w:val="auto"/>
        </w:rPr>
        <w:t>”) dated as of the date hereof, made by the Company and certain other Loan Parties in favor of the Administrative Agent for the benefit of the Secured Parties specified therein and (b) any other security agreement now or hereafter in effect executed by one or more Loan Parties that are Foreign Subsidiaries in favor of the Administrative Agent for the benefit of any of the Secured Parties, each of which shall be in form and substance satisfactory to the Administrative Agent, in each case as supplemented from time to time by the execution and delivery of Security Joinder Agreements.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40" w:name="page41"/>
    <w:bookmarkEnd w:id="40"/>
    <w:p>
      <w:pPr>
        <w:ind w:right="5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Security Joinder Agreement</w:t>
      </w:r>
      <w:r>
        <w:rPr>
          <w:rFonts w:ascii="Arial" w:cs="Arial" w:eastAsia="Arial" w:hAnsi="Arial"/>
          <w:sz w:val="18"/>
          <w:szCs w:val="18"/>
          <w:color w:val="auto"/>
        </w:rPr>
        <w:t>” means each Security Joinder Agreement, substantially in the form thereof attached to a Security Agreement, executed and delivered by a Restricted Subsidiary to the Administrative Agent.</w:t>
      </w:r>
    </w:p>
    <w:p>
      <w:pPr>
        <w:spacing w:after="0" w:line="170"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Notice Currency</w:t>
      </w:r>
      <w:r>
        <w:rPr>
          <w:rFonts w:ascii="Arial" w:cs="Arial" w:eastAsia="Arial" w:hAnsi="Arial"/>
          <w:sz w:val="18"/>
          <w:szCs w:val="18"/>
          <w:color w:val="auto"/>
        </w:rPr>
        <w:t>” means at any time an Alternative Currency, other than the currency of a country that is a member of the Organization for Economic Cooperation and Development at such time located in North America or Europe.</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Disposition</w:t>
      </w:r>
      <w:r>
        <w:rPr>
          <w:rFonts w:ascii="Arial" w:cs="Arial" w:eastAsia="Arial" w:hAnsi="Arial"/>
          <w:sz w:val="18"/>
          <w:szCs w:val="18"/>
          <w:color w:val="auto"/>
        </w:rPr>
        <w:t>” means any disposition of all or substantially all of the assets or Equity Interests of any Subsidiary of the Company or any division, business unit, product line or line of business.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Existing Capital Leases</w:t>
      </w:r>
      <w:r>
        <w:rPr>
          <w:rFonts w:ascii="Arial" w:cs="Arial" w:eastAsia="Arial" w:hAnsi="Arial"/>
          <w:sz w:val="18"/>
          <w:szCs w:val="18"/>
          <w:color w:val="auto"/>
        </w:rPr>
        <w:t xml:space="preserve">” means those capital leases described on </w:t>
      </w:r>
      <w:r>
        <w:rPr>
          <w:rFonts w:ascii="Arial" w:cs="Arial" w:eastAsia="Arial" w:hAnsi="Arial"/>
          <w:sz w:val="18"/>
          <w:szCs w:val="18"/>
          <w:u w:val="single" w:color="auto"/>
          <w:color w:val="auto"/>
        </w:rPr>
        <w:t>Schedule 1.01A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Transactions</w:t>
      </w:r>
      <w:r>
        <w:rPr>
          <w:rFonts w:ascii="Arial" w:cs="Arial" w:eastAsia="Arial" w:hAnsi="Arial"/>
          <w:sz w:val="18"/>
          <w:szCs w:val="18"/>
          <w:color w:val="auto"/>
        </w:rPr>
        <w:t>” means (a) any Specified Disposition and (b) any Permitted Acquisition.</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Spot Rate</w:t>
      </w:r>
      <w:r>
        <w:rPr>
          <w:rFonts w:ascii="Arial" w:cs="Arial" w:eastAsia="Arial" w:hAnsi="Arial"/>
          <w:sz w:val="17"/>
          <w:szCs w:val="17"/>
          <w:color w:val="auto"/>
        </w:rPr>
        <w:t xml:space="preserve">” for a currency means the rate determined by the Administrative Agent or the applicable L/C Issuer,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or any L/C Issuer may obtain such spot rate from another financial institution designated by the Administrative Agent or any L/C Issuer if the Person acting in such capacity does not have as of the date of determination a spot buying rate for any such currency;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any L/C Issuer may use such spot rate quoted on the date as of which the foreign exchange computation is made in the case of any Letter of Credit denominated in an Alternative Currency.</w:t>
      </w:r>
    </w:p>
    <w:p>
      <w:pPr>
        <w:spacing w:after="0" w:line="17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and “</w:t>
      </w:r>
      <w:r>
        <w:rPr>
          <w:rFonts w:ascii="Arial" w:cs="Arial" w:eastAsia="Arial" w:hAnsi="Arial"/>
          <w:sz w:val="17"/>
          <w:szCs w:val="17"/>
          <w:u w:val="single" w:color="auto"/>
          <w:color w:val="auto"/>
        </w:rPr>
        <w:t>Solvency</w:t>
      </w:r>
      <w:r>
        <w:rPr>
          <w:rFonts w:ascii="Arial" w:cs="Arial" w:eastAsia="Arial" w:hAnsi="Arial"/>
          <w:sz w:val="17"/>
          <w:szCs w:val="17"/>
          <w:color w:val="auto"/>
        </w:rPr>
        <w:t>” mean,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225"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41" w:name="page42"/>
    <w:bookmarkEnd w:id="41"/>
    <w:p>
      <w:pPr>
        <w:ind w:right="2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Subsidiary Guarantors</w:t>
      </w:r>
      <w:r>
        <w:rPr>
          <w:rFonts w:ascii="Arial" w:cs="Arial" w:eastAsia="Arial" w:hAnsi="Arial"/>
          <w:sz w:val="18"/>
          <w:szCs w:val="18"/>
          <w:color w:val="auto"/>
        </w:rPr>
        <w:t>” means, collectively, the Subsidiaries party to a Subsidiary Guaranty (including by execution of a Subsidiary Guaranty Joinder Agreement).</w:t>
      </w:r>
    </w:p>
    <w:p>
      <w:pPr>
        <w:spacing w:after="0" w:line="170"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Guaranties</w:t>
      </w:r>
      <w:r>
        <w:rPr>
          <w:rFonts w:ascii="Arial" w:cs="Arial" w:eastAsia="Arial" w:hAnsi="Arial"/>
          <w:sz w:val="18"/>
          <w:szCs w:val="18"/>
          <w:color w:val="auto"/>
        </w:rPr>
        <w:t>” means, collectively, (a) the Amended and Restated Subsidiary Guaranty Agreement (the “</w:t>
      </w:r>
      <w:r>
        <w:rPr>
          <w:rFonts w:ascii="Arial" w:cs="Arial" w:eastAsia="Arial" w:hAnsi="Arial"/>
          <w:sz w:val="18"/>
          <w:szCs w:val="18"/>
          <w:u w:val="single" w:color="auto"/>
          <w:color w:val="auto"/>
        </w:rPr>
        <w:t>U.S. Subsidiary Guaranty</w:t>
      </w:r>
      <w:r>
        <w:rPr>
          <w:rFonts w:ascii="Arial" w:cs="Arial" w:eastAsia="Arial" w:hAnsi="Arial"/>
          <w:sz w:val="18"/>
          <w:szCs w:val="18"/>
          <w:color w:val="auto"/>
        </w:rPr>
        <w:t>”) dated as of the date hereof, made by certain Restricted Subsidiaries of the Company in favor of the Administrative Agent for the benefit of the Secured Parties specified therein and (b) means any other subsidiary guaranty agreement now or hereafter in effect executed by one or more Loan Parties that are Foreign Subsidiaries in favor of the Administrative Agent for the benefit of any of the Secured Parties, each of which shall be in form and substance satisfactory to the Administrative Agent, in each case as supplemented from time to time by the execution and delivery of Subsidiary Guaranty Joinder Agreements</w:t>
      </w:r>
    </w:p>
    <w:p>
      <w:pPr>
        <w:spacing w:after="0" w:line="193"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Guaranty Joinder Agreement</w:t>
      </w:r>
      <w:r>
        <w:rPr>
          <w:rFonts w:ascii="Arial" w:cs="Arial" w:eastAsia="Arial" w:hAnsi="Arial"/>
          <w:sz w:val="18"/>
          <w:szCs w:val="18"/>
          <w:color w:val="auto"/>
        </w:rPr>
        <w:t>” means each Subsidiary Guaranty Joinder Agreement, substantially in the form thereof attached to a Subsidiary Guaranty, executed and delivered by a Restricted Subsidiary to the Administrative Agent.</w:t>
      </w:r>
    </w:p>
    <w:p>
      <w:pPr>
        <w:spacing w:after="0" w:line="170"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Contract</w:t>
      </w:r>
      <w:r>
        <w:rPr>
          <w:rFonts w:ascii="Arial" w:cs="Arial" w:eastAsia="Arial" w:hAnsi="Arial"/>
          <w:sz w:val="16"/>
          <w:szCs w:val="16"/>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6"/>
          <w:szCs w:val="16"/>
          <w:u w:val="single" w:color="auto"/>
          <w:color w:val="auto"/>
        </w:rPr>
        <w:t>Master Agreement</w:t>
      </w:r>
      <w:r>
        <w:rPr>
          <w:rFonts w:ascii="Arial" w:cs="Arial" w:eastAsia="Arial" w:hAnsi="Arial"/>
          <w:sz w:val="16"/>
          <w:szCs w:val="16"/>
          <w:color w:val="auto"/>
        </w:rPr>
        <w:t>”), including any such obligations or liabilities under any Master Agreement.</w:t>
      </w:r>
    </w:p>
    <w:p>
      <w:pPr>
        <w:spacing w:after="0" w:line="167" w:lineRule="exact"/>
        <w:rPr>
          <w:sz w:val="20"/>
          <w:szCs w:val="20"/>
          <w:color w:val="auto"/>
        </w:rPr>
      </w:pPr>
    </w:p>
    <w:p>
      <w:pPr>
        <w:ind w:right="80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Obligation</w:t>
      </w:r>
      <w:r>
        <w:rPr>
          <w:rFonts w:ascii="Arial" w:cs="Arial" w:eastAsia="Arial" w:hAnsi="Arial"/>
          <w:sz w:val="17"/>
          <w:szCs w:val="17"/>
          <w:color w:val="auto"/>
        </w:rPr>
        <w:t>” means, with respect to any Subsidiary Guarantor, any obligation to pay or perform under any agreement, contract or transaction that constitutes a “swap” within the meaning of Section 1a(47) of the Commodity Exchange Act.</w:t>
      </w:r>
    </w:p>
    <w:p>
      <w:pPr>
        <w:spacing w:after="0" w:line="147" w:lineRule="exact"/>
        <w:rPr>
          <w:sz w:val="20"/>
          <w:szCs w:val="20"/>
          <w:color w:val="auto"/>
        </w:rPr>
      </w:pPr>
    </w:p>
    <w:p>
      <w:pPr>
        <w:ind w:right="280" w:firstLine="441"/>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Arial" w:cs="Arial" w:eastAsia="Arial" w:hAnsi="Arial"/>
          <w:sz w:val="16"/>
          <w:szCs w:val="16"/>
          <w:u w:val="single" w:color="auto"/>
          <w:color w:val="auto"/>
        </w:rPr>
        <w:t>clause (a)</w:t>
      </w:r>
      <w:r>
        <w:rPr>
          <w:rFonts w:ascii="Arial" w:cs="Arial" w:eastAsia="Arial" w:hAnsi="Arial"/>
          <w:sz w:val="16"/>
          <w:szCs w:val="16"/>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Borrowing</w:t>
      </w:r>
      <w:r>
        <w:rPr>
          <w:rFonts w:ascii="Arial" w:cs="Arial" w:eastAsia="Arial" w:hAnsi="Arial"/>
          <w:sz w:val="18"/>
          <w:szCs w:val="18"/>
          <w:color w:val="auto"/>
        </w:rPr>
        <w:t xml:space="preserve">” means a borrowing of a Swing Line Loan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Lender</w:t>
      </w:r>
      <w:r>
        <w:rPr>
          <w:rFonts w:ascii="Arial" w:cs="Arial" w:eastAsia="Arial" w:hAnsi="Arial"/>
          <w:sz w:val="17"/>
          <w:szCs w:val="17"/>
          <w:color w:val="auto"/>
        </w:rPr>
        <w:t>” means Bank of America in its capacity as provider of Swing Line Loans, or any successor swing line lender hereunder.</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 Line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2.04(a)</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42" w:name="page43"/>
    <w:bookmarkEnd w:id="42"/>
    <w:p>
      <w:pPr>
        <w:ind w:right="160"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u w:val="single" w:color="auto"/>
          <w:color w:val="auto"/>
        </w:rPr>
        <w:t>Swing Line Loan Notice</w:t>
      </w:r>
      <w:r>
        <w:rPr>
          <w:rFonts w:ascii="Arial" w:cs="Arial" w:eastAsia="Arial" w:hAnsi="Arial"/>
          <w:sz w:val="16"/>
          <w:szCs w:val="16"/>
          <w:color w:val="auto"/>
        </w:rPr>
        <w:t xml:space="preserve">” means a notice of a Swing Line Borrowing pursuant to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which, if in writing, shall be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Company.</w:t>
      </w:r>
    </w:p>
    <w:p>
      <w:pPr>
        <w:spacing w:after="0" w:line="147" w:lineRule="exact"/>
        <w:rPr>
          <w:sz w:val="20"/>
          <w:szCs w:val="20"/>
          <w:color w:val="auto"/>
        </w:rPr>
      </w:pPr>
    </w:p>
    <w:p>
      <w:pPr>
        <w:ind w:right="104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Swing Line Sublimit</w:t>
      </w:r>
      <w:r>
        <w:rPr>
          <w:rFonts w:ascii="Arial" w:cs="Arial" w:eastAsia="Arial" w:hAnsi="Arial"/>
          <w:sz w:val="17"/>
          <w:szCs w:val="17"/>
          <w:color w:val="auto"/>
        </w:rPr>
        <w:t>” means, at any time, an amount equal to the lesser of (a) $10,000,000 and (b) the Aggregate Revolving Credit Commitments. The Swing Line Sublimit is part of, and not in addition to, the Aggregate Revolving Credit Commitments.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Swiss Franc</w:t>
      </w:r>
      <w:r>
        <w:rPr>
          <w:rFonts w:ascii="Arial" w:cs="Arial" w:eastAsia="Arial" w:hAnsi="Arial"/>
          <w:sz w:val="18"/>
          <w:szCs w:val="18"/>
          <w:color w:val="auto"/>
        </w:rPr>
        <w:t>” means the lawful currency of Switzerland.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Synthetic Lease Obligation</w:t>
      </w:r>
      <w:r>
        <w:rPr>
          <w:rFonts w:ascii="Arial" w:cs="Arial" w:eastAsia="Arial" w:hAnsi="Arial"/>
          <w:sz w:val="16"/>
          <w:szCs w:val="16"/>
          <w:color w:val="auto"/>
        </w:rPr>
        <w:t>” means the monetary obligation of a Person under (a) a so-called synthetic, off-balance sheet or tax retention lease, or</w:t>
      </w:r>
    </w:p>
    <w:p>
      <w:pPr>
        <w:spacing w:after="0" w:line="46" w:lineRule="exact"/>
        <w:rPr>
          <w:sz w:val="20"/>
          <w:szCs w:val="20"/>
          <w:color w:val="auto"/>
        </w:rPr>
      </w:pPr>
    </w:p>
    <w:p>
      <w:pPr>
        <w:ind w:right="240" w:firstLine="4"/>
        <w:spacing w:after="0" w:line="323" w:lineRule="auto"/>
        <w:tabs>
          <w:tab w:leader="none" w:pos="255"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39"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TARGET2</w:t>
      </w:r>
      <w:r>
        <w:rPr>
          <w:rFonts w:ascii="Arial" w:cs="Arial" w:eastAsia="Arial" w:hAnsi="Arial"/>
          <w:sz w:val="18"/>
          <w:szCs w:val="18"/>
          <w:color w:val="auto"/>
        </w:rPr>
        <w:t>” means the Trans-European Automated Real-time Gross Settlement Express Transfer payment system which utilizes a single shared platform and which was launched on November 19, 2007.</w:t>
      </w:r>
    </w:p>
    <w:p>
      <w:pPr>
        <w:spacing w:after="0" w:line="170" w:lineRule="exact"/>
        <w:rPr>
          <w:sz w:val="20"/>
          <w:szCs w:val="20"/>
          <w:color w:val="auto"/>
        </w:rPr>
      </w:pPr>
    </w:p>
    <w:p>
      <w:pPr>
        <w:ind w:right="82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 Day</w:t>
      </w:r>
      <w:r>
        <w:rPr>
          <w:rFonts w:ascii="Arial" w:cs="Arial" w:eastAsia="Arial" w:hAnsi="Arial"/>
          <w:sz w:val="17"/>
          <w:szCs w:val="17"/>
          <w:color w:val="auto"/>
        </w:rPr>
        <w:t>” means any day on which TARGET2 (or, if such payment system ceases to be operative, such other payment system, if any, determined by the Administrative Agent to be a suitable replacement) is open for the settlement of payments in Euro.</w:t>
      </w:r>
    </w:p>
    <w:p>
      <w:pPr>
        <w:spacing w:after="0" w:line="147" w:lineRule="exact"/>
        <w:rPr>
          <w:sz w:val="20"/>
          <w:szCs w:val="20"/>
          <w:color w:val="auto"/>
        </w:rPr>
      </w:pPr>
    </w:p>
    <w:p>
      <w:pPr>
        <w:ind w:right="180" w:firstLine="44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Borrowing</w:t>
      </w:r>
      <w:r>
        <w:rPr>
          <w:rFonts w:ascii="Arial" w:cs="Arial" w:eastAsia="Arial" w:hAnsi="Arial"/>
          <w:sz w:val="18"/>
          <w:szCs w:val="18"/>
          <w:color w:val="auto"/>
        </w:rPr>
        <w:t xml:space="preserve">” means a borrowing consisting of simultaneous Term Loans of the same Type and, in the case of Eurocurrency Rate Loans, having the same Interest Period made by each of the Term Loan Lenders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xml:space="preserve">” means, as to each Lender, its obligation to make a Term Loan to the Company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on the Closing Date in a principal amount not to exceed the amount set forth opposite such Lender’s name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“Term Loan Commitment” or opposite such caption in the Assignment and Assumption pursuant to which such Lender becomes a party hereto, as applicable, as such amount may be adjusted from time to time in accordance with this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Facility</w:t>
      </w:r>
      <w:r>
        <w:rPr>
          <w:rFonts w:ascii="Arial" w:cs="Arial" w:eastAsia="Arial" w:hAnsi="Arial"/>
          <w:sz w:val="18"/>
          <w:szCs w:val="18"/>
          <w:color w:val="auto"/>
        </w:rPr>
        <w:t xml:space="preserve">” means, at any time, the term loan facility provided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Lender</w:t>
      </w:r>
      <w:r>
        <w:rPr>
          <w:rFonts w:ascii="Arial" w:cs="Arial" w:eastAsia="Arial" w:hAnsi="Arial"/>
          <w:sz w:val="18"/>
          <w:szCs w:val="18"/>
          <w:color w:val="auto"/>
        </w:rPr>
        <w:t>” means, at any time, any Lender that has a Term Loan Commitment or an outstanding Term Loan at such time.</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Note</w:t>
      </w:r>
      <w:r>
        <w:rPr>
          <w:rFonts w:ascii="Arial" w:cs="Arial" w:eastAsia="Arial" w:hAnsi="Arial"/>
          <w:sz w:val="18"/>
          <w:szCs w:val="18"/>
          <w:color w:val="auto"/>
        </w:rPr>
        <w:t xml:space="preserve">” means a promissory note made by the Company in favor of a Term Loan Lender evidencing the Term Loan made by such Term Loan Lender, substantially in the form of </w:t>
      </w:r>
      <w:r>
        <w:rPr>
          <w:rFonts w:ascii="Arial" w:cs="Arial" w:eastAsia="Arial" w:hAnsi="Arial"/>
          <w:sz w:val="18"/>
          <w:szCs w:val="18"/>
          <w:u w:val="single" w:color="auto"/>
          <w:color w:val="auto"/>
        </w:rPr>
        <w:t>Exhibit C-2</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$7,500,000.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43" w:name="page44"/>
    <w:bookmarkEnd w:id="43"/>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Total Credit Exposure</w:t>
      </w:r>
      <w:r>
        <w:rPr>
          <w:rFonts w:ascii="Arial" w:cs="Arial" w:eastAsia="Arial" w:hAnsi="Arial"/>
          <w:sz w:val="18"/>
          <w:szCs w:val="18"/>
          <w:color w:val="auto"/>
        </w:rPr>
        <w:t>” means, as to any Lender at any time, the unused Commitments, Revolving Credit Exposure and outstanding Term Loans of such Lender at such time.</w:t>
      </w:r>
    </w:p>
    <w:p>
      <w:pPr>
        <w:spacing w:after="0" w:line="170"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Revolving Credit Outstandings</w:t>
      </w:r>
      <w:r>
        <w:rPr>
          <w:rFonts w:ascii="Arial" w:cs="Arial" w:eastAsia="Arial" w:hAnsi="Arial"/>
          <w:sz w:val="18"/>
          <w:szCs w:val="18"/>
          <w:color w:val="auto"/>
        </w:rPr>
        <w:t>” means the aggregate Outstanding Amount of all Revolving Credit Loans, Swing Line Loans and L/C Obligations.</w:t>
      </w:r>
    </w:p>
    <w:p>
      <w:pPr>
        <w:spacing w:after="0" w:line="170"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Management Agreement</w:t>
      </w:r>
      <w:r>
        <w:rPr>
          <w:rFonts w:ascii="Arial" w:cs="Arial" w:eastAsia="Arial" w:hAnsi="Arial"/>
          <w:sz w:val="18"/>
          <w:szCs w:val="18"/>
          <w:color w:val="auto"/>
        </w:rPr>
        <w:t>” means any treasury management services, autoborrow, sweep or similar agreement entered into between the Company and the Swing Line Lender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means, with respect to a Loan, its character as a Base Rate Loan or a Eurocurrency Rate Loan.</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such other jurisdiction for purposes of the provisions hereof relating to such perfection, effect of perfection or non-perfection or priority.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and “</w:t>
      </w:r>
      <w:r>
        <w:rPr>
          <w:rFonts w:ascii="Arial" w:cs="Arial" w:eastAsia="Arial" w:hAnsi="Arial"/>
          <w:sz w:val="18"/>
          <w:szCs w:val="18"/>
          <w:u w:val="single" w:color="auto"/>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2.03(c)(i)</w:t>
      </w:r>
      <w:r>
        <w:rPr>
          <w:rFonts w:ascii="Arial" w:cs="Arial" w:eastAsia="Arial" w:hAnsi="Arial"/>
          <w:sz w:val="18"/>
          <w:szCs w:val="18"/>
          <w:color w:val="auto"/>
        </w:rPr>
        <w:t>.</w:t>
      </w:r>
    </w:p>
    <w:p>
      <w:pPr>
        <w:spacing w:after="0" w:line="225"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xml:space="preserve">” means any Subsidiary that has been designated as an “Unrestricted Subsidiary”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and has not been re-designated as a Restricted Subsidiary in accordance with such </w:t>
      </w:r>
      <w:r>
        <w:rPr>
          <w:rFonts w:ascii="Arial" w:cs="Arial" w:eastAsia="Arial" w:hAnsi="Arial"/>
          <w:sz w:val="18"/>
          <w:szCs w:val="18"/>
          <w:u w:val="single" w:color="auto"/>
          <w:color w:val="auto"/>
        </w:rPr>
        <w:t>Section 2.18</w:t>
      </w:r>
      <w:r>
        <w:rPr>
          <w:rFonts w:ascii="Arial" w:cs="Arial" w:eastAsia="Arial" w:hAnsi="Arial"/>
          <w:sz w:val="18"/>
          <w:szCs w:val="18"/>
          <w:color w:val="auto"/>
        </w:rPr>
        <w:t>.</w:t>
      </w:r>
    </w:p>
    <w:p>
      <w:pPr>
        <w:spacing w:after="0" w:line="170"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Borrowers</w:t>
      </w:r>
      <w:r>
        <w:rPr>
          <w:rFonts w:ascii="Arial" w:cs="Arial" w:eastAsia="Arial" w:hAnsi="Arial"/>
          <w:sz w:val="18"/>
          <w:szCs w:val="18"/>
          <w:color w:val="auto"/>
        </w:rPr>
        <w:t>” means, collectively, the Company and each Designated Borrower that is a Domestic Subsidiary (other than a Domestic Subsidiary of the type described in clause (b) or (c) of the definition of Foreign Subsidiary).</w:t>
      </w:r>
    </w:p>
    <w:p>
      <w:pPr>
        <w:spacing w:after="0" w:line="170"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Loan Party</w:t>
      </w:r>
      <w:r>
        <w:rPr>
          <w:rFonts w:ascii="Arial" w:cs="Arial" w:eastAsia="Arial" w:hAnsi="Arial"/>
          <w:sz w:val="18"/>
          <w:szCs w:val="18"/>
          <w:color w:val="auto"/>
        </w:rPr>
        <w:t>” means, collectively, each U.S. Borrower and each other Loan Party that is a Domestic Subsidiary (other than a Domestic Subsidiary of the type described in clause (b) or (c) of the definition of Foreign Subsidiary).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Pledge Agreement</w:t>
      </w:r>
      <w:r>
        <w:rPr>
          <w:rFonts w:ascii="Arial" w:cs="Arial" w:eastAsia="Arial" w:hAnsi="Arial"/>
          <w:sz w:val="18"/>
          <w:szCs w:val="18"/>
          <w:color w:val="auto"/>
        </w:rPr>
        <w:t>” has the meaning specified in the definition of Pledge Agreements.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Security Agreement</w:t>
      </w:r>
      <w:r>
        <w:rPr>
          <w:rFonts w:ascii="Arial" w:cs="Arial" w:eastAsia="Arial" w:hAnsi="Arial"/>
          <w:sz w:val="18"/>
          <w:szCs w:val="18"/>
          <w:color w:val="auto"/>
        </w:rPr>
        <w:t>” has the meaning specified in the definition of Security Agreements.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Subsidiary Guaranty</w:t>
      </w:r>
      <w:r>
        <w:rPr>
          <w:rFonts w:ascii="Arial" w:cs="Arial" w:eastAsia="Arial" w:hAnsi="Arial"/>
          <w:sz w:val="18"/>
          <w:szCs w:val="18"/>
          <w:color w:val="auto"/>
        </w:rPr>
        <w:t>” has the meaning specified in the definition of Subsidiary Guaranties.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3.01(e)(ii)(B)(III)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Loan Party and the Administrative Agent.</w:t>
      </w:r>
    </w:p>
    <w:p>
      <w:pPr>
        <w:spacing w:after="0" w:line="225"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20"/>
          </w:cols>
          <w:pgMar w:left="440" w:top="274" w:right="539" w:bottom="1440" w:gutter="0" w:footer="0" w:header="0"/>
        </w:sectPr>
      </w:pPr>
    </w:p>
    <w:bookmarkStart w:id="44" w:name="page45"/>
    <w:bookmarkEnd w:id="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Yen</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Japan.</w:t>
      </w:r>
    </w:p>
    <w:p>
      <w:pPr>
        <w:spacing w:after="0" w:line="221"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b w:val="1"/>
          <w:bCs w:val="1"/>
          <w:color w:val="auto"/>
        </w:rPr>
        <w:t xml:space="preserve">1.02 Other Interpretive Provisions. </w:t>
      </w:r>
      <w:r>
        <w:rPr>
          <w:rFonts w:ascii="Arial" w:cs="Arial" w:eastAsia="Arial" w:hAnsi="Arial"/>
          <w:sz w:val="18"/>
          <w:szCs w:val="18"/>
          <w:color w:val="auto"/>
        </w:rPr>
        <w:t>With reference to this Agreement and each other Loan Document, unless otherwise specified herein or in</w:t>
      </w:r>
      <w:r>
        <w:rPr>
          <w:rFonts w:ascii="Arial" w:cs="Arial" w:eastAsia="Arial" w:hAnsi="Arial"/>
          <w:sz w:val="18"/>
          <w:szCs w:val="18"/>
          <w:b w:val="1"/>
          <w:bCs w:val="1"/>
          <w:color w:val="auto"/>
        </w:rPr>
        <w:t xml:space="preserve"> </w:t>
      </w:r>
      <w:r>
        <w:rPr>
          <w:rFonts w:ascii="Arial" w:cs="Arial" w:eastAsia="Arial" w:hAnsi="Arial"/>
          <w:sz w:val="18"/>
          <w:szCs w:val="18"/>
          <w:color w:val="auto"/>
        </w:rPr>
        <w:t>such other Loan Document:</w:t>
      </w:r>
    </w:p>
    <w:p>
      <w:pPr>
        <w:spacing w:after="0" w:line="58" w:lineRule="exact"/>
        <w:rPr>
          <w:sz w:val="20"/>
          <w:szCs w:val="20"/>
          <w:color w:val="auto"/>
        </w:rPr>
      </w:pPr>
    </w:p>
    <w:p>
      <w:pPr>
        <w:ind w:firstLine="444"/>
        <w:spacing w:after="0" w:line="268" w:lineRule="auto"/>
        <w:tabs>
          <w:tab w:leader="none" w:pos="685"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7"/>
          <w:szCs w:val="17"/>
          <w:u w:val="single" w:color="auto"/>
          <w:color w:val="auto"/>
        </w:rPr>
        <w:t>include</w:t>
      </w:r>
      <w:r>
        <w:rPr>
          <w:rFonts w:ascii="Arial" w:cs="Arial" w:eastAsia="Arial" w:hAnsi="Arial"/>
          <w:sz w:val="17"/>
          <w:szCs w:val="17"/>
          <w:color w:val="auto"/>
        </w:rPr>
        <w:t>,” “</w:t>
      </w:r>
      <w:r>
        <w:rPr>
          <w:rFonts w:ascii="Arial" w:cs="Arial" w:eastAsia="Arial" w:hAnsi="Arial"/>
          <w:sz w:val="17"/>
          <w:szCs w:val="17"/>
          <w:u w:val="single" w:color="auto"/>
          <w:color w:val="auto"/>
        </w:rPr>
        <w:t>includes</w:t>
      </w:r>
      <w:r>
        <w:rPr>
          <w:rFonts w:ascii="Arial" w:cs="Arial" w:eastAsia="Arial" w:hAnsi="Arial"/>
          <w:sz w:val="17"/>
          <w:szCs w:val="17"/>
          <w:color w:val="auto"/>
        </w:rPr>
        <w:t>” and “</w:t>
      </w:r>
      <w:r>
        <w:rPr>
          <w:rFonts w:ascii="Arial" w:cs="Arial" w:eastAsia="Arial" w:hAnsi="Arial"/>
          <w:sz w:val="17"/>
          <w:szCs w:val="17"/>
          <w:u w:val="single" w:color="auto"/>
          <w:color w:val="auto"/>
        </w:rPr>
        <w:t>including</w:t>
      </w:r>
      <w:r>
        <w:rPr>
          <w:rFonts w:ascii="Arial" w:cs="Arial" w:eastAsia="Arial" w:hAnsi="Arial"/>
          <w:sz w:val="17"/>
          <w:szCs w:val="17"/>
          <w:color w:val="auto"/>
        </w:rPr>
        <w:t>” shall be deemed to be followed by the phrase “without limitation.” The word “</w:t>
      </w:r>
      <w:r>
        <w:rPr>
          <w:rFonts w:ascii="Arial" w:cs="Arial" w:eastAsia="Arial" w:hAnsi="Arial"/>
          <w:sz w:val="17"/>
          <w:szCs w:val="17"/>
          <w:u w:val="single" w:color="auto"/>
          <w:color w:val="auto"/>
        </w:rPr>
        <w:t>will</w:t>
      </w:r>
      <w:r>
        <w:rPr>
          <w:rFonts w:ascii="Arial" w:cs="Arial" w:eastAsia="Arial" w:hAnsi="Arial"/>
          <w:sz w:val="17"/>
          <w:szCs w:val="17"/>
          <w:color w:val="auto"/>
        </w:rPr>
        <w:t>” shall be construed to have the same meaning and effect as the word “</w:t>
      </w:r>
      <w:r>
        <w:rPr>
          <w:rFonts w:ascii="Arial" w:cs="Arial" w:eastAsia="Arial" w:hAnsi="Arial"/>
          <w:sz w:val="17"/>
          <w:szCs w:val="17"/>
          <w:u w:val="single" w:color="auto"/>
          <w:color w:val="auto"/>
        </w:rPr>
        <w:t>shall</w:t>
      </w:r>
      <w:r>
        <w:rPr>
          <w:rFonts w:ascii="Arial" w:cs="Arial" w:eastAsia="Arial" w:hAnsi="Arial"/>
          <w:sz w:val="17"/>
          <w:szCs w:val="17"/>
          <w:color w:val="auto"/>
        </w:rPr>
        <w:t>.” Unless the context requires otherwise, (i) any definition of or reference to any agreement, instrument or other document (including any Organization Document) shall be construed as referring to such agreement, instrument or other document as from time to time amended, supplemented or otherwise modified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7"/>
          <w:szCs w:val="17"/>
          <w:u w:val="single" w:color="auto"/>
          <w:color w:val="auto"/>
        </w:rPr>
        <w:t>hereto</w:t>
      </w:r>
      <w:r>
        <w:rPr>
          <w:rFonts w:ascii="Arial" w:cs="Arial" w:eastAsia="Arial" w:hAnsi="Arial"/>
          <w:sz w:val="17"/>
          <w:szCs w:val="17"/>
          <w:color w:val="auto"/>
        </w:rPr>
        <w:t>,” “</w:t>
      </w:r>
      <w:r>
        <w:rPr>
          <w:rFonts w:ascii="Arial" w:cs="Arial" w:eastAsia="Arial" w:hAnsi="Arial"/>
          <w:sz w:val="17"/>
          <w:szCs w:val="17"/>
          <w:u w:val="single" w:color="auto"/>
          <w:color w:val="auto"/>
        </w:rPr>
        <w:t>herein</w:t>
      </w:r>
      <w:r>
        <w:rPr>
          <w:rFonts w:ascii="Arial" w:cs="Arial" w:eastAsia="Arial" w:hAnsi="Arial"/>
          <w:sz w:val="17"/>
          <w:szCs w:val="17"/>
          <w:color w:val="auto"/>
        </w:rPr>
        <w:t>,” “</w:t>
      </w:r>
      <w:r>
        <w:rPr>
          <w:rFonts w:ascii="Arial" w:cs="Arial" w:eastAsia="Arial" w:hAnsi="Arial"/>
          <w:sz w:val="17"/>
          <w:szCs w:val="17"/>
          <w:u w:val="single" w:color="auto"/>
          <w:color w:val="auto"/>
        </w:rPr>
        <w:t>hereof</w:t>
      </w:r>
      <w:r>
        <w:rPr>
          <w:rFonts w:ascii="Arial" w:cs="Arial" w:eastAsia="Arial" w:hAnsi="Arial"/>
          <w:sz w:val="17"/>
          <w:szCs w:val="17"/>
          <w:color w:val="auto"/>
        </w:rPr>
        <w:t>” and “</w:t>
      </w:r>
      <w:r>
        <w:rPr>
          <w:rFonts w:ascii="Arial" w:cs="Arial" w:eastAsia="Arial" w:hAnsi="Arial"/>
          <w:sz w:val="17"/>
          <w:szCs w:val="17"/>
          <w:u w:val="single" w:color="auto"/>
          <w:color w:val="auto"/>
        </w:rPr>
        <w:t>hereunder</w:t>
      </w:r>
      <w:r>
        <w:rPr>
          <w:rFonts w:ascii="Arial" w:cs="Arial" w:eastAsia="Arial" w:hAnsi="Arial"/>
          <w:sz w:val="17"/>
          <w:szCs w:val="17"/>
          <w:color w:val="auto"/>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w:t>
      </w:r>
      <w:r>
        <w:rPr>
          <w:rFonts w:ascii="Arial" w:cs="Arial" w:eastAsia="Arial" w:hAnsi="Arial"/>
          <w:sz w:val="17"/>
          <w:szCs w:val="17"/>
          <w:u w:val="single" w:color="auto"/>
          <w:color w:val="auto"/>
        </w:rPr>
        <w:t>asset</w:t>
      </w:r>
      <w:r>
        <w:rPr>
          <w:rFonts w:ascii="Arial" w:cs="Arial" w:eastAsia="Arial" w:hAnsi="Arial"/>
          <w:sz w:val="17"/>
          <w:szCs w:val="17"/>
          <w:color w:val="auto"/>
        </w:rPr>
        <w:t>” and “</w:t>
      </w:r>
      <w:r>
        <w:rPr>
          <w:rFonts w:ascii="Arial" w:cs="Arial" w:eastAsia="Arial" w:hAnsi="Arial"/>
          <w:sz w:val="17"/>
          <w:szCs w:val="17"/>
          <w:u w:val="single" w:color="auto"/>
          <w:color w:val="auto"/>
        </w:rPr>
        <w:t>property</w:t>
      </w:r>
      <w:r>
        <w:rPr>
          <w:rFonts w:ascii="Arial" w:cs="Arial" w:eastAsia="Arial" w:hAnsi="Arial"/>
          <w:sz w:val="17"/>
          <w:szCs w:val="17"/>
          <w:color w:val="auto"/>
        </w:rPr>
        <w:t>” shall be construed to have the same meaning and effect and to refer to any and all tangible and intangible assets and properties, including cash, securities, accounts and contract rights.</w:t>
      </w:r>
    </w:p>
    <w:p>
      <w:pPr>
        <w:spacing w:after="0" w:line="77" w:lineRule="exact"/>
        <w:rPr>
          <w:rFonts w:ascii="Arial" w:cs="Arial" w:eastAsia="Arial" w:hAnsi="Arial"/>
          <w:sz w:val="17"/>
          <w:szCs w:val="17"/>
          <w:color w:val="auto"/>
        </w:rPr>
      </w:pPr>
    </w:p>
    <w:p>
      <w:pPr>
        <w:ind w:left="700" w:hanging="256"/>
        <w:spacing w:after="0"/>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the computation of periods of time from a specified date to a later specified date, the word “</w:t>
      </w:r>
      <w:r>
        <w:rPr>
          <w:rFonts w:ascii="Arial" w:cs="Arial" w:eastAsia="Arial" w:hAnsi="Arial"/>
          <w:sz w:val="16"/>
          <w:szCs w:val="16"/>
          <w:u w:val="single" w:color="auto"/>
          <w:color w:val="auto"/>
        </w:rPr>
        <w:t>from</w:t>
      </w:r>
      <w:r>
        <w:rPr>
          <w:rFonts w:ascii="Arial" w:cs="Arial" w:eastAsia="Arial" w:hAnsi="Arial"/>
          <w:sz w:val="16"/>
          <w:szCs w:val="16"/>
          <w:color w:val="auto"/>
        </w:rPr>
        <w:t>” means “</w:t>
      </w:r>
      <w:r>
        <w:rPr>
          <w:rFonts w:ascii="Arial" w:cs="Arial" w:eastAsia="Arial" w:hAnsi="Arial"/>
          <w:sz w:val="16"/>
          <w:szCs w:val="16"/>
          <w:u w:val="single" w:color="auto"/>
          <w:color w:val="auto"/>
        </w:rPr>
        <w:t>from and including</w:t>
      </w:r>
      <w:r>
        <w:rPr>
          <w:rFonts w:ascii="Arial" w:cs="Arial" w:eastAsia="Arial" w:hAnsi="Arial"/>
          <w:sz w:val="16"/>
          <w:szCs w:val="16"/>
          <w:color w:val="auto"/>
        </w:rPr>
        <w:t>;” the words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w:t>
      </w:r>
      <w:r>
        <w:rPr>
          <w:rFonts w:ascii="Arial" w:cs="Arial" w:eastAsia="Arial" w:hAnsi="Arial"/>
          <w:sz w:val="18"/>
          <w:szCs w:val="18"/>
          <w:color w:val="auto"/>
        </w:rPr>
        <w:t>” and “</w:t>
      </w:r>
      <w:r>
        <w:rPr>
          <w:rFonts w:ascii="Arial" w:cs="Arial" w:eastAsia="Arial" w:hAnsi="Arial"/>
          <w:sz w:val="18"/>
          <w:szCs w:val="18"/>
          <w:u w:val="single" w:color="auto"/>
          <w:color w:val="auto"/>
        </w:rPr>
        <w:t>until</w:t>
      </w:r>
      <w:r>
        <w:rPr>
          <w:rFonts w:ascii="Arial" w:cs="Arial" w:eastAsia="Arial" w:hAnsi="Arial"/>
          <w:sz w:val="18"/>
          <w:szCs w:val="18"/>
          <w:color w:val="auto"/>
        </w:rPr>
        <w:t>” each mean “</w:t>
      </w:r>
      <w:r>
        <w:rPr>
          <w:rFonts w:ascii="Arial" w:cs="Arial" w:eastAsia="Arial" w:hAnsi="Arial"/>
          <w:sz w:val="18"/>
          <w:szCs w:val="18"/>
          <w:u w:val="single" w:color="auto"/>
          <w:color w:val="auto"/>
        </w:rPr>
        <w:t>to but excluding</w:t>
      </w:r>
      <w:r>
        <w:rPr>
          <w:rFonts w:ascii="Arial" w:cs="Arial" w:eastAsia="Arial" w:hAnsi="Arial"/>
          <w:sz w:val="18"/>
          <w:szCs w:val="18"/>
          <w:color w:val="auto"/>
        </w:rPr>
        <w:t>;” and the word “</w:t>
      </w:r>
      <w:r>
        <w:rPr>
          <w:rFonts w:ascii="Arial" w:cs="Arial" w:eastAsia="Arial" w:hAnsi="Arial"/>
          <w:sz w:val="18"/>
          <w:szCs w:val="18"/>
          <w:u w:val="single" w:color="auto"/>
          <w:color w:val="auto"/>
        </w:rPr>
        <w:t>through</w:t>
      </w:r>
      <w:r>
        <w:rPr>
          <w:rFonts w:ascii="Arial" w:cs="Arial" w:eastAsia="Arial" w:hAnsi="Arial"/>
          <w:sz w:val="18"/>
          <w:szCs w:val="18"/>
          <w:color w:val="auto"/>
        </w:rPr>
        <w:t>” means “</w:t>
      </w:r>
      <w:r>
        <w:rPr>
          <w:rFonts w:ascii="Arial" w:cs="Arial" w:eastAsia="Arial" w:hAnsi="Arial"/>
          <w:sz w:val="18"/>
          <w:szCs w:val="18"/>
          <w:u w:val="single" w:color="auto"/>
          <w:color w:val="auto"/>
        </w:rPr>
        <w:t>to and including</w:t>
      </w:r>
      <w:r>
        <w:rPr>
          <w:rFonts w:ascii="Arial" w:cs="Arial" w:eastAsia="Arial" w:hAnsi="Arial"/>
          <w:sz w:val="18"/>
          <w:szCs w:val="18"/>
          <w:color w:val="auto"/>
        </w:rPr>
        <w:t>.”</w:t>
      </w:r>
    </w:p>
    <w:p>
      <w:pPr>
        <w:spacing w:after="0" w:line="103" w:lineRule="exact"/>
        <w:rPr>
          <w:sz w:val="20"/>
          <w:szCs w:val="20"/>
          <w:color w:val="auto"/>
        </w:rPr>
      </w:pPr>
    </w:p>
    <w:p>
      <w:pPr>
        <w:ind w:right="60" w:firstLine="444"/>
        <w:spacing w:after="0" w:line="277" w:lineRule="auto"/>
        <w:tabs>
          <w:tab w:leader="none" w:pos="685"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62" w:lineRule="exact"/>
        <w:rPr>
          <w:rFonts w:ascii="Arial" w:cs="Arial" w:eastAsia="Arial" w:hAnsi="Arial"/>
          <w:sz w:val="18"/>
          <w:szCs w:val="18"/>
          <w:color w:val="auto"/>
        </w:rPr>
      </w:pPr>
    </w:p>
    <w:p>
      <w:pPr>
        <w:ind w:right="40" w:firstLine="444"/>
        <w:spacing w:after="0" w:line="255" w:lineRule="auto"/>
        <w:tabs>
          <w:tab w:leader="none" w:pos="696"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 or entity).</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1.03 Accounting Terms.</w:t>
      </w:r>
    </w:p>
    <w:p>
      <w:pPr>
        <w:spacing w:after="0" w:line="121" w:lineRule="exact"/>
        <w:rPr>
          <w:sz w:val="20"/>
          <w:szCs w:val="20"/>
          <w:color w:val="auto"/>
        </w:rPr>
      </w:pPr>
    </w:p>
    <w:p>
      <w:pPr>
        <w:ind w:right="140" w:firstLine="444"/>
        <w:spacing w:after="0" w:line="255" w:lineRule="auto"/>
        <w:tabs>
          <w:tab w:leader="none" w:pos="68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as otherwise specifically prescribed herein. Notwithstanding the foregoing, for purposes of determining compliance with any covenant (including the computation of any financial covenant) contained herein, Indebtedness of the Company and its Restricted Subsidiaries shall be deemed to be carried at 100% of the outstanding principal amount thereof, and the effects of FASB ASC 825 and FASB ASC 470-20 on financial liabilities shall be disregarded.</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45" w:name="page46"/>
    <w:bookmarkEnd w:id="45"/>
    <w:p>
      <w:pPr>
        <w:ind w:right="100" w:firstLine="444"/>
        <w:spacing w:after="0" w:line="269" w:lineRule="auto"/>
        <w:tabs>
          <w:tab w:leader="none" w:pos="695"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Changes in GAAP</w:t>
      </w:r>
      <w:r>
        <w:rPr>
          <w:rFonts w:ascii="Arial" w:cs="Arial" w:eastAsia="Arial" w:hAnsi="Arial"/>
          <w:sz w:val="17"/>
          <w:szCs w:val="17"/>
          <w:color w:val="auto"/>
        </w:rPr>
        <w:t xml:space="preserve">. If at any time any change in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Arial" w:cs="Arial" w:eastAsia="Arial" w:hAnsi="Arial"/>
          <w:sz w:val="17"/>
          <w:szCs w:val="17"/>
          <w:u w:val="single" w:color="auto"/>
          <w:color w:val="auto"/>
        </w:rPr>
        <w:t>provided that</w:t>
      </w:r>
      <w:r>
        <w:rPr>
          <w:rFonts w:ascii="Arial" w:cs="Arial" w:eastAsia="Arial" w:hAnsi="Arial"/>
          <w:sz w:val="17"/>
          <w:szCs w:val="17"/>
          <w:color w:val="auto"/>
        </w:rPr>
        <w: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(including, for the avoidance of doubt, as a result of new set of standards in FASB ASC 842), unless the parties hereto shall enter into a mutually acceptable amendment addressing such changes, as provided for above (it being understood that until so amended, the Company shall comply with the proviso to the immediately preceding sentence).</w:t>
      </w:r>
    </w:p>
    <w:p>
      <w:pPr>
        <w:spacing w:after="0" w:line="74" w:lineRule="exact"/>
        <w:rPr>
          <w:rFonts w:ascii="Arial" w:cs="Arial" w:eastAsia="Arial" w:hAnsi="Arial"/>
          <w:sz w:val="17"/>
          <w:szCs w:val="17"/>
          <w:color w:val="auto"/>
        </w:rPr>
      </w:pPr>
    </w:p>
    <w:p>
      <w:pPr>
        <w:jc w:val="both"/>
        <w:ind w:right="60" w:firstLine="444"/>
        <w:spacing w:after="0" w:line="259" w:lineRule="auto"/>
        <w:tabs>
          <w:tab w:leader="none" w:pos="68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Entities</w:t>
      </w:r>
      <w:r>
        <w:rPr>
          <w:rFonts w:ascii="Arial" w:cs="Arial" w:eastAsia="Arial" w:hAnsi="Arial"/>
          <w:sz w:val="18"/>
          <w:szCs w:val="18"/>
          <w:color w:val="auto"/>
        </w:rPr>
        <w:t>.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FASB ASC 810 as if such variable interest entity were a Subsidiary as defined herein.</w:t>
      </w:r>
    </w:p>
    <w:p>
      <w:pPr>
        <w:spacing w:after="0" w:line="183" w:lineRule="exact"/>
        <w:rPr>
          <w:sz w:val="20"/>
          <w:szCs w:val="20"/>
          <w:color w:val="auto"/>
        </w:rPr>
      </w:pPr>
    </w:p>
    <w:p>
      <w:pPr>
        <w:ind w:right="100" w:firstLine="441"/>
        <w:spacing w:after="0" w:line="289" w:lineRule="auto"/>
        <w:rPr>
          <w:sz w:val="20"/>
          <w:szCs w:val="20"/>
          <w:color w:val="auto"/>
        </w:rPr>
      </w:pPr>
      <w:r>
        <w:rPr>
          <w:rFonts w:ascii="Arial" w:cs="Arial" w:eastAsia="Arial" w:hAnsi="Arial"/>
          <w:sz w:val="17"/>
          <w:szCs w:val="17"/>
          <w:b w:val="1"/>
          <w:bCs w:val="1"/>
          <w:color w:val="auto"/>
        </w:rPr>
        <w:t xml:space="preserve">1.04 Rounding. </w:t>
      </w:r>
      <w:r>
        <w:rPr>
          <w:rFonts w:ascii="Arial" w:cs="Arial" w:eastAsia="Arial" w:hAnsi="Arial"/>
          <w:sz w:val="17"/>
          <w:szCs w:val="17"/>
          <w:color w:val="auto"/>
        </w:rPr>
        <w:t>Any financial ratios required to be maintained by the Company pursuant to this Agreement shall be calculated by dividing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58"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b w:val="1"/>
          <w:bCs w:val="1"/>
          <w:color w:val="auto"/>
        </w:rPr>
        <w:t xml:space="preserve">1.05 Times of Day. </w:t>
      </w:r>
      <w:r>
        <w:rPr>
          <w:rFonts w:ascii="Arial" w:cs="Arial" w:eastAsia="Arial" w:hAnsi="Arial"/>
          <w:sz w:val="18"/>
          <w:szCs w:val="18"/>
          <w:color w:val="auto"/>
        </w:rPr>
        <w:t>Unless otherwise specified, all references herein to times of day shall be references to Eastern time (daylight or standard,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w:t>
      </w:r>
    </w:p>
    <w:p>
      <w:pPr>
        <w:spacing w:after="0" w:line="162"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b w:val="1"/>
          <w:bCs w:val="1"/>
          <w:color w:val="auto"/>
        </w:rPr>
        <w:t xml:space="preserve">1.06 Letter of Credit Amounts. </w:t>
      </w:r>
      <w:r>
        <w:rPr>
          <w:rFonts w:ascii="Arial" w:cs="Arial" w:eastAsia="Arial" w:hAnsi="Arial"/>
          <w:sz w:val="18"/>
          <w:szCs w:val="18"/>
          <w:color w:val="auto"/>
        </w:rPr>
        <w:t>Unless otherwise specified herein, the amount of a Letter of Credit at any time shall be deemed to be the Dollar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Equivalent of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4" w:lineRule="exact"/>
        <w:rPr>
          <w:sz w:val="20"/>
          <w:szCs w:val="20"/>
          <w:color w:val="auto"/>
        </w:rPr>
      </w:pPr>
    </w:p>
    <w:p>
      <w:pPr>
        <w:ind w:right="120" w:firstLine="441"/>
        <w:spacing w:after="0" w:line="261" w:lineRule="auto"/>
        <w:rPr>
          <w:sz w:val="20"/>
          <w:szCs w:val="20"/>
          <w:color w:val="auto"/>
        </w:rPr>
      </w:pPr>
      <w:r>
        <w:rPr>
          <w:rFonts w:ascii="Arial" w:cs="Arial" w:eastAsia="Arial" w:hAnsi="Arial"/>
          <w:sz w:val="18"/>
          <w:szCs w:val="18"/>
          <w:b w:val="1"/>
          <w:bCs w:val="1"/>
          <w:color w:val="auto"/>
        </w:rPr>
        <w:t xml:space="preserve">1.07 Adjustments for Specified Transactions. </w:t>
      </w:r>
      <w:r>
        <w:rPr>
          <w:rFonts w:ascii="Arial" w:cs="Arial" w:eastAsia="Arial" w:hAnsi="Arial"/>
          <w:sz w:val="18"/>
          <w:szCs w:val="18"/>
          <w:color w:val="auto"/>
        </w:rPr>
        <w:t>For each four-quarter period ending next following the date of any Specified Transaction,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determining the Consolidated Net Leverage Ratio, Consolidated EBITDA shall be computed as if such Specified Transaction (and all other Specified Transactions that have been consummated during the applicable period) occurred as of the first day of the applicable period of measurement and: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46" w:name="page47"/>
    <w:bookmarkEnd w:id="46"/>
    <w:p>
      <w:pPr>
        <w:ind w:right="80" w:firstLine="444"/>
        <w:spacing w:after="0" w:line="302" w:lineRule="auto"/>
        <w:tabs>
          <w:tab w:leader="none" w:pos="685"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income statement items (whether positive or negative) attributable to the property or person disposed of in a Specified Disposition shall be excluded and all income statement items (whether positive or negative) attributable to the property or person acquired in a Permitted Acquisition shall be included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income statement items to be included are reflected in financial statements or other financial data reasonably acceptable to the Administrative Agent and based upon reasonable assumptions and calculations which are expected to have a continuous impact); and</w:t>
      </w:r>
    </w:p>
    <w:p>
      <w:pPr>
        <w:spacing w:after="0" w:line="46" w:lineRule="exact"/>
        <w:rPr>
          <w:rFonts w:ascii="Arial" w:cs="Arial" w:eastAsia="Arial" w:hAnsi="Arial"/>
          <w:sz w:val="16"/>
          <w:szCs w:val="16"/>
          <w:color w:val="auto"/>
        </w:rPr>
      </w:pPr>
    </w:p>
    <w:p>
      <w:pPr>
        <w:ind w:right="40" w:firstLine="444"/>
        <w:spacing w:after="0" w:line="277" w:lineRule="auto"/>
        <w:tabs>
          <w:tab w:leader="none" w:pos="6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non-recurring costs, extraordinary expenses and other pro forma adjustments attributable to such transaction may be included to the extent that such costs, expenses or adjustments:</w:t>
      </w:r>
    </w:p>
    <w:p>
      <w:pPr>
        <w:spacing w:after="0" w:line="62" w:lineRule="exact"/>
        <w:rPr>
          <w:rFonts w:ascii="Arial" w:cs="Arial" w:eastAsia="Arial" w:hAnsi="Arial"/>
          <w:sz w:val="18"/>
          <w:szCs w:val="18"/>
          <w:color w:val="auto"/>
        </w:rPr>
      </w:pPr>
    </w:p>
    <w:p>
      <w:pPr>
        <w:ind w:left="440" w:right="440" w:firstLine="428"/>
        <w:spacing w:after="0" w:line="277" w:lineRule="auto"/>
        <w:tabs>
          <w:tab w:leader="none" w:pos="107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are reasonably expected to be realized within twelve (12) months of such Specified Transaction as set forth in reasonable detail on a certificate of a Responsible Officer of the Company delivered to the Administrative Agent; and</w:t>
      </w:r>
    </w:p>
    <w:p>
      <w:pPr>
        <w:spacing w:after="0" w:line="62" w:lineRule="exact"/>
        <w:rPr>
          <w:rFonts w:ascii="Arial" w:cs="Arial" w:eastAsia="Arial" w:hAnsi="Arial"/>
          <w:sz w:val="18"/>
          <w:szCs w:val="18"/>
          <w:color w:val="auto"/>
        </w:rPr>
      </w:pPr>
    </w:p>
    <w:p>
      <w:pPr>
        <w:ind w:left="1140" w:hanging="272"/>
        <w:spacing w:after="0"/>
        <w:tabs>
          <w:tab w:leader="none" w:pos="11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are calculated on a basis consistent with GAAP and Regulation S-X of the Securities Exchange Act of 1934;</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costs, expenses and adjustments shall be without duplication of any costs, expenses or adjustments that are already included in the calculation of Consolidated EBITDA or clause (a) above.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1.08 Exchange Rates; Currency Equivalents.</w:t>
      </w:r>
    </w:p>
    <w:p>
      <w:pPr>
        <w:spacing w:after="0" w:line="121" w:lineRule="exact"/>
        <w:rPr>
          <w:sz w:val="20"/>
          <w:szCs w:val="20"/>
          <w:color w:val="auto"/>
        </w:rPr>
      </w:pPr>
    </w:p>
    <w:p>
      <w:pPr>
        <w:ind w:firstLine="444"/>
        <w:spacing w:after="0" w:line="293" w:lineRule="auto"/>
        <w:tabs>
          <w:tab w:leader="none" w:pos="685"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Administrative Agent or the applicable L/C Issuer, as applicable,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financial covenants hereunder or except as otherwise provided herein, the applicable amount of any currency (other than Dollars) for purposes of the Loan Documents shall be such Dollar Equivalent amount as so determined by the Administrative Agent or the applicable L/C Issuer, as applicable.</w:t>
      </w:r>
    </w:p>
    <w:p>
      <w:pPr>
        <w:spacing w:after="0" w:line="56" w:lineRule="exact"/>
        <w:rPr>
          <w:rFonts w:ascii="Arial" w:cs="Arial" w:eastAsia="Arial" w:hAnsi="Arial"/>
          <w:sz w:val="16"/>
          <w:szCs w:val="16"/>
          <w:color w:val="auto"/>
        </w:rPr>
      </w:pPr>
    </w:p>
    <w:p>
      <w:pPr>
        <w:ind w:right="40" w:firstLine="444"/>
        <w:spacing w:after="0" w:line="276" w:lineRule="auto"/>
        <w:tabs>
          <w:tab w:leader="none" w:pos="696" w:val="left"/>
        </w:tabs>
        <w:numPr>
          <w:ilvl w:val="0"/>
          <w:numId w:val="44"/>
        </w:numPr>
        <w:rPr>
          <w:rFonts w:ascii="Arial" w:cs="Arial" w:eastAsia="Arial" w:hAnsi="Arial"/>
          <w:sz w:val="17"/>
          <w:szCs w:val="17"/>
          <w:color w:val="auto"/>
        </w:rPr>
      </w:pPr>
      <w:r>
        <w:rPr>
          <w:rFonts w:ascii="Arial" w:cs="Arial" w:eastAsia="Arial" w:hAnsi="Arial"/>
          <w:sz w:val="17"/>
          <w:szCs w:val="17"/>
          <w:color w:val="auto"/>
        </w:rPr>
        <w:t>Wherever in this Agreement in connection with a Revolving Credit Borrowing, conversion, continuation or prepayment of a Eurocurrency Rate Loan or the issuance, amendment or extension of a Letter of Credit, an amount, such as a required minimum or multiple amount, is expressed in Dollars, but such Revolving Credit Borrowing, Eurocurrency Rate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L/C Issuer, as the case may be.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1.09 Additional Alternative Currencies.</w:t>
      </w:r>
    </w:p>
    <w:p>
      <w:pPr>
        <w:spacing w:after="0" w:line="121" w:lineRule="exact"/>
        <w:rPr>
          <w:sz w:val="20"/>
          <w:szCs w:val="20"/>
          <w:color w:val="auto"/>
        </w:rPr>
      </w:pPr>
    </w:p>
    <w:p>
      <w:pPr>
        <w:ind w:right="20" w:firstLine="444"/>
        <w:spacing w:after="0" w:line="254" w:lineRule="auto"/>
        <w:tabs>
          <w:tab w:leader="none" w:pos="685"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The Company may from time to time request that Eurocurrency Rate Loans that are Revolving Credit Loans be made and/or Letters of Credit be issued in a currency other than those specifically listed in the definition of “Alternative Currency;”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requested currency is a lawful currency (other than Dollars) that is readily available and freely transferable and convertible into Dollars. In the case of any such request with respect to the making of Eurocurrency Rate Loans that are Revolving Credit Loans, such request shall be subject to the approval of the Administrative Agent and the Revolving Credit Lenders; and in the case of any such request with respect to the issuance of Letters of Credit, such request shall be subject to the approval of the Administrative Agent and at least one of the L/C Issuers (it being acknowledged and agreed that no L/C Issuer shall be obligated to issue any Letter of Credit denominated in a currency requested by the Company pursuant to this </w:t>
      </w:r>
      <w:r>
        <w:rPr>
          <w:rFonts w:ascii="Arial" w:cs="Arial" w:eastAsia="Arial" w:hAnsi="Arial"/>
          <w:sz w:val="18"/>
          <w:szCs w:val="18"/>
          <w:u w:val="single" w:color="auto"/>
          <w:color w:val="auto"/>
        </w:rPr>
        <w:t>Section 1.09(a)</w:t>
      </w:r>
      <w:r>
        <w:rPr>
          <w:rFonts w:ascii="Arial" w:cs="Arial" w:eastAsia="Arial" w:hAnsi="Arial"/>
          <w:sz w:val="18"/>
          <w:szCs w:val="18"/>
          <w:color w:val="auto"/>
        </w:rPr>
        <w:t xml:space="preserve"> if such currency has not been approved by such L/C Issuer).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47" w:name="page48"/>
    <w:bookmarkEnd w:id="47"/>
    <w:p>
      <w:pPr>
        <w:ind w:left="-20" w:right="20" w:firstLine="444"/>
        <w:spacing w:after="0" w:line="290" w:lineRule="auto"/>
        <w:tabs>
          <w:tab w:leader="none" w:pos="676"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such request shall be made to the Administrative Agent not later than 11:00 a.m., twenty (20) Business Days prior to the date of the desired Credit Extension (or such other time or date as may be agreed by the Administrative Agent and, in the case of any such request pertaining to Letters of Credit, the L/C Issuers, in its or their sole discretion). In the case of any such request pertaining to Eurocurrency Rate Loans that are Revolving Credit Loans, the Administrative Agent shall promptly notify each Revolving Credit Lender thereof; and in the case of any such request pertaining to Letters of Credit, the Administrative Agent shall promptly notify the L/C Issuers thereof. Each Revolving Credit Lender (in the case of any such request pertaining to Eurocurrency Rate Loans) or each L/C Issuer (in the case of a request pertaining to Letters of Credit) shall notify the Administrative Agent, not later than 11:00 a.m., ten (10) Business Days after receipt of such request whether it consents, in its sole discretion, to the making of Eurocurrency Rate Loans or the issuance of Letters of Credit, as the case may be, in such requested currency.</w:t>
      </w:r>
    </w:p>
    <w:p>
      <w:pPr>
        <w:spacing w:after="0" w:line="58" w:lineRule="exact"/>
        <w:rPr>
          <w:rFonts w:ascii="Arial" w:cs="Arial" w:eastAsia="Arial" w:hAnsi="Arial"/>
          <w:sz w:val="16"/>
          <w:szCs w:val="16"/>
          <w:color w:val="auto"/>
        </w:rPr>
      </w:pPr>
    </w:p>
    <w:p>
      <w:pPr>
        <w:ind w:left="-20" w:right="60" w:firstLine="444"/>
        <w:spacing w:after="0" w:line="289" w:lineRule="auto"/>
        <w:tabs>
          <w:tab w:leader="none" w:pos="665"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Any failure by a Revolving Credit Lender or an L/C Issuer, as the case may be, to respond to such request within the time period specified in the last sentence of </w:t>
      </w:r>
      <w:r>
        <w:rPr>
          <w:rFonts w:ascii="Arial" w:cs="Arial" w:eastAsia="Arial" w:hAnsi="Arial"/>
          <w:sz w:val="16"/>
          <w:szCs w:val="16"/>
          <w:u w:val="single" w:color="auto"/>
          <w:color w:val="auto"/>
        </w:rPr>
        <w:t>Section 1.09(b)</w:t>
      </w:r>
      <w:r>
        <w:rPr>
          <w:rFonts w:ascii="Arial" w:cs="Arial" w:eastAsia="Arial" w:hAnsi="Arial"/>
          <w:sz w:val="16"/>
          <w:szCs w:val="16"/>
          <w:color w:val="auto"/>
        </w:rPr>
        <w:t xml:space="preserve"> shall be deemed to be a refusal by such Lender or such L/C Issuer, as the case may be, to permit Eurocurrency Rate Loans to be made or Letters of Credit to be issued in such requested currency. If the Administrative Agent and all the Revolving Credit Lenders consent to making Eurocurrency Rate Loans in such requested currency, the Administrative Agent shall so notify the Company and such currency shall thereupon be deemed for all purposes to be an Alternative Currency hereunder for purposes of any Revolving Credit Borrowings of Eurocurrency Rate Loans; and if the Administrative Agent and at least one of the L/C Issuers consent to the issuance of Letters of Credit in such requested currency, the Administrative Agent shall so notify the Company and such currency shall thereupon be deemed for all purposes to be an Alternative Currency hereunder for purposes of any Letter of Credit issuances by the consenting L/C Issuers. If the Administrative Agent shall fail to obtain consent to any request for an additional currency under this </w:t>
      </w:r>
      <w:r>
        <w:rPr>
          <w:rFonts w:ascii="Arial" w:cs="Arial" w:eastAsia="Arial" w:hAnsi="Arial"/>
          <w:sz w:val="16"/>
          <w:szCs w:val="16"/>
          <w:u w:val="single" w:color="auto"/>
          <w:color w:val="auto"/>
        </w:rPr>
        <w:t>Section 1.09</w:t>
      </w:r>
      <w:r>
        <w:rPr>
          <w:rFonts w:ascii="Arial" w:cs="Arial" w:eastAsia="Arial" w:hAnsi="Arial"/>
          <w:sz w:val="16"/>
          <w:szCs w:val="16"/>
          <w:color w:val="auto"/>
        </w:rPr>
        <w:t>, the Administrative Agent shall promptly so notify the Company.</w:t>
      </w:r>
    </w:p>
    <w:p>
      <w:pPr>
        <w:spacing w:after="0" w:line="16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1.10 Change of Currency.</w:t>
      </w:r>
    </w:p>
    <w:p>
      <w:pPr>
        <w:spacing w:after="0" w:line="121" w:lineRule="exact"/>
        <w:rPr>
          <w:sz w:val="20"/>
          <w:szCs w:val="20"/>
          <w:color w:val="auto"/>
        </w:rPr>
      </w:pPr>
    </w:p>
    <w:p>
      <w:pPr>
        <w:ind w:left="-20" w:firstLine="444"/>
        <w:spacing w:after="0" w:line="272" w:lineRule="auto"/>
        <w:tabs>
          <w:tab w:leader="none" w:pos="665"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Each obligation of the Borrowers to make a payment denominated in the national currency unit of any member state of the European Union that adopts the Euro as its lawful currency after the date hereof shall be redenominated into Euro at the time of such adoption.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Revolving Credit Borrowing in the currency of such member state is outstanding immediately prior to such date, such replacement shall take effect, with respect to such Revolving Credit Borrowing, at the end of the then current Interest Period.</w:t>
      </w:r>
    </w:p>
    <w:p>
      <w:pPr>
        <w:spacing w:after="0" w:line="69" w:lineRule="exact"/>
        <w:rPr>
          <w:rFonts w:ascii="Arial" w:cs="Arial" w:eastAsia="Arial" w:hAnsi="Arial"/>
          <w:sz w:val="17"/>
          <w:szCs w:val="17"/>
          <w:color w:val="auto"/>
        </w:rPr>
      </w:pPr>
    </w:p>
    <w:p>
      <w:pPr>
        <w:ind w:left="-20" w:right="220" w:firstLine="444"/>
        <w:spacing w:after="0" w:line="264" w:lineRule="auto"/>
        <w:tabs>
          <w:tab w:leader="none" w:pos="6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Administrative Agent may from time to time reasonably specify to be appropriate to reflect the adoption of the Euro by any member state of the European Union and any relevant market conventions or practices relating to the Euro.</w:t>
      </w:r>
    </w:p>
    <w:p>
      <w:pPr>
        <w:spacing w:after="0" w:line="73" w:lineRule="exact"/>
        <w:rPr>
          <w:rFonts w:ascii="Arial" w:cs="Arial" w:eastAsia="Arial" w:hAnsi="Arial"/>
          <w:sz w:val="18"/>
          <w:szCs w:val="18"/>
          <w:color w:val="auto"/>
        </w:rPr>
      </w:pPr>
    </w:p>
    <w:p>
      <w:pPr>
        <w:ind w:left="-20" w:right="80" w:firstLine="444"/>
        <w:spacing w:after="0" w:line="264" w:lineRule="auto"/>
        <w:tabs>
          <w:tab w:leader="none" w:pos="6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60" w:top="274" w:right="459" w:bottom="1440" w:gutter="0" w:footer="0" w:header="0"/>
        </w:sectPr>
      </w:pPr>
    </w:p>
    <w:bookmarkStart w:id="48" w:name="page49"/>
    <w:bookmarkEnd w:id="48"/>
    <w:p>
      <w:pPr>
        <w:ind w:right="20" w:firstLine="441"/>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1.11 Interest Rates. </w:t>
      </w:r>
      <w:r>
        <w:rPr>
          <w:rFonts w:ascii="Arial" w:cs="Arial" w:eastAsia="Arial" w:hAnsi="Arial"/>
          <w:sz w:val="18"/>
          <w:szCs w:val="18"/>
          <w:color w:val="auto"/>
        </w:rPr>
        <w:t>The Administrative Agent does not warrant, nor accept responsibility, nor shall the Administrative Agent have any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administration, submission or any other matter related to the rates in the definition of “Eurocurrency Rate” or with respect to any rate that is an alternative or replacement for or successor to any such rate (including, without limitation, any LIBOR Successor Rate) or the effect of any of the foregoing, or of any LIBOR Successor Rate Conforming Changes.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COMMITMENTS AND CREDIT EXTENSIONS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2.01 Loans.</w:t>
      </w:r>
    </w:p>
    <w:p>
      <w:pPr>
        <w:spacing w:after="0" w:line="121" w:lineRule="exact"/>
        <w:rPr>
          <w:sz w:val="20"/>
          <w:szCs w:val="20"/>
          <w:color w:val="auto"/>
        </w:rPr>
      </w:pPr>
    </w:p>
    <w:p>
      <w:pPr>
        <w:ind w:right="20" w:firstLine="444"/>
        <w:spacing w:after="0" w:line="269" w:lineRule="auto"/>
        <w:tabs>
          <w:tab w:leader="none" w:pos="685"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Revolving Credit Borrowings</w:t>
      </w:r>
      <w:r>
        <w:rPr>
          <w:rFonts w:ascii="Arial" w:cs="Arial" w:eastAsia="Arial" w:hAnsi="Arial"/>
          <w:sz w:val="17"/>
          <w:szCs w:val="17"/>
          <w:color w:val="auto"/>
        </w:rPr>
        <w:t>. Subject to the terms and conditions set forth herein, each Revolving Credit Lender severally agrees to make loans (each such loan, a “</w:t>
      </w:r>
      <w:r>
        <w:rPr>
          <w:rFonts w:ascii="Arial" w:cs="Arial" w:eastAsia="Arial" w:hAnsi="Arial"/>
          <w:sz w:val="17"/>
          <w:szCs w:val="17"/>
          <w:u w:val="single" w:color="auto"/>
          <w:color w:val="auto"/>
        </w:rPr>
        <w:t>Revolving Credit Loan</w:t>
      </w:r>
      <w:r>
        <w:rPr>
          <w:rFonts w:ascii="Arial" w:cs="Arial" w:eastAsia="Arial" w:hAnsi="Arial"/>
          <w:sz w:val="17"/>
          <w:szCs w:val="17"/>
          <w:color w:val="auto"/>
        </w:rPr>
        <w:t xml:space="preserve">”) to the Borrowers, in Dollars or in one or more Alternative Currencies, from time to time, on any Business Day during the Availability Period, in an aggregate amount not to exceed at any time outstanding the amount of such Lender’s Revolving Credit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after giving effect to any Revolving Credit Borrowing, (i) the Total Revolving Credit Outstandings shall not exceed the Aggregate Revolving Credit Commitments, (ii) the Revolving Credit Exposure of any Revolving Credit Lender shall not exceed such Lender’s Revolving Credit Commitment, (iii) the aggregate Outstanding Amount of all Revolving Credit Loans made to Designated Borrowers that are not U.S. Borrowers shall not exceed, when taken together with the aggregate outstanding amount of Additional Term Loans made to Designated Borrowers that are not U.S. Borrowers, the Designated Non-U.S. Borrower Sublimit and (iv) the aggregate Outstanding Amount of all Revolving Credit Loans denominated in Alternative Currencies shall not exceed the Alternative Currency Sublimit. Within the limits of each Revolving Credit Lender’s Revolving Credit Commitment, and subject to the other terms and conditions hereof, the Borrowers may borrow under this </w:t>
      </w:r>
      <w:r>
        <w:rPr>
          <w:rFonts w:ascii="Arial" w:cs="Arial" w:eastAsia="Arial" w:hAnsi="Arial"/>
          <w:sz w:val="17"/>
          <w:szCs w:val="17"/>
          <w:u w:val="single" w:color="auto"/>
          <w:color w:val="auto"/>
        </w:rPr>
        <w:t>Section 2.01(a)</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2.01(a)</w:t>
      </w:r>
      <w:r>
        <w:rPr>
          <w:rFonts w:ascii="Arial" w:cs="Arial" w:eastAsia="Arial" w:hAnsi="Arial"/>
          <w:sz w:val="17"/>
          <w:szCs w:val="17"/>
          <w:color w:val="auto"/>
        </w:rPr>
        <w:t>. Revolving Credit Loans may be Base Rate Loans or Eurocurrency Rate Loans, as further provided herein.</w:t>
      </w:r>
    </w:p>
    <w:p>
      <w:pPr>
        <w:spacing w:after="0" w:line="71" w:lineRule="exact"/>
        <w:rPr>
          <w:rFonts w:ascii="Arial" w:cs="Arial" w:eastAsia="Arial" w:hAnsi="Arial"/>
          <w:sz w:val="17"/>
          <w:szCs w:val="17"/>
          <w:color w:val="auto"/>
        </w:rPr>
      </w:pPr>
    </w:p>
    <w:p>
      <w:pPr>
        <w:ind w:right="20" w:firstLine="444"/>
        <w:spacing w:after="0" w:line="259" w:lineRule="auto"/>
        <w:tabs>
          <w:tab w:leader="none" w:pos="69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Term Loan Borrowing</w:t>
      </w:r>
      <w:r>
        <w:rPr>
          <w:rFonts w:ascii="Arial" w:cs="Arial" w:eastAsia="Arial" w:hAnsi="Arial"/>
          <w:sz w:val="18"/>
          <w:szCs w:val="18"/>
          <w:color w:val="auto"/>
        </w:rPr>
        <w:t>. Subject to the terms and conditions set forth herein, each Term Loan Lender severally agrees to make a single loan (each such loan, a “</w:t>
      </w:r>
      <w:r>
        <w:rPr>
          <w:rFonts w:ascii="Arial" w:cs="Arial" w:eastAsia="Arial" w:hAnsi="Arial"/>
          <w:sz w:val="18"/>
          <w:szCs w:val="18"/>
          <w:u w:val="single" w:color="auto"/>
          <w:color w:val="auto"/>
        </w:rPr>
        <w:t>Term Loan</w:t>
      </w:r>
      <w:r>
        <w:rPr>
          <w:rFonts w:ascii="Arial" w:cs="Arial" w:eastAsia="Arial" w:hAnsi="Arial"/>
          <w:sz w:val="18"/>
          <w:szCs w:val="18"/>
          <w:color w:val="auto"/>
        </w:rPr>
        <w:t xml:space="preserve">”) to the Company, in Dollars, on the Closing Date in an amount not to exceed such Lender’s Term Loan Commitment. Amounts borrowed under this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and repaid or prepaid may not be reborrowed. Term Loans may be Base Rate Loans or Eurocurrency Rate Loans, as further provided herein.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2.02 Borrowings, Conversions and Continuations of Loans.</w:t>
      </w:r>
    </w:p>
    <w:p>
      <w:pPr>
        <w:spacing w:after="0" w:line="121" w:lineRule="exact"/>
        <w:rPr>
          <w:sz w:val="20"/>
          <w:szCs w:val="20"/>
          <w:color w:val="auto"/>
        </w:rPr>
      </w:pPr>
    </w:p>
    <w:p>
      <w:pPr>
        <w:ind w:firstLine="444"/>
        <w:spacing w:after="0" w:line="291" w:lineRule="auto"/>
        <w:tabs>
          <w:tab w:leader="none" w:pos="685" w:val="left"/>
        </w:tabs>
        <w:numPr>
          <w:ilvl w:val="1"/>
          <w:numId w:val="49"/>
        </w:numPr>
        <w:rPr>
          <w:rFonts w:ascii="Arial" w:cs="Arial" w:eastAsia="Arial" w:hAnsi="Arial"/>
          <w:sz w:val="16"/>
          <w:szCs w:val="16"/>
          <w:color w:val="auto"/>
        </w:rPr>
      </w:pPr>
      <w:r>
        <w:rPr>
          <w:rFonts w:ascii="Arial" w:cs="Arial" w:eastAsia="Arial" w:hAnsi="Arial"/>
          <w:sz w:val="16"/>
          <w:szCs w:val="16"/>
          <w:color w:val="auto"/>
        </w:rPr>
        <w:t>Each Revolving Credit Borrowing, each Term Loan Borrowing, each conversion of Loans from one Type to the other, and each continuation of Eurocurrency Rate Loans shall be made upon the Company’s irrevocable notice to the Administrative Agent, which may be given by: (A) telephone or</w:t>
      </w:r>
    </w:p>
    <w:p>
      <w:pPr>
        <w:ind w:left="280" w:hanging="276"/>
        <w:spacing w:after="0"/>
        <w:tabs>
          <w:tab w:leader="none" w:pos="2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a Loan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telephonic notice must be confirmed promptly by delivery to the Administrative Agent of a Loan Notice. Each</w:t>
      </w:r>
    </w:p>
    <w:p>
      <w:pPr>
        <w:spacing w:after="0" w:line="20" w:lineRule="exact"/>
        <w:rPr>
          <w:rFonts w:ascii="Arial" w:cs="Arial" w:eastAsia="Arial" w:hAnsi="Arial"/>
          <w:sz w:val="17"/>
          <w:szCs w:val="17"/>
          <w:color w:val="auto"/>
        </w:rPr>
      </w:pPr>
    </w:p>
    <w:p>
      <w:pPr>
        <w:ind w:right="60"/>
        <w:spacing w:after="0" w:line="254" w:lineRule="auto"/>
        <w:rPr>
          <w:rFonts w:ascii="Arial" w:cs="Arial" w:eastAsia="Arial" w:hAnsi="Arial"/>
          <w:sz w:val="17"/>
          <w:szCs w:val="17"/>
          <w:color w:val="auto"/>
        </w:rPr>
      </w:pPr>
      <w:r>
        <w:rPr>
          <w:rFonts w:ascii="Arial" w:cs="Arial" w:eastAsia="Arial" w:hAnsi="Arial"/>
          <w:sz w:val="18"/>
          <w:szCs w:val="18"/>
          <w:color w:val="auto"/>
        </w:rPr>
        <w:t>such notice must be received by the Administrative Agent not later than 11:00 a.m. (i) three Business Days prior to the requested date of any Borrowing of, conversion to or continuation of Eurocurrency Rate Loans denominated in Dollars or of any conversion of Eurocurrency Rate Loans denominated in Dollars to Base Rate Loans, (ii) four Business Days (or five Business Days in the case of a Special Notice Currency) prior to the requested date of any Borrowing 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0" w:right="459" w:bottom="1440" w:gutter="0" w:footer="0" w:header="0"/>
        </w:sectPr>
      </w:pPr>
    </w:p>
    <w:bookmarkStart w:id="49" w:name="page50"/>
    <w:bookmarkEnd w:id="4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continuation of Eurocurrency Rate Loans denominated in Alternative Currencies, and (iii) on the requested date of any Borrowing of Base Rate Loans. Each telephonic notice by the Company pursuant to this </w:t>
      </w:r>
      <w:r>
        <w:rPr>
          <w:rFonts w:ascii="Arial" w:cs="Arial" w:eastAsia="Arial" w:hAnsi="Arial"/>
          <w:sz w:val="16"/>
          <w:szCs w:val="16"/>
          <w:u w:val="single" w:color="auto"/>
          <w:color w:val="auto"/>
        </w:rPr>
        <w:t>Section 2.02(a)</w:t>
      </w:r>
      <w:r>
        <w:rPr>
          <w:rFonts w:ascii="Arial" w:cs="Arial" w:eastAsia="Arial" w:hAnsi="Arial"/>
          <w:sz w:val="16"/>
          <w:szCs w:val="16"/>
          <w:color w:val="auto"/>
        </w:rPr>
        <w:t xml:space="preserve"> must be confirmed promptly by delivery to the Administrative Agent of a written Loan Notice, appropriately completed and signed by a Responsible Officer of the Company. Each Borrowing of, conversion to or continuation of Eurocurrency Rate Loans shall be in a principal amount of $1,000,000 or a whole multiple of $1,000,000 in excess thereof. Except as provided in </w:t>
      </w:r>
      <w:r>
        <w:rPr>
          <w:rFonts w:ascii="Arial" w:cs="Arial" w:eastAsia="Arial" w:hAnsi="Arial"/>
          <w:sz w:val="16"/>
          <w:szCs w:val="16"/>
          <w:u w:val="single" w:color="auto"/>
          <w:color w:val="auto"/>
        </w:rPr>
        <w:t>Sections 2.03(c)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2.04(c)</w:t>
      </w:r>
      <w:r>
        <w:rPr>
          <w:rFonts w:ascii="Arial" w:cs="Arial" w:eastAsia="Arial" w:hAnsi="Arial"/>
          <w:sz w:val="16"/>
          <w:szCs w:val="16"/>
          <w:color w:val="auto"/>
        </w:rPr>
        <w:t xml:space="preserve">, each Borrowing of or conversion to Base Rate Loans shall be in a principal amount of $500,000 or a whole multiple of $100,000 in excess thereof. Each Loan Notice (whether telephonic or written) shall specify (i) whether the Company is requesting a Term Loan Borrowing, a Revolving Credit Borrowing, a conversion of Term Loans or Revolving Credit Loans from one Type to the other, or a continuation of Eurocurrency Rate Loans, (ii) the requested date of the Borrowing, conversion or continuation, as the case may be (which shall be a Business Day), (iii) the principal amount of Loans to be borrowed, converted or continued, (iv) the Type of Loans to be borrowed or to which existing Term Loans or Revolving Credit Loans are to be converted, (v) if applicable, the duration of the Interest Period with respect thereto, (vi) if applicable, the currency of the Revolving Credit Loans to be borrowed, and (vii) if applicable, the Designated Borrower. If the Company fails to specify a currency in a Loan Notice requesting a Revolving Credit Borrowing, then the Revolving Credit Loans so requested shall be made in Dollars. If the Company fails to specify a Type of Loan in a Loan Notice or if the Company fails to give a timely notice requesting a conversion or continuation, then the applicable Term Loans or Revolving Credit Loans shall be made as, or converted to, Base Rate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 failure to timely request a continuation of Revolving Credit Loans denominated in an Alternative Currency, such Loans shall be continued as Eurocurrency Rate Loans in their original currency with an Interest Period of one month. Any such automatic conversion to Base Rate Loans shall be effective as of the last day of the Interest Period then in effect with respect to the applicable Eurocurrency Rate Loans. If the Company requests a Borrowing of, conversion to, or continuation of Eurocurrency Rate Loans in any such Loan Notice, but fails to specify an Interest Period, it will be deemed to have specified an Interest Period of one month. No Revolving Credit Loan may be converted into or continued as a Revolving Credit Loan denominated in a different currency, but instead must be prepaid in the original currency of such Revolving Credit Loan and reborrowed in the other currency.</w:t>
      </w:r>
    </w:p>
    <w:p>
      <w:pPr>
        <w:spacing w:after="0" w:line="60" w:lineRule="exact"/>
        <w:rPr>
          <w:sz w:val="20"/>
          <w:szCs w:val="20"/>
          <w:color w:val="auto"/>
        </w:rPr>
      </w:pPr>
    </w:p>
    <w:p>
      <w:pPr>
        <w:ind w:right="40" w:firstLine="444"/>
        <w:spacing w:after="0" w:line="283" w:lineRule="auto"/>
        <w:tabs>
          <w:tab w:leader="none" w:pos="696"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Following receipt of a Loan Notice for a Facility, the Administrative Agent shall promptly notify each Lender under such Facility of the amount (and, if applicable, the currency) of its Applicable Percentage under such Facility of the applicable Loans, and if no timely notice of a conversion or continuation is provided by the Company, the Administrative Agent shall notify each Lender under the applicable Facility of the details of any automatic conversion to Base Rate Loans or continuation of Revolving Credit Loans denominated in a currency other than Dollars, in each case as described in the preceding subsection. In the case of a Term Loan Borrowing or a Revolving Credit Borrowing, each Lender under the applicable Facility shall make the amount of its Loan available to the Administrative Agent in Same Day Funds at the Administrative Agent’s Office for the applicable currency not later than 1:00 p.m., in the case of any Loan denominated in Dollars, and not later than the Applicable Time specified by the Administrative Agent in the case of any Revolving Credit Loan in an Alternative Currency, in each case on the Business Day specified in the applicable Loan Notice. Upon satisfaction of the applicable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(and, if such Borrowing is the initial Credit Extension,</w:t>
      </w:r>
    </w:p>
    <w:p>
      <w:pPr>
        <w:spacing w:after="0" w:line="6" w:lineRule="exact"/>
        <w:rPr>
          <w:rFonts w:ascii="Arial" w:cs="Arial" w:eastAsia="Arial" w:hAnsi="Arial"/>
          <w:sz w:val="16"/>
          <w:szCs w:val="16"/>
          <w:color w:val="auto"/>
        </w:rPr>
      </w:pPr>
    </w:p>
    <w:p>
      <w:pPr>
        <w:ind w:right="180"/>
        <w:spacing w:after="0" w:line="270" w:lineRule="auto"/>
        <w:rPr>
          <w:rFonts w:ascii="Arial" w:cs="Arial" w:eastAsia="Arial" w:hAnsi="Arial"/>
          <w:sz w:val="16"/>
          <w:szCs w:val="16"/>
          <w:color w:val="auto"/>
        </w:rPr>
      </w:pPr>
      <w:r>
        <w:rPr>
          <w:rFonts w:ascii="Arial" w:cs="Arial" w:eastAsia="Arial" w:hAnsi="Arial"/>
          <w:sz w:val="17"/>
          <w:szCs w:val="17"/>
          <w:u w:val="single" w:color="auto"/>
          <w:color w:val="auto"/>
        </w:rPr>
        <w:t>Section 4.01</w:t>
      </w:r>
      <w:r>
        <w:rPr>
          <w:rFonts w:ascii="Arial" w:cs="Arial" w:eastAsia="Arial" w:hAnsi="Arial"/>
          <w:sz w:val="17"/>
          <w:szCs w:val="17"/>
          <w:color w:val="auto"/>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on the date a Loan Notice with respect to a Revolving Credit Borrowing is given by the Company, there are L/C Borrowings outstanding, then the proceeds of such Revolving Credit Borrowing,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shall be applied to the payment in full of any such L/C Borrowings, and, </w:t>
      </w:r>
      <w:r>
        <w:rPr>
          <w:rFonts w:ascii="Arial" w:cs="Arial" w:eastAsia="Arial" w:hAnsi="Arial"/>
          <w:sz w:val="17"/>
          <w:szCs w:val="17"/>
          <w:u w:val="single" w:color="auto"/>
          <w:color w:val="auto"/>
        </w:rPr>
        <w:t>second</w:t>
      </w:r>
      <w:r>
        <w:rPr>
          <w:rFonts w:ascii="Arial" w:cs="Arial" w:eastAsia="Arial" w:hAnsi="Arial"/>
          <w:sz w:val="17"/>
          <w:szCs w:val="17"/>
          <w:color w:val="auto"/>
        </w:rPr>
        <w:t>, shall be made available to the applicable Borrower as provided above.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50" w:name="page51"/>
    <w:bookmarkEnd w:id="50"/>
    <w:p>
      <w:pPr>
        <w:ind w:left="-20" w:right="40" w:firstLine="444"/>
        <w:spacing w:after="0" w:line="297" w:lineRule="auto"/>
        <w:tabs>
          <w:tab w:leader="none" w:pos="665" w:val="left"/>
        </w:tabs>
        <w:numPr>
          <w:ilvl w:val="0"/>
          <w:numId w:val="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provided herein, a Eurocurrency Rate Loan may be continued or converted only on the last day of an Interest Period for such Eurocurrency Rate Loan. During the existence of a Default, no Loans may be requested as, converted to or continued as Eurocurrency Rate Loans (whether in Dollars or any Alternative Currency) without the consent of the Required Lenders, and unless otherwise consented by the Required Lenders all of the then outstanding Eurocurrency Rate Loans denominated in an Alternative Currency shall be redenominated into Dollars in the amount of the Dollar Equivalent thereof and converted into Base Rate Loans on the last day of the then current Interest Period with respect thereto.</w:t>
      </w:r>
    </w:p>
    <w:p>
      <w:pPr>
        <w:spacing w:after="0" w:line="50" w:lineRule="exact"/>
        <w:rPr>
          <w:rFonts w:ascii="Arial" w:cs="Arial" w:eastAsia="Arial" w:hAnsi="Arial"/>
          <w:sz w:val="16"/>
          <w:szCs w:val="16"/>
          <w:color w:val="auto"/>
        </w:rPr>
      </w:pPr>
    </w:p>
    <w:p>
      <w:pPr>
        <w:ind w:left="-20" w:right="220" w:firstLine="444"/>
        <w:spacing w:after="0" w:line="259" w:lineRule="auto"/>
        <w:tabs>
          <w:tab w:leader="none" w:pos="67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Company and the Lenders of the interest rate applicable to any Interest Period for Eurocurrency Rate Loans upon determination of such interest rate. At any time that Base Rate Loans are outstanding, the Administrative Agent shall notify the Company and the Lenders of any change in Bank of America’s prime rate used in determining the Base Rate promptly following the public announcement of such change.</w:t>
      </w:r>
    </w:p>
    <w:p>
      <w:pPr>
        <w:spacing w:after="0" w:line="78" w:lineRule="exact"/>
        <w:rPr>
          <w:rFonts w:ascii="Arial" w:cs="Arial" w:eastAsia="Arial" w:hAnsi="Arial"/>
          <w:sz w:val="18"/>
          <w:szCs w:val="18"/>
          <w:color w:val="auto"/>
        </w:rPr>
      </w:pPr>
    </w:p>
    <w:p>
      <w:pPr>
        <w:ind w:left="-20" w:right="60" w:firstLine="444"/>
        <w:spacing w:after="0" w:line="259" w:lineRule="auto"/>
        <w:tabs>
          <w:tab w:leader="none" w:pos="6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After giving effect to all Revolving Credit Borrowings, all conversions of Revolving Credit Loans from one Type to the other, and all continuations of Revolving Credit Loans as the same Type, there shall not be more than ten Interest Periods in effect with respect to Revolving Credit Loans. After giving effect to all Term Loan Borrowings, all conversions of Term Loans from one Type to the other, and all continuations of Term Loans as the same Type, there shall not be more than ten Interest Periods in effect with respect to Term Loans.</w:t>
      </w:r>
    </w:p>
    <w:p>
      <w:pPr>
        <w:spacing w:after="0" w:line="78" w:lineRule="exact"/>
        <w:rPr>
          <w:rFonts w:ascii="Arial" w:cs="Arial" w:eastAsia="Arial" w:hAnsi="Arial"/>
          <w:sz w:val="18"/>
          <w:szCs w:val="18"/>
          <w:color w:val="auto"/>
        </w:rPr>
      </w:pPr>
    </w:p>
    <w:p>
      <w:pPr>
        <w:ind w:left="-20" w:right="200" w:firstLine="444"/>
        <w:spacing w:after="0" w:line="264" w:lineRule="auto"/>
        <w:tabs>
          <w:tab w:leader="none" w:pos="6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any Lender may exchange, continue or rollover all of the portion of its Loans in connection with any refinancing, extension, loan modification or similar transaction permitted by the terms of this Agreement, pursuant to a cashless settlement mechanism approved by the Company, the Administrative Agent, and such Lender.</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2.03 Letters of Credit.</w:t>
      </w:r>
    </w:p>
    <w:p>
      <w:pPr>
        <w:spacing w:after="0" w:line="121" w:lineRule="exact"/>
        <w:rPr>
          <w:sz w:val="20"/>
          <w:szCs w:val="20"/>
          <w:color w:val="auto"/>
        </w:rPr>
      </w:pPr>
    </w:p>
    <w:p>
      <w:pPr>
        <w:ind w:left="660" w:hanging="236"/>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428"/>
        <w:spacing w:after="0" w:line="269" w:lineRule="auto"/>
        <w:tabs>
          <w:tab w:leader="none" w:pos="1058" w:val="left"/>
        </w:tabs>
        <w:numPr>
          <w:ilvl w:val="1"/>
          <w:numId w:val="53"/>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(A) each L/C Issuer agrees, in reliance upon the agreements of the Revolving Credit Lenders set forth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(1) from time to time on any Business Day during the period from the Closing Date until the Letter of Credit Expiration Date, to issue Letters of Credit denominated in Dollars or in one or more Alternative Currencies applicable to such L/C Issuer, for the account of the Company or its Restricted Subsidiaries, and to amend or extend Letters of Credit previously issued by it, in accordance with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below, and (2) to honor drawings under the Letters of Credit; and (B) the Revolving Credit Lenders severally agree to participate in Letters of Credit issued for the account of the Company or its Restricted Subsidiaries and any drawings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L/C Credit Extension with respect to any Letter of Credit, (w) the aggregate amount of the outstanding Letters of Credit issued by any L/C Issuer shall not exceed its L/C Commitment, (x) the Total Revolving Credit Outstandings shall not exceed the Aggregate Revolving Credit Commitments, (y) the Revolving Credit Exposure of any Lender shall not exceed such Lender’s Revolving Credit Commitment, and (z) the Outstanding Amount of the L/C Obligations shall not exceed the Letter of Credit Sublimit. Each request by the Company for the issuance or amendment of a Letter of Credit shall be deemed to be a representation by the Company that the L/C Credit Extension so requested complies with the conditions set forth in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60" w:top="274" w:right="459" w:bottom="1440" w:gutter="0" w:footer="0" w:header="0"/>
        </w:sectPr>
      </w:pPr>
    </w:p>
    <w:bookmarkStart w:id="51" w:name="page52"/>
    <w:bookmarkEnd w:id="51"/>
    <w:p>
      <w:pPr>
        <w:ind w:right="3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proviso to the preceding sentence. Within the foregoing limits, and subject to the terms and conditions hereof, the Company’s ability to obtain Letters of Credit shall be fully revolving, and accordingly the Company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spacing w:after="0" w:line="46" w:lineRule="exact"/>
        <w:rPr>
          <w:sz w:val="20"/>
          <w:szCs w:val="20"/>
          <w:color w:val="auto"/>
        </w:rPr>
      </w:pPr>
    </w:p>
    <w:p>
      <w:pPr>
        <w:jc w:val="both"/>
        <w:ind w:right="180" w:firstLine="428"/>
        <w:spacing w:after="0" w:line="279" w:lineRule="auto"/>
        <w:tabs>
          <w:tab w:leader="none" w:pos="688" w:val="left"/>
        </w:tabs>
        <w:numPr>
          <w:ilvl w:val="0"/>
          <w:numId w:val="54"/>
        </w:numPr>
        <w:rPr>
          <w:rFonts w:ascii="Arial" w:cs="Arial" w:eastAsia="Arial" w:hAnsi="Arial"/>
          <w:sz w:val="17"/>
          <w:szCs w:val="17"/>
          <w:color w:val="auto"/>
        </w:rPr>
      </w:pPr>
      <w:r>
        <w:rPr>
          <w:rFonts w:ascii="Arial" w:cs="Arial" w:eastAsia="Arial" w:hAnsi="Arial"/>
          <w:sz w:val="17"/>
          <w:szCs w:val="17"/>
          <w:color w:val="auto"/>
        </w:rPr>
        <w:t>No L/C Issuer shall issue any Letter of Credit if the expiry date of the requested Letter of Credit would occur after the Letter of Credit Expiration Date, unless (A) all the Revolving Credit Lenders and the applicable L/C Issuer have approved such expiry date or (B) at the time of issuance thereof, the Company shall agree to provide Cash Collateral for such Letter of Credit in an amount of at least 103% of the face amount thereof on or prior to the date that is 91 days prior to the Letter of Credit Expiration Date.</w:t>
      </w:r>
    </w:p>
    <w:p>
      <w:pPr>
        <w:spacing w:after="0" w:line="63" w:lineRule="exact"/>
        <w:rPr>
          <w:rFonts w:ascii="Arial" w:cs="Arial" w:eastAsia="Arial" w:hAnsi="Arial"/>
          <w:sz w:val="17"/>
          <w:szCs w:val="17"/>
          <w:color w:val="auto"/>
        </w:rPr>
      </w:pPr>
    </w:p>
    <w:p>
      <w:pPr>
        <w:ind w:left="740" w:hanging="312"/>
        <w:spacing w:after="0"/>
        <w:tabs>
          <w:tab w:leader="none" w:pos="7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L/C Issuer shall be under any obligation to issue any Letter of Credit if:</w:t>
      </w:r>
    </w:p>
    <w:p>
      <w:pPr>
        <w:spacing w:after="0" w:line="117" w:lineRule="exact"/>
        <w:rPr>
          <w:rFonts w:ascii="Arial" w:cs="Arial" w:eastAsia="Arial" w:hAnsi="Arial"/>
          <w:sz w:val="18"/>
          <w:szCs w:val="18"/>
          <w:color w:val="auto"/>
        </w:rPr>
      </w:pPr>
    </w:p>
    <w:p>
      <w:pPr>
        <w:ind w:left="440" w:firstLine="411"/>
        <w:spacing w:after="0" w:line="272" w:lineRule="auto"/>
        <w:tabs>
          <w:tab w:leader="none" w:pos="114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that was not applicable on the Closing Date and that such L/C Issuer in good faith deems material to it;</w:t>
      </w:r>
    </w:p>
    <w:p>
      <w:pPr>
        <w:spacing w:after="0" w:line="69" w:lineRule="exact"/>
        <w:rPr>
          <w:rFonts w:ascii="Arial" w:cs="Arial" w:eastAsia="Arial" w:hAnsi="Arial"/>
          <w:sz w:val="17"/>
          <w:szCs w:val="17"/>
          <w:color w:val="auto"/>
        </w:rPr>
      </w:pPr>
    </w:p>
    <w:p>
      <w:pPr>
        <w:ind w:left="1140" w:hanging="289"/>
        <w:spacing w:after="0"/>
        <w:tabs>
          <w:tab w:leader="none" w:pos="11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such L/C Issuer applicable to letters of credit generally;</w:t>
      </w:r>
    </w:p>
    <w:p>
      <w:pPr>
        <w:spacing w:after="0" w:line="140" w:lineRule="exact"/>
        <w:rPr>
          <w:rFonts w:ascii="Arial" w:cs="Arial" w:eastAsia="Arial" w:hAnsi="Arial"/>
          <w:sz w:val="16"/>
          <w:szCs w:val="16"/>
          <w:color w:val="auto"/>
        </w:rPr>
      </w:pPr>
    </w:p>
    <w:p>
      <w:pPr>
        <w:ind w:left="440" w:right="240" w:firstLine="411"/>
        <w:spacing w:after="0" w:line="277" w:lineRule="auto"/>
        <w:tabs>
          <w:tab w:leader="none" w:pos="113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except as otherwise agreed by the Administrative Agent and such L/C Issuer, such Letter of Credit is in an initial stated amount less than $25,000;</w:t>
      </w:r>
    </w:p>
    <w:p>
      <w:pPr>
        <w:spacing w:after="0" w:line="62" w:lineRule="exact"/>
        <w:rPr>
          <w:rFonts w:ascii="Arial" w:cs="Arial" w:eastAsia="Arial" w:hAnsi="Arial"/>
          <w:sz w:val="18"/>
          <w:szCs w:val="18"/>
          <w:color w:val="auto"/>
        </w:rPr>
      </w:pPr>
    </w:p>
    <w:p>
      <w:pPr>
        <w:ind w:left="1140" w:hanging="289"/>
        <w:spacing w:after="0"/>
        <w:tabs>
          <w:tab w:leader="none" w:pos="1140" w:val="left"/>
        </w:tabs>
        <w:numPr>
          <w:ilvl w:val="1"/>
          <w:numId w:val="54"/>
        </w:numPr>
        <w:rPr>
          <w:rFonts w:ascii="Arial" w:cs="Arial" w:eastAsia="Arial" w:hAnsi="Arial"/>
          <w:sz w:val="17"/>
          <w:szCs w:val="17"/>
          <w:color w:val="auto"/>
        </w:rPr>
      </w:pPr>
      <w:r>
        <w:rPr>
          <w:rFonts w:ascii="Arial" w:cs="Arial" w:eastAsia="Arial" w:hAnsi="Arial"/>
          <w:sz w:val="17"/>
          <w:szCs w:val="17"/>
          <w:color w:val="auto"/>
        </w:rPr>
        <w:t>such Letter of Credit is to be denominated in a currency other than Dollars or an Alternative Currency applicable to such L/C</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Issuer;</w:t>
      </w:r>
    </w:p>
    <w:p>
      <w:pPr>
        <w:spacing w:after="0" w:line="102" w:lineRule="exact"/>
        <w:rPr>
          <w:rFonts w:ascii="Arial" w:cs="Arial" w:eastAsia="Arial" w:hAnsi="Arial"/>
          <w:sz w:val="17"/>
          <w:szCs w:val="17"/>
          <w:color w:val="auto"/>
        </w:rPr>
      </w:pPr>
    </w:p>
    <w:p>
      <w:pPr>
        <w:ind w:left="1120" w:hanging="269"/>
        <w:spacing w:after="0"/>
        <w:tabs>
          <w:tab w:leader="none" w:pos="1120" w:val="left"/>
        </w:tabs>
        <w:numPr>
          <w:ilvl w:val="1"/>
          <w:numId w:val="54"/>
        </w:numPr>
        <w:rPr>
          <w:rFonts w:ascii="Arial" w:cs="Arial" w:eastAsia="Arial" w:hAnsi="Arial"/>
          <w:sz w:val="16"/>
          <w:szCs w:val="16"/>
          <w:color w:val="auto"/>
        </w:rPr>
      </w:pPr>
      <w:r>
        <w:rPr>
          <w:rFonts w:ascii="Arial" w:cs="Arial" w:eastAsia="Arial" w:hAnsi="Arial"/>
          <w:sz w:val="16"/>
          <w:szCs w:val="16"/>
          <w:color w:val="auto"/>
        </w:rPr>
        <w:t>such L/C Issuer does not as of the issuance date of the requested Letter of Credit issue letters of credit in the requested currency;</w:t>
      </w:r>
    </w:p>
    <w:p>
      <w:pPr>
        <w:spacing w:after="0" w:line="140" w:lineRule="exact"/>
        <w:rPr>
          <w:rFonts w:ascii="Arial" w:cs="Arial" w:eastAsia="Arial" w:hAnsi="Arial"/>
          <w:sz w:val="16"/>
          <w:szCs w:val="16"/>
          <w:color w:val="auto"/>
        </w:rPr>
      </w:pPr>
    </w:p>
    <w:p>
      <w:pPr>
        <w:jc w:val="both"/>
        <w:ind w:left="440" w:right="60" w:firstLine="411"/>
        <w:spacing w:after="0" w:line="276" w:lineRule="auto"/>
        <w:tabs>
          <w:tab w:leader="none" w:pos="1110" w:val="left"/>
        </w:tabs>
        <w:numPr>
          <w:ilvl w:val="1"/>
          <w:numId w:val="54"/>
        </w:numPr>
        <w:rPr>
          <w:rFonts w:ascii="Arial" w:cs="Arial" w:eastAsia="Arial" w:hAnsi="Arial"/>
          <w:sz w:val="17"/>
          <w:szCs w:val="17"/>
          <w:color w:val="auto"/>
        </w:rPr>
      </w:pPr>
      <w:r>
        <w:rPr>
          <w:rFonts w:ascii="Arial" w:cs="Arial" w:eastAsia="Arial" w:hAnsi="Arial"/>
          <w:sz w:val="17"/>
          <w:szCs w:val="17"/>
          <w:color w:val="auto"/>
        </w:rPr>
        <w:t xml:space="preserve">any Revolving Credit Lender is at that time a Defaulting Lender, unless the L/C Issuers have entered into arrangements, including the delivery of Cash Collateral, satisfactory to the L/C Issuers (in their sole discretion) with the Company or such Revolving Credit Lender to eliminate the L/C Issuers’ actual or potential Fronting Exposure (after giving effect to </w:t>
      </w:r>
      <w:r>
        <w:rPr>
          <w:rFonts w:ascii="Arial" w:cs="Arial" w:eastAsia="Arial" w:hAnsi="Arial"/>
          <w:sz w:val="17"/>
          <w:szCs w:val="17"/>
          <w:u w:val="single" w:color="auto"/>
          <w:color w:val="auto"/>
        </w:rPr>
        <w:t>Section 2.17(a)(iv</w:t>
      </w:r>
      <w:r>
        <w:rPr>
          <w:rFonts w:ascii="Arial" w:cs="Arial" w:eastAsia="Arial" w:hAnsi="Arial"/>
          <w:sz w:val="17"/>
          <w:szCs w:val="17"/>
          <w:color w:val="auto"/>
        </w:rPr>
        <w:t>)) with respect to the Defaulting Lender arising from either the Letter of Credit then proposed to be issued or that Letter of Credit and all other L/C Obligations as to which the L/C Issuers have actual or potential Fronting Exposure, as they may elect in their sole discretion;</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540"/>
          </w:cols>
          <w:pgMar w:left="880" w:top="274" w:right="479" w:bottom="1440" w:gutter="0" w:footer="0" w:header="0"/>
        </w:sectPr>
      </w:pPr>
    </w:p>
    <w:bookmarkStart w:id="52" w:name="page53"/>
    <w:bookmarkEnd w:id="52"/>
    <w:p>
      <w:pPr>
        <w:ind w:left="440" w:firstLine="411"/>
        <w:spacing w:after="0" w:line="277" w:lineRule="auto"/>
        <w:tabs>
          <w:tab w:leader="none" w:pos="1140" w:val="left"/>
        </w:tabs>
        <w:numPr>
          <w:ilvl w:val="2"/>
          <w:numId w:val="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subject to </w:t>
      </w:r>
      <w:r>
        <w:rPr>
          <w:rFonts w:ascii="Arial" w:cs="Arial" w:eastAsia="Arial" w:hAnsi="Arial"/>
          <w:sz w:val="18"/>
          <w:szCs w:val="18"/>
          <w:u w:val="single" w:color="auto"/>
          <w:color w:val="auto"/>
        </w:rPr>
        <w:t>Section 2.03(b)(iii)</w:t>
      </w:r>
      <w:r>
        <w:rPr>
          <w:rFonts w:ascii="Arial" w:cs="Arial" w:eastAsia="Arial" w:hAnsi="Arial"/>
          <w:sz w:val="18"/>
          <w:szCs w:val="18"/>
          <w:color w:val="auto"/>
        </w:rPr>
        <w:t>, the expiry date of the requested Letter of Credit would occur more than twelve months after the date of issuance or last extension; or</w:t>
      </w:r>
    </w:p>
    <w:p>
      <w:pPr>
        <w:spacing w:after="0" w:line="62" w:lineRule="exact"/>
        <w:rPr>
          <w:rFonts w:ascii="Arial" w:cs="Arial" w:eastAsia="Arial" w:hAnsi="Arial"/>
          <w:sz w:val="18"/>
          <w:szCs w:val="18"/>
          <w:color w:val="auto"/>
        </w:rPr>
      </w:pPr>
    </w:p>
    <w:p>
      <w:pPr>
        <w:ind w:left="1140" w:hanging="289"/>
        <w:spacing w:after="0"/>
        <w:tabs>
          <w:tab w:leader="none" w:pos="1140" w:val="left"/>
        </w:tabs>
        <w:numPr>
          <w:ilvl w:val="2"/>
          <w:numId w:val="55"/>
        </w:numPr>
        <w:rPr>
          <w:rFonts w:ascii="Arial" w:cs="Arial" w:eastAsia="Arial" w:hAnsi="Arial"/>
          <w:sz w:val="17"/>
          <w:szCs w:val="17"/>
          <w:color w:val="auto"/>
        </w:rPr>
      </w:pPr>
      <w:r>
        <w:rPr>
          <w:rFonts w:ascii="Arial" w:cs="Arial" w:eastAsia="Arial" w:hAnsi="Arial"/>
          <w:sz w:val="17"/>
          <w:szCs w:val="17"/>
          <w:color w:val="auto"/>
        </w:rPr>
        <w:t>such Letter of Credit contains any provisions for automatic reinstatement of the stated amount after any drawing thereunder.</w:t>
      </w:r>
    </w:p>
    <w:p>
      <w:pPr>
        <w:spacing w:after="0" w:line="128" w:lineRule="exact"/>
        <w:rPr>
          <w:rFonts w:ascii="Arial" w:cs="Arial" w:eastAsia="Arial" w:hAnsi="Arial"/>
          <w:sz w:val="17"/>
          <w:szCs w:val="17"/>
          <w:color w:val="auto"/>
        </w:rPr>
      </w:pPr>
    </w:p>
    <w:p>
      <w:pPr>
        <w:ind w:right="160" w:firstLine="428"/>
        <w:spacing w:after="0" w:line="277" w:lineRule="auto"/>
        <w:tabs>
          <w:tab w:leader="none" w:pos="728"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 L/C Issuer shall amend any Letter of Credit if such L/C Issuer would not be permitted at such time to issue such Letter of Credit in its amended form under the terms hereof.</w:t>
      </w:r>
    </w:p>
    <w:p>
      <w:pPr>
        <w:spacing w:after="0" w:line="62" w:lineRule="exact"/>
        <w:rPr>
          <w:rFonts w:ascii="Arial" w:cs="Arial" w:eastAsia="Arial" w:hAnsi="Arial"/>
          <w:sz w:val="18"/>
          <w:szCs w:val="18"/>
          <w:color w:val="auto"/>
        </w:rPr>
      </w:pPr>
    </w:p>
    <w:p>
      <w:pPr>
        <w:ind w:right="140" w:firstLine="428"/>
        <w:spacing w:after="0" w:line="264" w:lineRule="auto"/>
        <w:tabs>
          <w:tab w:leader="none" w:pos="678" w:val="left"/>
        </w:tabs>
        <w:numPr>
          <w:ilvl w:val="1"/>
          <w:numId w:val="56"/>
        </w:numPr>
        <w:rPr>
          <w:rFonts w:ascii="Arial" w:cs="Arial" w:eastAsia="Arial" w:hAnsi="Arial"/>
          <w:sz w:val="18"/>
          <w:szCs w:val="18"/>
          <w:color w:val="auto"/>
        </w:rPr>
      </w:pPr>
      <w:r>
        <w:rPr>
          <w:rFonts w:ascii="Arial" w:cs="Arial" w:eastAsia="Arial" w:hAnsi="Arial"/>
          <w:sz w:val="18"/>
          <w:szCs w:val="18"/>
          <w:color w:val="auto"/>
        </w:rPr>
        <w:t>No L/C Issuer shall be under any obligation to amend any Letter of Credit if (A) such L/C Issuer would have no obligation at such time to issue such Letter of Credit in its amended form under the terms hereof, or (B) the beneficiary of the Letter of Credit does not accept the proposed amendment to such Letter of Credit.</w:t>
      </w:r>
    </w:p>
    <w:p>
      <w:pPr>
        <w:spacing w:after="0" w:line="73" w:lineRule="exact"/>
        <w:rPr>
          <w:rFonts w:ascii="Arial" w:cs="Arial" w:eastAsia="Arial" w:hAnsi="Arial"/>
          <w:sz w:val="18"/>
          <w:szCs w:val="18"/>
          <w:color w:val="auto"/>
        </w:rPr>
      </w:pPr>
    </w:p>
    <w:p>
      <w:pPr>
        <w:ind w:right="60" w:firstLine="428"/>
        <w:spacing w:after="0" w:line="297" w:lineRule="auto"/>
        <w:tabs>
          <w:tab w:leader="none" w:pos="728" w:val="left"/>
        </w:tabs>
        <w:numPr>
          <w:ilvl w:val="1"/>
          <w:numId w:val="56"/>
        </w:numPr>
        <w:rPr>
          <w:rFonts w:ascii="Arial" w:cs="Arial" w:eastAsia="Arial" w:hAnsi="Arial"/>
          <w:sz w:val="16"/>
          <w:szCs w:val="16"/>
          <w:color w:val="auto"/>
        </w:rPr>
      </w:pPr>
      <w:r>
        <w:rPr>
          <w:rFonts w:ascii="Arial" w:cs="Arial" w:eastAsia="Arial" w:hAnsi="Arial"/>
          <w:sz w:val="16"/>
          <w:szCs w:val="16"/>
          <w:color w:val="auto"/>
        </w:rPr>
        <w:t xml:space="preserve">Each L/C Issuer shall act on behalf of the Revolving Credit Lenders with respect to any Letters of Credit issued by it and the documents associated therewith, and each L/C Issuer shall have all of the benefits and immunities (A) provided to the Administrative Agent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included such L/C Issuer with respect to such acts or omissions, and (B) as additionally provided herein with respect to such L/C Issuer.</w:t>
      </w:r>
    </w:p>
    <w:p>
      <w:pPr>
        <w:spacing w:after="0" w:line="50" w:lineRule="exact"/>
        <w:rPr>
          <w:rFonts w:ascii="Arial" w:cs="Arial" w:eastAsia="Arial" w:hAnsi="Arial"/>
          <w:sz w:val="16"/>
          <w:szCs w:val="16"/>
          <w:color w:val="auto"/>
        </w:rPr>
      </w:pPr>
    </w:p>
    <w:p>
      <w:pPr>
        <w:ind w:left="260" w:hanging="256"/>
        <w:spacing w:after="0"/>
        <w:tabs>
          <w:tab w:leader="none" w:pos="2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Procedures for Issuance and Amendment of Letters of Credit; Auto-Extension Letters of Credit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28"/>
        <w:spacing w:after="0" w:line="283" w:lineRule="auto"/>
        <w:tabs>
          <w:tab w:leader="none" w:pos="638" w:val="left"/>
        </w:tabs>
        <w:numPr>
          <w:ilvl w:val="1"/>
          <w:numId w:val="57"/>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upon the request of the Company delivered to the applicable L/C Issuer (with a copy to the Administrative Agent) in the form of a Letter of Credit Application, appropriately completed and signed by a Responsible Officer of the Company. Such Letter of Credit Application may be sent by facsimile, by United States mail, by overnight courier, by electronic transmission using the system provided by the applicable L/C Issuer, by personal delivery or by any other means acceptable to the applicable L/C Issuer. Such Letter of Credit Application must be received by the applicable L/C Issuer and the Administrative Agent not later than 11:00 a.m. at least two Business Days (or such later date and time as the Administrative Agent and such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L/C Issuer: (A) the proposed issuance date of the requested Letter of Credit (which shall be a Business Day); (B) the amount and currency thereof;</w:t>
      </w:r>
    </w:p>
    <w:p>
      <w:pPr>
        <w:spacing w:after="0" w:line="6" w:lineRule="exact"/>
        <w:rPr>
          <w:rFonts w:ascii="Arial" w:cs="Arial" w:eastAsia="Arial" w:hAnsi="Arial"/>
          <w:sz w:val="16"/>
          <w:szCs w:val="16"/>
          <w:color w:val="auto"/>
        </w:rPr>
      </w:pPr>
    </w:p>
    <w:p>
      <w:pPr>
        <w:ind w:right="80"/>
        <w:spacing w:after="0" w:line="287" w:lineRule="auto"/>
        <w:rPr>
          <w:rFonts w:ascii="Arial" w:cs="Arial" w:eastAsia="Arial" w:hAnsi="Arial"/>
          <w:sz w:val="16"/>
          <w:szCs w:val="16"/>
          <w:color w:val="auto"/>
        </w:rPr>
      </w:pPr>
      <w:r>
        <w:rPr>
          <w:rFonts w:ascii="Arial" w:cs="Arial" w:eastAsia="Arial" w:hAnsi="Arial"/>
          <w:sz w:val="16"/>
          <w:szCs w:val="16"/>
          <w:color w:val="auto"/>
        </w:rPr>
        <w:t>(C)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such L/C Issuer may reasonably require. In the case of a request for an amendment of any outstanding Letter of Credit, such Letter of Credit Application shall specify in form and detail reasonably satisfactory to the applicable L/C Issuer (A) the Letter of Credit to be amended; (B) the proposed date of amendment thereof (which shall be a Business Day); (C) the nature of the proposed amendment; and (D) such other matters as such L/C Issuer may require. Additionally, the Company shall furnish to the applicable L/C Issuer and the Administrative Agent such other documents and information pertaining to such requested Letter of Credit issuance or amendment, including any Issuer Documents, as such L/C Issuer or the Administrative Agent may reasonably require.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580"/>
          </w:cols>
          <w:pgMar w:left="880" w:top="274" w:right="439" w:bottom="1440" w:gutter="0" w:footer="0" w:header="0"/>
        </w:sectPr>
      </w:pPr>
    </w:p>
    <w:bookmarkStart w:id="53" w:name="page54"/>
    <w:bookmarkEnd w:id="53"/>
    <w:p>
      <w:pPr>
        <w:ind w:right="20" w:firstLine="428"/>
        <w:spacing w:after="0" w:line="269" w:lineRule="auto"/>
        <w:tabs>
          <w:tab w:leader="none" w:pos="688" w:val="left"/>
        </w:tabs>
        <w:numPr>
          <w:ilvl w:val="0"/>
          <w:numId w:val="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Promptly after receipt of any Letter of Credit Application, the applicable L/C Issuer will confirm with the Administrative Agent (by telephone or in writing) that the Administrative Agent has received a copy of such Letter of Credit Application from the Company and, if not, such L/C Issuer will provide the Administrative Agent with a copy thereof. Unless the applicable L/C Issuer has received written notice from any Revolving Credit Lender, the Administrative Agent or any Loan Party, at least one Business Day prior to the requested date of issuance or amendment of the applicable Letter of Credit, that one or more applicable conditions contained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not then be satisfied, then, subject to the terms and conditions hereof, such L/C Issuer shall, on the requested date, issue a Letter of Credit for the account of the Company (or the applicable Restricted Subsidiary) or enter into the applicable amendment, as the case may be, in each case in accordance with such L/C Issuer’s usual and customary business practices. Immediately upon the issuance of each Letter of Credit, each Revolving Credit Lender shall be deemed to, and hereby irrevocably and unconditionally agrees to, purchase from the applicable L/C Issuer a risk participation in such Letter of Credit in an amount equal to the product of such Revolving Credit Lender’s Applicable Revolving Credit Percentage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Letter of Credit.</w:t>
      </w:r>
    </w:p>
    <w:p>
      <w:pPr>
        <w:spacing w:after="0" w:line="74" w:lineRule="exact"/>
        <w:rPr>
          <w:rFonts w:ascii="Arial" w:cs="Arial" w:eastAsia="Arial" w:hAnsi="Arial"/>
          <w:sz w:val="17"/>
          <w:szCs w:val="17"/>
          <w:color w:val="auto"/>
        </w:rPr>
      </w:pPr>
    </w:p>
    <w:p>
      <w:pPr>
        <w:ind w:firstLine="428"/>
        <w:spacing w:after="0" w:line="268" w:lineRule="auto"/>
        <w:tabs>
          <w:tab w:leader="none" w:pos="738"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the Company so requests in any applicable Letter of Credit Application, each L/C Issuer may, in its sole and absolute discretion, agree to issue a Letter of Credit that has automatic extension provisions (each, an “</w:t>
      </w:r>
      <w:r>
        <w:rPr>
          <w:rFonts w:ascii="Arial" w:cs="Arial" w:eastAsia="Arial" w:hAnsi="Arial"/>
          <w:sz w:val="17"/>
          <w:szCs w:val="17"/>
          <w:u w:val="single" w:color="auto"/>
          <w:color w:val="auto"/>
        </w:rPr>
        <w:t>Auto-Extension Letter of Credit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7"/>
          <w:szCs w:val="17"/>
          <w:u w:val="single" w:color="auto"/>
          <w:color w:val="auto"/>
        </w:rPr>
        <w:t>Non-Extension Notice</w:t>
      </w:r>
      <w:r>
        <w:rPr>
          <w:rFonts w:ascii="Arial" w:cs="Arial" w:eastAsia="Arial" w:hAnsi="Arial"/>
          <w:sz w:val="17"/>
          <w:szCs w:val="17"/>
          <w:color w:val="auto"/>
        </w:rPr>
        <w:t xml:space="preserve"> </w:t>
      </w:r>
      <w:r>
        <w:rPr>
          <w:rFonts w:ascii="Arial" w:cs="Arial" w:eastAsia="Arial" w:hAnsi="Arial"/>
          <w:sz w:val="17"/>
          <w:szCs w:val="17"/>
          <w:u w:val="single" w:color="auto"/>
          <w:color w:val="auto"/>
        </w:rPr>
        <w:t>Date</w:t>
      </w:r>
      <w:r>
        <w:rPr>
          <w:rFonts w:ascii="Arial" w:cs="Arial" w:eastAsia="Arial" w:hAnsi="Arial"/>
          <w:sz w:val="17"/>
          <w:szCs w:val="17"/>
          <w:color w:val="auto"/>
        </w:rPr>
        <w:t xml:space="preserve">”) in each such twelve-month period to be agreed upon at the time such Letter of Credit is issued. Unless otherwise directed by the applicable L/C Issuer, the Company shall not be required to make a specific request to such L/C Issuer for any such extension. Once an Auto-Extension Letter of Credit has been issued, the Revolving Credit Lenders shall be deemed to have authorized (but may not require) the applicable L/C Issuer to permit the extension of such Letter of Credit at any time to an expiry date not later than the Letter of Credit Expiration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L/C Issuer shall permit any such extension if (A) such L/C Issuer has determined that it would not be permitted, or would have no obligation, at such time to issue such Letter of Credit in its revised form (as extended) under the terms hereof (by reason of the provisions of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or otherwise), or (B) it has received notice (which may be by telephone or in writing) on or before the day that is seven Business Days before the Non-Extension Notice Date (1) from the Administrative Agent that the Required Revolving Credit Lenders have elected not to permit such extension or (2) from the Administrative Agent, any Revolving Credit Lender or the Company that one or more of the applicable conditions specified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is not then satisfied, and in each such case directing such L/C Issuer not to permit such extension.</w:t>
      </w:r>
    </w:p>
    <w:p>
      <w:pPr>
        <w:spacing w:after="0" w:line="75" w:lineRule="exact"/>
        <w:rPr>
          <w:rFonts w:ascii="Arial" w:cs="Arial" w:eastAsia="Arial" w:hAnsi="Arial"/>
          <w:sz w:val="17"/>
          <w:szCs w:val="17"/>
          <w:color w:val="auto"/>
        </w:rPr>
      </w:pPr>
    </w:p>
    <w:p>
      <w:pPr>
        <w:ind w:right="60" w:firstLine="428"/>
        <w:spacing w:after="0" w:line="264" w:lineRule="auto"/>
        <w:tabs>
          <w:tab w:leader="none" w:pos="7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each L/C Issuer will also deliver to the Company and the Administrative Agent a true and complete copy of such Letter of Credit or amendment.</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80"/>
          </w:cols>
          <w:pgMar w:left="880" w:top="274" w:right="439" w:bottom="1440" w:gutter="0" w:footer="0" w:header="0"/>
        </w:sectPr>
      </w:pPr>
    </w:p>
    <w:bookmarkStart w:id="54" w:name="page55"/>
    <w:bookmarkEnd w:id="54"/>
    <w:p>
      <w:pPr>
        <w:ind w:left="240" w:hanging="236"/>
        <w:spacing w:after="0"/>
        <w:tabs>
          <w:tab w:leader="none" w:pos="2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Drawings and Reimbursements; Funding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28"/>
        <w:spacing w:after="0" w:line="284" w:lineRule="auto"/>
        <w:tabs>
          <w:tab w:leader="none" w:pos="638" w:val="left"/>
        </w:tabs>
        <w:numPr>
          <w:ilvl w:val="1"/>
          <w:numId w:val="59"/>
        </w:numPr>
        <w:rPr>
          <w:rFonts w:ascii="Arial" w:cs="Arial" w:eastAsia="Arial" w:hAnsi="Arial"/>
          <w:sz w:val="16"/>
          <w:szCs w:val="16"/>
          <w:color w:val="auto"/>
        </w:rPr>
      </w:pPr>
      <w:r>
        <w:rPr>
          <w:rFonts w:ascii="Arial" w:cs="Arial" w:eastAsia="Arial" w:hAnsi="Arial"/>
          <w:sz w:val="16"/>
          <w:szCs w:val="16"/>
          <w:color w:val="auto"/>
        </w:rPr>
        <w:t>Upon receipt from the beneficiary of any Letter of Credit of any notice of a drawing under such Letter of Credit, the applicable L/C Issuer shall promptly notify the Company and the Administrative Agent thereof. In the case of a Letter of Credit denominated in an Alternative Currency, the Company shall reimburse the applicable L/C Issuer in such Alternative Currency, unless (A) such L/C Issuer (at its option) shall have specified in such notice that it will require reimbursement in Dollars, or (B) in the absence of any such requirement for reimbursement in Dollars, the Company shall have notified such L/C Issuer promptly following receipt of the notice of drawing that the Company will reimburse such L/C Issuer in Dollars. In the case of any such reimbursement in Dollars of a drawing under a Letter of Credit denominated in an Alternative Currency, the applicable L/C Issuer shall notify the Company of the Dollar Equivalent of the amount of the drawing promptly following the determination thereof. Not later than 11:00 a.m. on the date of any payment by the applicable L/C Issuer under a Letter of Credit to be reimbursed in Dollars, or the Applicable Time on the date of any payment by such L/C Issuer under a Letter of Credit to be reimbursed in an Alternative Currency (each such date, an “</w:t>
      </w:r>
      <w:r>
        <w:rPr>
          <w:rFonts w:ascii="Arial" w:cs="Arial" w:eastAsia="Arial" w:hAnsi="Arial"/>
          <w:sz w:val="16"/>
          <w:szCs w:val="16"/>
          <w:u w:val="single" w:color="auto"/>
          <w:color w:val="auto"/>
        </w:rPr>
        <w:t>Honor Date</w:t>
      </w:r>
      <w:r>
        <w:rPr>
          <w:rFonts w:ascii="Arial" w:cs="Arial" w:eastAsia="Arial" w:hAnsi="Arial"/>
          <w:sz w:val="16"/>
          <w:szCs w:val="16"/>
          <w:color w:val="auto"/>
        </w:rPr>
        <w:t xml:space="preserve">”; it being understood that unless otherwise agreed by the applicable L/C Issuer and the Company in any instance, such L/C Issuer will notify the Company of the applicable Honor Date by the Business Day immediately prior to such Honor Date), the Company shall reimburse such L/C Issuer through the Administrative Agent in an amount equal to the amount of such drawing and in the applicable currency. In the event that (A) a drawing denominated in an Alternative Currency is to be reimbursed in Dollars pursuant to the second sentence in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and (B) the Dollar amount paid by the Company, whether on or after the Honor Date, shall not be adequate on the date of that payment to purchase in accordance with normal banking procedures a sum denominated in the Alternative Currency equal to the drawing, the Company agrees, as a separate and independent obligation, to indemnify the applicable L/C Issuer for the loss resulting from its inability on that date to purchase the Alternative Currency in the full amount of the drawing. If the Company fails to so reimburse the applicable L/C Issuer by such time, the Administrative Agent shall promptly notify each Revolving Credit Lender of the Honor Date, the amount of the unreimbursed drawing (expressed in Dollars in the amount of the Dollar Equivalent thereof in the case of a Letter of Credit denominated in an Alternative Currency) (the “</w:t>
      </w:r>
      <w:r>
        <w:rPr>
          <w:rFonts w:ascii="Arial" w:cs="Arial" w:eastAsia="Arial" w:hAnsi="Arial"/>
          <w:sz w:val="16"/>
          <w:szCs w:val="16"/>
          <w:u w:val="single" w:color="auto"/>
          <w:color w:val="auto"/>
        </w:rPr>
        <w:t>Unreimbursed Amount</w:t>
      </w:r>
      <w:r>
        <w:rPr>
          <w:rFonts w:ascii="Arial" w:cs="Arial" w:eastAsia="Arial" w:hAnsi="Arial"/>
          <w:sz w:val="16"/>
          <w:szCs w:val="16"/>
          <w:color w:val="auto"/>
        </w:rPr>
        <w:t xml:space="preserve">”), and the amount of such Revolving Credit Lender’s Applicable Revolving Credit Percentage thereof. In such event, the Company shall be deemed to have requested a Revolving Credit Borrowing of Base Rate Loans to be disbursed on the Honor Date in an amount equal to the Unreimbursed Amount, without regard to the minimum and multiples specified in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for the principal amount of Base Rate Loans, but subject to the amount of the unutilized portion of the Aggregate Revolving Credit Commitments and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(other than the delivery of a Loan Notice). Any notice given by the applicable L/C Issuer or the Administrative Agent pursuant to this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may be given by telephone if immediately confirmed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lack of such an immediate confirmation shall not affect the conclusiveness or binding effect of such notice.</w:t>
      </w:r>
    </w:p>
    <w:p>
      <w:pPr>
        <w:spacing w:after="0" w:line="283" w:lineRule="exact"/>
        <w:rPr>
          <w:rFonts w:ascii="Arial" w:cs="Arial" w:eastAsia="Arial" w:hAnsi="Arial"/>
          <w:sz w:val="16"/>
          <w:szCs w:val="16"/>
          <w:color w:val="auto"/>
        </w:rPr>
      </w:pPr>
    </w:p>
    <w:p>
      <w:pPr>
        <w:ind w:right="40" w:firstLine="428"/>
        <w:spacing w:after="0" w:line="293" w:lineRule="auto"/>
        <w:tabs>
          <w:tab w:leader="none" w:pos="688" w:val="left"/>
        </w:tabs>
        <w:numPr>
          <w:ilvl w:val="1"/>
          <w:numId w:val="59"/>
        </w:numPr>
        <w:rPr>
          <w:rFonts w:ascii="Arial" w:cs="Arial" w:eastAsia="Arial" w:hAnsi="Arial"/>
          <w:sz w:val="16"/>
          <w:szCs w:val="16"/>
          <w:color w:val="auto"/>
        </w:rPr>
      </w:pPr>
      <w:r>
        <w:rPr>
          <w:rFonts w:ascii="Arial" w:cs="Arial" w:eastAsia="Arial" w:hAnsi="Arial"/>
          <w:sz w:val="16"/>
          <w:szCs w:val="16"/>
          <w:color w:val="auto"/>
        </w:rPr>
        <w:t xml:space="preserve">Each Revolving Credit Lender shall upon any notice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make funds available (and the Administrative Agent may apply Cash Collateral provided for this purpose) for the account of the applicable L/C Issuer, in Dollars, at the Administrative Agent’s Office for Dollar-denominated payments in an amount equal to its Applicable Revolving Credit Percentage of the Unreimbursed Amount not later than 1:00 p.m. on the Business Day specified in such notice by the Administrative Agent, whereupon, subject to the provisions of </w:t>
      </w:r>
      <w:r>
        <w:rPr>
          <w:rFonts w:ascii="Arial" w:cs="Arial" w:eastAsia="Arial" w:hAnsi="Arial"/>
          <w:sz w:val="16"/>
          <w:szCs w:val="16"/>
          <w:u w:val="single" w:color="auto"/>
          <w:color w:val="auto"/>
        </w:rPr>
        <w:t>Section 2.03(c)(iii)</w:t>
      </w:r>
      <w:r>
        <w:rPr>
          <w:rFonts w:ascii="Arial" w:cs="Arial" w:eastAsia="Arial" w:hAnsi="Arial"/>
          <w:sz w:val="16"/>
          <w:szCs w:val="16"/>
          <w:color w:val="auto"/>
        </w:rPr>
        <w:t>, each Revolving Credit Lender that so makes funds available shall be deemed to have made a Base Rate Revolving Credit Loan to the Company in such amount. The Administrative Agent shall remit the funds so received to the applicable L/C Issuer in Dollars.</w:t>
      </w:r>
    </w:p>
    <w:p>
      <w:pPr>
        <w:spacing w:after="0" w:line="9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580"/>
          </w:cols>
          <w:pgMar w:left="880" w:top="274" w:right="439" w:bottom="1440" w:gutter="0" w:footer="0" w:header="0"/>
        </w:sectPr>
      </w:pPr>
    </w:p>
    <w:bookmarkStart w:id="55" w:name="page56"/>
    <w:bookmarkEnd w:id="55"/>
    <w:p>
      <w:pPr>
        <w:ind w:firstLine="428"/>
        <w:spacing w:after="0" w:line="255" w:lineRule="auto"/>
        <w:tabs>
          <w:tab w:leader="none" w:pos="738" w:val="left"/>
        </w:tabs>
        <w:numPr>
          <w:ilvl w:val="1"/>
          <w:numId w:val="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respect to any Unreimbursed Amount that is not fully refinanced by a Revolving Credit Borrowing of Base Rate Loans because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cannot be satisfied or for any other reason, the Company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Revolving Credit Lender’s payment to the Administrative Agent for the account of the applicable L/C Issuer pursuant to </w:t>
      </w:r>
      <w:r>
        <w:rPr>
          <w:rFonts w:ascii="Arial" w:cs="Arial" w:eastAsia="Arial" w:hAnsi="Arial"/>
          <w:sz w:val="18"/>
          <w:szCs w:val="18"/>
          <w:u w:val="single" w:color="auto"/>
          <w:color w:val="auto"/>
        </w:rPr>
        <w:t>Section 2.03(c)(ii)</w:t>
      </w:r>
      <w:r>
        <w:rPr>
          <w:rFonts w:ascii="Arial" w:cs="Arial" w:eastAsia="Arial" w:hAnsi="Arial"/>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81" w:lineRule="exact"/>
        <w:rPr>
          <w:rFonts w:ascii="Arial" w:cs="Arial" w:eastAsia="Arial" w:hAnsi="Arial"/>
          <w:sz w:val="18"/>
          <w:szCs w:val="18"/>
          <w:color w:val="auto"/>
        </w:rPr>
      </w:pPr>
    </w:p>
    <w:p>
      <w:pPr>
        <w:ind w:right="160" w:firstLine="428"/>
        <w:spacing w:after="0" w:line="264" w:lineRule="auto"/>
        <w:tabs>
          <w:tab w:leader="none" w:pos="728"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Until each Revolving Credit Lender funds its Revolving Credit Loan or L/C Advance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to reimburse the applicable L/C Issuer for any amount drawn under any Letter of Credit, interest in respect of such Lender’s Applicable Revolving Credit Percentage of such amount shall be solely for the account of such L/C Issuer.</w:t>
      </w:r>
    </w:p>
    <w:p>
      <w:pPr>
        <w:spacing w:after="0" w:line="73" w:lineRule="exact"/>
        <w:rPr>
          <w:rFonts w:ascii="Arial" w:cs="Arial" w:eastAsia="Arial" w:hAnsi="Arial"/>
          <w:sz w:val="18"/>
          <w:szCs w:val="18"/>
          <w:color w:val="auto"/>
        </w:rPr>
      </w:pPr>
    </w:p>
    <w:p>
      <w:pPr>
        <w:ind w:right="60" w:firstLine="428"/>
        <w:spacing w:after="0" w:line="253" w:lineRule="auto"/>
        <w:tabs>
          <w:tab w:leader="none" w:pos="678" w:val="left"/>
        </w:tabs>
        <w:numPr>
          <w:ilvl w:val="1"/>
          <w:numId w:val="60"/>
        </w:numPr>
        <w:rPr>
          <w:rFonts w:ascii="Arial" w:cs="Arial" w:eastAsia="Arial" w:hAnsi="Arial"/>
          <w:sz w:val="18"/>
          <w:szCs w:val="18"/>
          <w:color w:val="auto"/>
        </w:rPr>
      </w:pPr>
      <w:r>
        <w:rPr>
          <w:rFonts w:ascii="Arial" w:cs="Arial" w:eastAsia="Arial" w:hAnsi="Arial"/>
          <w:sz w:val="18"/>
          <w:szCs w:val="18"/>
          <w:color w:val="auto"/>
        </w:rPr>
        <w:t xml:space="preserve">Each Revolving Credit Lender’s obligation to make Revolving Credit Loans or L/C Advances to reimburse the applicable L/C Issuer for amounts drawn under Letters of Credit, as contemplated by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such L/C Issuer, the Company, any Subsidiary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Revolving Credit Lender’s obligation to make Revolving Credit Loans pursuant to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(other than delivery by the Company of a Loan Notice). No such making of an L/C Advance shall relieve or otherwise impair the obligation of the Company to reimburse the applicable L/C Issuer for the amount of any payment made by such L/C Issuer under any Letter of Credit, together with interest as provided herein.</w:t>
      </w:r>
    </w:p>
    <w:p>
      <w:pPr>
        <w:spacing w:after="0" w:line="89" w:lineRule="exact"/>
        <w:rPr>
          <w:rFonts w:ascii="Arial" w:cs="Arial" w:eastAsia="Arial" w:hAnsi="Arial"/>
          <w:sz w:val="18"/>
          <w:szCs w:val="18"/>
          <w:color w:val="auto"/>
        </w:rPr>
      </w:pPr>
    </w:p>
    <w:p>
      <w:pPr>
        <w:ind w:right="20" w:firstLine="428"/>
        <w:spacing w:after="0" w:line="283" w:lineRule="auto"/>
        <w:tabs>
          <w:tab w:leader="none" w:pos="728" w:val="left"/>
        </w:tabs>
        <w:numPr>
          <w:ilvl w:val="1"/>
          <w:numId w:val="60"/>
        </w:numPr>
        <w:rPr>
          <w:rFonts w:ascii="Arial" w:cs="Arial" w:eastAsia="Arial" w:hAnsi="Arial"/>
          <w:sz w:val="16"/>
          <w:szCs w:val="16"/>
          <w:color w:val="auto"/>
        </w:rPr>
      </w:pPr>
      <w:r>
        <w:rPr>
          <w:rFonts w:ascii="Arial" w:cs="Arial" w:eastAsia="Arial" w:hAnsi="Arial"/>
          <w:sz w:val="16"/>
          <w:szCs w:val="16"/>
          <w:color w:val="auto"/>
        </w:rPr>
        <w:t xml:space="preserve">If any Revolving Credit Lender fails to make available to the Administrative Agent for the account of the applicable L/C Issuer any amount required to be paid by such Lender pursuant to the foregoing provisions of this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by the time specified in </w:t>
      </w:r>
      <w:r>
        <w:rPr>
          <w:rFonts w:ascii="Arial" w:cs="Arial" w:eastAsia="Arial" w:hAnsi="Arial"/>
          <w:sz w:val="16"/>
          <w:szCs w:val="16"/>
          <w:u w:val="single" w:color="auto"/>
          <w:color w:val="auto"/>
        </w:rPr>
        <w:t>Section 2.03(c)(ii)</w:t>
      </w:r>
      <w:r>
        <w:rPr>
          <w:rFonts w:ascii="Arial" w:cs="Arial" w:eastAsia="Arial" w:hAnsi="Arial"/>
          <w:sz w:val="16"/>
          <w:szCs w:val="16"/>
          <w:color w:val="auto"/>
        </w:rPr>
        <w:t xml:space="preserve">,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applicable Overnight Rate from time to time in effect, plus any administrative, processing or similar fees customarily charged by such L/C Issuer in connection with the foregoing. If such Lender pays such amount (with interest and fees as aforesaid), the amount so paid shall constitute such Lender’s Revolving Credit Loan included in the relevant Revolving Credit Borrowing or L/C Advance in respect of the relevant L/C Borrowing, as the case may be. A certificate of the applicable L/C Issuer submitted to any Revolving Credit Lender (through the Administrative Agent) with respect to any amounts owing under this </w:t>
      </w:r>
      <w:r>
        <w:rPr>
          <w:rFonts w:ascii="Arial" w:cs="Arial" w:eastAsia="Arial" w:hAnsi="Arial"/>
          <w:sz w:val="16"/>
          <w:szCs w:val="16"/>
          <w:u w:val="single" w:color="auto"/>
          <w:color w:val="auto"/>
        </w:rPr>
        <w:t>clause</w:t>
      </w:r>
    </w:p>
    <w:p>
      <w:pPr>
        <w:spacing w:after="0" w:line="6" w:lineRule="exact"/>
        <w:rPr>
          <w:rFonts w:ascii="Arial" w:cs="Arial" w:eastAsia="Arial" w:hAnsi="Arial"/>
          <w:sz w:val="16"/>
          <w:szCs w:val="16"/>
          <w:color w:val="auto"/>
        </w:rPr>
      </w:pPr>
    </w:p>
    <w:p>
      <w:pPr>
        <w:ind w:left="300" w:hanging="296"/>
        <w:spacing w:after="0"/>
        <w:tabs>
          <w:tab w:leader="none" w:pos="300" w:val="left"/>
        </w:tabs>
        <w:numPr>
          <w:ilvl w:val="0"/>
          <w:numId w:val="61"/>
        </w:numPr>
        <w:rPr>
          <w:rFonts w:ascii="Arial" w:cs="Arial" w:eastAsia="Arial" w:hAnsi="Arial"/>
          <w:sz w:val="18"/>
          <w:szCs w:val="18"/>
          <w:u w:val="single" w:color="auto"/>
          <w:color w:val="auto"/>
        </w:rPr>
      </w:pPr>
      <w:r>
        <w:rPr>
          <w:rFonts w:ascii="Arial" w:cs="Arial" w:eastAsia="Arial" w:hAnsi="Arial"/>
          <w:sz w:val="18"/>
          <w:szCs w:val="18"/>
          <w:color w:val="auto"/>
        </w:rPr>
        <w:t>shall be conclusive absent manifest error.</w:t>
      </w:r>
    </w:p>
    <w:p>
      <w:pPr>
        <w:spacing w:after="0" w:line="14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60"/>
          </w:cols>
          <w:pgMar w:left="880" w:top="274" w:right="459" w:bottom="1440" w:gutter="0" w:footer="0" w:header="0"/>
        </w:sectPr>
      </w:pPr>
    </w:p>
    <w:bookmarkStart w:id="56" w:name="page57"/>
    <w:bookmarkEnd w:id="56"/>
    <w:p>
      <w:pPr>
        <w:ind w:left="700" w:hanging="256"/>
        <w:spacing w:after="0"/>
        <w:tabs>
          <w:tab w:leader="none" w:pos="70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28"/>
        <w:spacing w:after="0" w:line="297" w:lineRule="auto"/>
        <w:tabs>
          <w:tab w:leader="none" w:pos="1078"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At any time after an L/C Issuer has made a payment under any Letter of Credit and has received from any Revolving Credit Lender such Lender’s L/C Advance in respect of such payment in accordance with </w:t>
      </w:r>
      <w:r>
        <w:rPr>
          <w:rFonts w:ascii="Arial" w:cs="Arial" w:eastAsia="Arial" w:hAnsi="Arial"/>
          <w:sz w:val="16"/>
          <w:szCs w:val="16"/>
          <w:u w:val="single" w:color="auto"/>
          <w:color w:val="auto"/>
        </w:rPr>
        <w:t>Section 2.03(c)</w:t>
      </w:r>
      <w:r>
        <w:rPr>
          <w:rFonts w:ascii="Arial" w:cs="Arial" w:eastAsia="Arial" w:hAnsi="Arial"/>
          <w:sz w:val="16"/>
          <w:szCs w:val="16"/>
          <w:color w:val="auto"/>
        </w:rPr>
        <w:t>, if the Administrative Agent receives for the account of such L/C Issuer any payment in respect of the related Unreimbursed Amount or interest thereon (whether directly from the Company or otherwise, including proceeds of Cash Collateral applied thereto by the Administrative Agent), the Administrative Agent will distribute to such Lender its Applicable Revolving Credit Percentage thereof in Dollars and in the same funds as those received by the Administrative Agent.</w:t>
      </w:r>
    </w:p>
    <w:p>
      <w:pPr>
        <w:spacing w:after="0" w:line="50" w:lineRule="exact"/>
        <w:rPr>
          <w:rFonts w:ascii="Arial" w:cs="Arial" w:eastAsia="Arial" w:hAnsi="Arial"/>
          <w:sz w:val="16"/>
          <w:szCs w:val="16"/>
          <w:color w:val="auto"/>
        </w:rPr>
      </w:pPr>
    </w:p>
    <w:p>
      <w:pPr>
        <w:ind w:left="440" w:right="120" w:firstLine="428"/>
        <w:spacing w:after="0" w:line="293" w:lineRule="auto"/>
        <w:tabs>
          <w:tab w:leader="none" w:pos="1128" w:val="left"/>
        </w:tabs>
        <w:numPr>
          <w:ilvl w:val="1"/>
          <w:numId w:val="62"/>
        </w:numPr>
        <w:rPr>
          <w:rFonts w:ascii="Arial" w:cs="Arial" w:eastAsia="Arial" w:hAnsi="Arial"/>
          <w:sz w:val="16"/>
          <w:szCs w:val="16"/>
          <w:color w:val="auto"/>
        </w:rPr>
      </w:pPr>
      <w:r>
        <w:rPr>
          <w:rFonts w:ascii="Arial" w:cs="Arial" w:eastAsia="Arial" w:hAnsi="Arial"/>
          <w:sz w:val="16"/>
          <w:szCs w:val="16"/>
          <w:color w:val="auto"/>
        </w:rPr>
        <w:t xml:space="preserve">If any payment received by the Administrative Agent for the account of any L/C Issuer pursuant to </w:t>
      </w:r>
      <w:r>
        <w:rPr>
          <w:rFonts w:ascii="Arial" w:cs="Arial" w:eastAsia="Arial" w:hAnsi="Arial"/>
          <w:sz w:val="16"/>
          <w:szCs w:val="16"/>
          <w:u w:val="single" w:color="auto"/>
          <w:color w:val="auto"/>
        </w:rPr>
        <w:t>Section 2.03(c)(i)</w:t>
      </w:r>
      <w:r>
        <w:rPr>
          <w:rFonts w:ascii="Arial" w:cs="Arial" w:eastAsia="Arial" w:hAnsi="Arial"/>
          <w:sz w:val="16"/>
          <w:szCs w:val="16"/>
          <w:color w:val="auto"/>
        </w:rPr>
        <w:t xml:space="preserve"> is required to be returned under any of the circumstances described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(including pursuant to any settlement entered into by such L/C Issuer in its discretion), each Revolving Credit Lender shall pay to the Administrative Agent for the account of such L/C Issuer its Applicable Revolving Credit Percentage thereof on demand of the Administrative Agent, plus interest thereon from the date of such demand to the date such amount is returned by such Lender, at a rate per annum equal to the applicable Overnight Rate from time to time in effect. The obligations of the Revolving Credit Lenders under this clause shall survive the payment in full of the Obligations and the termination of this Agreement.</w:t>
      </w:r>
    </w:p>
    <w:p>
      <w:pPr>
        <w:spacing w:after="0" w:line="56" w:lineRule="exact"/>
        <w:rPr>
          <w:rFonts w:ascii="Arial" w:cs="Arial" w:eastAsia="Arial" w:hAnsi="Arial"/>
          <w:sz w:val="16"/>
          <w:szCs w:val="16"/>
          <w:color w:val="auto"/>
        </w:rPr>
      </w:pPr>
    </w:p>
    <w:p>
      <w:pPr>
        <w:ind w:right="20" w:firstLine="444"/>
        <w:spacing w:after="0" w:line="264" w:lineRule="auto"/>
        <w:tabs>
          <w:tab w:leader="none" w:pos="68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Obligations Absolute</w:t>
      </w:r>
      <w:r>
        <w:rPr>
          <w:rFonts w:ascii="Arial" w:cs="Arial" w:eastAsia="Arial" w:hAnsi="Arial"/>
          <w:sz w:val="18"/>
          <w:szCs w:val="18"/>
          <w:color w:val="auto"/>
        </w:rPr>
        <w:t>. The obligation of the Company to reimburse each L/C Issuer for each drawing under each Letter of Credit made by such L/C Issuer and to repay each L/C Borrowing shall be absolute, unconditional and irrevocable, and shall be paid strictly in accordance with the terms of this Agreement under all circumstances, including the following:</w:t>
      </w:r>
    </w:p>
    <w:p>
      <w:pPr>
        <w:spacing w:after="0" w:line="73" w:lineRule="exact"/>
        <w:rPr>
          <w:rFonts w:ascii="Arial" w:cs="Arial" w:eastAsia="Arial" w:hAnsi="Arial"/>
          <w:sz w:val="18"/>
          <w:szCs w:val="18"/>
          <w:color w:val="auto"/>
        </w:rPr>
      </w:pPr>
    </w:p>
    <w:p>
      <w:pPr>
        <w:ind w:left="1080" w:hanging="212"/>
        <w:spacing w:after="0"/>
        <w:tabs>
          <w:tab w:leader="none" w:pos="10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17" w:lineRule="exact"/>
        <w:rPr>
          <w:rFonts w:ascii="Arial" w:cs="Arial" w:eastAsia="Arial" w:hAnsi="Arial"/>
          <w:sz w:val="18"/>
          <w:szCs w:val="18"/>
          <w:color w:val="auto"/>
        </w:rPr>
      </w:pPr>
    </w:p>
    <w:p>
      <w:pPr>
        <w:ind w:left="440" w:firstLine="428"/>
        <w:spacing w:after="0" w:line="259" w:lineRule="auto"/>
        <w:tabs>
          <w:tab w:leader="none" w:pos="1128"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78" w:lineRule="exact"/>
        <w:rPr>
          <w:rFonts w:ascii="Arial" w:cs="Arial" w:eastAsia="Arial" w:hAnsi="Arial"/>
          <w:sz w:val="18"/>
          <w:szCs w:val="18"/>
          <w:color w:val="auto"/>
        </w:rPr>
      </w:pPr>
    </w:p>
    <w:p>
      <w:pPr>
        <w:ind w:left="440" w:right="120" w:firstLine="428"/>
        <w:spacing w:after="0" w:line="264" w:lineRule="auto"/>
        <w:tabs>
          <w:tab w:leader="none" w:pos="117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3" w:lineRule="exact"/>
        <w:rPr>
          <w:rFonts w:ascii="Arial" w:cs="Arial" w:eastAsia="Arial" w:hAnsi="Arial"/>
          <w:sz w:val="18"/>
          <w:szCs w:val="18"/>
          <w:color w:val="auto"/>
        </w:rPr>
      </w:pPr>
    </w:p>
    <w:p>
      <w:pPr>
        <w:ind w:left="440" w:right="180" w:firstLine="428"/>
        <w:spacing w:after="0" w:line="277" w:lineRule="auto"/>
        <w:tabs>
          <w:tab w:leader="none" w:pos="11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waiver by any L/C Issuer of any requirement that exists for such L/C Issuer’s protection and not the protection of the Company or any waiver by any L/C Issuer which does not in fact materially prejudice the Company;</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62"/>
        </w:numPr>
        <w:rPr>
          <w:rFonts w:ascii="Arial" w:cs="Arial" w:eastAsia="Arial" w:hAnsi="Arial"/>
          <w:sz w:val="17"/>
          <w:szCs w:val="17"/>
          <w:color w:val="auto"/>
        </w:rPr>
      </w:pPr>
      <w:r>
        <w:rPr>
          <w:rFonts w:ascii="Arial" w:cs="Arial" w:eastAsia="Arial" w:hAnsi="Arial"/>
          <w:sz w:val="17"/>
          <w:szCs w:val="17"/>
          <w:color w:val="auto"/>
        </w:rPr>
        <w:t>honor of a demand for payment presented electronically even if such Letter of Credit requires that demand be in the form of a draft;</w:t>
      </w:r>
    </w:p>
    <w:p>
      <w:pPr>
        <w:spacing w:after="0" w:line="128" w:lineRule="exact"/>
        <w:rPr>
          <w:rFonts w:ascii="Arial" w:cs="Arial" w:eastAsia="Arial" w:hAnsi="Arial"/>
          <w:sz w:val="17"/>
          <w:szCs w:val="17"/>
          <w:color w:val="auto"/>
        </w:rPr>
      </w:pPr>
    </w:p>
    <w:p>
      <w:pPr>
        <w:ind w:left="440" w:right="100" w:firstLine="428"/>
        <w:spacing w:after="0" w:line="264" w:lineRule="auto"/>
        <w:tabs>
          <w:tab w:leader="none" w:pos="11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payment made by any L/C Issuer in respect of an otherwise complying item presented after the date specified as the expiration date of, or the date by which documents must be received under such Letter of Credit if presentation after such date is authorized by the UCC or the ISP, as applicable;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57" w:name="page58"/>
    <w:bookmarkEnd w:id="57"/>
    <w:p>
      <w:pPr>
        <w:ind w:left="440" w:right="120" w:firstLine="428"/>
        <w:spacing w:after="0" w:line="302" w:lineRule="auto"/>
        <w:tabs>
          <w:tab w:leader="none" w:pos="1218" w:val="left"/>
        </w:tabs>
        <w:numPr>
          <w:ilvl w:val="0"/>
          <w:numId w:val="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payment by such L/C Issuer under such Letter of Credit against presentation of a draft or certificate that does not strictly comply with the terms of such Letter of Credit; or 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w:t>
      </w:r>
    </w:p>
    <w:p>
      <w:pPr>
        <w:spacing w:after="0" w:line="46" w:lineRule="exact"/>
        <w:rPr>
          <w:rFonts w:ascii="Arial" w:cs="Arial" w:eastAsia="Arial" w:hAnsi="Arial"/>
          <w:sz w:val="16"/>
          <w:szCs w:val="16"/>
          <w:color w:val="auto"/>
        </w:rPr>
      </w:pPr>
    </w:p>
    <w:p>
      <w:pPr>
        <w:ind w:left="440" w:right="300" w:firstLine="428"/>
        <w:spacing w:after="0" w:line="277" w:lineRule="auto"/>
        <w:tabs>
          <w:tab w:leader="none" w:pos="12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Alternative Currency to the Company or any Subsidiary or in the relevant currency markets generally; or</w:t>
      </w:r>
    </w:p>
    <w:p>
      <w:pPr>
        <w:spacing w:after="0" w:line="62" w:lineRule="exact"/>
        <w:rPr>
          <w:rFonts w:ascii="Arial" w:cs="Arial" w:eastAsia="Arial" w:hAnsi="Arial"/>
          <w:sz w:val="18"/>
          <w:szCs w:val="18"/>
          <w:color w:val="auto"/>
        </w:rPr>
      </w:pPr>
    </w:p>
    <w:p>
      <w:pPr>
        <w:ind w:left="440" w:right="160" w:firstLine="428"/>
        <w:spacing w:after="0" w:line="277" w:lineRule="auto"/>
        <w:tabs>
          <w:tab w:leader="none" w:pos="116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Company or any Subsidiary;</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anything in the foregoing to the contrary notwithstanding, the Company may have a claim against an L/C Issuer, and an L/C Issuer may be liable to the Company, to the extent, but only to the extent, of any direct, as opposed to consequential or exemplary, damages suffered by the Company which the Company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w:t>
      </w:r>
    </w:p>
    <w:p>
      <w:pPr>
        <w:spacing w:after="0" w:line="188"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The Company shall promptly examine a copy of each Letter of Credit and each amendment thereto that is delivered to it and, in the event of any claim of noncompliance with the Company’s instructions or other irregularity, the Company will promptly notify the applicable L/C Issuer. The Company shall be conclusively deemed to have waived any such claim against the applicable L/C Issuer and its correspondents unless such notice is given as aforesaid.</w:t>
      </w:r>
    </w:p>
    <w:p>
      <w:pPr>
        <w:spacing w:after="0" w:line="79" w:lineRule="exact"/>
        <w:rPr>
          <w:sz w:val="20"/>
          <w:szCs w:val="20"/>
          <w:color w:val="auto"/>
        </w:rPr>
      </w:pPr>
    </w:p>
    <w:p>
      <w:pPr>
        <w:ind w:right="20" w:firstLine="444"/>
        <w:spacing w:after="0" w:line="286" w:lineRule="auto"/>
        <w:tabs>
          <w:tab w:leader="none" w:pos="665"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Role of L/C Issuers</w:t>
      </w:r>
      <w:r>
        <w:rPr>
          <w:rFonts w:ascii="Arial" w:cs="Arial" w:eastAsia="Arial" w:hAnsi="Arial"/>
          <w:sz w:val="16"/>
          <w:szCs w:val="16"/>
          <w:color w:val="auto"/>
        </w:rPr>
        <w:t xml:space="preserve">. Each Lender and the Company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Issuers, the Administrative Agent, any of their respective Related Parties nor any correspondent, participant or assignee of any L/C Issuer shall be liable to any Lender for (i) any action taken or omitted in connection herewith at the request or with the approval of the Revolving Credit Lenders or the Required Revolving Credit Lenders, as applicable; (ii) any action taken or omitted in the absence of gross negligence or willful misconduct; or (iii) the due execution, effectiveness, validity or enforceability of any document or instrument related to any Letter of Credit or Issuer Document. The Company hereby assumes all risks of the acts or omissions of any beneficiary or transferee with respect to its use of any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assumption is not intended to, and shall not, preclude the Company’s pursuing such rights and remedies as it may have against the beneficiary or transferee at law or under any other agreement. None of the L/C Issuers, the Administrative Agent, any of their respective Related Parties nor any correspondent, participant or assignee of any L/C Issuer shall be liable or responsible for any of the matters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2.03(e)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anything in such clauses to the contrary notwithstanding, the Company may have a claim against an L/C Issuer, and an L/C Issuer may be liable to the Company, to the extent, but only to the extent, of any direct, as opposed to consequential 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4" w:right="439" w:bottom="1440" w:gutter="0" w:footer="0" w:header="0"/>
        </w:sectPr>
      </w:pPr>
    </w:p>
    <w:bookmarkStart w:id="58" w:name="page59"/>
    <w:bookmarkEnd w:id="5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exemplary, damages suffered by the Company which the Company proves were caused by such L/C Issuer’s willful misconduct or gross negligence or such L/C Issuer’s willful failure to pay under any Letter of Credit after the presentation to it by the beneficiary of a sight draft and certificate(s) strictly complying with the terms and conditions of a Letter of Credit. In furtherance and not in limitation of the foregoing, each L/C Issuer may accept documents that appear on their face to be in order, without responsibility for further investigation, regardless of any notice or information to the contrary, and no L/C Issuer shall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Each L/C Issuer may send a Letter of Credit or conduct any communication to or from the beneficiary via the Society for Worldwide Interbank Financial Telecommunication (“</w:t>
      </w:r>
      <w:r>
        <w:rPr>
          <w:rFonts w:ascii="Arial" w:cs="Arial" w:eastAsia="Arial" w:hAnsi="Arial"/>
          <w:sz w:val="16"/>
          <w:szCs w:val="16"/>
          <w:u w:val="single" w:color="auto"/>
          <w:color w:val="auto"/>
        </w:rPr>
        <w:t>SWIFT</w:t>
      </w:r>
      <w:r>
        <w:rPr>
          <w:rFonts w:ascii="Arial" w:cs="Arial" w:eastAsia="Arial" w:hAnsi="Arial"/>
          <w:sz w:val="16"/>
          <w:szCs w:val="16"/>
          <w:color w:val="auto"/>
        </w:rPr>
        <w:t>”) message or overnight courier, or any other commercially reasonable means of communicating with a beneficiary.</w:t>
      </w:r>
    </w:p>
    <w:p>
      <w:pPr>
        <w:spacing w:after="0" w:line="58" w:lineRule="exact"/>
        <w:rPr>
          <w:sz w:val="20"/>
          <w:szCs w:val="20"/>
          <w:color w:val="auto"/>
        </w:rPr>
      </w:pPr>
    </w:p>
    <w:p>
      <w:pPr>
        <w:ind w:right="20" w:firstLine="444"/>
        <w:spacing w:after="0" w:line="290" w:lineRule="auto"/>
        <w:tabs>
          <w:tab w:leader="none" w:pos="69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Applicability of ISP; Limitation of Liability</w:t>
      </w:r>
      <w:r>
        <w:rPr>
          <w:rFonts w:ascii="Arial" w:cs="Arial" w:eastAsia="Arial" w:hAnsi="Arial"/>
          <w:sz w:val="16"/>
          <w:szCs w:val="16"/>
          <w:color w:val="auto"/>
        </w:rPr>
        <w:t>. Unless otherwise expressly agreed by the applicable L/C Issuer and the Company when a Letter of Credit is issued (including any such agreement applicable to an Existing Letter of Credit), the rules of the ISP shall apply to each standby Letter of Credit issued by such L/C Issuer. Notwithstanding the foregoing, no L/C Issuer shall be responsible to the Company for, and no L/C Issuer’s rights and remedies against the Company shall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in the decisions, opinions, practice statements, or official commentary of the ICC Banking Commission, the Bankers Association for Finance and Trade—International Financial Services Association (BAFT-IFSA), or the Institute of International Banking Law &amp; Practice, whether or not any Letter of Credit chooses such law or practice.</w:t>
      </w:r>
    </w:p>
    <w:p>
      <w:pPr>
        <w:spacing w:after="0" w:line="58" w:lineRule="exact"/>
        <w:rPr>
          <w:rFonts w:ascii="Arial" w:cs="Arial" w:eastAsia="Arial" w:hAnsi="Arial"/>
          <w:sz w:val="16"/>
          <w:szCs w:val="16"/>
          <w:color w:val="auto"/>
        </w:rPr>
      </w:pPr>
    </w:p>
    <w:p>
      <w:pPr>
        <w:ind w:right="20" w:firstLine="444"/>
        <w:spacing w:after="0" w:line="288" w:lineRule="auto"/>
        <w:tabs>
          <w:tab w:leader="none" w:pos="69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Letter of Credit Fees</w:t>
      </w:r>
      <w:r>
        <w:rPr>
          <w:rFonts w:ascii="Arial" w:cs="Arial" w:eastAsia="Arial" w:hAnsi="Arial"/>
          <w:sz w:val="16"/>
          <w:szCs w:val="16"/>
          <w:color w:val="auto"/>
        </w:rPr>
        <w:t xml:space="preserve">. The Company shall pay to the Administrative Agent for the account of each Revolving Credit Lender in accordance, subject to </w:t>
      </w:r>
      <w:r>
        <w:rPr>
          <w:rFonts w:ascii="Arial" w:cs="Arial" w:eastAsia="Arial" w:hAnsi="Arial"/>
          <w:sz w:val="16"/>
          <w:szCs w:val="16"/>
          <w:u w:val="single" w:color="auto"/>
          <w:color w:val="auto"/>
        </w:rPr>
        <w:t>Section 2.17</w:t>
      </w:r>
      <w:r>
        <w:rPr>
          <w:rFonts w:ascii="Arial" w:cs="Arial" w:eastAsia="Arial" w:hAnsi="Arial"/>
          <w:sz w:val="16"/>
          <w:szCs w:val="16"/>
          <w:color w:val="auto"/>
        </w:rPr>
        <w:t>, with its Applicable Revolving Credit Percentage, in Dollars, a Letter of Credit fee (the “</w:t>
      </w:r>
      <w:r>
        <w:rPr>
          <w:rFonts w:ascii="Arial" w:cs="Arial" w:eastAsia="Arial" w:hAnsi="Arial"/>
          <w:sz w:val="16"/>
          <w:szCs w:val="16"/>
          <w:u w:val="single" w:color="auto"/>
          <w:color w:val="auto"/>
        </w:rPr>
        <w:t>Letter of Credit Fee</w:t>
      </w:r>
      <w:r>
        <w:rPr>
          <w:rFonts w:ascii="Arial" w:cs="Arial" w:eastAsia="Arial" w:hAnsi="Arial"/>
          <w:sz w:val="16"/>
          <w:szCs w:val="16"/>
          <w:color w:val="auto"/>
        </w:rPr>
        <w:t xml:space="preserve">”) for each Letter of Credit equal to the Applicable Rate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Dollar Equivalent of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Letter of Credit Fees shall be (i) due and payable on the tenth Business Day after the end of each March, June, September and December, commencing with the first such date to occur after the issuance of such Letter of Credit, on the Letter of Credit Expiration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Revolving Credit Lenders, while any Event of Default exists, all Letter of Credit Fees shall accrue at the Default Rate.</w:t>
      </w:r>
    </w:p>
    <w:p>
      <w:pPr>
        <w:spacing w:after="0" w:line="61" w:lineRule="exact"/>
        <w:rPr>
          <w:rFonts w:ascii="Arial" w:cs="Arial" w:eastAsia="Arial" w:hAnsi="Arial"/>
          <w:sz w:val="16"/>
          <w:szCs w:val="16"/>
          <w:color w:val="auto"/>
        </w:rPr>
      </w:pPr>
    </w:p>
    <w:p>
      <w:pPr>
        <w:ind w:right="20" w:firstLine="444"/>
        <w:spacing w:after="0" w:line="255"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Fronting Fee and Documentary and Processing Charges Payable to an L/C Issuer</w:t>
      </w:r>
      <w:r>
        <w:rPr>
          <w:rFonts w:ascii="Arial" w:cs="Arial" w:eastAsia="Arial" w:hAnsi="Arial"/>
          <w:sz w:val="18"/>
          <w:szCs w:val="18"/>
          <w:color w:val="auto"/>
        </w:rPr>
        <w:t>. The Company shall pay directly to each L/C Issuer for its own account, in Dollars, a fronting fee with respect to each Letter of Credit issued by (A) Bank of America in its capacity as an L/C Issuer, at the rate per annum specified in the Fee Letter to which Bank of America is a party, computed on the Dollar Equivalent of the daily amount available to be drawn under such Letter of Credit on a quarterly basis in arrears and (B) any other L/C Issuer, at a rate separately agreed between the Company and such L/C Issuer, computed on the Dollar Equivalent of the daily amount available to be drawn under such Letter of Credit on a quarterly basis in arrears. Such fronting fee shall be due and payable on the first Business Day after the end of each March, June, September and December in respect of the most recently-ended quarterly period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4" w:right="439" w:bottom="1440" w:gutter="0" w:footer="0" w:header="0"/>
        </w:sectPr>
      </w:pPr>
    </w:p>
    <w:bookmarkStart w:id="59" w:name="page60"/>
    <w:bookmarkEnd w:id="59"/>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portion thereof, in the case of the first payment),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In addition, the Company shall pay directly to each L/C Issuer for its own account, in Dollars,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spacing w:after="0" w:line="85" w:lineRule="exact"/>
        <w:rPr>
          <w:sz w:val="20"/>
          <w:szCs w:val="20"/>
          <w:color w:val="auto"/>
        </w:rPr>
      </w:pPr>
    </w:p>
    <w:p>
      <w:pPr>
        <w:ind w:right="120" w:firstLine="444"/>
        <w:spacing w:after="0" w:line="277"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Conflict with Issuer Documents</w:t>
      </w:r>
      <w:r>
        <w:rPr>
          <w:rFonts w:ascii="Arial" w:cs="Arial" w:eastAsia="Arial" w:hAnsi="Arial"/>
          <w:sz w:val="18"/>
          <w:szCs w:val="18"/>
          <w:color w:val="auto"/>
        </w:rPr>
        <w:t>. In the event of any conflict between the terms hereof and the terms of any Issuer Document, the terms hereof shall control.</w:t>
      </w:r>
    </w:p>
    <w:p>
      <w:pPr>
        <w:spacing w:after="0" w:line="62" w:lineRule="exact"/>
        <w:rPr>
          <w:rFonts w:ascii="Arial" w:cs="Arial" w:eastAsia="Arial" w:hAnsi="Arial"/>
          <w:sz w:val="18"/>
          <w:szCs w:val="18"/>
          <w:color w:val="auto"/>
        </w:rPr>
      </w:pPr>
    </w:p>
    <w:p>
      <w:pPr>
        <w:ind w:firstLine="444"/>
        <w:spacing w:after="0" w:line="272" w:lineRule="auto"/>
        <w:tabs>
          <w:tab w:leader="none" w:pos="695"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Letters of Credit Issued for Restricted Subsidiaries</w:t>
      </w:r>
      <w:r>
        <w:rPr>
          <w:rFonts w:ascii="Arial" w:cs="Arial" w:eastAsia="Arial" w:hAnsi="Arial"/>
          <w:sz w:val="17"/>
          <w:szCs w:val="17"/>
          <w:color w:val="auto"/>
        </w:rPr>
        <w:t>. Notwithstanding that a Letter of Credit issued or outstanding hereunder is in support of any obligations of, or is for the account of, a Restricted Subsidiary, the Company shall be obligated to reimburse, indemnify and compensate the applicable L/C Issuer hereunder for any and all drawings under such Letter of Credit as if such Letter of Credit had been issued solely for the account of the Company. The Company irrevocably waives any and all defenses (other than the defense that any such amounts have been paid in full) that might otherwise be available to it as a guarantor or surety of any or all of the obligations of such Restricted Subsidiaries in respect of such Letter of Credit. The Company hereby acknowledges that the issuance of Letters of Credit for the account of Restricted Subsidiaries inures to the benefit of the Company, and that the Company’s business derives substantial benefits from the businesses of such Restricted Subsidiaries.</w:t>
      </w:r>
    </w:p>
    <w:p>
      <w:pPr>
        <w:spacing w:after="0" w:line="69" w:lineRule="exact"/>
        <w:rPr>
          <w:rFonts w:ascii="Arial" w:cs="Arial" w:eastAsia="Arial" w:hAnsi="Arial"/>
          <w:sz w:val="17"/>
          <w:szCs w:val="17"/>
          <w:color w:val="auto"/>
        </w:rPr>
      </w:pPr>
    </w:p>
    <w:p>
      <w:pPr>
        <w:ind w:right="60" w:firstLine="444"/>
        <w:spacing w:after="0" w:line="259"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Letters of Credit Reports</w:t>
      </w:r>
      <w:r>
        <w:rPr>
          <w:rFonts w:ascii="Arial" w:cs="Arial" w:eastAsia="Arial" w:hAnsi="Arial"/>
          <w:sz w:val="18"/>
          <w:szCs w:val="18"/>
          <w:color w:val="auto"/>
        </w:rPr>
        <w:t xml:space="preserve">. For so long as any Letter of Credit issued by an L/C Issuer (other than Bank of America) is outstanding, such L/C Issuer shall deliver to the Administrative Agent on the last Business Day of each calendar month, and on each date that an L/C Credit Extension occurs with respect to any such Letter of Credit, a report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appropriately completed with the information for every outstanding Letter of Credit issued by such L/C Issuer.</w:t>
      </w:r>
    </w:p>
    <w:p>
      <w:pPr>
        <w:spacing w:after="0" w:line="78" w:lineRule="exact"/>
        <w:rPr>
          <w:rFonts w:ascii="Arial" w:cs="Arial" w:eastAsia="Arial" w:hAnsi="Arial"/>
          <w:sz w:val="18"/>
          <w:szCs w:val="18"/>
          <w:color w:val="auto"/>
        </w:rPr>
      </w:pPr>
    </w:p>
    <w:p>
      <w:pPr>
        <w:ind w:right="120" w:firstLine="444"/>
        <w:spacing w:after="0" w:line="270" w:lineRule="auto"/>
        <w:tabs>
          <w:tab w:leader="none" w:pos="745"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Replacement of any L/C Issuer</w:t>
      </w:r>
      <w:r>
        <w:rPr>
          <w:rFonts w:ascii="Arial" w:cs="Arial" w:eastAsia="Arial" w:hAnsi="Arial"/>
          <w:sz w:val="17"/>
          <w:szCs w:val="17"/>
          <w:color w:val="auto"/>
        </w:rPr>
        <w:t xml:space="preserve">. Any L/C Issuer may be replaced at any time by written agreement between the Company, the Administrative Agent, the replaced L/C Issuer and the successor L/C Issuer. The Administrative Agent shall notify the Lenders of any such replacement of an L/C Issuer. At the time any such replacement shall become effective, the Company shall pay all unpaid fees accrued for the account of the replaced L/C Issuer pursuant to </w:t>
      </w:r>
      <w:r>
        <w:rPr>
          <w:rFonts w:ascii="Arial" w:cs="Arial" w:eastAsia="Arial" w:hAnsi="Arial"/>
          <w:sz w:val="17"/>
          <w:szCs w:val="17"/>
          <w:u w:val="single" w:color="auto"/>
          <w:color w:val="auto"/>
        </w:rPr>
        <w:t>Section 2.03(i)</w:t>
      </w:r>
      <w:r>
        <w:rPr>
          <w:rFonts w:ascii="Arial" w:cs="Arial" w:eastAsia="Arial" w:hAnsi="Arial"/>
          <w:sz w:val="17"/>
          <w:szCs w:val="17"/>
          <w:color w:val="auto"/>
        </w:rPr>
        <w:t>.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 or such successor and all previous L/C Issuer,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2.04 Swing Line Loans.</w:t>
      </w:r>
    </w:p>
    <w:p>
      <w:pPr>
        <w:spacing w:after="0" w:line="121" w:lineRule="exact"/>
        <w:rPr>
          <w:sz w:val="20"/>
          <w:szCs w:val="20"/>
          <w:color w:val="auto"/>
        </w:rPr>
      </w:pPr>
    </w:p>
    <w:p>
      <w:pPr>
        <w:ind w:right="20" w:firstLine="444"/>
        <w:spacing w:after="0" w:line="276" w:lineRule="auto"/>
        <w:tabs>
          <w:tab w:leader="none" w:pos="68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The Swing Line</w:t>
      </w:r>
      <w:r>
        <w:rPr>
          <w:rFonts w:ascii="Arial" w:cs="Arial" w:eastAsia="Arial" w:hAnsi="Arial"/>
          <w:sz w:val="17"/>
          <w:szCs w:val="17"/>
          <w:color w:val="auto"/>
        </w:rPr>
        <w:t xml:space="preserve">. Subject to the terms and conditions set forth herein, the Swing Line Lender, in reliance upon the agreements of the other Revolving Credit Lenders set forth in this </w:t>
      </w:r>
      <w:r>
        <w:rPr>
          <w:rFonts w:ascii="Arial" w:cs="Arial" w:eastAsia="Arial" w:hAnsi="Arial"/>
          <w:sz w:val="17"/>
          <w:szCs w:val="17"/>
          <w:u w:val="single" w:color="auto"/>
          <w:color w:val="auto"/>
        </w:rPr>
        <w:t>Section 2.04</w:t>
      </w:r>
      <w:r>
        <w:rPr>
          <w:rFonts w:ascii="Arial" w:cs="Arial" w:eastAsia="Arial" w:hAnsi="Arial"/>
          <w:sz w:val="17"/>
          <w:szCs w:val="17"/>
          <w:color w:val="auto"/>
        </w:rPr>
        <w:t>, may in its sole discretion, make loans (each such loan, a “</w:t>
      </w:r>
      <w:r>
        <w:rPr>
          <w:rFonts w:ascii="Arial" w:cs="Arial" w:eastAsia="Arial" w:hAnsi="Arial"/>
          <w:sz w:val="17"/>
          <w:szCs w:val="17"/>
          <w:u w:val="single" w:color="auto"/>
          <w:color w:val="auto"/>
        </w:rPr>
        <w:t>Swing Line Loan</w:t>
      </w:r>
      <w:r>
        <w:rPr>
          <w:rFonts w:ascii="Arial" w:cs="Arial" w:eastAsia="Arial" w:hAnsi="Arial"/>
          <w:sz w:val="17"/>
          <w:szCs w:val="17"/>
          <w:color w:val="auto"/>
        </w:rPr>
        <w:t>”) to the Company, in Dollars, from time to time on any Business Day during the Availability Period in an aggregate amount not to exceed at any time outstanding the amount of the Swing Line Sublimit, notwithstanding the fact that such Swing Line Loans, when aggregated with the Applicable Revolving Credit Percentage of the Outstanding Amount of Revolving Credit Loans and L/C Obligations of the Lender acting as Swing Line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4" w:right="439" w:bottom="1440" w:gutter="0" w:footer="0" w:header="0"/>
        </w:sectPr>
      </w:pPr>
    </w:p>
    <w:bookmarkStart w:id="60" w:name="page61"/>
    <w:bookmarkEnd w:id="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Lender, may exceed the amount of such Lender’s Revolving Credit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giving effect to any Swing Line Loan,</w:t>
      </w:r>
    </w:p>
    <w:p>
      <w:pPr>
        <w:spacing w:after="0" w:line="46" w:lineRule="exact"/>
        <w:rPr>
          <w:sz w:val="20"/>
          <w:szCs w:val="20"/>
          <w:color w:val="auto"/>
        </w:rPr>
      </w:pPr>
    </w:p>
    <w:p>
      <w:pPr>
        <w:ind w:right="20" w:firstLine="4"/>
        <w:spacing w:after="0" w:line="288" w:lineRule="auto"/>
        <w:tabs>
          <w:tab w:leader="none" w:pos="215"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the Total Revolving Credit Outstandings shall not exceed the Aggregate Revolving Credit Commitments, and (ii) the Revolving Credit Exposure of any Lender shall not exceed such Lender’s Revolving Credit Commitment,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Company shall not use the proceeds of any Swing Line Loan to refinance any outstanding Swing Line Loan. Within the foregoing limits, and subject to the other terms and conditions hereof, the Company may 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prepay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and reborrow under this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Each Swing Line Loan shall be a Base Rate Loan. Immediately upon the making of a Swing Line Loan, each Revolving Credit Lender shall be deemed to, and hereby irrevocably and unconditionally agrees to, purchase from the Swing Line Lender a risk participation in such Swing Line Loan in an amount equal to the product of such Revolving Credit Lender’s Applicable Revolving Credit Percentage </w:t>
      </w:r>
      <w:r>
        <w:rPr>
          <w:rFonts w:ascii="Arial" w:cs="Arial" w:eastAsia="Arial" w:hAnsi="Arial"/>
          <w:sz w:val="16"/>
          <w:szCs w:val="16"/>
          <w:u w:val="single" w:color="auto"/>
          <w:color w:val="auto"/>
        </w:rPr>
        <w:t>times</w:t>
      </w:r>
      <w:r>
        <w:rPr>
          <w:rFonts w:ascii="Arial" w:cs="Arial" w:eastAsia="Arial" w:hAnsi="Arial"/>
          <w:sz w:val="16"/>
          <w:szCs w:val="16"/>
          <w:color w:val="auto"/>
        </w:rPr>
        <w:t xml:space="preserve"> the amount of such Swing Line Loan.</w:t>
      </w:r>
    </w:p>
    <w:p>
      <w:pPr>
        <w:spacing w:after="0" w:line="60" w:lineRule="exact"/>
        <w:rPr>
          <w:rFonts w:ascii="Arial" w:cs="Arial" w:eastAsia="Arial" w:hAnsi="Arial"/>
          <w:sz w:val="16"/>
          <w:szCs w:val="16"/>
          <w:color w:val="auto"/>
        </w:rPr>
      </w:pPr>
    </w:p>
    <w:p>
      <w:pPr>
        <w:ind w:right="60" w:firstLine="444"/>
        <w:spacing w:after="0" w:line="285" w:lineRule="auto"/>
        <w:tabs>
          <w:tab w:leader="none" w:pos="695"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Borrowing Procedures</w:t>
      </w:r>
      <w:r>
        <w:rPr>
          <w:rFonts w:ascii="Arial" w:cs="Arial" w:eastAsia="Arial" w:hAnsi="Arial"/>
          <w:sz w:val="16"/>
          <w:szCs w:val="16"/>
          <w:color w:val="auto"/>
        </w:rPr>
        <w:t xml:space="preserve">. Each Swing Line Borrowing shall be made upon the Company’s irrevocable notice to the Swing Line Lender and the Administrative Agent, which may be given by: (A) telephone or (B) a Swing Line Loan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telephonic notice must be confirmed promptly by delivery to the Swing Line Lender and the Administrative Agent of a Swing Line Loan Notice. Each such notice must be received by the Swing Line Lender and the Administrative Agent not later than 1:00 p.m. on the requested borrowing date, and shall specify (i) the amount to be borrowed, which shall be a minimum of $100,000, and (ii) the requested borrowing date, which shall be a Business Day. Each such telephonic notice must be confirmed promptly by delivery to the Swing Line Lender and the Administrative Agent of a written Swing Line Loan Notice, appropriately completed and signed by a Responsible Officer of the Company.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Revolving Credit Lender) prior to 2:00 p.m. on the date of the proposed Swing Line Borrowing (A) directing the Swing Line Lender not to make such Swing Line Loan as a result of the limitations set forth in the first proviso to the first sentence of </w:t>
      </w:r>
      <w:r>
        <w:rPr>
          <w:rFonts w:ascii="Arial" w:cs="Arial" w:eastAsia="Arial" w:hAnsi="Arial"/>
          <w:sz w:val="16"/>
          <w:szCs w:val="16"/>
          <w:u w:val="single" w:color="auto"/>
          <w:color w:val="auto"/>
        </w:rPr>
        <w:t>Section 2.04(a)</w:t>
      </w:r>
      <w:r>
        <w:rPr>
          <w:rFonts w:ascii="Arial" w:cs="Arial" w:eastAsia="Arial" w:hAnsi="Arial"/>
          <w:sz w:val="16"/>
          <w:szCs w:val="16"/>
          <w:color w:val="auto"/>
        </w:rPr>
        <w:t xml:space="preserve">, or (B) that one or more of the applicable conditions specified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is not then satisfied, then, subject to the terms and conditions hereof, the Swing Line Lender will, not later than 3:00 p.m. on the borrowing date specified in such Swing Line Loan Notice, make the amount of its Swing Line Loan available to the Company at its office by crediting the account of the Company on the books of the Swing Line Lender in Same Day Funds. Notwithstanding the foregoing, Swing Line Borrowings may be advanced without regard to the notice requirements, minimum amounts and other requirements set forth above in this </w:t>
      </w:r>
      <w:r>
        <w:rPr>
          <w:rFonts w:ascii="Arial" w:cs="Arial" w:eastAsia="Arial" w:hAnsi="Arial"/>
          <w:sz w:val="16"/>
          <w:szCs w:val="16"/>
          <w:u w:val="single" w:color="auto"/>
          <w:color w:val="auto"/>
        </w:rPr>
        <w:t>Section 2.04(b)</w:t>
      </w:r>
      <w:r>
        <w:rPr>
          <w:rFonts w:ascii="Arial" w:cs="Arial" w:eastAsia="Arial" w:hAnsi="Arial"/>
          <w:sz w:val="16"/>
          <w:szCs w:val="16"/>
          <w:color w:val="auto"/>
        </w:rPr>
        <w:t xml:space="preserve"> in accordance with and as set forth in any Treasury Management Agreement.</w:t>
      </w:r>
    </w:p>
    <w:p>
      <w:pPr>
        <w:spacing w:after="0" w:line="67" w:lineRule="exact"/>
        <w:rPr>
          <w:rFonts w:ascii="Arial" w:cs="Arial" w:eastAsia="Arial" w:hAnsi="Arial"/>
          <w:sz w:val="16"/>
          <w:szCs w:val="16"/>
          <w:color w:val="auto"/>
        </w:rPr>
      </w:pPr>
    </w:p>
    <w:p>
      <w:pPr>
        <w:ind w:left="680" w:hanging="236"/>
        <w:spacing w:after="0"/>
        <w:tabs>
          <w:tab w:leader="none" w:pos="680" w:val="left"/>
        </w:tabs>
        <w:numPr>
          <w:ilvl w:val="1"/>
          <w:numId w:val="68"/>
        </w:numPr>
        <w:rPr>
          <w:rFonts w:ascii="Arial" w:cs="Arial" w:eastAsia="Arial" w:hAnsi="Arial"/>
          <w:sz w:val="18"/>
          <w:szCs w:val="18"/>
          <w:color w:val="auto"/>
        </w:rPr>
      </w:pPr>
      <w:r>
        <w:rPr>
          <w:rFonts w:ascii="Arial" w:cs="Arial" w:eastAsia="Arial" w:hAnsi="Arial"/>
          <w:sz w:val="18"/>
          <w:szCs w:val="18"/>
          <w:u w:val="single" w:color="auto"/>
          <w:color w:val="auto"/>
        </w:rPr>
        <w:t>Refinancing of Swing Line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28"/>
        <w:spacing w:after="0" w:line="288" w:lineRule="auto"/>
        <w:tabs>
          <w:tab w:leader="none" w:pos="1078" w:val="left"/>
        </w:tabs>
        <w:numPr>
          <w:ilvl w:val="2"/>
          <w:numId w:val="68"/>
        </w:numPr>
        <w:rPr>
          <w:rFonts w:ascii="Arial" w:cs="Arial" w:eastAsia="Arial" w:hAnsi="Arial"/>
          <w:sz w:val="16"/>
          <w:szCs w:val="16"/>
          <w:color w:val="auto"/>
        </w:rPr>
      </w:pPr>
      <w:r>
        <w:rPr>
          <w:rFonts w:ascii="Arial" w:cs="Arial" w:eastAsia="Arial" w:hAnsi="Arial"/>
          <w:sz w:val="16"/>
          <w:szCs w:val="16"/>
          <w:color w:val="auto"/>
        </w:rPr>
        <w:t>The Swing Line Lender at any time in its sole and absolute discretion may request, on behalf of the Company (which hereby irrevocably authorizes the Swing Line Lender to so request on its behalf), that each Revolving Credit Lender make a Base Rate Revolving Credit Loan in an amount equal to such Revolving Credit Lender’s Applicable Revolving Credit Percentage of the amount of Swing Line Loans then outstanding.</w:t>
      </w:r>
    </w:p>
    <w:p>
      <w:pPr>
        <w:ind w:left="44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Such request shall be made in writing (which written request shall be deemed to be a Loan Notice for purposes hereof) and in accordance with the requirements of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without regard to the minimum and multiples specified therein for the principal amount of Base Rate Loans, but subject to the unutilized portion of the Aggregate Revolving Credit Commitments and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The Swing Line Lender shall furnish the Company with a copy of the applicable Loan Notice promptly after delivering such notice to the Administrative Agent. Each Revolving Credit</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0"/>
          </w:cols>
          <w:pgMar w:left="440" w:top="274" w:right="499" w:bottom="1440" w:gutter="0" w:footer="0" w:header="0"/>
        </w:sectPr>
      </w:pPr>
    </w:p>
    <w:bookmarkStart w:id="61" w:name="page62"/>
    <w:bookmarkEnd w:id="61"/>
    <w:p>
      <w:pPr>
        <w:ind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Lender shall make an amount equal to its Applicable Revolving Credit Percentage of the amount specified in such Loan Notice available to the Administrative Agent in Same Day Funds for the account of the Swing Line Lender at the Administrative Agent’s Office for Dollar-denominated payments not later than 1:00 p.m. on the day specified in such Loan Notice, whereupon, subject to </w:t>
      </w:r>
      <w:r>
        <w:rPr>
          <w:rFonts w:ascii="Arial" w:cs="Arial" w:eastAsia="Arial" w:hAnsi="Arial"/>
          <w:sz w:val="17"/>
          <w:szCs w:val="17"/>
          <w:u w:val="single" w:color="auto"/>
          <w:color w:val="auto"/>
        </w:rPr>
        <w:t>Section 2.04(c)(ii)</w:t>
      </w:r>
      <w:r>
        <w:rPr>
          <w:rFonts w:ascii="Arial" w:cs="Arial" w:eastAsia="Arial" w:hAnsi="Arial"/>
          <w:sz w:val="17"/>
          <w:szCs w:val="17"/>
          <w:color w:val="auto"/>
        </w:rPr>
        <w:t>, each Revolving Credit Lender that so makes funds available shall be deemed to have made a Base Rate Revolving Credit Loan to the Company in such amount. The Administrative Agent shall remit the funds so received to the Swing Line Lender.</w:t>
      </w:r>
    </w:p>
    <w:p>
      <w:pPr>
        <w:spacing w:after="0" w:line="64" w:lineRule="exact"/>
        <w:rPr>
          <w:sz w:val="20"/>
          <w:szCs w:val="20"/>
          <w:color w:val="auto"/>
        </w:rPr>
      </w:pPr>
    </w:p>
    <w:p>
      <w:pPr>
        <w:ind w:left="700" w:hanging="272"/>
        <w:spacing w:after="0"/>
        <w:tabs>
          <w:tab w:leader="none" w:pos="7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If for any reason any Swing Line Loan cannot be refinanced by such a Revolving Credit Borrowing in accordance with </w:t>
      </w:r>
      <w:r>
        <w:rPr>
          <w:rFonts w:ascii="Arial" w:cs="Arial" w:eastAsia="Arial" w:hAnsi="Arial"/>
          <w:sz w:val="16"/>
          <w:szCs w:val="16"/>
          <w:u w:val="single" w:color="auto"/>
          <w:color w:val="auto"/>
        </w:rPr>
        <w:t>Section 2.04(c)</w:t>
      </w:r>
    </w:p>
    <w:p>
      <w:pPr>
        <w:spacing w:after="0" w:line="46" w:lineRule="exact"/>
        <w:rPr>
          <w:rFonts w:ascii="Arial" w:cs="Arial" w:eastAsia="Arial" w:hAnsi="Arial"/>
          <w:sz w:val="16"/>
          <w:szCs w:val="16"/>
          <w:color w:val="auto"/>
        </w:rPr>
      </w:pPr>
    </w:p>
    <w:p>
      <w:pPr>
        <w:ind w:right="100"/>
        <w:spacing w:after="0" w:line="254" w:lineRule="auto"/>
        <w:rPr>
          <w:rFonts w:ascii="Arial" w:cs="Arial" w:eastAsia="Arial" w:hAnsi="Arial"/>
          <w:sz w:val="16"/>
          <w:szCs w:val="16"/>
          <w:color w:val="auto"/>
        </w:rPr>
      </w:pPr>
      <w:r>
        <w:rPr>
          <w:rFonts w:ascii="Arial" w:cs="Arial" w:eastAsia="Arial" w:hAnsi="Arial"/>
          <w:sz w:val="18"/>
          <w:szCs w:val="18"/>
          <w:u w:val="single" w:color="auto"/>
          <w:color w:val="auto"/>
        </w:rPr>
        <w:t>(i)</w:t>
      </w:r>
      <w:r>
        <w:rPr>
          <w:rFonts w:ascii="Arial" w:cs="Arial" w:eastAsia="Arial" w:hAnsi="Arial"/>
          <w:sz w:val="18"/>
          <w:szCs w:val="18"/>
          <w:color w:val="auto"/>
        </w:rPr>
        <w:t xml:space="preserve">, the request for Base Rate Revolving Credit Loans submitted by the Swing Line Lender as set forth herein shall be deemed to be a request by the Swing Line Lender that each of the Revolving Credit Lenders fund its risk participation in the relevant Swing Line Loan and each Revolving Credit Lender’s payment to the Administrative Agent for the account of the Swing Line Lender pursuant to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shall be deemed payment in respect of such participation.</w:t>
      </w:r>
    </w:p>
    <w:p>
      <w:pPr>
        <w:spacing w:after="0" w:line="81" w:lineRule="exact"/>
        <w:rPr>
          <w:rFonts w:ascii="Arial" w:cs="Arial" w:eastAsia="Arial" w:hAnsi="Arial"/>
          <w:sz w:val="16"/>
          <w:szCs w:val="16"/>
          <w:color w:val="auto"/>
        </w:rPr>
      </w:pPr>
    </w:p>
    <w:p>
      <w:pPr>
        <w:ind w:right="20" w:firstLine="428"/>
        <w:spacing w:after="0" w:line="270" w:lineRule="auto"/>
        <w:tabs>
          <w:tab w:leader="none" w:pos="738" w:val="left"/>
        </w:tabs>
        <w:numPr>
          <w:ilvl w:val="1"/>
          <w:numId w:val="69"/>
        </w:numPr>
        <w:rPr>
          <w:rFonts w:ascii="Arial" w:cs="Arial" w:eastAsia="Arial" w:hAnsi="Arial"/>
          <w:sz w:val="17"/>
          <w:szCs w:val="17"/>
          <w:color w:val="auto"/>
        </w:rPr>
      </w:pPr>
      <w:r>
        <w:rPr>
          <w:rFonts w:ascii="Arial" w:cs="Arial" w:eastAsia="Arial" w:hAnsi="Arial"/>
          <w:sz w:val="17"/>
          <w:szCs w:val="17"/>
          <w:color w:val="auto"/>
        </w:rPr>
        <w:t xml:space="preserve">If any Revolving Credit Lender fails to make available to the Administrative Agent for the account of the Swing Line Lender any amount required to be paid by such Lender pursuant to the foregoing provisions of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plus any administrative, processing or similar fees customarily charged by the Swing Line Lender in connection with the foregoing. If such Revolving Credit Lender pays such amount (with interest and fees as aforesaid), the amount so paid shall constitute such Revolving Credit Lender’s Revolving Credit Loan included in the relevant Revolving Credit Borrowing or funded participation in the relevant Swing Line Loan, as the case may be. A certificate of the Swing Line Lender submitted to any Lender (through the Administrative Agent) with respect to any amounts owing under this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shall be conclusive absent manifest error.</w:t>
      </w:r>
    </w:p>
    <w:p>
      <w:pPr>
        <w:spacing w:after="0" w:line="69" w:lineRule="exact"/>
        <w:rPr>
          <w:rFonts w:ascii="Arial" w:cs="Arial" w:eastAsia="Arial" w:hAnsi="Arial"/>
          <w:sz w:val="17"/>
          <w:szCs w:val="17"/>
          <w:color w:val="auto"/>
        </w:rPr>
      </w:pPr>
    </w:p>
    <w:p>
      <w:pPr>
        <w:ind w:firstLine="428"/>
        <w:spacing w:after="0" w:line="291" w:lineRule="auto"/>
        <w:tabs>
          <w:tab w:leader="none" w:pos="728" w:val="left"/>
        </w:tabs>
        <w:numPr>
          <w:ilvl w:val="1"/>
          <w:numId w:val="69"/>
        </w:numPr>
        <w:rPr>
          <w:rFonts w:ascii="Arial" w:cs="Arial" w:eastAsia="Arial" w:hAnsi="Arial"/>
          <w:sz w:val="16"/>
          <w:szCs w:val="16"/>
          <w:color w:val="auto"/>
        </w:rPr>
      </w:pPr>
      <w:r>
        <w:rPr>
          <w:rFonts w:ascii="Arial" w:cs="Arial" w:eastAsia="Arial" w:hAnsi="Arial"/>
          <w:sz w:val="16"/>
          <w:szCs w:val="16"/>
          <w:color w:val="auto"/>
        </w:rPr>
        <w:t xml:space="preserve">Each Revolving Credit Lender’s obligation to make Revolving Credit Loans or to purchase and fund risk participations in Swing Line Loans pursuant to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shall be absolute and unconditional and shall not be affected by any circumstance, including (A) any setoff, counterclaim, recoupment, defense or other right which such Lender may have against the Swing Line Lender, the Company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Revolving Credit Lender’s obligation to make Revolving Credit Loans pursuant to this </w:t>
      </w:r>
      <w:r>
        <w:rPr>
          <w:rFonts w:ascii="Arial" w:cs="Arial" w:eastAsia="Arial" w:hAnsi="Arial"/>
          <w:sz w:val="16"/>
          <w:szCs w:val="16"/>
          <w:u w:val="single" w:color="auto"/>
          <w:color w:val="auto"/>
        </w:rPr>
        <w:t>Section 2.04(c)</w:t>
      </w:r>
      <w:r>
        <w:rPr>
          <w:rFonts w:ascii="Arial" w:cs="Arial" w:eastAsia="Arial" w:hAnsi="Arial"/>
          <w:sz w:val="16"/>
          <w:szCs w:val="16"/>
          <w:color w:val="auto"/>
        </w:rPr>
        <w:t xml:space="preserve"> is subject to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No such funding of risk participations shall relieve or otherwise impair the obligation of the Company to repay Swing Line Loans, together with interest as provided herein.</w:t>
      </w:r>
    </w:p>
    <w:p>
      <w:pPr>
        <w:spacing w:after="0" w:line="59" w:lineRule="exact"/>
        <w:rPr>
          <w:rFonts w:ascii="Arial" w:cs="Arial" w:eastAsia="Arial" w:hAnsi="Arial"/>
          <w:sz w:val="16"/>
          <w:szCs w:val="16"/>
          <w:color w:val="auto"/>
        </w:rPr>
      </w:pPr>
    </w:p>
    <w:p>
      <w:pPr>
        <w:ind w:left="260" w:hanging="256"/>
        <w:spacing w:after="0"/>
        <w:tabs>
          <w:tab w:leader="none" w:pos="2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260" w:firstLine="428"/>
        <w:spacing w:after="0" w:line="286" w:lineRule="auto"/>
        <w:tabs>
          <w:tab w:leader="none" w:pos="638" w:val="left"/>
        </w:tabs>
        <w:numPr>
          <w:ilvl w:val="1"/>
          <w:numId w:val="70"/>
        </w:numPr>
        <w:rPr>
          <w:rFonts w:ascii="Arial" w:cs="Arial" w:eastAsia="Arial" w:hAnsi="Arial"/>
          <w:sz w:val="17"/>
          <w:szCs w:val="17"/>
          <w:color w:val="auto"/>
        </w:rPr>
      </w:pPr>
      <w:r>
        <w:rPr>
          <w:rFonts w:ascii="Arial" w:cs="Arial" w:eastAsia="Arial" w:hAnsi="Arial"/>
          <w:sz w:val="17"/>
          <w:szCs w:val="17"/>
          <w:color w:val="auto"/>
        </w:rPr>
        <w:t>At any time after any Revolving Credit Lender has purchased and funded a risk participation in a Swing Line Loan, if the Swing Line Lender receives any payment on account of such Swing Line Loan, the Swing Line Lender will distribute to such Revolving Credit Lender its Applicable Revolving Credit Percentage thereof in the same funds as those received by the Swing Line Lender.</w:t>
      </w:r>
    </w:p>
    <w:p>
      <w:pPr>
        <w:spacing w:after="0" w:line="98"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520"/>
          </w:cols>
          <w:pgMar w:left="880" w:top="274" w:right="499" w:bottom="1440" w:gutter="0" w:footer="0" w:header="0"/>
        </w:sectPr>
      </w:pPr>
    </w:p>
    <w:bookmarkStart w:id="62" w:name="page63"/>
    <w:bookmarkEnd w:id="62"/>
    <w:p>
      <w:pPr>
        <w:ind w:left="420" w:right="40" w:firstLine="428"/>
        <w:spacing w:after="0" w:line="255" w:lineRule="auto"/>
        <w:tabs>
          <w:tab w:leader="none" w:pos="1108"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(including pursuant to any settlement entered into by the Swing Line Lender in its discretion), each Revolving Credit Lender shall pay to the Swing Line Lender its Applicable Revolving Credit Percentage thereof on demand of the Administrative Agent, plus interest thereon from the date of such demand to the date such amount is returned, at a rate per annum equal to the applicable Overnight Rate. The Administrative Agent will make such demand upon the request of the Swing Line Lender. The obligations of the Revolving Credit Lenders under this clause shall survive the payment in full of the Obligations and the termination of this Agreement.</w:t>
      </w:r>
    </w:p>
    <w:p>
      <w:pPr>
        <w:spacing w:after="0" w:line="81" w:lineRule="exact"/>
        <w:rPr>
          <w:rFonts w:ascii="Arial" w:cs="Arial" w:eastAsia="Arial" w:hAnsi="Arial"/>
          <w:sz w:val="18"/>
          <w:szCs w:val="18"/>
          <w:color w:val="auto"/>
        </w:rPr>
      </w:pPr>
    </w:p>
    <w:p>
      <w:pPr>
        <w:ind w:left="-20" w:right="140" w:firstLine="444"/>
        <w:spacing w:after="0" w:line="259" w:lineRule="auto"/>
        <w:tabs>
          <w:tab w:leader="none" w:pos="66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Interest for Account of Swing Line Lender</w:t>
      </w:r>
      <w:r>
        <w:rPr>
          <w:rFonts w:ascii="Arial" w:cs="Arial" w:eastAsia="Arial" w:hAnsi="Arial"/>
          <w:sz w:val="18"/>
          <w:szCs w:val="18"/>
          <w:color w:val="auto"/>
        </w:rPr>
        <w:t xml:space="preserve">. The Swing Line Lender shall be responsible for invoicing the Company for interest on the Swing Line Loans. Until each Revolving Credit Lender funds its Base Rate Revolving Credit Loan or risk participation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to refinance such Revolving Credit Lender’s Applicable Revolving Credit Percentage of any Swing Line Loan, interest in respect of such Applicable Revolving Credit Percentage shall be solely for the account of the Swing Line Lender.</w:t>
      </w:r>
    </w:p>
    <w:p>
      <w:pPr>
        <w:spacing w:after="0" w:line="78" w:lineRule="exact"/>
        <w:rPr>
          <w:rFonts w:ascii="Arial" w:cs="Arial" w:eastAsia="Arial" w:hAnsi="Arial"/>
          <w:sz w:val="18"/>
          <w:szCs w:val="18"/>
          <w:color w:val="auto"/>
        </w:rPr>
      </w:pPr>
    </w:p>
    <w:p>
      <w:pPr>
        <w:ind w:left="-20" w:right="160" w:firstLine="444"/>
        <w:spacing w:after="0" w:line="277" w:lineRule="auto"/>
        <w:tabs>
          <w:tab w:leader="none" w:pos="645"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Payments Directly to Swing Line Lender</w:t>
      </w:r>
      <w:r>
        <w:rPr>
          <w:rFonts w:ascii="Arial" w:cs="Arial" w:eastAsia="Arial" w:hAnsi="Arial"/>
          <w:sz w:val="18"/>
          <w:szCs w:val="18"/>
          <w:color w:val="auto"/>
        </w:rPr>
        <w:t>. The Company shall make all payments of principal and interest in respect of the Swing Line Loans directly to the Swing Line Lender.</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2.05 Prepayments.</w:t>
      </w:r>
    </w:p>
    <w:p>
      <w:pPr>
        <w:spacing w:after="0" w:line="121" w:lineRule="exact"/>
        <w:rPr>
          <w:sz w:val="20"/>
          <w:szCs w:val="20"/>
          <w:color w:val="auto"/>
        </w:rPr>
      </w:pPr>
    </w:p>
    <w:p>
      <w:pPr>
        <w:ind w:left="660" w:hanging="236"/>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Optional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428"/>
        <w:spacing w:after="0" w:line="284" w:lineRule="auto"/>
        <w:tabs>
          <w:tab w:leader="none" w:pos="1058"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Each Borrower may, upon notice from the Company to the Administrative Agent pursuant to delivery to the Administrative Agent of a Notice of Loan Prepayment, at any time or from time to time voluntarily prepay Revolving Credit Loans and Term Loans in whole or in part without premium or penalty;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notice must be received by the Administrative Agent not later than 11:00 a.m. (1) three Business Days prior to any date of prepayment of Eurocurrency Rate Loans denominated in Dollars, (2) four Business Days (or five, in the case of prepayment of Loans denominated in Special Notice Currencies) prior to any date of prepayment of Eurocurrency Rate Loans denominated in Alternative Currencies and (3) on the date of prepayment of Base Rate Loans; (B) any prepayment of Eurocurrency Rate Loans denominated in Dollars shall be in a principal amount of $1,000,000 or a whole multiple of $1,000,000 in excess thereof; (C) any prepayment of Eurocurrency Rate Loans denominated in Alternative Currencies shall be in a minimum principal amount of $1,000,000 or a whole multiple thereof; and</w:t>
      </w:r>
    </w:p>
    <w:p>
      <w:pPr>
        <w:spacing w:after="0" w:line="1" w:lineRule="exact"/>
        <w:rPr>
          <w:rFonts w:ascii="Arial" w:cs="Arial" w:eastAsia="Arial" w:hAnsi="Arial"/>
          <w:sz w:val="16"/>
          <w:szCs w:val="16"/>
          <w:color w:val="auto"/>
        </w:rPr>
      </w:pPr>
    </w:p>
    <w:p>
      <w:pPr>
        <w:ind w:left="420" w:right="60"/>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(D) any prepayment of Base Rate Loans shall be in a principal amount of $500,000 or a whole multiple of $100,000 in excess thereof or, in each case, if less, the entire principal amount thereof then outstanding. Each such notice shall specify the date and amount of such prepayment and the Type(s) of Loans to be prepaid and, if Eurocurrency Rate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Company, the applicable Borrower shall make such prepayment and the payment amount specified in such notice shall be due and payable on the date specified therein. Any prepayment of a Eurocurrency Rate Loan shall be accompanied by all accrued interest on the amount prepaid, together with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Each prepayment of the outstanding Term Loans pursuant to this </w:t>
      </w:r>
      <w:r>
        <w:rPr>
          <w:rFonts w:ascii="Arial" w:cs="Arial" w:eastAsia="Arial" w:hAnsi="Arial"/>
          <w:sz w:val="17"/>
          <w:szCs w:val="17"/>
          <w:u w:val="single" w:color="auto"/>
          <w:color w:val="auto"/>
        </w:rPr>
        <w:t>Section 2.05(a)</w:t>
      </w:r>
      <w:r>
        <w:rPr>
          <w:rFonts w:ascii="Arial" w:cs="Arial" w:eastAsia="Arial" w:hAnsi="Arial"/>
          <w:sz w:val="17"/>
          <w:szCs w:val="17"/>
          <w:color w:val="auto"/>
        </w:rPr>
        <w:t xml:space="preserve"> shall be applied to the principal repayment installments thereof on a pro rata basis (excluding from such calculation the final payment due at maturity). Subject to </w:t>
      </w:r>
      <w:r>
        <w:rPr>
          <w:rFonts w:ascii="Arial" w:cs="Arial" w:eastAsia="Arial" w:hAnsi="Arial"/>
          <w:sz w:val="17"/>
          <w:szCs w:val="17"/>
          <w:u w:val="single" w:color="auto"/>
          <w:color w:val="auto"/>
        </w:rPr>
        <w:t>Section 2.17</w:t>
      </w:r>
      <w:r>
        <w:rPr>
          <w:rFonts w:ascii="Arial" w:cs="Arial" w:eastAsia="Arial" w:hAnsi="Arial"/>
          <w:sz w:val="17"/>
          <w:szCs w:val="17"/>
          <w:color w:val="auto"/>
        </w:rPr>
        <w:t>, each such prepayment shall be paid to the Lenders in accordance with their respective Applicable Percentages in respect of each of the relevant Facilities.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60" w:top="274" w:right="459" w:bottom="1440" w:gutter="0" w:footer="0" w:header="0"/>
        </w:sectPr>
      </w:pPr>
    </w:p>
    <w:bookmarkStart w:id="63" w:name="page64"/>
    <w:bookmarkEnd w:id="63"/>
    <w:p>
      <w:pPr>
        <w:ind w:right="60" w:firstLine="428"/>
        <w:spacing w:after="0" w:line="271" w:lineRule="auto"/>
        <w:tabs>
          <w:tab w:leader="none" w:pos="688" w:val="left"/>
        </w:tabs>
        <w:numPr>
          <w:ilvl w:val="1"/>
          <w:numId w:val="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may, upon notice to the Swing Line Lender pursuant to delivery to the Swing Line Lender of a Notice of Loan Prepayment (with a copy to the Administrative Agent), at any time or from time to time, voluntarily prepay Swing Line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notice must be received by the Swing Line Lender and the Administrative Agent not later than 1:00 p.m. on the date of the prepayment, and (B) any such prepayment shall be in a minimum principal amount of $100,000. Each such notice shall specify the date and amount of such prepayment. If such notice is given by the Company, the Company shall make such prepayment and the payment amount specified in such notice shall be due and payable on the date specified therein. Notwithstanding the foregoing, Swing Line Borrowings may be repaid without regard to the notice requirements, minimum amounts and other requirements set forth above in this </w:t>
      </w:r>
      <w:r>
        <w:rPr>
          <w:rFonts w:ascii="Arial" w:cs="Arial" w:eastAsia="Arial" w:hAnsi="Arial"/>
          <w:sz w:val="17"/>
          <w:szCs w:val="17"/>
          <w:u w:val="single" w:color="auto"/>
          <w:color w:val="auto"/>
        </w:rPr>
        <w:t>Section 2.04(a)(ii)</w:t>
      </w:r>
      <w:r>
        <w:rPr>
          <w:rFonts w:ascii="Arial" w:cs="Arial" w:eastAsia="Arial" w:hAnsi="Arial"/>
          <w:sz w:val="17"/>
          <w:szCs w:val="17"/>
          <w:color w:val="auto"/>
        </w:rPr>
        <w:t xml:space="preserve"> in accordance with and as set forth in any Treasury Management Agreement.</w:t>
      </w:r>
    </w:p>
    <w:p>
      <w:pPr>
        <w:spacing w:after="0" w:line="70" w:lineRule="exact"/>
        <w:rPr>
          <w:rFonts w:ascii="Arial" w:cs="Arial" w:eastAsia="Arial" w:hAnsi="Arial"/>
          <w:sz w:val="17"/>
          <w:szCs w:val="17"/>
          <w:color w:val="auto"/>
        </w:rPr>
      </w:pPr>
    </w:p>
    <w:p>
      <w:pPr>
        <w:ind w:left="260" w:hanging="256"/>
        <w:spacing w:after="0"/>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Mandatory.</w:t>
      </w:r>
    </w:p>
    <w:p>
      <w:pPr>
        <w:spacing w:after="0" w:line="117" w:lineRule="exact"/>
        <w:rPr>
          <w:rFonts w:ascii="Arial" w:cs="Arial" w:eastAsia="Arial" w:hAnsi="Arial"/>
          <w:sz w:val="18"/>
          <w:szCs w:val="18"/>
          <w:color w:val="auto"/>
        </w:rPr>
      </w:pPr>
    </w:p>
    <w:p>
      <w:pPr>
        <w:ind w:right="20" w:firstLine="428"/>
        <w:spacing w:after="0" w:line="283" w:lineRule="auto"/>
        <w:tabs>
          <w:tab w:leader="none" w:pos="638"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Dispositions of Property</w:t>
      </w:r>
      <w:r>
        <w:rPr>
          <w:rFonts w:ascii="Arial" w:cs="Arial" w:eastAsia="Arial" w:hAnsi="Arial"/>
          <w:sz w:val="16"/>
          <w:szCs w:val="16"/>
          <w:color w:val="auto"/>
        </w:rPr>
        <w:t xml:space="preserve">. If the Company or any of its Restricted Subsidiaries Disposes of any property (other than any Disposition of any property permitted by </w:t>
      </w:r>
      <w:r>
        <w:rPr>
          <w:rFonts w:ascii="Arial" w:cs="Arial" w:eastAsia="Arial" w:hAnsi="Arial"/>
          <w:sz w:val="16"/>
          <w:szCs w:val="16"/>
          <w:u w:val="single" w:color="auto"/>
          <w:color w:val="auto"/>
        </w:rPr>
        <w:t>Section 7.05(a)</w:t>
      </w:r>
      <w:r>
        <w:rPr>
          <w:rFonts w:ascii="Arial" w:cs="Arial" w:eastAsia="Arial" w:hAnsi="Arial"/>
          <w:sz w:val="16"/>
          <w:szCs w:val="16"/>
          <w:color w:val="auto"/>
        </w:rPr>
        <w:t xml:space="preserve"> (but only to the extent the Net Cash Proceeds of any such Disposition (or series of related Dispositions) does not exceed $1,000,000),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which results in the realization by such Person of Net Cash Proceeds, the Company shall make (and/or cause the applicable Designated Borrower to make, subject to </w:t>
      </w:r>
      <w:r>
        <w:rPr>
          <w:rFonts w:ascii="Arial" w:cs="Arial" w:eastAsia="Arial" w:hAnsi="Arial"/>
          <w:sz w:val="16"/>
          <w:szCs w:val="16"/>
          <w:u w:val="single" w:color="auto"/>
          <w:color w:val="auto"/>
        </w:rPr>
        <w:t>Section 2.14(b)</w:t>
      </w:r>
      <w:r>
        <w:rPr>
          <w:rFonts w:ascii="Arial" w:cs="Arial" w:eastAsia="Arial" w:hAnsi="Arial"/>
          <w:sz w:val="16"/>
          <w:szCs w:val="16"/>
          <w:color w:val="auto"/>
        </w:rPr>
        <w:t xml:space="preserve">) mandatory prepayments and/or Cash Collateralizations in the manner set forth in </w:t>
      </w:r>
      <w:r>
        <w:rPr>
          <w:rFonts w:ascii="Arial" w:cs="Arial" w:eastAsia="Arial" w:hAnsi="Arial"/>
          <w:sz w:val="16"/>
          <w:szCs w:val="16"/>
          <w:u w:val="single" w:color="auto"/>
          <w:color w:val="auto"/>
        </w:rPr>
        <w:t>subsection (v)</w:t>
      </w:r>
      <w:r>
        <w:rPr>
          <w:rFonts w:ascii="Arial" w:cs="Arial" w:eastAsia="Arial" w:hAnsi="Arial"/>
          <w:sz w:val="16"/>
          <w:szCs w:val="16"/>
          <w:color w:val="auto"/>
        </w:rPr>
        <w:t xml:space="preserve"> below in an amount equal to 100% of such Net Cash Proceeds immediately upon receipt thereof by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Net Cash Proceeds realized under a Disposition described in this </w:t>
      </w:r>
      <w:r>
        <w:rPr>
          <w:rFonts w:ascii="Arial" w:cs="Arial" w:eastAsia="Arial" w:hAnsi="Arial"/>
          <w:sz w:val="16"/>
          <w:szCs w:val="16"/>
          <w:u w:val="single" w:color="auto"/>
          <w:color w:val="auto"/>
        </w:rPr>
        <w:t>Section 2.05(b)(i)</w:t>
      </w:r>
      <w:r>
        <w:rPr>
          <w:rFonts w:ascii="Arial" w:cs="Arial" w:eastAsia="Arial" w:hAnsi="Arial"/>
          <w:sz w:val="16"/>
          <w:szCs w:val="16"/>
          <w:color w:val="auto"/>
        </w:rPr>
        <w:t>, at the election of the Company (as notified by the Company to the Administrative Agent on or prior to the date of such Disposition), and so long as no Event of Default shall have occurred and be continuing, the Company or such Restricted Subsidiary may reinvest all or any portion of such Net Cash Proceeds in operating assets used in the business of the Company and its Restricted Subsidiaries so long as</w:t>
      </w:r>
    </w:p>
    <w:p>
      <w:pPr>
        <w:spacing w:after="0" w:line="6" w:lineRule="exact"/>
        <w:rPr>
          <w:rFonts w:ascii="Arial" w:cs="Arial" w:eastAsia="Arial" w:hAnsi="Arial"/>
          <w:sz w:val="16"/>
          <w:szCs w:val="16"/>
          <w:color w:val="auto"/>
        </w:rPr>
      </w:pPr>
    </w:p>
    <w:p>
      <w:pPr>
        <w:spacing w:after="0" w:line="269" w:lineRule="auto"/>
        <w:rPr>
          <w:rFonts w:ascii="Arial" w:cs="Arial" w:eastAsia="Arial" w:hAnsi="Arial"/>
          <w:sz w:val="16"/>
          <w:szCs w:val="16"/>
          <w:color w:val="auto"/>
        </w:rPr>
      </w:pPr>
      <w:r>
        <w:rPr>
          <w:rFonts w:ascii="Arial" w:cs="Arial" w:eastAsia="Arial" w:hAnsi="Arial"/>
          <w:sz w:val="17"/>
          <w:szCs w:val="17"/>
          <w:color w:val="auto"/>
        </w:rPr>
        <w:t xml:space="preserve">(A) within 270 days after the receipt of such Net Cash Proceeds, a definitive agreement for the purchase of such assets shall have been entered into and (B) within 360 days after the receipt of such Net Cash Proceeds, such purchase shall have been consummated (as certified by the Company in writing to the Administrative Agent);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amount equal to any Net Cash Proceeds not subject to such definitive agreement or so reinvested shall be immediately applied to the mandatory prepayments and/or Cash Collateralizations as set forth in this </w:t>
      </w:r>
      <w:r>
        <w:rPr>
          <w:rFonts w:ascii="Arial" w:cs="Arial" w:eastAsia="Arial" w:hAnsi="Arial"/>
          <w:sz w:val="17"/>
          <w:szCs w:val="17"/>
          <w:u w:val="single" w:color="auto"/>
          <w:color w:val="auto"/>
        </w:rPr>
        <w:t>Section 2.05(b)(i)</w:t>
      </w:r>
      <w:r>
        <w:rPr>
          <w:rFonts w:ascii="Arial" w:cs="Arial" w:eastAsia="Arial" w:hAnsi="Arial"/>
          <w:sz w:val="17"/>
          <w:szCs w:val="17"/>
          <w:color w:val="auto"/>
        </w:rPr>
        <w:t xml:space="preserve">. Notwithstanding the foregoing, the Company and its Restricted Subsidiaries shall be permitted during each fiscal year to exclude up to $5,000,000 of the Net Cash Proceeds resulting from the Dispositions described above from the prepayment and/or Cash Collateralization requirements contemplated in this </w:t>
      </w:r>
      <w:r>
        <w:rPr>
          <w:rFonts w:ascii="Arial" w:cs="Arial" w:eastAsia="Arial" w:hAnsi="Arial"/>
          <w:sz w:val="17"/>
          <w:szCs w:val="17"/>
          <w:u w:val="single" w:color="auto"/>
          <w:color w:val="auto"/>
        </w:rPr>
        <w:t>Section 2.05(b)(i)</w:t>
      </w:r>
      <w:r>
        <w:rPr>
          <w:rFonts w:ascii="Arial" w:cs="Arial" w:eastAsia="Arial" w:hAnsi="Arial"/>
          <w:sz w:val="17"/>
          <w:szCs w:val="17"/>
          <w:color w:val="auto"/>
        </w:rPr>
        <w:t>.</w:t>
      </w:r>
    </w:p>
    <w:p>
      <w:pPr>
        <w:spacing w:after="0" w:line="73" w:lineRule="exact"/>
        <w:rPr>
          <w:sz w:val="20"/>
          <w:szCs w:val="20"/>
          <w:color w:val="auto"/>
        </w:rPr>
      </w:pPr>
    </w:p>
    <w:p>
      <w:pPr>
        <w:ind w:right="160" w:firstLine="428"/>
        <w:spacing w:after="0" w:line="257" w:lineRule="auto"/>
        <w:tabs>
          <w:tab w:leader="none" w:pos="688"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Incurrence of Indebtedness</w:t>
      </w:r>
      <w:r>
        <w:rPr>
          <w:rFonts w:ascii="Arial" w:cs="Arial" w:eastAsia="Arial" w:hAnsi="Arial"/>
          <w:sz w:val="18"/>
          <w:szCs w:val="18"/>
          <w:color w:val="auto"/>
        </w:rPr>
        <w:t xml:space="preserve">. Upon the incurrence or issuance by the Company or any of its Restricted Subsidiaries of any Indebtedness (other than Indebtedness expressly permitted to be incurred or issued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the Company shall make (and/or cause the applicable Designated Borrower to make, subject to </w:t>
      </w:r>
      <w:r>
        <w:rPr>
          <w:rFonts w:ascii="Arial" w:cs="Arial" w:eastAsia="Arial" w:hAnsi="Arial"/>
          <w:sz w:val="18"/>
          <w:szCs w:val="18"/>
          <w:u w:val="single" w:color="auto"/>
          <w:color w:val="auto"/>
        </w:rPr>
        <w:t>Section 2.14(b)</w:t>
      </w:r>
      <w:r>
        <w:rPr>
          <w:rFonts w:ascii="Arial" w:cs="Arial" w:eastAsia="Arial" w:hAnsi="Arial"/>
          <w:sz w:val="18"/>
          <w:szCs w:val="18"/>
          <w:color w:val="auto"/>
        </w:rPr>
        <w:t xml:space="preserve">) mandatory prepayments and/or Cash Collateralizations in the manner set forth in </w:t>
      </w:r>
      <w:r>
        <w:rPr>
          <w:rFonts w:ascii="Arial" w:cs="Arial" w:eastAsia="Arial" w:hAnsi="Arial"/>
          <w:sz w:val="18"/>
          <w:szCs w:val="18"/>
          <w:u w:val="single" w:color="auto"/>
          <w:color w:val="auto"/>
        </w:rPr>
        <w:t>subsection (v)</w:t>
      </w:r>
      <w:r>
        <w:rPr>
          <w:rFonts w:ascii="Arial" w:cs="Arial" w:eastAsia="Arial" w:hAnsi="Arial"/>
          <w:sz w:val="18"/>
          <w:szCs w:val="18"/>
          <w:color w:val="auto"/>
        </w:rPr>
        <w:t xml:space="preserve"> below in an amount equal to 100% of all Net Cash Proceeds received therefrom immediately upon receipt thereof by the Company or such Restricted Subsidiary.</w:t>
      </w:r>
    </w:p>
    <w:p>
      <w:pPr>
        <w:spacing w:after="0" w:line="12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540"/>
          </w:cols>
          <w:pgMar w:left="880" w:top="274" w:right="479" w:bottom="1440" w:gutter="0" w:footer="0" w:header="0"/>
        </w:sectPr>
      </w:pPr>
    </w:p>
    <w:bookmarkStart w:id="64" w:name="page65"/>
    <w:bookmarkEnd w:id="64"/>
    <w:p>
      <w:pPr>
        <w:ind w:firstLine="428"/>
        <w:spacing w:after="0" w:line="287" w:lineRule="auto"/>
        <w:tabs>
          <w:tab w:leader="none" w:pos="738"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Insurance and Condemnation Events</w:t>
      </w:r>
      <w:r>
        <w:rPr>
          <w:rFonts w:ascii="Arial" w:cs="Arial" w:eastAsia="Arial" w:hAnsi="Arial"/>
          <w:sz w:val="16"/>
          <w:szCs w:val="16"/>
          <w:color w:val="auto"/>
        </w:rPr>
        <w:t xml:space="preserve">. Upon the occurrence of any Insurance and Condemnation Event which results in the realization by the Company or any Restricted Subsidiary of Net Cash Proceeds, the Company shall make (and/or cause the applicable Designated Borrower to make, subject to </w:t>
      </w:r>
      <w:r>
        <w:rPr>
          <w:rFonts w:ascii="Arial" w:cs="Arial" w:eastAsia="Arial" w:hAnsi="Arial"/>
          <w:sz w:val="16"/>
          <w:szCs w:val="16"/>
          <w:u w:val="single" w:color="auto"/>
          <w:color w:val="auto"/>
        </w:rPr>
        <w:t>Section 2.14(b)</w:t>
      </w:r>
      <w:r>
        <w:rPr>
          <w:rFonts w:ascii="Arial" w:cs="Arial" w:eastAsia="Arial" w:hAnsi="Arial"/>
          <w:sz w:val="16"/>
          <w:szCs w:val="16"/>
          <w:color w:val="auto"/>
        </w:rPr>
        <w:t xml:space="preserve">) mandatory prepayments and/or Cash Collateralizations in the manner set forth in </w:t>
      </w:r>
      <w:r>
        <w:rPr>
          <w:rFonts w:ascii="Arial" w:cs="Arial" w:eastAsia="Arial" w:hAnsi="Arial"/>
          <w:sz w:val="16"/>
          <w:szCs w:val="16"/>
          <w:u w:val="single" w:color="auto"/>
          <w:color w:val="auto"/>
        </w:rPr>
        <w:t>subsection (v)</w:t>
      </w:r>
      <w:r>
        <w:rPr>
          <w:rFonts w:ascii="Arial" w:cs="Arial" w:eastAsia="Arial" w:hAnsi="Arial"/>
          <w:sz w:val="16"/>
          <w:szCs w:val="16"/>
          <w:color w:val="auto"/>
        </w:rPr>
        <w:t xml:space="preserve"> below in an amount equal to 100% of such Net Cash Proceeds immediately upon receipt thereof by the Company or such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with respect to any such Net Cash Proceeds, at the election of the Company (as notified by the Company to the Administrative Agent on or prior to the date of receipt of such Net Cash Proceeds), and so long as no Event of Default shall have occurred and be continuing, the Company or such Restricted Subsidiary may utilize such Net Cash Proceeds within 270 days after the receipt thereof to replace or repair the equipment, fixed assets or real property in respect of which such Net Cash Proceeds were received;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 amount equal to any Net Cash Proceeds not so utilized shall be immediately applied to the mandatory prepayments and/or Cash Collateralizations as set forth in this </w:t>
      </w:r>
      <w:r>
        <w:rPr>
          <w:rFonts w:ascii="Arial" w:cs="Arial" w:eastAsia="Arial" w:hAnsi="Arial"/>
          <w:sz w:val="16"/>
          <w:szCs w:val="16"/>
          <w:u w:val="single" w:color="auto"/>
          <w:color w:val="auto"/>
        </w:rPr>
        <w:t>Section 2.05(b)(iii)</w:t>
      </w:r>
      <w:r>
        <w:rPr>
          <w:rFonts w:ascii="Arial" w:cs="Arial" w:eastAsia="Arial" w:hAnsi="Arial"/>
          <w:sz w:val="16"/>
          <w:szCs w:val="16"/>
          <w:color w:val="auto"/>
        </w:rPr>
        <w:t xml:space="preserve">. Notwithstanding the foregoing, the Company and its Restricted Subsidiaries shall be permitted during each fiscal year to exclude up to $5,000,000 of the Net Cash Proceeds resulting from Insurance and Condemnation Events from the prepayment and/or Cash Collateralization requirements contemplated in this </w:t>
      </w:r>
      <w:r>
        <w:rPr>
          <w:rFonts w:ascii="Arial" w:cs="Arial" w:eastAsia="Arial" w:hAnsi="Arial"/>
          <w:sz w:val="16"/>
          <w:szCs w:val="16"/>
          <w:u w:val="single" w:color="auto"/>
          <w:color w:val="auto"/>
        </w:rPr>
        <w:t>Section 2.05(b)(iii)</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right="80" w:firstLine="428"/>
        <w:spacing w:after="0" w:line="268" w:lineRule="auto"/>
        <w:tabs>
          <w:tab w:leader="none" w:pos="728"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Excess Total Revolving Credit Outstandings</w:t>
      </w:r>
      <w:r>
        <w:rPr>
          <w:rFonts w:ascii="Arial" w:cs="Arial" w:eastAsia="Arial" w:hAnsi="Arial"/>
          <w:sz w:val="17"/>
          <w:szCs w:val="17"/>
          <w:color w:val="auto"/>
        </w:rPr>
        <w:t xml:space="preserve">. If for any reason the Total Revolving Credit Outstandings at any time exceed the Aggregate Revolving Credit Commitments at such time or the Outstanding Amount of all Revolving Credit Loans denominated in Alternative Currencies at such time exceeds the Alternative Currency Sublimit then in effect (in either case, other than due to currency fluctuations), the Company shall (and/or cause the applicable Designated Borrower to, subject to </w:t>
      </w:r>
      <w:r>
        <w:rPr>
          <w:rFonts w:ascii="Arial" w:cs="Arial" w:eastAsia="Arial" w:hAnsi="Arial"/>
          <w:sz w:val="17"/>
          <w:szCs w:val="17"/>
          <w:u w:val="single" w:color="auto"/>
          <w:color w:val="auto"/>
        </w:rPr>
        <w:t>Section 2.14(b)</w:t>
      </w:r>
      <w:r>
        <w:rPr>
          <w:rFonts w:ascii="Arial" w:cs="Arial" w:eastAsia="Arial" w:hAnsi="Arial"/>
          <w:sz w:val="17"/>
          <w:szCs w:val="17"/>
          <w:color w:val="auto"/>
        </w:rPr>
        <w:t xml:space="preserve">) promptly (and in any event within one Business Day) prepay Revolving Credit Loans, Swing Line Loans and L/C Borrowings and/or Cash Collateralize the L/C Obligations in an aggregate amount equal to such excess. If, as a result of currency fluctuations, the Administrative Agent notifies the Company at any time that (A) the Outstanding Amount of all Revolving Credit Loans denominated in Alternative Currencies at such time exceeds an amount equal to 103% of the Alternative Currency Sublimit then in effect, then, within two Business Days after receipt of such notice, the Company shall (and/or cause the applicable Designated Borrower to, subject to </w:t>
      </w:r>
      <w:r>
        <w:rPr>
          <w:rFonts w:ascii="Arial" w:cs="Arial" w:eastAsia="Arial" w:hAnsi="Arial"/>
          <w:sz w:val="17"/>
          <w:szCs w:val="17"/>
          <w:u w:val="single" w:color="auto"/>
          <w:color w:val="auto"/>
        </w:rPr>
        <w:t>Section 2.14(b)</w:t>
      </w:r>
      <w:r>
        <w:rPr>
          <w:rFonts w:ascii="Arial" w:cs="Arial" w:eastAsia="Arial" w:hAnsi="Arial"/>
          <w:sz w:val="17"/>
          <w:szCs w:val="17"/>
          <w:color w:val="auto"/>
        </w:rPr>
        <w:t xml:space="preserve">) prepay Revolving Credit Loans in an aggregate amount sufficient to reduce such Outstanding Amount as of such date of payment to an amount not to exceed 100% of the Alternative Currency Sublimit then in effect and (B) the Total Revolving Credit Outstandings at any time exceed an amount equal to 103% of the Aggregate Revolving Credit Commitments at such time, then, within two Business Days after receipt of such notice, the Company shall (and/or cause the applicable Designated Borrower to, subject to </w:t>
      </w:r>
      <w:r>
        <w:rPr>
          <w:rFonts w:ascii="Arial" w:cs="Arial" w:eastAsia="Arial" w:hAnsi="Arial"/>
          <w:sz w:val="17"/>
          <w:szCs w:val="17"/>
          <w:u w:val="single" w:color="auto"/>
          <w:color w:val="auto"/>
        </w:rPr>
        <w:t>Section 2.14(b)</w:t>
      </w:r>
      <w:r>
        <w:rPr>
          <w:rFonts w:ascii="Arial" w:cs="Arial" w:eastAsia="Arial" w:hAnsi="Arial"/>
          <w:sz w:val="17"/>
          <w:szCs w:val="17"/>
          <w:color w:val="auto"/>
        </w:rPr>
        <w:t>) prepay Revolving Credit Loans, Swing Line Loans and L/C Borrowings and/or Cash Collateralize the L/C Obligations in an aggregate amount equal to such excess.</w:t>
      </w:r>
    </w:p>
    <w:p>
      <w:pPr>
        <w:spacing w:after="0" w:line="77" w:lineRule="exact"/>
        <w:rPr>
          <w:rFonts w:ascii="Arial" w:cs="Arial" w:eastAsia="Arial" w:hAnsi="Arial"/>
          <w:sz w:val="17"/>
          <w:szCs w:val="17"/>
          <w:color w:val="auto"/>
        </w:rPr>
      </w:pPr>
    </w:p>
    <w:p>
      <w:pPr>
        <w:ind w:left="680" w:hanging="252"/>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Application of Mandatory Prepayments.</w:t>
      </w:r>
    </w:p>
    <w:p>
      <w:pPr>
        <w:spacing w:after="0" w:line="117" w:lineRule="exact"/>
        <w:rPr>
          <w:rFonts w:ascii="Arial" w:cs="Arial" w:eastAsia="Arial" w:hAnsi="Arial"/>
          <w:sz w:val="18"/>
          <w:szCs w:val="18"/>
          <w:color w:val="auto"/>
        </w:rPr>
      </w:pPr>
    </w:p>
    <w:p>
      <w:pPr>
        <w:ind w:left="440" w:right="60" w:firstLine="411"/>
        <w:spacing w:after="0" w:line="255" w:lineRule="auto"/>
        <w:tabs>
          <w:tab w:leader="none" w:pos="11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Each prepayment and/or Cash Collateralization made pursuant to the foregoing provisions of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shall be applied,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ratably between the principal repayment installments of the Term Loans and (unless otherwise agreed by the applicable Additional Lenders) any Additional Term Loans on a pro-rata basis (excluding from such calculation, except with respect to prepayments with respect to property Disposed of in sale-leaseback transactions pursuant to </w:t>
      </w:r>
      <w:r>
        <w:rPr>
          <w:rFonts w:ascii="Arial" w:cs="Arial" w:eastAsia="Arial" w:hAnsi="Arial"/>
          <w:sz w:val="18"/>
          <w:szCs w:val="18"/>
          <w:u w:val="single" w:color="auto"/>
          <w:color w:val="auto"/>
        </w:rPr>
        <w:t>Section 7.05(h)</w:t>
      </w:r>
      <w:r>
        <w:rPr>
          <w:rFonts w:ascii="Arial" w:cs="Arial" w:eastAsia="Arial" w:hAnsi="Arial"/>
          <w:sz w:val="18"/>
          <w:szCs w:val="18"/>
          <w:color w:val="auto"/>
        </w:rPr>
        <w:t xml:space="preserve">, the final payment due at maturity), and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Revolving Credit Facility in the manner set forth in </w:t>
      </w:r>
      <w:r>
        <w:rPr>
          <w:rFonts w:ascii="Arial" w:cs="Arial" w:eastAsia="Arial" w:hAnsi="Arial"/>
          <w:sz w:val="18"/>
          <w:szCs w:val="18"/>
          <w:u w:val="single" w:color="auto"/>
          <w:color w:val="auto"/>
        </w:rPr>
        <w:t>subsection (v)(B)</w:t>
      </w:r>
      <w:r>
        <w:rPr>
          <w:rFonts w:ascii="Arial" w:cs="Arial" w:eastAsia="Arial" w:hAnsi="Arial"/>
          <w:sz w:val="18"/>
          <w:szCs w:val="18"/>
          <w:color w:val="auto"/>
        </w:rPr>
        <w:t xml:space="preserve"> below (without a corresponding reduction of the Revolving Credit Commitments).</w:t>
      </w:r>
    </w:p>
    <w:p>
      <w:pPr>
        <w:spacing w:after="0" w:line="1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580"/>
          </w:cols>
          <w:pgMar w:left="880" w:top="274" w:right="439" w:bottom="1440" w:gutter="0" w:footer="0" w:header="0"/>
        </w:sectPr>
      </w:pPr>
    </w:p>
    <w:bookmarkStart w:id="65" w:name="page66"/>
    <w:bookmarkEnd w:id="65"/>
    <w:p>
      <w:pPr>
        <w:ind w:left="880" w:right="20" w:firstLine="411"/>
        <w:spacing w:after="0" w:line="273" w:lineRule="auto"/>
        <w:tabs>
          <w:tab w:leader="none" w:pos="1570" w:val="left"/>
        </w:tabs>
        <w:numPr>
          <w:ilvl w:val="2"/>
          <w:numId w:val="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Prepayments and/or Cash Collateralization of the Revolving Credit Facility made pursuant to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shall be applied,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ratably to the L/C Borrowings and the Swing Line Loans,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ratably to the outstanding Revolving Credit Loans, and, in the case of prepayments and/or Cash Collateralization of the Revolving Credit Facility required pursuant to </w:t>
      </w:r>
      <w:r>
        <w:rPr>
          <w:rFonts w:ascii="Arial" w:cs="Arial" w:eastAsia="Arial" w:hAnsi="Arial"/>
          <w:sz w:val="17"/>
          <w:szCs w:val="17"/>
          <w:u w:val="single" w:color="auto"/>
          <w:color w:val="auto"/>
        </w:rPr>
        <w:t>subsection (iv)</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third</w:t>
      </w:r>
      <w:r>
        <w:rPr>
          <w:rFonts w:ascii="Arial" w:cs="Arial" w:eastAsia="Arial" w:hAnsi="Arial"/>
          <w:sz w:val="17"/>
          <w:szCs w:val="17"/>
          <w:color w:val="auto"/>
        </w:rPr>
        <w:t>, to the Cash Collateralization of the remaining L/C Obligations. Upon the drawing of any Letter of Credit that has been Cash Collateralized, the funds held as Cash Collateral shall be applied (without any further action by or notice to or from the Company or any other Loan Party) to reimburse the L/C Issuer or the Revolving Credit Lenders, as applicable.</w:t>
      </w:r>
    </w:p>
    <w:p>
      <w:pPr>
        <w:spacing w:after="0" w:line="70" w:lineRule="exact"/>
        <w:rPr>
          <w:rFonts w:ascii="Arial" w:cs="Arial" w:eastAsia="Arial" w:hAnsi="Arial"/>
          <w:sz w:val="17"/>
          <w:szCs w:val="17"/>
          <w:color w:val="auto"/>
        </w:rPr>
      </w:pPr>
    </w:p>
    <w:p>
      <w:pPr>
        <w:ind w:left="880" w:right="300" w:firstLine="411"/>
        <w:spacing w:after="0" w:line="277" w:lineRule="auto"/>
        <w:tabs>
          <w:tab w:leader="none" w:pos="1570" w:val="left"/>
        </w:tabs>
        <w:numPr>
          <w:ilvl w:val="2"/>
          <w:numId w:val="7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each prepayment pursuant to this </w:t>
      </w:r>
      <w:r>
        <w:rPr>
          <w:rFonts w:ascii="Arial" w:cs="Arial" w:eastAsia="Arial" w:hAnsi="Arial"/>
          <w:sz w:val="18"/>
          <w:szCs w:val="18"/>
          <w:u w:val="single" w:color="auto"/>
          <w:color w:val="auto"/>
        </w:rPr>
        <w:t>Section 2.05(b)</w:t>
      </w:r>
      <w:r>
        <w:rPr>
          <w:rFonts w:ascii="Arial" w:cs="Arial" w:eastAsia="Arial" w:hAnsi="Arial"/>
          <w:sz w:val="18"/>
          <w:szCs w:val="18"/>
          <w:color w:val="auto"/>
        </w:rPr>
        <w:t xml:space="preserve"> shall be paid to the Lenders in accordance with their respective Applicable Percentages in respect of each of the relevant Facilities.</w:t>
      </w:r>
    </w:p>
    <w:p>
      <w:pPr>
        <w:spacing w:after="0" w:line="62" w:lineRule="exact"/>
        <w:rPr>
          <w:rFonts w:ascii="Arial" w:cs="Arial" w:eastAsia="Arial" w:hAnsi="Arial"/>
          <w:sz w:val="18"/>
          <w:szCs w:val="18"/>
          <w:color w:val="auto"/>
        </w:rPr>
      </w:pPr>
    </w:p>
    <w:p>
      <w:pPr>
        <w:ind w:left="1180" w:hanging="312"/>
        <w:spacing w:after="0"/>
        <w:tabs>
          <w:tab w:leader="none" w:pos="1180" w:val="left"/>
        </w:tabs>
        <w:numPr>
          <w:ilvl w:val="1"/>
          <w:numId w:val="79"/>
        </w:numPr>
        <w:rPr>
          <w:rFonts w:ascii="Arial" w:cs="Arial" w:eastAsia="Arial" w:hAnsi="Arial"/>
          <w:sz w:val="17"/>
          <w:szCs w:val="17"/>
          <w:color w:val="auto"/>
        </w:rPr>
      </w:pPr>
      <w:r>
        <w:rPr>
          <w:rFonts w:ascii="Arial" w:cs="Arial" w:eastAsia="Arial" w:hAnsi="Arial"/>
          <w:sz w:val="17"/>
          <w:szCs w:val="17"/>
          <w:color w:val="auto"/>
        </w:rPr>
        <w:t xml:space="preserve">Notwithstanding anything in this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to the contrary, no prepayment shall be required pursuant to (A)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w:t>
      </w:r>
    </w:p>
    <w:p>
      <w:pPr>
        <w:spacing w:after="0" w:line="34" w:lineRule="exact"/>
        <w:rPr>
          <w:rFonts w:ascii="Arial" w:cs="Arial" w:eastAsia="Arial" w:hAnsi="Arial"/>
          <w:sz w:val="17"/>
          <w:szCs w:val="17"/>
          <w:color w:val="auto"/>
        </w:rPr>
      </w:pPr>
    </w:p>
    <w:p>
      <w:pPr>
        <w:ind w:left="440" w:right="20" w:firstLine="4"/>
        <w:spacing w:after="0" w:line="281" w:lineRule="auto"/>
        <w:tabs>
          <w:tab w:leader="none" w:pos="755" w:val="left"/>
        </w:tabs>
        <w:numPr>
          <w:ilvl w:val="0"/>
          <w:numId w:val="80"/>
        </w:numPr>
        <w:rPr>
          <w:rFonts w:ascii="Arial" w:cs="Arial" w:eastAsia="Arial" w:hAnsi="Arial"/>
          <w:sz w:val="16"/>
          <w:szCs w:val="16"/>
          <w:u w:val="single" w:color="auto"/>
          <w:color w:val="auto"/>
        </w:rPr>
      </w:pPr>
      <w:r>
        <w:rPr>
          <w:rFonts w:ascii="Arial" w:cs="Arial" w:eastAsia="Arial" w:hAnsi="Arial"/>
          <w:sz w:val="16"/>
          <w:szCs w:val="16"/>
          <w:color w:val="auto"/>
        </w:rPr>
        <w:t xml:space="preserve">of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as a result of any actions of a Foreign Subsidiary if such prepayment by such Foreign Subsidiary or the upstreaming of cash by such Foreign Subsidiary in order to make such prepayment would not be permitted by local law (e.g., financial assistance, corporate benefit, restrictions on upstreaming of cash intra-group and the fiduciary and statutory duties of the directors of such Foreign Subsidiary), (B)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as a result of the Disposition of assets by a Foreign Subsidiary or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as a result of the receipt of Net Cash Proceeds by a Foreign Subsidiary from an Insurance and Condemnation Event if, in either case, the Company and its Subsidiaries would suffer material adverse tax consequences (as determined in good faith by the Company) as a result of upstreaming cash to make any such prepayment (including the imposition of withholding taxes) and (C) no prepayment shall be required pursuant to (A)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w:t>
      </w:r>
    </w:p>
    <w:p>
      <w:pPr>
        <w:spacing w:after="0" w:line="4" w:lineRule="exact"/>
        <w:rPr>
          <w:rFonts w:ascii="Arial" w:cs="Arial" w:eastAsia="Arial" w:hAnsi="Arial"/>
          <w:sz w:val="16"/>
          <w:szCs w:val="16"/>
          <w:u w:val="single" w:color="auto"/>
          <w:color w:val="auto"/>
        </w:rPr>
      </w:pPr>
    </w:p>
    <w:p>
      <w:pPr>
        <w:ind w:left="440" w:right="60" w:firstLine="4"/>
        <w:spacing w:after="0" w:line="302" w:lineRule="auto"/>
        <w:tabs>
          <w:tab w:leader="none" w:pos="755" w:val="left"/>
        </w:tabs>
        <w:numPr>
          <w:ilvl w:val="0"/>
          <w:numId w:val="81"/>
        </w:numPr>
        <w:rPr>
          <w:rFonts w:ascii="Arial" w:cs="Arial" w:eastAsia="Arial" w:hAnsi="Arial"/>
          <w:sz w:val="16"/>
          <w:szCs w:val="16"/>
          <w:u w:val="single" w:color="auto"/>
          <w:color w:val="auto"/>
        </w:rPr>
      </w:pPr>
      <w:r>
        <w:rPr>
          <w:rFonts w:ascii="Arial" w:cs="Arial" w:eastAsia="Arial" w:hAnsi="Arial"/>
          <w:sz w:val="16"/>
          <w:szCs w:val="16"/>
          <w:color w:val="auto"/>
        </w:rPr>
        <w:t xml:space="preserve">of this </w:t>
      </w:r>
      <w:r>
        <w:rPr>
          <w:rFonts w:ascii="Arial" w:cs="Arial" w:eastAsia="Arial" w:hAnsi="Arial"/>
          <w:sz w:val="16"/>
          <w:szCs w:val="16"/>
          <w:u w:val="single" w:color="auto"/>
          <w:color w:val="auto"/>
        </w:rPr>
        <w:t>Section 2.05(b)</w:t>
      </w:r>
      <w:r>
        <w:rPr>
          <w:rFonts w:ascii="Arial" w:cs="Arial" w:eastAsia="Arial" w:hAnsi="Arial"/>
          <w:sz w:val="16"/>
          <w:szCs w:val="16"/>
          <w:color w:val="auto"/>
        </w:rPr>
        <w:t xml:space="preserve"> if the Consolidated Net Leverage Ratio as of the date such prepayment would otherwise be required (i.e. the date such Net Cash Proceeds are received if the Company does not provide a notice of its intent to reinvest or the date on which such reinvestment period ends) is less than 3.00 to 1.00 (calculated after giving pro forma effect to any Disposition resulting in the particular Net Cash Proceeds).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2.06 Termination or Reduction of Revolving Credit Commitments.</w:t>
      </w:r>
    </w:p>
    <w:p>
      <w:pPr>
        <w:spacing w:after="0" w:line="121" w:lineRule="exact"/>
        <w:rPr>
          <w:sz w:val="20"/>
          <w:szCs w:val="20"/>
          <w:color w:val="auto"/>
        </w:rPr>
      </w:pPr>
    </w:p>
    <w:p>
      <w:pPr>
        <w:ind w:left="680" w:hanging="236"/>
        <w:spacing w:after="0"/>
        <w:tabs>
          <w:tab w:leader="none" w:pos="680" w:val="left"/>
        </w:tabs>
        <w:numPr>
          <w:ilvl w:val="0"/>
          <w:numId w:val="82"/>
        </w:numPr>
        <w:rPr>
          <w:rFonts w:ascii="Arial" w:cs="Arial" w:eastAsia="Arial" w:hAnsi="Arial"/>
          <w:sz w:val="17"/>
          <w:szCs w:val="17"/>
          <w:color w:val="auto"/>
        </w:rPr>
      </w:pPr>
      <w:r>
        <w:rPr>
          <w:rFonts w:ascii="Arial" w:cs="Arial" w:eastAsia="Arial" w:hAnsi="Arial"/>
          <w:sz w:val="17"/>
          <w:szCs w:val="17"/>
          <w:u w:val="single" w:color="auto"/>
          <w:color w:val="auto"/>
        </w:rPr>
        <w:t>Optional</w:t>
      </w:r>
      <w:r>
        <w:rPr>
          <w:rFonts w:ascii="Arial" w:cs="Arial" w:eastAsia="Arial" w:hAnsi="Arial"/>
          <w:sz w:val="17"/>
          <w:szCs w:val="17"/>
          <w:color w:val="auto"/>
        </w:rPr>
        <w:t>. The Company may, upon notice to the Administrative Agent, terminate the Aggregate Revolving Credit Commitments, the</w:t>
      </w:r>
    </w:p>
    <w:p>
      <w:pPr>
        <w:spacing w:after="0" w:line="34" w:lineRule="exact"/>
        <w:rPr>
          <w:rFonts w:ascii="Arial" w:cs="Arial" w:eastAsia="Arial" w:hAnsi="Arial"/>
          <w:sz w:val="17"/>
          <w:szCs w:val="17"/>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Alternative Currency Sublimit, the Designated Non-U.S. Borrower Sublimit, the Letter of Credit Sublimit (or any L/C Issuer’s commitment thereunder) or the Swing Line Sublimit, or from time to time permanently reduce the Aggregate Revolving Credit Commitments, the Alternative Currency Sublimit, the Designated Non-U.S. Borrower Sublimit, the Letter of Credit Sublimit (or any L/C Issuer’s commitment thereunder) or the Swing Line Sublimit;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notice shall be received by the Administrative Agent not later than 11:00 a.m. five Business Days prior to the date of termination or reduction, (ii) any such partial reduction in the Aggregate Revolving Credit Commitments shall be in an aggregate amount of $5,000,000 or any whole multiple of $1,000,000 in excess thereof and (iii) the Company shall not terminate or reduce (A) the Aggregate Revolving Credit Commitments if, after giving effect thereto and to any concurrent prepayments hereunder, the Total Revolving Credit Outstandings would exceed the Aggregate Revolving Credit Commitments, (B) the Alternative Currency Sublimit if, after giving effect thereto and to any concurrent prepayments hereunder, the Outstanding Amount of Revolving Credit Loans in Alternative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66" w:name="page67"/>
    <w:bookmarkEnd w:id="66"/>
    <w:p>
      <w:pPr>
        <w:ind w:right="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Currencies would exceed the Alternative Currency Sublimit, (C) the Designated Non-U.S. Borrower Sublimit if, after giving effect thereto and to any concurrent prepayments hereunder, the Outstanding Amount of Revolving Credit Loans to Designated Borrowers that are not U.S. Borrowers would exceed the Designated Non-U.S. Borrower Sublimit, (D) the Letter of Credit Sublimit (or any L/C Issuer’s commitment thereunder) if, after giving effect thereto, the Outstanding Amount of L/C Obligations not fully Cash Collateralized hereunder would exceed the Letter of Credit Sublimit (or the Outstanding Amount of L/C Obligations not fully Cash Collateralized of any L/C Issuer would exceed such L/C Issuer’s commitment under the Letter of Credit Sublimit).or (E) the Swing Line Sublimit if, after giving effect thereto and to any concurrent prepayments hereunder, the Outstanding Amount of Swing Line Loans would exceed the Swing Line Sublimit.</w:t>
      </w:r>
    </w:p>
    <w:p>
      <w:pPr>
        <w:spacing w:after="0" w:line="70" w:lineRule="exact"/>
        <w:rPr>
          <w:sz w:val="20"/>
          <w:szCs w:val="20"/>
          <w:color w:val="auto"/>
        </w:rPr>
      </w:pPr>
    </w:p>
    <w:p>
      <w:pPr>
        <w:ind w:right="500" w:firstLine="444"/>
        <w:spacing w:after="0" w:line="277"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Mandatory</w:t>
      </w:r>
      <w:r>
        <w:rPr>
          <w:rFonts w:ascii="Arial" w:cs="Arial" w:eastAsia="Arial" w:hAnsi="Arial"/>
          <w:sz w:val="18"/>
          <w:szCs w:val="18"/>
          <w:color w:val="auto"/>
        </w:rPr>
        <w:t>. Any unused portion of the Term Commitments shall be automatically terminated upon the funding of the Term Loans on the Closing Date.</w:t>
      </w:r>
    </w:p>
    <w:p>
      <w:pPr>
        <w:spacing w:after="0" w:line="62" w:lineRule="exact"/>
        <w:rPr>
          <w:rFonts w:ascii="Arial" w:cs="Arial" w:eastAsia="Arial" w:hAnsi="Arial"/>
          <w:sz w:val="18"/>
          <w:szCs w:val="18"/>
          <w:color w:val="auto"/>
        </w:rPr>
      </w:pPr>
    </w:p>
    <w:p>
      <w:pPr>
        <w:ind w:firstLine="444"/>
        <w:spacing w:after="0" w:line="255" w:lineRule="auto"/>
        <w:tabs>
          <w:tab w:leader="none" w:pos="68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Application of Commitment Reductions; Payment of Fees</w:t>
      </w:r>
      <w:r>
        <w:rPr>
          <w:rFonts w:ascii="Arial" w:cs="Arial" w:eastAsia="Arial" w:hAnsi="Arial"/>
          <w:sz w:val="18"/>
          <w:szCs w:val="18"/>
          <w:color w:val="auto"/>
        </w:rPr>
        <w:t xml:space="preserve">. The Administrative Agent will promptly notify the Lenders of any termination or reduction of the Aggregate Revolving Credit Commitments, the Alternative Currency Sublimit, the Designated Non-U.S. Borrower Sublimit, the Letter of Credit Sublimit or the Swing Line Sublimit under this </w:t>
      </w:r>
      <w:r>
        <w:rPr>
          <w:rFonts w:ascii="Arial" w:cs="Arial" w:eastAsia="Arial" w:hAnsi="Arial"/>
          <w:sz w:val="18"/>
          <w:szCs w:val="18"/>
          <w:u w:val="single" w:color="auto"/>
          <w:color w:val="auto"/>
        </w:rPr>
        <w:t>Section 2.06</w:t>
      </w:r>
      <w:r>
        <w:rPr>
          <w:rFonts w:ascii="Arial" w:cs="Arial" w:eastAsia="Arial" w:hAnsi="Arial"/>
          <w:sz w:val="18"/>
          <w:szCs w:val="18"/>
          <w:color w:val="auto"/>
        </w:rPr>
        <w:t>. Upon any reduction of the Revolving Credit Commitments, the Revolving Credit Commitment of each Revolving Credit Lender shall be reduced by such Lender’s Applicable Revolving Credit Percentage of such reduction amount. All fees in respect of the Revolving Credit Facility accrued until the effective date of any termination of the Aggregate Revolving Credit Commitments shall be paid on the effective date of such termination.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2.07 Repayment of Loans.</w:t>
      </w:r>
    </w:p>
    <w:p>
      <w:pPr>
        <w:spacing w:after="0" w:line="121" w:lineRule="exact"/>
        <w:rPr>
          <w:sz w:val="20"/>
          <w:szCs w:val="20"/>
          <w:color w:val="auto"/>
        </w:rPr>
      </w:pPr>
    </w:p>
    <w:p>
      <w:pPr>
        <w:ind w:right="40" w:firstLine="444"/>
        <w:spacing w:after="0" w:line="302" w:lineRule="auto"/>
        <w:tabs>
          <w:tab w:leader="none" w:pos="685"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Term Loans</w:t>
      </w:r>
      <w:r>
        <w:rPr>
          <w:rFonts w:ascii="Arial" w:cs="Arial" w:eastAsia="Arial" w:hAnsi="Arial"/>
          <w:sz w:val="16"/>
          <w:szCs w:val="16"/>
          <w:color w:val="auto"/>
        </w:rPr>
        <w:t xml:space="preserve">. The Company shall repay to the Term Loan Lenders the aggregate principal amount of all Term Loans in quarterly principal installments as set forth on </w:t>
      </w:r>
      <w:r>
        <w:rPr>
          <w:rFonts w:ascii="Arial" w:cs="Arial" w:eastAsia="Arial" w:hAnsi="Arial"/>
          <w:sz w:val="16"/>
          <w:szCs w:val="16"/>
          <w:u w:val="single" w:color="auto"/>
          <w:color w:val="auto"/>
        </w:rPr>
        <w:t>Schedule 2.07(a)</w:t>
      </w:r>
      <w:r>
        <w:rPr>
          <w:rFonts w:ascii="Arial" w:cs="Arial" w:eastAsia="Arial" w:hAnsi="Arial"/>
          <w:sz w:val="16"/>
          <w:szCs w:val="16"/>
          <w:color w:val="auto"/>
        </w:rPr>
        <w:t xml:space="preserve"> (which principal amounts shall be reduced as a result of the application of prepayments in accordance with the order of priority set forth in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final principal repayment installment of the Term Loans shall be repaid on the Maturity Date and in any event shall be in an amount equal to the aggregate principal amount of all Term Loans outstanding on such date.</w:t>
      </w:r>
    </w:p>
    <w:p>
      <w:pPr>
        <w:spacing w:after="0" w:line="46" w:lineRule="exact"/>
        <w:rPr>
          <w:rFonts w:ascii="Arial" w:cs="Arial" w:eastAsia="Arial" w:hAnsi="Arial"/>
          <w:sz w:val="16"/>
          <w:szCs w:val="16"/>
          <w:color w:val="auto"/>
        </w:rPr>
      </w:pPr>
    </w:p>
    <w:p>
      <w:pPr>
        <w:ind w:right="180" w:firstLine="444"/>
        <w:spacing w:after="0" w:line="277"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Revolving Credit Loans</w:t>
      </w:r>
      <w:r>
        <w:rPr>
          <w:rFonts w:ascii="Arial" w:cs="Arial" w:eastAsia="Arial" w:hAnsi="Arial"/>
          <w:sz w:val="18"/>
          <w:szCs w:val="18"/>
          <w:color w:val="auto"/>
        </w:rPr>
        <w:t>. Each Borrower shall repay to the Revolving Credit Lenders on the Maturity Date the aggregate principal amount of Revolving Credit Loans made to such Borrower outstanding on such date.</w:t>
      </w:r>
    </w:p>
    <w:p>
      <w:pPr>
        <w:spacing w:after="0" w:line="62" w:lineRule="exact"/>
        <w:rPr>
          <w:rFonts w:ascii="Arial" w:cs="Arial" w:eastAsia="Arial" w:hAnsi="Arial"/>
          <w:sz w:val="18"/>
          <w:szCs w:val="18"/>
          <w:color w:val="auto"/>
        </w:rPr>
      </w:pPr>
    </w:p>
    <w:p>
      <w:pPr>
        <w:ind w:right="60" w:firstLine="444"/>
        <w:spacing w:after="0" w:line="259" w:lineRule="auto"/>
        <w:tabs>
          <w:tab w:leader="none" w:pos="685"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Swing Line Loans</w:t>
      </w:r>
      <w:r>
        <w:rPr>
          <w:rFonts w:ascii="Arial" w:cs="Arial" w:eastAsia="Arial" w:hAnsi="Arial"/>
          <w:sz w:val="18"/>
          <w:szCs w:val="18"/>
          <w:color w:val="auto"/>
        </w:rPr>
        <w:t>. The Company shall repay each Swing Line Loan on the earlier to occur of (i) the date ten Business Days after such Loan is made and (ii) the Maturity Date. At any time that there shall exist a Defaulting Lender, immediately upon the request of the Swing Line Lender, the Company shall repay the outstanding Swing Line Loans made by the Swing Line Lender in an amount sufficient to eliminate any Fronting Exposure in respect of such Swing Line Loans.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2.08 Interest.</w:t>
      </w:r>
    </w:p>
    <w:p>
      <w:pPr>
        <w:spacing w:after="0" w:line="121" w:lineRule="exact"/>
        <w:rPr>
          <w:sz w:val="20"/>
          <w:szCs w:val="20"/>
          <w:color w:val="auto"/>
        </w:rPr>
      </w:pPr>
    </w:p>
    <w:p>
      <w:pPr>
        <w:ind w:right="60" w:firstLine="444"/>
        <w:spacing w:after="0" w:line="276" w:lineRule="auto"/>
        <w:tabs>
          <w:tab w:leader="none" w:pos="685"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Subject to the provisions of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below, (i) each Eurocurrency Rate Loan shall bear interest on the outstanding principal amount thereof for each Interest Period at a rate per annum equal to the Eurocurrency Rate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(ii) each Base Rate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and (iii) each Swing Line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74" w:right="439" w:bottom="1440" w:gutter="0" w:footer="0" w:header="0"/>
        </w:sectPr>
      </w:pPr>
    </w:p>
    <w:bookmarkStart w:id="67" w:name="page68"/>
    <w:bookmarkEnd w:id="67"/>
    <w:p>
      <w:pPr>
        <w:jc w:val="both"/>
        <w:ind w:left="400" w:firstLine="4"/>
        <w:spacing w:after="0" w:line="264" w:lineRule="auto"/>
        <w:tabs>
          <w:tab w:leader="none" w:pos="655"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73" w:lineRule="exact"/>
        <w:rPr>
          <w:rFonts w:ascii="Arial" w:cs="Arial" w:eastAsia="Arial" w:hAnsi="Arial"/>
          <w:sz w:val="18"/>
          <w:szCs w:val="18"/>
          <w:color w:val="auto"/>
        </w:rPr>
      </w:pPr>
    </w:p>
    <w:p>
      <w:pPr>
        <w:ind w:left="400" w:firstLine="428"/>
        <w:spacing w:after="0" w:line="264" w:lineRule="auto"/>
        <w:tabs>
          <w:tab w:leader="none" w:pos="1088" w:val="left"/>
        </w:tabs>
        <w:numPr>
          <w:ilvl w:val="1"/>
          <w:numId w:val="86"/>
        </w:numPr>
        <w:rPr>
          <w:rFonts w:ascii="Arial" w:cs="Arial" w:eastAsia="Arial" w:hAnsi="Arial"/>
          <w:sz w:val="18"/>
          <w:szCs w:val="18"/>
          <w:color w:val="auto"/>
        </w:rPr>
      </w:pPr>
      <w:r>
        <w:rPr>
          <w:rFonts w:ascii="Arial" w:cs="Arial" w:eastAsia="Arial" w:hAnsi="Arial"/>
          <w:sz w:val="18"/>
          <w:szCs w:val="18"/>
          <w:color w:val="auto"/>
        </w:rPr>
        <w:t xml:space="preserve">While any Event of Default of the type described in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exists, the Borrowers shall pay interest on the principal amount of all of their respective outstanding Obligations hereunder at a fluctuating interest rate per annum at all times equal to the Default Rate to the fullest extent permitted by applicable Laws.</w:t>
      </w:r>
    </w:p>
    <w:p>
      <w:pPr>
        <w:spacing w:after="0" w:line="73" w:lineRule="exact"/>
        <w:rPr>
          <w:rFonts w:ascii="Arial" w:cs="Arial" w:eastAsia="Arial" w:hAnsi="Arial"/>
          <w:sz w:val="18"/>
          <w:szCs w:val="18"/>
          <w:color w:val="auto"/>
        </w:rPr>
      </w:pPr>
    </w:p>
    <w:p>
      <w:pPr>
        <w:ind w:left="400" w:right="40" w:firstLine="428"/>
        <w:spacing w:after="0" w:line="257" w:lineRule="auto"/>
        <w:tabs>
          <w:tab w:leader="none" w:pos="1138" w:val="left"/>
        </w:tabs>
        <w:numPr>
          <w:ilvl w:val="1"/>
          <w:numId w:val="86"/>
        </w:numPr>
        <w:rPr>
          <w:rFonts w:ascii="Arial" w:cs="Arial" w:eastAsia="Arial" w:hAnsi="Arial"/>
          <w:sz w:val="18"/>
          <w:szCs w:val="18"/>
          <w:color w:val="auto"/>
        </w:rPr>
      </w:pPr>
      <w:r>
        <w:rPr>
          <w:rFonts w:ascii="Arial" w:cs="Arial" w:eastAsia="Arial" w:hAnsi="Arial"/>
          <w:sz w:val="18"/>
          <w:szCs w:val="18"/>
          <w:color w:val="auto"/>
        </w:rPr>
        <w:t>If any amount (other than principal of any Loan) payable by any Borrower under any Loan Document is not paid when due (without regard to any applicable grace periods), whether at stated maturity, by acceleration or otherwise, then upon the request of the Required Term Loan Lenders (in the case of the Term Loan Facility) or the Required Revolving Credit Lenders (in the case of the Revolving Credit Facility), as the case may be, such amount shall thereafter bear interest at a fluctuating interest rate per annum at all times equal to the Default Rate to the fullest extent permitted by applicable Laws.</w:t>
      </w:r>
    </w:p>
    <w:p>
      <w:pPr>
        <w:spacing w:after="0" w:line="80" w:lineRule="exact"/>
        <w:rPr>
          <w:rFonts w:ascii="Arial" w:cs="Arial" w:eastAsia="Arial" w:hAnsi="Arial"/>
          <w:sz w:val="18"/>
          <w:szCs w:val="18"/>
          <w:color w:val="auto"/>
        </w:rPr>
      </w:pPr>
    </w:p>
    <w:p>
      <w:pPr>
        <w:jc w:val="both"/>
        <w:ind w:left="400" w:right="40" w:firstLine="428"/>
        <w:spacing w:after="0" w:line="279" w:lineRule="auto"/>
        <w:tabs>
          <w:tab w:leader="none" w:pos="1128" w:val="left"/>
        </w:tabs>
        <w:numPr>
          <w:ilvl w:val="1"/>
          <w:numId w:val="86"/>
        </w:numPr>
        <w:rPr>
          <w:rFonts w:ascii="Arial" w:cs="Arial" w:eastAsia="Arial" w:hAnsi="Arial"/>
          <w:sz w:val="17"/>
          <w:szCs w:val="17"/>
          <w:color w:val="auto"/>
        </w:rPr>
      </w:pPr>
      <w:r>
        <w:rPr>
          <w:rFonts w:ascii="Arial" w:cs="Arial" w:eastAsia="Arial" w:hAnsi="Arial"/>
          <w:sz w:val="17"/>
          <w:szCs w:val="17"/>
          <w:color w:val="auto"/>
        </w:rPr>
        <w:t xml:space="preserve">Upon the request of the Required Term Loan Lenders (in the case of the Term Loan Facility) or the Required Revolving Credit Lenders (in the case of the Revolving Credit Facility), as the case may be, while any Event of Default exists (other than as set forth in </w:t>
      </w:r>
      <w:r>
        <w:rPr>
          <w:rFonts w:ascii="Arial" w:cs="Arial" w:eastAsia="Arial" w:hAnsi="Arial"/>
          <w:sz w:val="17"/>
          <w:szCs w:val="17"/>
          <w:u w:val="single" w:color="auto"/>
          <w:color w:val="auto"/>
        </w:rPr>
        <w:t>clauses (b)(i)</w:t>
      </w:r>
      <w:r>
        <w:rPr>
          <w:rFonts w:ascii="Arial" w:cs="Arial" w:eastAsia="Arial" w:hAnsi="Arial"/>
          <w:sz w:val="17"/>
          <w:szCs w:val="17"/>
          <w:color w:val="auto"/>
        </w:rPr>
        <w:t xml:space="preserve">, </w:t>
      </w:r>
      <w:r>
        <w:rPr>
          <w:rFonts w:ascii="Arial" w:cs="Arial" w:eastAsia="Arial" w:hAnsi="Arial"/>
          <w:sz w:val="17"/>
          <w:szCs w:val="17"/>
          <w:u w:val="single" w:color="auto"/>
          <w:color w:val="auto"/>
        </w:rPr>
        <w:t>(b)(ii)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(b)(iii)</w:t>
      </w:r>
      <w:r>
        <w:rPr>
          <w:rFonts w:ascii="Arial" w:cs="Arial" w:eastAsia="Arial" w:hAnsi="Arial"/>
          <w:sz w:val="17"/>
          <w:szCs w:val="17"/>
          <w:color w:val="auto"/>
        </w:rPr>
        <w:t xml:space="preserve"> above), the Borrowers shall pay interest on the principal amount of all outstanding Obligations hereunder at a fluctuating interest rate per annum at all times equal to the Default Rate to the fullest extent permitted by applicable Laws.</w:t>
      </w:r>
    </w:p>
    <w:p>
      <w:pPr>
        <w:spacing w:after="0" w:line="63" w:lineRule="exact"/>
        <w:rPr>
          <w:rFonts w:ascii="Arial" w:cs="Arial" w:eastAsia="Arial" w:hAnsi="Arial"/>
          <w:sz w:val="17"/>
          <w:szCs w:val="17"/>
          <w:color w:val="auto"/>
        </w:rPr>
      </w:pPr>
    </w:p>
    <w:p>
      <w:pPr>
        <w:ind w:left="1080" w:hanging="252"/>
        <w:spacing w:after="0"/>
        <w:tabs>
          <w:tab w:leader="none" w:pos="1080" w:val="left"/>
        </w:tabs>
        <w:numPr>
          <w:ilvl w:val="1"/>
          <w:numId w:val="86"/>
        </w:numPr>
        <w:rPr>
          <w:rFonts w:ascii="Arial" w:cs="Arial" w:eastAsia="Arial" w:hAnsi="Arial"/>
          <w:sz w:val="17"/>
          <w:szCs w:val="17"/>
          <w:color w:val="auto"/>
        </w:rPr>
      </w:pPr>
      <w:r>
        <w:rPr>
          <w:rFonts w:ascii="Arial" w:cs="Arial" w:eastAsia="Arial" w:hAnsi="Arial"/>
          <w:sz w:val="17"/>
          <w:szCs w:val="17"/>
          <w:color w:val="auto"/>
        </w:rPr>
        <w:t>Accrued and unpaid interest on past due amounts (including interest on past due interest) shall be due and payable upon demand.</w:t>
      </w:r>
    </w:p>
    <w:p>
      <w:pPr>
        <w:spacing w:after="0" w:line="128" w:lineRule="exact"/>
        <w:rPr>
          <w:rFonts w:ascii="Arial" w:cs="Arial" w:eastAsia="Arial" w:hAnsi="Arial"/>
          <w:sz w:val="17"/>
          <w:szCs w:val="17"/>
          <w:color w:val="auto"/>
        </w:rPr>
      </w:pPr>
    </w:p>
    <w:p>
      <w:pPr>
        <w:ind w:left="-40" w:right="180" w:firstLine="444"/>
        <w:spacing w:after="0" w:line="264" w:lineRule="auto"/>
        <w:tabs>
          <w:tab w:leader="none" w:pos="64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 xml:space="preserve">2.09 Fees. </w:t>
      </w:r>
      <w:r>
        <w:rPr>
          <w:rFonts w:ascii="Arial" w:cs="Arial" w:eastAsia="Arial" w:hAnsi="Arial"/>
          <w:sz w:val="18"/>
          <w:szCs w:val="18"/>
          <w:color w:val="auto"/>
        </w:rPr>
        <w:t>In addition to certain fees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subsections (h)</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b w:val="1"/>
          <w:bCs w:val="1"/>
          <w:color w:val="auto"/>
        </w:rPr>
        <w:t xml:space="preserve"> </w:t>
      </w:r>
      <w:r>
        <w:rPr>
          <w:rFonts w:ascii="Arial" w:cs="Arial" w:eastAsia="Arial" w:hAnsi="Arial"/>
          <w:sz w:val="18"/>
          <w:szCs w:val="18"/>
          <w:color w:val="auto"/>
        </w:rPr>
        <w:t>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21" w:lineRule="exact"/>
        <w:rPr>
          <w:sz w:val="20"/>
          <w:szCs w:val="20"/>
          <w:color w:val="auto"/>
        </w:rPr>
      </w:pPr>
    </w:p>
    <w:p>
      <w:pPr>
        <w:ind w:left="-40" w:right="40" w:firstLine="444"/>
        <w:spacing w:after="0" w:line="269" w:lineRule="auto"/>
        <w:tabs>
          <w:tab w:leader="none" w:pos="645"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The Company shall pay to the Administrative Agent for the account of each Revolving Credit Lender in accordance with its Applicable Revolving Credit Percentage, a commitment fee equal to the Applicable Rate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actual daily amount by which the Aggregate Revolving Credit Commitments exceed the sum of (i) the Outstanding Amount of Revolving Credit Loans and (ii) the Outstanding Amount of L/C Obligations, subject to adjustment as provided in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For the avoidance of doubt, the Outstanding Amount of Swing Line Loans shall not be counted towards or considered usage of the Aggregate Revolving Credit Commitments for purposes of determining the commitment fee. The commitment fee shall accrue at all times during the Availability Period with respect to the Revolving Credit Facility, including at any time during which one or more of the conditions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with respect to the Revolving Credit Facility.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60"/>
          </w:cols>
          <w:pgMar w:left="480" w:top="274" w:right="459" w:bottom="1440" w:gutter="0" w:footer="0" w:header="0"/>
        </w:sectPr>
      </w:pPr>
    </w:p>
    <w:bookmarkStart w:id="68" w:name="page69"/>
    <w:bookmarkEnd w:id="68"/>
    <w:p>
      <w:pPr>
        <w:ind w:right="20" w:firstLine="444"/>
        <w:spacing w:after="0" w:line="342" w:lineRule="auto"/>
        <w:tabs>
          <w:tab w:leader="none" w:pos="695"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Fees</w:t>
      </w:r>
      <w:r>
        <w:rPr>
          <w:rFonts w:ascii="Arial" w:cs="Arial" w:eastAsia="Arial" w:hAnsi="Arial"/>
          <w:sz w:val="16"/>
          <w:szCs w:val="16"/>
          <w:color w:val="auto"/>
        </w:rPr>
        <w:t>. (i) The Company shall pay to the Arranger and the Administrative Agent for their own respective accounts fees in the amounts and at the times specified in the Fee Letters. Such fees shall be fully earned when paid and shall not be refundable for any reason whatsoever.</w:t>
      </w:r>
    </w:p>
    <w:p>
      <w:pPr>
        <w:spacing w:after="0" w:line="16" w:lineRule="exact"/>
        <w:rPr>
          <w:sz w:val="20"/>
          <w:szCs w:val="20"/>
          <w:color w:val="auto"/>
        </w:rPr>
      </w:pPr>
    </w:p>
    <w:p>
      <w:pPr>
        <w:ind w:right="520" w:firstLine="444"/>
        <w:spacing w:after="0" w:line="277" w:lineRule="auto"/>
        <w:tabs>
          <w:tab w:leader="none" w:pos="70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shall pay to the Lenders such fees as shall have been separately agreed upon in writing in the amounts and at the times so specified. Such fees shall be fully earned when paid and shall not be refundable for any reason whatsoever.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2.10 Computation of Interest and Fees; Retroactive Adjustments of Applicable Rate.</w:t>
      </w:r>
    </w:p>
    <w:p>
      <w:pPr>
        <w:spacing w:after="0" w:line="121" w:lineRule="exact"/>
        <w:rPr>
          <w:sz w:val="20"/>
          <w:szCs w:val="20"/>
          <w:color w:val="auto"/>
        </w:rPr>
      </w:pPr>
    </w:p>
    <w:p>
      <w:pPr>
        <w:ind w:right="20" w:firstLine="444"/>
        <w:spacing w:after="0" w:line="288" w:lineRule="auto"/>
        <w:tabs>
          <w:tab w:leader="none" w:pos="685" w:val="left"/>
        </w:tabs>
        <w:numPr>
          <w:ilvl w:val="0"/>
          <w:numId w:val="90"/>
        </w:numPr>
        <w:rPr>
          <w:rFonts w:ascii="Arial" w:cs="Arial" w:eastAsia="Arial" w:hAnsi="Arial"/>
          <w:sz w:val="16"/>
          <w:szCs w:val="16"/>
          <w:color w:val="auto"/>
        </w:rPr>
      </w:pPr>
      <w:r>
        <w:rPr>
          <w:rFonts w:ascii="Arial" w:cs="Arial" w:eastAsia="Arial" w:hAnsi="Arial"/>
          <w:sz w:val="16"/>
          <w:szCs w:val="16"/>
          <w:color w:val="auto"/>
        </w:rPr>
        <w:t>All computations of interest for Base Rate Loans (including Base Rate Loans determined by reference to the Eurocurrency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w:t>
      </w:r>
    </w:p>
    <w:p>
      <w:pPr>
        <w:ind w:right="2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365-day year) or, in the case of interest in respect of Revolving Credit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 made shall, subject to </w:t>
      </w:r>
      <w:r>
        <w:rPr>
          <w:rFonts w:ascii="Arial" w:cs="Arial" w:eastAsia="Arial" w:hAnsi="Arial"/>
          <w:sz w:val="17"/>
          <w:szCs w:val="17"/>
          <w:u w:val="single" w:color="auto"/>
          <w:color w:val="auto"/>
        </w:rPr>
        <w:t>Section 2.12(a)</w:t>
      </w:r>
      <w:r>
        <w:rPr>
          <w:rFonts w:ascii="Arial" w:cs="Arial" w:eastAsia="Arial" w:hAnsi="Arial"/>
          <w:sz w:val="17"/>
          <w:szCs w:val="17"/>
          <w:color w:val="auto"/>
        </w:rPr>
        <w:t>, bear interest for one day. Each determination by the Administrative Agent of an interest rate or fee hereunder shall be conclusive and binding for all purposes, absent manifest error.</w:t>
      </w:r>
    </w:p>
    <w:p>
      <w:pPr>
        <w:spacing w:after="0" w:line="70" w:lineRule="exact"/>
        <w:rPr>
          <w:rFonts w:ascii="Arial" w:cs="Arial" w:eastAsia="Arial" w:hAnsi="Arial"/>
          <w:sz w:val="16"/>
          <w:szCs w:val="16"/>
          <w:color w:val="auto"/>
        </w:rPr>
      </w:pPr>
    </w:p>
    <w:p>
      <w:pPr>
        <w:ind w:firstLine="444"/>
        <w:spacing w:after="0" w:line="288" w:lineRule="auto"/>
        <w:tabs>
          <w:tab w:leader="none" w:pos="696"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If, as a result of any restatement of or other adjustment to the financial statements of the Company or for any other reason, the Company or the Lenders determine that (i) the Consolidated Net Leverage Ratio as calculated by the Company as of any applicable date was inaccurate and (ii) a proper calculation of the Consolidated Net Leverage Ratio would have resulted in higher pricing for such period, each applicable Borrower shall immediately and retroactively be obligated to pay to the Administrative Agent for the account of the applicable Lenders or the applicable L/C Issuers, as the case may be, promptly on demand by the Administrative Agent (or, after the occurrence of an actual or deemed entry of an order for relief with respect to any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subject to </w:t>
      </w:r>
      <w:r>
        <w:rPr>
          <w:rFonts w:ascii="Arial" w:cs="Arial" w:eastAsia="Arial" w:hAnsi="Arial"/>
          <w:sz w:val="16"/>
          <w:szCs w:val="16"/>
          <w:u w:val="single" w:color="auto"/>
          <w:color w:val="auto"/>
        </w:rPr>
        <w:t>Section 2.14(b)</w:t>
      </w:r>
      <w:r>
        <w:rPr>
          <w:rFonts w:ascii="Arial" w:cs="Arial" w:eastAsia="Arial" w:hAnsi="Arial"/>
          <w:sz w:val="16"/>
          <w:szCs w:val="16"/>
          <w:color w:val="auto"/>
        </w:rPr>
        <w:t xml:space="preserve">. This paragraph shall not limit the rights of the Administrative Agent, any Lender or any L/C Issuer, as the case may be, under </w:t>
      </w:r>
      <w:r>
        <w:rPr>
          <w:rFonts w:ascii="Arial" w:cs="Arial" w:eastAsia="Arial" w:hAnsi="Arial"/>
          <w:sz w:val="16"/>
          <w:szCs w:val="16"/>
          <w:u w:val="single" w:color="auto"/>
          <w:color w:val="auto"/>
        </w:rPr>
        <w:t>Section 2.03(c)(iii)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2.03(h)</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2.08(b)</w:t>
      </w:r>
      <w:r>
        <w:rPr>
          <w:rFonts w:ascii="Arial" w:cs="Arial" w:eastAsia="Arial" w:hAnsi="Arial"/>
          <w:sz w:val="16"/>
          <w:szCs w:val="16"/>
          <w:color w:val="auto"/>
        </w:rPr>
        <w:t xml:space="preserve"> or under </w:t>
      </w:r>
      <w:r>
        <w:rPr>
          <w:rFonts w:ascii="Arial" w:cs="Arial" w:eastAsia="Arial" w:hAnsi="Arial"/>
          <w:sz w:val="16"/>
          <w:szCs w:val="16"/>
          <w:u w:val="single" w:color="auto"/>
          <w:color w:val="auto"/>
        </w:rPr>
        <w:t>Article VIII</w:t>
      </w:r>
      <w:r>
        <w:rPr>
          <w:rFonts w:ascii="Arial" w:cs="Arial" w:eastAsia="Arial" w:hAnsi="Arial"/>
          <w:sz w:val="16"/>
          <w:szCs w:val="16"/>
          <w:color w:val="auto"/>
        </w:rPr>
        <w:t>. The Borrowers’ obligations under this paragraph shall survive the termination of the Aggregate Commitments and the repayment of all other Obligations hereunder.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2.11 Evidence of Debt.</w:t>
      </w:r>
    </w:p>
    <w:p>
      <w:pPr>
        <w:spacing w:after="0" w:line="121" w:lineRule="exact"/>
        <w:rPr>
          <w:sz w:val="20"/>
          <w:szCs w:val="20"/>
          <w:color w:val="auto"/>
        </w:rPr>
      </w:pPr>
    </w:p>
    <w:p>
      <w:pPr>
        <w:ind w:right="60" w:firstLine="444"/>
        <w:spacing w:after="0" w:line="289" w:lineRule="auto"/>
        <w:tabs>
          <w:tab w:leader="none" w:pos="685"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The Credit Extensions made by each Lender shall be evidenced by one or more accounts or records maintained by such Lender in the ordinary course of business. The Administrative Agent shall maintain the Register in connection with </w:t>
      </w:r>
      <w:r>
        <w:rPr>
          <w:rFonts w:ascii="Arial" w:cs="Arial" w:eastAsia="Arial" w:hAnsi="Arial"/>
          <w:sz w:val="16"/>
          <w:szCs w:val="16"/>
          <w:u w:val="single" w:color="auto"/>
          <w:color w:val="auto"/>
        </w:rPr>
        <w:t>Section 10.06(c)</w:t>
      </w:r>
      <w:r>
        <w:rPr>
          <w:rFonts w:ascii="Arial" w:cs="Arial" w:eastAsia="Arial" w:hAnsi="Arial"/>
          <w:sz w:val="16"/>
          <w:szCs w:val="16"/>
          <w:color w:val="auto"/>
        </w:rPr>
        <w:t>. The accounts or records maintained by each Lender shall be conclusive absent manifest error of the amount of the Credit Extensions made by the Lenders to the Borrowers and the interest and payments thereon. Any failure to so record or any error in doing so shall not, however, limit or otherwise affect the obligation of each Borrower hereunder to pay any amount owing with respect to the Obligations. In the event of any conflict between the accounts and records maintained by any Lender and the Register, the Register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440" w:top="274" w:right="439" w:bottom="1440" w:gutter="0" w:footer="0" w:header="0"/>
        </w:sectPr>
      </w:pPr>
    </w:p>
    <w:bookmarkStart w:id="69" w:name="page70"/>
    <w:bookmarkEnd w:id="69"/>
    <w:p>
      <w:pPr>
        <w:ind w:right="220" w:firstLine="444"/>
        <w:spacing w:after="0" w:line="302" w:lineRule="auto"/>
        <w:tabs>
          <w:tab w:leader="none" w:pos="696" w:val="left"/>
        </w:tabs>
        <w:numPr>
          <w:ilvl w:val="0"/>
          <w:numId w:val="9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addition to the accounts and records referred to in </w:t>
      </w:r>
      <w:r>
        <w:rPr>
          <w:rFonts w:ascii="Arial" w:cs="Arial" w:eastAsia="Arial" w:hAnsi="Arial"/>
          <w:sz w:val="16"/>
          <w:szCs w:val="16"/>
          <w:u w:val="single" w:color="auto"/>
          <w:color w:val="auto"/>
        </w:rPr>
        <w:t>subsection (a)</w:t>
      </w:r>
      <w:r>
        <w:rPr>
          <w:rFonts w:ascii="Arial" w:cs="Arial" w:eastAsia="Arial" w:hAnsi="Arial"/>
          <w:sz w:val="16"/>
          <w:szCs w:val="16"/>
          <w:color w:val="auto"/>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50"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b w:val="1"/>
          <w:bCs w:val="1"/>
          <w:color w:val="auto"/>
        </w:rPr>
        <w:t xml:space="preserve">2.12 Payments Generally; Administrative Agent’s Clawback. </w:t>
      </w:r>
      <w:r>
        <w:rPr>
          <w:rFonts w:ascii="Arial" w:cs="Arial" w:eastAsia="Arial" w:hAnsi="Arial"/>
          <w:sz w:val="17"/>
          <w:szCs w:val="17"/>
          <w:color w:val="auto"/>
        </w:rPr>
        <w:t>(a)</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General</w:t>
      </w:r>
      <w:r>
        <w:rPr>
          <w:rFonts w:ascii="Arial" w:cs="Arial" w:eastAsia="Arial" w:hAnsi="Arial"/>
          <w:sz w:val="17"/>
          <w:szCs w:val="17"/>
          <w:color w:val="auto"/>
        </w:rPr>
        <w:t>. All payments to be made by the Borrowers shall be made free and</w:t>
      </w:r>
      <w:r>
        <w:rPr>
          <w:rFonts w:ascii="Arial" w:cs="Arial" w:eastAsia="Arial" w:hAnsi="Arial"/>
          <w:sz w:val="17"/>
          <w:szCs w:val="17"/>
          <w:b w:val="1"/>
          <w:bCs w:val="1"/>
          <w:color w:val="auto"/>
        </w:rPr>
        <w:t xml:space="preserve"> </w:t>
      </w:r>
      <w:r>
        <w:rPr>
          <w:rFonts w:ascii="Arial" w:cs="Arial" w:eastAsia="Arial" w:hAnsi="Arial"/>
          <w:sz w:val="17"/>
          <w:szCs w:val="17"/>
          <w:color w:val="auto"/>
        </w:rPr>
        <w:t>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2:00 p.m. on the date specified herein. Except as otherwise expressly provided herein, all payments by the Borrowers hereunder with respect to principal and interest on Revolving Credit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(upon reasonable notice)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(i) after 2:00 p.m.,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spacing w:after="0" w:line="73" w:lineRule="exact"/>
        <w:rPr>
          <w:sz w:val="20"/>
          <w:szCs w:val="20"/>
          <w:color w:val="auto"/>
        </w:rPr>
      </w:pPr>
    </w:p>
    <w:p>
      <w:pPr>
        <w:ind w:firstLine="444"/>
        <w:spacing w:after="0" w:line="270" w:lineRule="auto"/>
        <w:tabs>
          <w:tab w:leader="none" w:pos="696"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Funding by Lenders; Presumption by Administrative Agent</w:t>
      </w:r>
      <w:r>
        <w:rPr>
          <w:rFonts w:ascii="Arial" w:cs="Arial" w:eastAsia="Arial" w:hAnsi="Arial"/>
          <w:sz w:val="17"/>
          <w:szCs w:val="17"/>
          <w:color w:val="auto"/>
        </w:rPr>
        <w:t xml:space="preserve">. Unless the Administrative Agent shall have received notice from a Lender prior to the proposed date of any Borrowing of Eurocurrency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(or, in the case of a Borrowing of Base Rate Loans, that such Lender has made such share available in accordance with and at the time required by </w:t>
      </w:r>
      <w:r>
        <w:rPr>
          <w:rFonts w:ascii="Arial" w:cs="Arial" w:eastAsia="Arial" w:hAnsi="Arial"/>
          <w:sz w:val="17"/>
          <w:szCs w:val="17"/>
          <w:u w:val="single" w:color="auto"/>
          <w:color w:val="auto"/>
        </w:rPr>
        <w:t>Section 2.02</w:t>
      </w:r>
      <w:r>
        <w:rPr>
          <w:rFonts w:ascii="Arial" w:cs="Arial" w:eastAsia="Arial" w:hAnsi="Arial"/>
          <w:sz w:val="17"/>
          <w:szCs w:val="17"/>
          <w:color w:val="auto"/>
        </w:rPr>
        <w:t>) and may, in reliance upon such assumption, make available to the applicable Borrower a corresponding amount. In such event, if a Lender has not in fact made its share of the applicable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4" w:right="459" w:bottom="1440" w:gutter="0" w:footer="0" w:header="0"/>
        </w:sectPr>
      </w:pPr>
    </w:p>
    <w:bookmarkStart w:id="70" w:name="page71"/>
    <w:bookmarkEnd w:id="70"/>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plus 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such Borrower shall be without prejudice to any claim such Borrower may have against a Lender that shall have failed to make such payment to the Administrative Agent.</w:t>
      </w:r>
    </w:p>
    <w:p>
      <w:pPr>
        <w:spacing w:after="0" w:line="178" w:lineRule="exact"/>
        <w:rPr>
          <w:sz w:val="20"/>
          <w:szCs w:val="20"/>
          <w:color w:val="auto"/>
        </w:rPr>
      </w:pPr>
    </w:p>
    <w:p>
      <w:pPr>
        <w:ind w:firstLine="444"/>
        <w:spacing w:after="0" w:line="271" w:lineRule="auto"/>
        <w:tabs>
          <w:tab w:leader="none" w:pos="706"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Payments by Borrowers; Presumptions by Administrative Agent</w:t>
      </w:r>
      <w:r>
        <w:rPr>
          <w:rFonts w:ascii="Arial" w:cs="Arial" w:eastAsia="Arial" w:hAnsi="Arial"/>
          <w:sz w:val="17"/>
          <w:szCs w:val="17"/>
          <w:color w:val="auto"/>
        </w:rPr>
        <w:t>. Unless the Administrative Agent shall have received notice from a Borrower prior to the time at which any payment is due to the Administrative Agent for the account of the Lenders or an L/C Issuer hereunder that such Borrower will not make such payment, the Administrative Agent may assume that such Borrower has made such payment on such date in accordance herewith and may, in reliance upon such assumption, distribute to the Revolving Credit Lenders, the Term Loan Lenders or L/C Issuers, as the case may be, the amount due. In such event, if such Borrower has not in fact made such payment, then each of the Revolving Credit Lenders, the Term Loan Lenders or the L/C Issuers, as the case may be, severally agrees to repay to the Administrative Agent forthwith on demand the amount so distributed to such Lender or such L/C Issuer, in Same Day Funds with interest thereon, for each day from and including the date such amount is distributed to it to but excluding the date of payment to the Administrative Agent, at the Overnight Rate.</w:t>
      </w:r>
    </w:p>
    <w:p>
      <w:pPr>
        <w:spacing w:after="0" w:line="17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A notice of the Administrative Agent to any Lender or Borrower with respect to any amount owing under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shall be conclusive, absent manifest error.</w:t>
      </w:r>
    </w:p>
    <w:p>
      <w:pPr>
        <w:spacing w:after="0" w:line="62" w:lineRule="exact"/>
        <w:rPr>
          <w:sz w:val="20"/>
          <w:szCs w:val="20"/>
          <w:color w:val="auto"/>
        </w:rPr>
      </w:pPr>
    </w:p>
    <w:p>
      <w:pPr>
        <w:ind w:right="40" w:firstLine="444"/>
        <w:spacing w:after="0" w:line="302" w:lineRule="auto"/>
        <w:tabs>
          <w:tab w:leader="none" w:pos="685"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Failure to Satisfy Conditions Precedent</w:t>
      </w:r>
      <w:r>
        <w:rPr>
          <w:rFonts w:ascii="Arial" w:cs="Arial" w:eastAsia="Arial" w:hAnsi="Arial"/>
          <w:sz w:val="16"/>
          <w:szCs w:val="16"/>
          <w:color w:val="auto"/>
        </w:rPr>
        <w:t xml:space="preserve">. If any Lender makes available to the Administrative Agent funds for any Loan to be made by such Lender to any Borrower as provided in the foregoing provisions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such funds are not made available to such Borrower by the Administrative Agent because the conditions to the applicable Credit Extension set forth in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are not satisfied or waived in accordance with the terms hereof, the Administrative Agent shall return such funds (in like funds as received from such Lender) to such Lender, without interest.</w:t>
      </w:r>
    </w:p>
    <w:p>
      <w:pPr>
        <w:spacing w:after="0" w:line="46" w:lineRule="exact"/>
        <w:rPr>
          <w:rFonts w:ascii="Arial" w:cs="Arial" w:eastAsia="Arial" w:hAnsi="Arial"/>
          <w:sz w:val="16"/>
          <w:szCs w:val="16"/>
          <w:color w:val="auto"/>
        </w:rPr>
      </w:pPr>
    </w:p>
    <w:p>
      <w:pPr>
        <w:ind w:right="20" w:firstLine="444"/>
        <w:spacing w:after="0" w:line="276" w:lineRule="auto"/>
        <w:tabs>
          <w:tab w:leader="none" w:pos="695"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Obligations of Lenders Several</w:t>
      </w:r>
      <w:r>
        <w:rPr>
          <w:rFonts w:ascii="Arial" w:cs="Arial" w:eastAsia="Arial" w:hAnsi="Arial"/>
          <w:sz w:val="17"/>
          <w:szCs w:val="17"/>
          <w:color w:val="auto"/>
        </w:rPr>
        <w:t xml:space="preserve">. The obligations of the Lenders hereunder to make Revolving Credit Loans and Term Loans, to fund participations in Letters of Credit and Swing Line Loans and to make payments pursuant to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are several and not joint. The failure of any Lender to make any Loan, to fund any such participation or to make any payment under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7"/>
          <w:szCs w:val="17"/>
          <w:u w:val="single" w:color="auto"/>
          <w:color w:val="auto"/>
        </w:rPr>
        <w:t>Section 10.04(c)</w:t>
      </w:r>
      <w:r>
        <w:rPr>
          <w:rFonts w:ascii="Arial" w:cs="Arial" w:eastAsia="Arial" w:hAnsi="Arial"/>
          <w:sz w:val="17"/>
          <w:szCs w:val="17"/>
          <w:color w:val="auto"/>
        </w:rPr>
        <w:t>.</w:t>
      </w:r>
    </w:p>
    <w:p>
      <w:pPr>
        <w:spacing w:after="0" w:line="64" w:lineRule="exact"/>
        <w:rPr>
          <w:rFonts w:ascii="Arial" w:cs="Arial" w:eastAsia="Arial" w:hAnsi="Arial"/>
          <w:sz w:val="17"/>
          <w:szCs w:val="17"/>
          <w:color w:val="auto"/>
        </w:rPr>
      </w:pPr>
    </w:p>
    <w:p>
      <w:pPr>
        <w:ind w:right="120" w:firstLine="444"/>
        <w:spacing w:after="0" w:line="342" w:lineRule="auto"/>
        <w:tabs>
          <w:tab w:leader="none" w:pos="685"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Funding Source</w:t>
      </w:r>
      <w:r>
        <w:rPr>
          <w:rFonts w:ascii="Arial" w:cs="Arial" w:eastAsia="Arial" w:hAnsi="Arial"/>
          <w:sz w:val="16"/>
          <w:szCs w:val="16"/>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20" w:lineRule="exact"/>
        <w:rPr>
          <w:sz w:val="20"/>
          <w:szCs w:val="20"/>
          <w:color w:val="auto"/>
        </w:rPr>
      </w:pPr>
    </w:p>
    <w:p>
      <w:pPr>
        <w:ind w:right="20" w:firstLine="441"/>
        <w:spacing w:after="0" w:line="298" w:lineRule="auto"/>
        <w:rPr>
          <w:sz w:val="20"/>
          <w:szCs w:val="20"/>
          <w:color w:val="auto"/>
        </w:rPr>
      </w:pPr>
      <w:r>
        <w:rPr>
          <w:rFonts w:ascii="Arial" w:cs="Arial" w:eastAsia="Arial" w:hAnsi="Arial"/>
          <w:sz w:val="16"/>
          <w:szCs w:val="16"/>
          <w:b w:val="1"/>
          <w:bCs w:val="1"/>
          <w:color w:val="auto"/>
        </w:rPr>
        <w:t xml:space="preserve">2.13 Sharing of Payments by Lenders. </w:t>
      </w:r>
      <w:r>
        <w:rPr>
          <w:rFonts w:ascii="Arial" w:cs="Arial" w:eastAsia="Arial" w:hAnsi="Arial"/>
          <w:sz w:val="16"/>
          <w:szCs w:val="16"/>
          <w:color w:val="auto"/>
        </w:rPr>
        <w:t>If any Lender shall, by exercising any right of setoff or counterclaim or otherwise, obtain payment in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to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71" w:name="page72"/>
    <w:bookmarkEnd w:id="71"/>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to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clauses (a) and (b) above, the Lender receiving such greater proportion shall</w:t>
      </w:r>
    </w:p>
    <w:p>
      <w:pPr>
        <w:spacing w:after="0" w:line="5" w:lineRule="exact"/>
        <w:rPr>
          <w:sz w:val="20"/>
          <w:szCs w:val="20"/>
          <w:color w:val="auto"/>
        </w:rPr>
      </w:pPr>
    </w:p>
    <w:p>
      <w:pPr>
        <w:ind w:right="240" w:firstLine="4"/>
        <w:spacing w:after="0" w:line="273" w:lineRule="auto"/>
        <w:tabs>
          <w:tab w:leader="none" w:pos="295" w:val="left"/>
        </w:tabs>
        <w:numPr>
          <w:ilvl w:val="0"/>
          <w:numId w:val="96"/>
        </w:numPr>
        <w:rPr>
          <w:rFonts w:ascii="Arial" w:cs="Arial" w:eastAsia="Arial" w:hAnsi="Arial"/>
          <w:sz w:val="17"/>
          <w:szCs w:val="17"/>
          <w:color w:val="auto"/>
        </w:rPr>
      </w:pPr>
      <w:r>
        <w:rPr>
          <w:rFonts w:ascii="Arial" w:cs="Arial" w:eastAsia="Arial" w:hAnsi="Arial"/>
          <w:sz w:val="17"/>
          <w:szCs w:val="17"/>
          <w:color w:val="auto"/>
        </w:rPr>
        <w:t xml:space="preserve">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68" w:lineRule="exact"/>
        <w:rPr>
          <w:rFonts w:ascii="Arial" w:cs="Arial" w:eastAsia="Arial" w:hAnsi="Arial"/>
          <w:sz w:val="17"/>
          <w:szCs w:val="17"/>
          <w:color w:val="auto"/>
        </w:rPr>
      </w:pPr>
    </w:p>
    <w:p>
      <w:pPr>
        <w:ind w:left="440" w:right="200" w:firstLine="428"/>
        <w:spacing w:after="0" w:line="342" w:lineRule="auto"/>
        <w:tabs>
          <w:tab w:leader="none" w:pos="1078" w:val="left"/>
        </w:tabs>
        <w:numPr>
          <w:ilvl w:val="1"/>
          <w:numId w:val="96"/>
        </w:numPr>
        <w:rPr>
          <w:rFonts w:ascii="Arial" w:cs="Arial" w:eastAsia="Arial" w:hAnsi="Arial"/>
          <w:sz w:val="16"/>
          <w:szCs w:val="16"/>
          <w:color w:val="auto"/>
        </w:rPr>
      </w:pPr>
      <w:r>
        <w:rPr>
          <w:rFonts w:ascii="Arial" w:cs="Arial" w:eastAsia="Arial" w:hAnsi="Arial"/>
          <w:sz w:val="16"/>
          <w:szCs w:val="16"/>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5" w:lineRule="exact"/>
        <w:rPr>
          <w:rFonts w:ascii="Arial" w:cs="Arial" w:eastAsia="Arial" w:hAnsi="Arial"/>
          <w:sz w:val="16"/>
          <w:szCs w:val="16"/>
          <w:color w:val="auto"/>
        </w:rPr>
      </w:pPr>
    </w:p>
    <w:p>
      <w:pPr>
        <w:ind w:left="440" w:firstLine="428"/>
        <w:spacing w:after="0" w:line="276" w:lineRule="auto"/>
        <w:tabs>
          <w:tab w:leader="none" w:pos="1128" w:val="left"/>
        </w:tabs>
        <w:numPr>
          <w:ilvl w:val="1"/>
          <w:numId w:val="96"/>
        </w:numPr>
        <w:rPr>
          <w:rFonts w:ascii="Arial" w:cs="Arial" w:eastAsia="Arial" w:hAnsi="Arial"/>
          <w:sz w:val="17"/>
          <w:szCs w:val="17"/>
          <w:color w:val="auto"/>
        </w:rPr>
      </w:pPr>
      <w:r>
        <w:rPr>
          <w:rFonts w:ascii="Arial" w:cs="Arial" w:eastAsia="Arial" w:hAnsi="Arial"/>
          <w:sz w:val="17"/>
          <w:szCs w:val="17"/>
          <w:color w:val="auto"/>
        </w:rPr>
        <w:t xml:space="preserve">the provisions of this Section shall not be construed to apply to (x) any payment made by or on behalf of a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7"/>
          <w:szCs w:val="17"/>
          <w:u w:val="single" w:color="auto"/>
          <w:color w:val="auto"/>
        </w:rPr>
        <w:t>Section 2.17</w:t>
      </w:r>
      <w:r>
        <w:rPr>
          <w:rFonts w:ascii="Arial" w:cs="Arial" w:eastAsia="Arial" w:hAnsi="Arial"/>
          <w:sz w:val="17"/>
          <w:szCs w:val="17"/>
          <w:color w:val="auto"/>
        </w:rPr>
        <w:t>, or (z) any payment obtained by a Lender as consideration for the assignment of or sale of a participation in any of its Loans or subparticipations in L/C Obligations or Swing Line Loans to any assignee or participant, other than an assignment to the Company or any Subsidiary thereof (as to which the provisions of this Section shall apply).</w:t>
      </w:r>
    </w:p>
    <w:p>
      <w:pPr>
        <w:spacing w:after="0" w:line="173" w:lineRule="exact"/>
        <w:rPr>
          <w:sz w:val="20"/>
          <w:szCs w:val="20"/>
          <w:color w:val="auto"/>
        </w:rPr>
      </w:pPr>
    </w:p>
    <w:p>
      <w:pPr>
        <w:ind w:right="480" w:firstLine="441"/>
        <w:spacing w:after="0" w:line="286" w:lineRule="auto"/>
        <w:rPr>
          <w:sz w:val="20"/>
          <w:szCs w:val="20"/>
          <w:color w:val="auto"/>
        </w:rPr>
      </w:pPr>
      <w:r>
        <w:rPr>
          <w:rFonts w:ascii="Arial" w:cs="Arial" w:eastAsia="Arial" w:hAnsi="Arial"/>
          <w:sz w:val="17"/>
          <w:szCs w:val="17"/>
          <w:color w:val="auto"/>
        </w:rPr>
        <w:t>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2.14 Designated Borrowers.</w:t>
      </w:r>
    </w:p>
    <w:p>
      <w:pPr>
        <w:spacing w:after="0" w:line="121" w:lineRule="exact"/>
        <w:rPr>
          <w:sz w:val="20"/>
          <w:szCs w:val="20"/>
          <w:color w:val="auto"/>
        </w:rPr>
      </w:pPr>
    </w:p>
    <w:p>
      <w:pPr>
        <w:ind w:right="60" w:firstLine="444"/>
        <w:spacing w:after="0" w:line="269" w:lineRule="auto"/>
        <w:tabs>
          <w:tab w:leader="none" w:pos="685"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Company may at any time, upon not less than fifteen (15) Business Days’ notice from the Company to the Administrative Agent (or such shorter period as may be agreed by the Administrative Agent in its sole discretion), designate any wholly-owned Restricted Subsidiary of the Company (an “</w:t>
      </w:r>
      <w:r>
        <w:rPr>
          <w:rFonts w:ascii="Arial" w:cs="Arial" w:eastAsia="Arial" w:hAnsi="Arial"/>
          <w:sz w:val="17"/>
          <w:szCs w:val="17"/>
          <w:u w:val="single" w:color="auto"/>
          <w:color w:val="auto"/>
        </w:rPr>
        <w:t>Applicant Borrower</w:t>
      </w:r>
      <w:r>
        <w:rPr>
          <w:rFonts w:ascii="Arial" w:cs="Arial" w:eastAsia="Arial" w:hAnsi="Arial"/>
          <w:sz w:val="17"/>
          <w:szCs w:val="17"/>
          <w:color w:val="auto"/>
        </w:rPr>
        <w:t xml:space="preserve">”) as a Designated Borrower to receive Revolving Credit Loans hereunder by delivering to the Administrative Agent (which shall promptly deliver counterparts thereof to each Revolving Credit Lender) a duly executed notice and agreement in substantially the form of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(a “</w:t>
      </w:r>
      <w:r>
        <w:rPr>
          <w:rFonts w:ascii="Arial" w:cs="Arial" w:eastAsia="Arial" w:hAnsi="Arial"/>
          <w:sz w:val="17"/>
          <w:szCs w:val="17"/>
          <w:u w:val="single" w:color="auto"/>
          <w:color w:val="auto"/>
        </w:rPr>
        <w:t>Designated Borrower Request and Assumption Agreement</w:t>
      </w:r>
      <w:r>
        <w:rPr>
          <w:rFonts w:ascii="Arial" w:cs="Arial" w:eastAsia="Arial" w:hAnsi="Arial"/>
          <w:sz w:val="17"/>
          <w:szCs w:val="17"/>
          <w:color w:val="auto"/>
        </w:rPr>
        <w:t>”). The parties hereto acknowledge and agree that prior to any Applicant Borrower becoming entitled to utilize the Revolving Credit Facility (i) the Administrative Agent and each Revolving Credit Lender shall have approved such Applicant Borrower as a Designated Borrower and received at least five Business Days prior to such date all documentation and other information that such Person requests in order to comply with its ongoing obligations under applicable “know your customer” and anti-money laundering rules and regulations, including the Act, (ii) the Administrative Agent and each Revolving Credit Lender shall have received such supporting resolutions, incumbency certificates, opinions of counsel and other documents or information, in form, content and scope reasonably satisfactory to the Administrative Agent, as may be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440" w:top="274" w:right="439" w:bottom="1440" w:gutter="0" w:footer="0" w:header="0"/>
        </w:sectPr>
      </w:pPr>
    </w:p>
    <w:bookmarkStart w:id="72" w:name="page73"/>
    <w:bookmarkEnd w:id="72"/>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reasonably requested by the Administrative Agent (it being agreed that the forms delivered on the Closing Date are acceptable for a Domestic Subsidiary), and (iii) each Revolving Credit Lender shall have received Revolving Credit Notes signed by such new Borrowers to the extent requested thereby. If the Administrative Agent and the Revolving Credit Lenders agree that an Applicant Borrower shall be entitled to receive Revolving Credit Loans hereunder, then promptly following receipt of all such requested resolutions, incumbency certificates, opinions of counsel and other documents or information, the Administrative Agent shall send a notice in substantially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(a “</w:t>
      </w:r>
      <w:r>
        <w:rPr>
          <w:rFonts w:ascii="Arial" w:cs="Arial" w:eastAsia="Arial" w:hAnsi="Arial"/>
          <w:sz w:val="17"/>
          <w:szCs w:val="17"/>
          <w:u w:val="single" w:color="auto"/>
          <w:color w:val="auto"/>
        </w:rPr>
        <w:t>Designated Borrower Notice</w:t>
      </w:r>
      <w:r>
        <w:rPr>
          <w:rFonts w:ascii="Arial" w:cs="Arial" w:eastAsia="Arial" w:hAnsi="Arial"/>
          <w:sz w:val="17"/>
          <w:szCs w:val="17"/>
          <w:color w:val="auto"/>
        </w:rPr>
        <w:t xml:space="preserve">”) to the Company and the Revolving Credit Lenders specifying the effective date upon which the Applicant Borrower shall constitute a Designated Borrower for purposes hereof, whereupon each of the Revolving Credit Lenders agrees to permit such Designated Borrower to receive Revolving Credit Loans hereunder, on the terms and conditions set forth herein, and each of the parties agrees that such Designated Borrower otherwise shall be a Borrower for all purposes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Loan Notice or Letter of Credit Application may be submitted by or on behalf of such Designated Borrower until the date five (5) Business Days after such effective date;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effective as of the date hereof, the Administrative Agent and the Revolving Credit Lenders hereby agree that each of the Netherlands Designated Borrowers may become a “Designated Borrower” hereunder and may receive Revolving Credit Loans for its account on the terms and conditions set forth in this Agreement, in each case upon delivery of a duly executed Designated Borrower Request and Assumption Agreement and satisfaction of the conditions set forth in clauses (i) through (iii) of the second sentence this </w:t>
      </w:r>
      <w:r>
        <w:rPr>
          <w:rFonts w:ascii="Arial" w:cs="Arial" w:eastAsia="Arial" w:hAnsi="Arial"/>
          <w:sz w:val="17"/>
          <w:szCs w:val="17"/>
          <w:u w:val="single" w:color="auto"/>
          <w:color w:val="auto"/>
        </w:rPr>
        <w:t>Section 2.14(a)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without any requirement of further written consent from the Administrative Agent or the Revolving Credit Lenders. Additionally, notwithstanding the foregoing, the Company may in connection with any request pursuant to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designate any wholly-owned Restricted Subsidiary of the Company as a Designated Borrower to receive Additional Term Loans hereunder, and the parties hereto acknowledge and agree that prior to any such Restricted Subsidiary becoming entitled to borrow any Additional Term Loans the Administrative Agent and each Additional Lender providing such Additional Term Loan shall have approved such Restricted Subsidiary as a Designated Borrower and received items of the type described in clauses (i) through (iii) of the second sentence this </w:t>
      </w:r>
      <w:r>
        <w:rPr>
          <w:rFonts w:ascii="Arial" w:cs="Arial" w:eastAsia="Arial" w:hAnsi="Arial"/>
          <w:sz w:val="17"/>
          <w:szCs w:val="17"/>
          <w:u w:val="single" w:color="auto"/>
          <w:color w:val="auto"/>
        </w:rPr>
        <w:t>Section 2.14(a)</w:t>
      </w:r>
      <w:r>
        <w:rPr>
          <w:rFonts w:ascii="Arial" w:cs="Arial" w:eastAsia="Arial" w:hAnsi="Arial"/>
          <w:sz w:val="17"/>
          <w:szCs w:val="17"/>
          <w:color w:val="auto"/>
        </w:rPr>
        <w:t xml:space="preserve"> and such Restricted Subsidiary shall have complied with </w:t>
      </w:r>
      <w:r>
        <w:rPr>
          <w:rFonts w:ascii="Arial" w:cs="Arial" w:eastAsia="Arial" w:hAnsi="Arial"/>
          <w:sz w:val="17"/>
          <w:szCs w:val="17"/>
          <w:u w:val="single" w:color="auto"/>
          <w:color w:val="auto"/>
        </w:rPr>
        <w:t>Section 6.12</w:t>
      </w:r>
      <w:r>
        <w:rPr>
          <w:rFonts w:ascii="Arial" w:cs="Arial" w:eastAsia="Arial" w:hAnsi="Arial"/>
          <w:sz w:val="17"/>
          <w:szCs w:val="17"/>
          <w:color w:val="auto"/>
        </w:rPr>
        <w:t>.</w:t>
      </w:r>
    </w:p>
    <w:p>
      <w:pPr>
        <w:spacing w:after="0" w:line="80" w:lineRule="exact"/>
        <w:rPr>
          <w:sz w:val="20"/>
          <w:szCs w:val="20"/>
          <w:color w:val="auto"/>
        </w:rPr>
      </w:pPr>
    </w:p>
    <w:p>
      <w:pPr>
        <w:jc w:val="both"/>
        <w:ind w:right="20" w:firstLine="444"/>
        <w:spacing w:after="0" w:line="259" w:lineRule="auto"/>
        <w:tabs>
          <w:tab w:leader="none" w:pos="696"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Obligations of each U.S. Borrower shall be joint and several in nature. Notwithstanding anything to the contrary in this Agreement or any of the other Loan Documents, the Obligations of any Foreign Subsidiary that may become a Loan Party hereunder (including any Designated Borrowers that are Foreign Subsidiaries) shall be several in nature and not joint with the Obligations of any U.S. Loan Party and no Foreign Subsidiary shall provide any Guarantee in respect of any Obligations of any U.S. Loan Party.</w:t>
      </w:r>
    </w:p>
    <w:p>
      <w:pPr>
        <w:spacing w:after="0" w:line="78" w:lineRule="exact"/>
        <w:rPr>
          <w:rFonts w:ascii="Arial" w:cs="Arial" w:eastAsia="Arial" w:hAnsi="Arial"/>
          <w:sz w:val="18"/>
          <w:szCs w:val="18"/>
          <w:color w:val="auto"/>
        </w:rPr>
      </w:pPr>
    </w:p>
    <w:p>
      <w:pPr>
        <w:ind w:right="100" w:firstLine="444"/>
        <w:spacing w:after="0" w:line="291" w:lineRule="auto"/>
        <w:tabs>
          <w:tab w:leader="none" w:pos="685" w:val="left"/>
        </w:tabs>
        <w:numPr>
          <w:ilvl w:val="1"/>
          <w:numId w:val="98"/>
        </w:numPr>
        <w:rPr>
          <w:rFonts w:ascii="Arial" w:cs="Arial" w:eastAsia="Arial" w:hAnsi="Arial"/>
          <w:sz w:val="16"/>
          <w:szCs w:val="16"/>
          <w:color w:val="auto"/>
        </w:rPr>
      </w:pPr>
      <w:r>
        <w:rPr>
          <w:rFonts w:ascii="Arial" w:cs="Arial" w:eastAsia="Arial" w:hAnsi="Arial"/>
          <w:sz w:val="16"/>
          <w:szCs w:val="16"/>
          <w:color w:val="auto"/>
        </w:rPr>
        <w:t xml:space="preserve">Each Subsidiary of the Company that is or becomes a “Designated Borrower” pursuant to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hereby irrevocably appoints the Company as its agent for all purposes relevant to this Agreement and each of the other Loan Documents, including (i) the giving and receipt of notices,</w:t>
      </w:r>
    </w:p>
    <w:p>
      <w:pPr>
        <w:ind w:firstLine="4"/>
        <w:spacing w:after="0" w:line="252" w:lineRule="auto"/>
        <w:tabs>
          <w:tab w:leader="none" w:pos="265"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execution and delivery of all documents, instruments and certificates contemplated herein and all modifications hereto, and (iii) the receipt of the proceeds of any Loans made 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73" w:name="page74"/>
    <w:bookmarkEnd w:id="73"/>
    <w:p>
      <w:pPr>
        <w:ind w:left="-4" w:right="20" w:firstLine="444"/>
        <w:spacing w:after="0" w:line="257" w:lineRule="auto"/>
        <w:tabs>
          <w:tab w:leader="none" w:pos="692" w:val="left"/>
        </w:tabs>
        <w:numPr>
          <w:ilvl w:val="0"/>
          <w:numId w:val="1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may from time to time, upon not less than fifteen (15) Business Days’ notice from the Company to the Administrative Agent (or such shorter period as may be agreed by the Administrative Agent in its sole discretion), terminate a Designated Borrower’s status as such,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p>
      <w:pPr>
        <w:spacing w:after="0" w:line="184"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2.15 Increase Option.</w:t>
      </w:r>
    </w:p>
    <w:p>
      <w:pPr>
        <w:spacing w:after="0" w:line="121" w:lineRule="exact"/>
        <w:rPr>
          <w:sz w:val="20"/>
          <w:szCs w:val="20"/>
          <w:color w:val="auto"/>
        </w:rPr>
      </w:pPr>
    </w:p>
    <w:p>
      <w:pPr>
        <w:ind w:left="-4" w:firstLine="444"/>
        <w:spacing w:after="0" w:line="286" w:lineRule="auto"/>
        <w:tabs>
          <w:tab w:leader="none" w:pos="681"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Request for Increase</w:t>
      </w:r>
      <w:r>
        <w:rPr>
          <w:rFonts w:ascii="Arial" w:cs="Arial" w:eastAsia="Arial" w:hAnsi="Arial"/>
          <w:sz w:val="16"/>
          <w:szCs w:val="16"/>
          <w:color w:val="auto"/>
        </w:rPr>
        <w:t>. Upon notice to the Administrative Agent (which shall promptly notify the Lenders), at any time after the Closing Date, the Company may request additional Commitments (each an “</w:t>
      </w:r>
      <w:r>
        <w:rPr>
          <w:rFonts w:ascii="Arial" w:cs="Arial" w:eastAsia="Arial" w:hAnsi="Arial"/>
          <w:sz w:val="16"/>
          <w:szCs w:val="16"/>
          <w:u w:val="single" w:color="auto"/>
          <w:color w:val="auto"/>
        </w:rPr>
        <w:t>Additional Commitment</w:t>
      </w:r>
      <w:r>
        <w:rPr>
          <w:rFonts w:ascii="Arial" w:cs="Arial" w:eastAsia="Arial" w:hAnsi="Arial"/>
          <w:sz w:val="16"/>
          <w:szCs w:val="16"/>
          <w:color w:val="auto"/>
        </w:rPr>
        <w:t>” and all of them, collectively, the “</w:t>
      </w:r>
      <w:r>
        <w:rPr>
          <w:rFonts w:ascii="Arial" w:cs="Arial" w:eastAsia="Arial" w:hAnsi="Arial"/>
          <w:sz w:val="16"/>
          <w:szCs w:val="16"/>
          <w:u w:val="single" w:color="auto"/>
          <w:color w:val="auto"/>
        </w:rPr>
        <w:t>Additional Commitments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after giving effect to any such addition, the aggregate amount of Additional Commitments that have been added pursuant to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after the Closing Date shall not exceed the Additional Commitments Limit, (y) any such addition shall be in an aggregate amount of not less than $10,000,000 or any whole multiple of $1,000,000 in excess thereof (or, in either case, such lesser amount as may be acceptable to the Administrative Agent) and (z) after giving effect to any such addition, the aggregate outstanding amount of Additional Term Loans made to Designated Borrowers that are not U.S. Borrowers shall not exceed, when taken together with the aggregate Outstanding Amount of all Revolving Credit Loans made to Designated Borrowers that are not U.S. Borrowers, $30,000,000. Any loans made in respect of any such Additional Commitments (the “</w:t>
      </w:r>
      <w:r>
        <w:rPr>
          <w:rFonts w:ascii="Arial" w:cs="Arial" w:eastAsia="Arial" w:hAnsi="Arial"/>
          <w:sz w:val="16"/>
          <w:szCs w:val="16"/>
          <w:u w:val="single" w:color="auto"/>
          <w:color w:val="auto"/>
        </w:rPr>
        <w:t>Additional Loans</w:t>
      </w:r>
      <w:r>
        <w:rPr>
          <w:rFonts w:ascii="Arial" w:cs="Arial" w:eastAsia="Arial" w:hAnsi="Arial"/>
          <w:sz w:val="16"/>
          <w:szCs w:val="16"/>
          <w:color w:val="auto"/>
        </w:rPr>
        <w:t>”) may be made, at the option of the Company, by either (i) increasing the Aggregate Revolving Credit Commitments with the same terms (including pricing) as the existing Revolving Credit Facility, or (ii) creating a new tranche of terms loans (any loans provided pursuant to such additional tranche, the “</w:t>
      </w:r>
      <w:r>
        <w:rPr>
          <w:rFonts w:ascii="Arial" w:cs="Arial" w:eastAsia="Arial" w:hAnsi="Arial"/>
          <w:sz w:val="16"/>
          <w:szCs w:val="16"/>
          <w:u w:val="single" w:color="auto"/>
          <w:color w:val="auto"/>
        </w:rPr>
        <w:t>Additional Term Loans</w:t>
      </w:r>
      <w:r>
        <w:rPr>
          <w:rFonts w:ascii="Arial" w:cs="Arial" w:eastAsia="Arial" w:hAnsi="Arial"/>
          <w:sz w:val="16"/>
          <w:szCs w:val="16"/>
          <w:color w:val="auto"/>
        </w:rPr>
        <w:t xml:space="preserve">”) (it being understood that the Company has the absolute right to pursue Additional Commitments in accordance with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and no Lender shall have the ability to block any such pursuit although no Lender shall be obligated to provide any Additional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increase in the Aggregate Revolving Credit Commitments shall (A) increase the Swing Line Sublimit without the consent of the Swing Line Lender, (B) increase the Letter of Credit Sublimit (or change the allocation of the Letter of Credit Sublimit among the L/C Issuers) without the consent of the L/C Issuers or (C) increase the Alternative Currency Sublimit or the Designated Non-U.S. Borrower Sublimit, in either case, without the consent of the Required Revolving Lenders.</w:t>
      </w:r>
    </w:p>
    <w:p>
      <w:pPr>
        <w:spacing w:after="0" w:line="276" w:lineRule="exact"/>
        <w:rPr>
          <w:rFonts w:ascii="Arial" w:cs="Arial" w:eastAsia="Arial" w:hAnsi="Arial"/>
          <w:sz w:val="16"/>
          <w:szCs w:val="16"/>
          <w:color w:val="auto"/>
        </w:rPr>
      </w:pPr>
    </w:p>
    <w:p>
      <w:pPr>
        <w:jc w:val="both"/>
        <w:ind w:left="-4" w:right="80" w:firstLine="444"/>
        <w:spacing w:after="0" w:line="291" w:lineRule="auto"/>
        <w:tabs>
          <w:tab w:leader="none" w:pos="692"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Ranking and Other Provisions</w:t>
      </w:r>
      <w:r>
        <w:rPr>
          <w:rFonts w:ascii="Arial" w:cs="Arial" w:eastAsia="Arial" w:hAnsi="Arial"/>
          <w:sz w:val="16"/>
          <w:szCs w:val="16"/>
          <w:color w:val="auto"/>
        </w:rPr>
        <w:t>. The Additional Term Loans shall (i) rank pari passu in right of payment and in respect of lien priority as to the Collateral with the outstanding Loans, (ii) not have a weighted average life that is shorter than the weighted average life of the outstanding Term Loans,</w:t>
      </w:r>
    </w:p>
    <w:p>
      <w:pPr>
        <w:jc w:val="both"/>
        <w:ind w:left="-4" w:right="140" w:firstLine="4"/>
        <w:spacing w:after="0" w:line="255" w:lineRule="auto"/>
        <w:tabs>
          <w:tab w:leader="none" w:pos="31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not mature earlier than the Maturity Date, and (iv) not contain additional or different financial or other covenants which are more restrictive in any material respect than the covenants applicable to the Term Loans unless such covenants (i) benefit all of the Lenders, (ii) only apply after the Maturity Date or (iii) are otherwise consented to by the Administrative Agent.</w:t>
      </w:r>
    </w:p>
    <w:p>
      <w:pPr>
        <w:spacing w:after="0" w:line="82" w:lineRule="exact"/>
        <w:rPr>
          <w:rFonts w:ascii="Arial" w:cs="Arial" w:eastAsia="Arial" w:hAnsi="Arial"/>
          <w:sz w:val="18"/>
          <w:szCs w:val="18"/>
          <w:color w:val="auto"/>
        </w:rPr>
      </w:pPr>
    </w:p>
    <w:p>
      <w:pPr>
        <w:ind w:left="-4" w:right="20" w:firstLine="444"/>
        <w:spacing w:after="0" w:line="290" w:lineRule="auto"/>
        <w:tabs>
          <w:tab w:leader="none" w:pos="681"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Notices; Lender Elections</w:t>
      </w:r>
      <w:r>
        <w:rPr>
          <w:rFonts w:ascii="Arial" w:cs="Arial" w:eastAsia="Arial" w:hAnsi="Arial"/>
          <w:sz w:val="16"/>
          <w:szCs w:val="16"/>
          <w:color w:val="auto"/>
        </w:rPr>
        <w:t>. Each notice from the Company pursuant to this Section shall set forth the requested amount and proposed terms of the Additional Commitments. Additional Commitments (or any portion thereof) may be made by any existing Lender or by any other bank or financial institution that is an Eligible Assignee (any such bank or other financial institution, together with any existing Lenders making any Additional Loans, the “</w:t>
      </w:r>
      <w:r>
        <w:rPr>
          <w:rFonts w:ascii="Arial" w:cs="Arial" w:eastAsia="Arial" w:hAnsi="Arial"/>
          <w:sz w:val="16"/>
          <w:szCs w:val="16"/>
          <w:u w:val="single" w:color="auto"/>
          <w:color w:val="auto"/>
        </w:rPr>
        <w:t>Additional Lenders</w:t>
      </w:r>
      <w:r>
        <w:rPr>
          <w:rFonts w:ascii="Arial" w:cs="Arial" w:eastAsia="Arial" w:hAnsi="Arial"/>
          <w:sz w:val="16"/>
          <w:szCs w:val="16"/>
          <w:color w:val="auto"/>
        </w:rPr>
        <w:t>”), in each case on terms permitted in this Section and otherwise on terms reasonably acceptable to the Administrative Agent. At the time of the sending of such notice, the Company (in consultation with the Administrative Agent) shall specify the time period within which each Lender is requested to respond (which shall in no event be less than ten Business Days from the date of delivery of such notice to the Lenders). No Lender shall be obligated to provide any Additional Loans, unless it so agrees. Each Lender shall notify the Administrative Agent within such time period whether or not it agrees to provide an Additional Commitment and, if so, whether by an amount equal to, greater than, or less than its Applicable</w:t>
      </w:r>
    </w:p>
    <w:p>
      <w:pPr>
        <w:spacing w:after="0" w:line="9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16"/>
          </w:cols>
          <w:pgMar w:left="444" w:top="274" w:right="439" w:bottom="1440" w:gutter="0" w:footer="0" w:header="0"/>
        </w:sectPr>
      </w:pPr>
    </w:p>
    <w:bookmarkStart w:id="74" w:name="page75"/>
    <w:bookmarkEnd w:id="74"/>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Percentage of such requested increase. Any Lender not responding within such time period shall be deemed to have declined to provide an Additional Commitment. The Administrative Agent shall notify the Company and each Lender of the Lenders’ responses to each request made hereunder. To achieve the full amount of a requested increase, the Company may also invite additional Eligible Assignees to become Lenders pursuant to a joinder agreement in form and substance reasonably satisfactory to the Administrative Agent and its counsel.</w:t>
      </w:r>
    </w:p>
    <w:p>
      <w:pPr>
        <w:spacing w:after="0" w:line="63" w:lineRule="exact"/>
        <w:rPr>
          <w:sz w:val="20"/>
          <w:szCs w:val="20"/>
          <w:color w:val="auto"/>
        </w:rPr>
      </w:pPr>
    </w:p>
    <w:p>
      <w:pPr>
        <w:ind w:right="40" w:firstLine="444"/>
        <w:spacing w:after="0" w:line="255" w:lineRule="auto"/>
        <w:tabs>
          <w:tab w:leader="none" w:pos="69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Additional Commitment Amendment</w:t>
      </w:r>
      <w:r>
        <w:rPr>
          <w:rFonts w:ascii="Arial" w:cs="Arial" w:eastAsia="Arial" w:hAnsi="Arial"/>
          <w:sz w:val="18"/>
          <w:szCs w:val="18"/>
          <w:color w:val="auto"/>
        </w:rPr>
        <w:t>. Additional Commitments shall become Commitments under this Agreement pursuant to an amendment (an “</w:t>
      </w:r>
      <w:r>
        <w:rPr>
          <w:rFonts w:ascii="Arial" w:cs="Arial" w:eastAsia="Arial" w:hAnsi="Arial"/>
          <w:sz w:val="18"/>
          <w:szCs w:val="18"/>
          <w:u w:val="single" w:color="auto"/>
          <w:color w:val="auto"/>
        </w:rPr>
        <w:t>Additional Commitment Amendment</w:t>
      </w:r>
      <w:r>
        <w:rPr>
          <w:rFonts w:ascii="Arial" w:cs="Arial" w:eastAsia="Arial" w:hAnsi="Arial"/>
          <w:sz w:val="18"/>
          <w:szCs w:val="18"/>
          <w:color w:val="auto"/>
        </w:rPr>
        <w:t>”) to this Agreement and, as appropriate, the other Loan Documents, executed by the Borrowers, the other Loan Parties, each Additional Lender and the Administrative Agent. An Additional Commitment Amendment may, without the consent of any other Lenders, effect such amendments to any Loan Documents as may be necessary or appropriate, in the opinion of the Administrative Agent, to effect the provisions of this Section (including, without limitation, to incorporate the Additional Loans and Additional Commitments into the calculation of the “Required Lenders”, “Required Facility Lenders” and related provisions). Upon execution, the Administrative Agent shall provide a copy of any Additional Commitment Amendment to all Lenders.</w:t>
      </w:r>
    </w:p>
    <w:p>
      <w:pPr>
        <w:spacing w:after="0" w:line="81" w:lineRule="exact"/>
        <w:rPr>
          <w:rFonts w:ascii="Arial" w:cs="Arial" w:eastAsia="Arial" w:hAnsi="Arial"/>
          <w:sz w:val="18"/>
          <w:szCs w:val="18"/>
          <w:color w:val="auto"/>
        </w:rPr>
      </w:pPr>
    </w:p>
    <w:p>
      <w:pPr>
        <w:jc w:val="both"/>
        <w:ind w:right="20" w:firstLine="444"/>
        <w:spacing w:after="0" w:line="259" w:lineRule="auto"/>
        <w:tabs>
          <w:tab w:leader="none" w:pos="68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Effective Date and Allocations</w:t>
      </w:r>
      <w:r>
        <w:rPr>
          <w:rFonts w:ascii="Arial" w:cs="Arial" w:eastAsia="Arial" w:hAnsi="Arial"/>
          <w:sz w:val="18"/>
          <w:szCs w:val="18"/>
          <w:color w:val="auto"/>
        </w:rPr>
        <w:t xml:space="preserve">. If any Additional Commitments are added in accordance with this </w:t>
      </w:r>
      <w:r>
        <w:rPr>
          <w:rFonts w:ascii="Arial" w:cs="Arial" w:eastAsia="Arial" w:hAnsi="Arial"/>
          <w:sz w:val="18"/>
          <w:szCs w:val="18"/>
          <w:u w:val="single" w:color="auto"/>
          <w:color w:val="auto"/>
        </w:rPr>
        <w:t>Section 2.15</w:t>
      </w:r>
      <w:r>
        <w:rPr>
          <w:rFonts w:ascii="Arial" w:cs="Arial" w:eastAsia="Arial" w:hAnsi="Arial"/>
          <w:sz w:val="18"/>
          <w:szCs w:val="18"/>
          <w:color w:val="auto"/>
        </w:rPr>
        <w:t>, the Administrative Agent and the Company shall determine the effective date (each, an “</w:t>
      </w:r>
      <w:r>
        <w:rPr>
          <w:rFonts w:ascii="Arial" w:cs="Arial" w:eastAsia="Arial" w:hAnsi="Arial"/>
          <w:sz w:val="18"/>
          <w:szCs w:val="18"/>
          <w:u w:val="single" w:color="auto"/>
          <w:color w:val="auto"/>
        </w:rPr>
        <w:t>Additional Commitments Closing Date</w:t>
      </w:r>
      <w:r>
        <w:rPr>
          <w:rFonts w:ascii="Arial" w:cs="Arial" w:eastAsia="Arial" w:hAnsi="Arial"/>
          <w:sz w:val="18"/>
          <w:szCs w:val="18"/>
          <w:color w:val="auto"/>
        </w:rPr>
        <w:t>”) and the final allocation thereof. The Administrative Agent shall promptly notify the Company, the existing Lenders and the Additional Lenders of the final allocation of such addition and the Additional Commitments Closing Date.</w:t>
      </w:r>
    </w:p>
    <w:p>
      <w:pPr>
        <w:spacing w:after="0" w:line="78" w:lineRule="exact"/>
        <w:rPr>
          <w:rFonts w:ascii="Arial" w:cs="Arial" w:eastAsia="Arial" w:hAnsi="Arial"/>
          <w:sz w:val="18"/>
          <w:szCs w:val="18"/>
          <w:color w:val="auto"/>
        </w:rPr>
      </w:pPr>
    </w:p>
    <w:p>
      <w:pPr>
        <w:ind w:firstLine="444"/>
        <w:spacing w:after="0" w:line="264" w:lineRule="auto"/>
        <w:tabs>
          <w:tab w:leader="none" w:pos="665"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 of Increase</w:t>
      </w:r>
      <w:r>
        <w:rPr>
          <w:rFonts w:ascii="Arial" w:cs="Arial" w:eastAsia="Arial" w:hAnsi="Arial"/>
          <w:sz w:val="18"/>
          <w:szCs w:val="18"/>
          <w:color w:val="auto"/>
        </w:rPr>
        <w:t>. The effectiveness of any Additional Commitment Amendment shall, unless otherwise agreed to by the Administrative Agent and each Additional Lender, be subject to the satisfaction on the Additional Commitments Closing Date of each of the following conditions:</w:t>
      </w:r>
    </w:p>
    <w:p>
      <w:pPr>
        <w:spacing w:after="0" w:line="73" w:lineRule="exact"/>
        <w:rPr>
          <w:rFonts w:ascii="Arial" w:cs="Arial" w:eastAsia="Arial" w:hAnsi="Arial"/>
          <w:sz w:val="18"/>
          <w:szCs w:val="18"/>
          <w:color w:val="auto"/>
        </w:rPr>
      </w:pPr>
    </w:p>
    <w:p>
      <w:pPr>
        <w:ind w:left="440" w:right="60" w:firstLine="428"/>
        <w:spacing w:after="0" w:line="286" w:lineRule="auto"/>
        <w:tabs>
          <w:tab w:leader="none" w:pos="1078"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and in each of the other Loan Documents shall be true and correct on and as of the Additional Commitments Closing Date, except to the extent that such representations and warranties specifically refer to an earlier date, in which case they are true and correct as of such earlier date and except that for purposes of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subsections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u w:val="single" w:color="auto"/>
          <w:color w:val="auto"/>
        </w:rPr>
        <w:t>(b)</w:t>
      </w:r>
      <w:r>
        <w:rPr>
          <w:rFonts w:ascii="Arial" w:cs="Arial" w:eastAsia="Arial" w:hAnsi="Arial"/>
          <w:sz w:val="18"/>
          <w:szCs w:val="18"/>
          <w:color w:val="auto"/>
        </w:rPr>
        <w:t xml:space="preserve">, respectively, of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02" w:lineRule="exact"/>
        <w:rPr>
          <w:rFonts w:ascii="Arial" w:cs="Arial" w:eastAsia="Arial" w:hAnsi="Arial"/>
          <w:sz w:val="16"/>
          <w:szCs w:val="16"/>
          <w:color w:val="auto"/>
        </w:rPr>
      </w:pPr>
    </w:p>
    <w:p>
      <w:pPr>
        <w:ind w:left="440" w:right="80" w:firstLine="428"/>
        <w:spacing w:after="0" w:line="264" w:lineRule="auto"/>
        <w:tabs>
          <w:tab w:leader="none" w:pos="112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no Default shall exist as of the Additional Commitments Closing Date, and no Default shall occur on the Additional Commitments Closing Date as a result of making any Credit Extension in connection with the Additional Commitments or from the application of the proceeds thereof;</w:t>
      </w:r>
    </w:p>
    <w:p>
      <w:pPr>
        <w:spacing w:after="0" w:line="73" w:lineRule="exact"/>
        <w:rPr>
          <w:rFonts w:ascii="Arial" w:cs="Arial" w:eastAsia="Arial" w:hAnsi="Arial"/>
          <w:sz w:val="18"/>
          <w:szCs w:val="18"/>
          <w:color w:val="auto"/>
        </w:rPr>
      </w:pPr>
    </w:p>
    <w:p>
      <w:pPr>
        <w:ind w:left="440" w:right="80" w:firstLine="428"/>
        <w:spacing w:after="0" w:line="255" w:lineRule="auto"/>
        <w:tabs>
          <w:tab w:leader="none" w:pos="117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 xml:space="preserve">after giving effect to such Additional Commitment Amendment, the Indebtedness to be incurred in connection therewith (assuming, in the case of any increase in the Aggregate Revolving Credit Commitments, that such Additional Commitments and all other Revolving Credit Commitments are fully drawn) and, if applicable, the Permitted Acquisition consummated in connection therewith, the Company and its Restricted Subsidiaries shall be in </w:t>
      </w:r>
      <w:r>
        <w:rPr>
          <w:rFonts w:ascii="Arial" w:cs="Arial" w:eastAsia="Arial" w:hAnsi="Arial"/>
          <w:sz w:val="18"/>
          <w:szCs w:val="18"/>
          <w:u w:val="single" w:color="auto"/>
          <w:color w:val="auto"/>
        </w:rPr>
        <w:t>pro forma</w:t>
      </w:r>
      <w:r>
        <w:rPr>
          <w:rFonts w:ascii="Arial" w:cs="Arial" w:eastAsia="Arial" w:hAnsi="Arial"/>
          <w:sz w:val="18"/>
          <w:szCs w:val="18"/>
          <w:color w:val="auto"/>
        </w:rPr>
        <w:t xml:space="preserve"> compliance with all of the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such compliance to be determined on the basis of financial information for the fiscal period most recently ended for which financial information is available and calculated in accordance with </w:t>
      </w:r>
      <w:r>
        <w:rPr>
          <w:rFonts w:ascii="Arial" w:cs="Arial" w:eastAsia="Arial" w:hAnsi="Arial"/>
          <w:sz w:val="18"/>
          <w:szCs w:val="18"/>
          <w:u w:val="single" w:color="auto"/>
          <w:color w:val="auto"/>
        </w:rPr>
        <w:t>Section 1.07</w:t>
      </w:r>
      <w:r>
        <w:rPr>
          <w:rFonts w:ascii="Arial" w:cs="Arial" w:eastAsia="Arial" w:hAnsi="Arial"/>
          <w:sz w:val="18"/>
          <w:szCs w:val="18"/>
          <w:color w:val="auto"/>
        </w:rPr>
        <w:t>;</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440" w:top="274" w:right="499" w:bottom="1440" w:gutter="0" w:footer="0" w:header="0"/>
        </w:sectPr>
      </w:pPr>
    </w:p>
    <w:bookmarkStart w:id="75" w:name="page76"/>
    <w:bookmarkEnd w:id="75"/>
    <w:p>
      <w:pPr>
        <w:ind w:left="420" w:firstLine="428"/>
        <w:spacing w:after="0" w:line="271" w:lineRule="auto"/>
        <w:tabs>
          <w:tab w:leader="none" w:pos="1148" w:val="left"/>
        </w:tabs>
        <w:numPr>
          <w:ilvl w:val="1"/>
          <w:numId w:val="1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Administrative Agent shall have received each of the following, each dated the applicable Additional Commitments Closing Date unless otherwise indicated or agreed to by the Administrative Agent and each in form and substance reasonably satisfactory to the Administrative Agent: (A) the applicable Additional Commitment Amendment (and such other documents contemplated to be delivered in connection therewith); and (B) a certificate of each Loan Party signed by a Responsible Officer of such Loan Party certifying and attaching the resolutions adopted by the board of directors (or other appropriate governing body) of such Loan Party approving or consenting to the Additional Commitment Amendment and the Additional Commitments provided thereby, and in the case of the Company, certifying as to the satisfaction of the conditions set forth in the foregoing </w:t>
      </w:r>
      <w:r>
        <w:rPr>
          <w:rFonts w:ascii="Arial" w:cs="Arial" w:eastAsia="Arial" w:hAnsi="Arial"/>
          <w:sz w:val="17"/>
          <w:szCs w:val="17"/>
          <w:u w:val="single" w:color="auto"/>
          <w:color w:val="auto"/>
        </w:rPr>
        <w:t>subsections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and certifying that such Additional Commitments do not exceed the Additional Commitments Limit (and, if applicable, providing the calculations in support thereof);</w:t>
      </w:r>
    </w:p>
    <w:p>
      <w:pPr>
        <w:spacing w:after="0" w:line="70" w:lineRule="exact"/>
        <w:rPr>
          <w:rFonts w:ascii="Arial" w:cs="Arial" w:eastAsia="Arial" w:hAnsi="Arial"/>
          <w:sz w:val="17"/>
          <w:szCs w:val="17"/>
          <w:color w:val="auto"/>
        </w:rPr>
      </w:pPr>
    </w:p>
    <w:p>
      <w:pPr>
        <w:ind w:left="420" w:right="280" w:firstLine="428"/>
        <w:spacing w:after="0" w:line="259" w:lineRule="auto"/>
        <w:tabs>
          <w:tab w:leader="none" w:pos="109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there shall have been paid to the Administrative Agent, for the account of the Administrative Agent and the Lenders (including any Person becoming a Lender as part of such Additional Commitment Amendment on the related Additional Commitments Closing Date), as applicable, all fees and expenses (including reasonable and documented out-of-pocket fees, charges and disbursements of counsel) that are due and payable on or before the Additional Commitments Closing Date; and</w:t>
      </w:r>
    </w:p>
    <w:p>
      <w:pPr>
        <w:spacing w:after="0" w:line="78" w:lineRule="exact"/>
        <w:rPr>
          <w:rFonts w:ascii="Arial" w:cs="Arial" w:eastAsia="Arial" w:hAnsi="Arial"/>
          <w:sz w:val="18"/>
          <w:szCs w:val="18"/>
          <w:color w:val="auto"/>
        </w:rPr>
      </w:pPr>
    </w:p>
    <w:p>
      <w:pPr>
        <w:ind w:left="420" w:firstLine="428"/>
        <w:spacing w:after="0" w:line="293" w:lineRule="auto"/>
        <w:tabs>
          <w:tab w:leader="none" w:pos="1148"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 upon the reasonable request of any Lender made at least five Business Days prior to the Additional Commitments Closing Date,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Act, in each case at least three Business Days prior to the Increase Effective Date and (B) at least three Business Days prior to the Additional Commitments Closing Date, any Loan Party that qualifies as a “legal entity customer” under the Beneficial Ownership Regulation shall have delivered, to each Lender that so requests, a Beneficial Ownership Certification in relation to such Loan Party.</w:t>
      </w:r>
    </w:p>
    <w:p>
      <w:pPr>
        <w:spacing w:after="0" w:line="56" w:lineRule="exact"/>
        <w:rPr>
          <w:rFonts w:ascii="Arial" w:cs="Arial" w:eastAsia="Arial" w:hAnsi="Arial"/>
          <w:sz w:val="16"/>
          <w:szCs w:val="16"/>
          <w:color w:val="auto"/>
        </w:rPr>
      </w:pPr>
    </w:p>
    <w:p>
      <w:pPr>
        <w:ind w:left="-20" w:right="20" w:firstLine="444"/>
        <w:spacing w:after="0" w:line="255" w:lineRule="auto"/>
        <w:tabs>
          <w:tab w:leader="none" w:pos="675"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Effect of Additional Commitment Amendment</w:t>
      </w:r>
      <w:r>
        <w:rPr>
          <w:rFonts w:ascii="Arial" w:cs="Arial" w:eastAsia="Arial" w:hAnsi="Arial"/>
          <w:sz w:val="18"/>
          <w:szCs w:val="18"/>
          <w:color w:val="auto"/>
        </w:rPr>
        <w:t xml:space="preserve">. On each Additional Commitments Closing Date, (i) each Eligible Assignee which is providing an Additional Commitment shall become a “Lender” for all purposes of this Agreement and the other Loan Documents, (ii) each Additional Commitment shall become “Commitments” hereunder, (iii) each loan provided pursuant to an Additional Commitment shall be a “Loan” for all purposes of this Agreement and the other Loan Documents, and (iv) in the case of any increase of the Aggregate Revolving Credit Commitments, the Company shall prepay any Revolving Credit Loans outstanding (and pay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to the extent necessary to keep the outstanding Revolving Credit Loans ratable with any revised Applicable Revolving Credit Percentages arising from any nonratable increase in the Revolving Credit Commitments under this Section.</w:t>
      </w:r>
    </w:p>
    <w:p>
      <w:pPr>
        <w:spacing w:after="0" w:line="81" w:lineRule="exact"/>
        <w:rPr>
          <w:rFonts w:ascii="Arial" w:cs="Arial" w:eastAsia="Arial" w:hAnsi="Arial"/>
          <w:sz w:val="18"/>
          <w:szCs w:val="18"/>
          <w:color w:val="auto"/>
        </w:rPr>
      </w:pPr>
    </w:p>
    <w:p>
      <w:pPr>
        <w:ind w:left="680" w:hanging="256"/>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Conflicting Provisions</w:t>
      </w:r>
      <w:r>
        <w:rPr>
          <w:rFonts w:ascii="Arial" w:cs="Arial" w:eastAsia="Arial" w:hAnsi="Arial"/>
          <w:sz w:val="18"/>
          <w:szCs w:val="18"/>
          <w:color w:val="auto"/>
        </w:rPr>
        <w:t xml:space="preserve">. This Section shall supersede any provisions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10.01</w:t>
      </w:r>
      <w:r>
        <w:rPr>
          <w:rFonts w:ascii="Arial" w:cs="Arial" w:eastAsia="Arial" w:hAnsi="Arial"/>
          <w:sz w:val="18"/>
          <w:szCs w:val="18"/>
          <w:color w:val="auto"/>
        </w:rPr>
        <w:t xml:space="preserve"> to the contrary.</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2.16 Cash Collateral.</w:t>
      </w:r>
    </w:p>
    <w:p>
      <w:pPr>
        <w:spacing w:after="0" w:line="121" w:lineRule="exact"/>
        <w:rPr>
          <w:sz w:val="20"/>
          <w:szCs w:val="20"/>
          <w:color w:val="auto"/>
        </w:rPr>
      </w:pPr>
    </w:p>
    <w:p>
      <w:pPr>
        <w:ind w:left="-20" w:right="320" w:firstLine="444"/>
        <w:spacing w:after="0" w:line="259" w:lineRule="auto"/>
        <w:tabs>
          <w:tab w:leader="none" w:pos="66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xml:space="preserve">. If (i) any L/C Issuer has honored any full or partial drawing request under any Letter of Credit and such drawing has resulted in an L/C Borrowing, (ii) as of the close of business on the Letter of Credit Expiration Date, any L/C Obligation for any reason remains outstanding, (iii) the Company shall be required to provide Cash Collateral pursuant to </w:t>
      </w:r>
      <w:r>
        <w:rPr>
          <w:rFonts w:ascii="Arial" w:cs="Arial" w:eastAsia="Arial" w:hAnsi="Arial"/>
          <w:sz w:val="18"/>
          <w:szCs w:val="18"/>
          <w:u w:val="single" w:color="auto"/>
          <w:color w:val="auto"/>
        </w:rPr>
        <w:t>Section 8.02(c)</w:t>
      </w:r>
      <w:r>
        <w:rPr>
          <w:rFonts w:ascii="Arial" w:cs="Arial" w:eastAsia="Arial" w:hAnsi="Arial"/>
          <w:sz w:val="18"/>
          <w:szCs w:val="18"/>
          <w:color w:val="auto"/>
        </w:rPr>
        <w:t xml:space="preserve">, or (iv) there shall exist a Defaulting Lender, the Company shall immediately (in the case of </w:t>
      </w:r>
      <w:r>
        <w:rPr>
          <w:rFonts w:ascii="Arial" w:cs="Arial" w:eastAsia="Arial" w:hAnsi="Arial"/>
          <w:sz w:val="18"/>
          <w:szCs w:val="18"/>
          <w:u w:val="single" w:color="auto"/>
          <w:color w:val="auto"/>
        </w:rPr>
        <w:t>clause (iii)</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460" w:top="274" w:right="459" w:bottom="1440" w:gutter="0" w:footer="0" w:header="0"/>
        </w:sectPr>
      </w:pPr>
    </w:p>
    <w:bookmarkStart w:id="76" w:name="page77"/>
    <w:bookmarkEnd w:id="7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above) or within one Business Day (in all other cases) following any request by the Administrative Agent or any L/C Issuer, provide Cash Collateral in an amount not less than the applicable Minimum Collateral Amount (determined in the case of Cash Collateral provided pursuant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after giving effect to </w:t>
      </w:r>
      <w:r>
        <w:rPr>
          <w:rFonts w:ascii="Arial" w:cs="Arial" w:eastAsia="Arial" w:hAnsi="Arial"/>
          <w:sz w:val="18"/>
          <w:szCs w:val="18"/>
          <w:u w:val="single" w:color="auto"/>
          <w:color w:val="auto"/>
        </w:rPr>
        <w:t>Section 2.17(a)(iv)</w:t>
      </w:r>
      <w:r>
        <w:rPr>
          <w:rFonts w:ascii="Arial" w:cs="Arial" w:eastAsia="Arial" w:hAnsi="Arial"/>
          <w:sz w:val="18"/>
          <w:szCs w:val="18"/>
          <w:color w:val="auto"/>
        </w:rPr>
        <w:t xml:space="preserve"> and any Cash Collateral provided by the Defaulting Lender) and, in the case of clause (iii) above, if applicable, Cash Collateral in an amount not less than the maximum potential drawings under Secured Permitted Bilateral Letters of Credit. Additionally, if the Administrative Agent notifies the Company at any time that the Outstanding Amount of all L/C Obligations at such time exceeds 103% of the Letter of Credit Sublimit then in effect, then, within two Business Days after receipt of such notice, the Company shall provide Cash Collateral for the Outstanding Amount of the L/C Obligations in an amount not less than the amount by which the Outstanding Amount of all L/C Obligations exceeds the Letter of Credit Sublimit.</w:t>
      </w:r>
    </w:p>
    <w:p>
      <w:pPr>
        <w:spacing w:after="0" w:line="84" w:lineRule="exact"/>
        <w:rPr>
          <w:sz w:val="20"/>
          <w:szCs w:val="20"/>
          <w:color w:val="auto"/>
        </w:rPr>
      </w:pPr>
    </w:p>
    <w:p>
      <w:pPr>
        <w:ind w:right="20" w:firstLine="444"/>
        <w:spacing w:after="0" w:line="287" w:lineRule="auto"/>
        <w:tabs>
          <w:tab w:leader="none" w:pos="695"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xml:space="preserve">. The Company, and to the extent provided by any Defaulting Lender, such Defaulting Lender, hereby grants to (and subjects to the control of) the Administrative Agent, for the benefit of the Administrative Agent, the L/C Issuers, the Lenders and the PSLOC Banks,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6"/>
          <w:szCs w:val="16"/>
          <w:u w:val="single" w:color="auto"/>
          <w:color w:val="auto"/>
        </w:rPr>
        <w:t>Section 2.16(c)</w:t>
      </w:r>
      <w:r>
        <w:rPr>
          <w:rFonts w:ascii="Arial" w:cs="Arial" w:eastAsia="Arial" w:hAnsi="Arial"/>
          <w:sz w:val="16"/>
          <w:szCs w:val="16"/>
          <w:color w:val="auto"/>
        </w:rPr>
        <w:t>. If at any time the Administrative Agent determines that Cash Collateral is subject to any right or claim of any Person other than the Administrative Agent, the L/C Issuers, the Lenders and the PSLOC Banks as herein provided, or that the total amount of such Cash Collateral is less than the Minimum Collateral Amount or the maximum potential drawings under Secured Permitted Bilateral Letters of Credit, as applicable, the Company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Company shall pay on demand therefor from time to time all customary account opening, activity and other administrative fees and charges in connection with the maintenance and disbursement of Cash Collateral.</w:t>
      </w:r>
    </w:p>
    <w:p>
      <w:pPr>
        <w:spacing w:after="0" w:line="64" w:lineRule="exact"/>
        <w:rPr>
          <w:rFonts w:ascii="Arial" w:cs="Arial" w:eastAsia="Arial" w:hAnsi="Arial"/>
          <w:sz w:val="16"/>
          <w:szCs w:val="16"/>
          <w:color w:val="auto"/>
        </w:rPr>
      </w:pPr>
    </w:p>
    <w:p>
      <w:pPr>
        <w:ind w:right="60" w:firstLine="444"/>
        <w:spacing w:after="0" w:line="297" w:lineRule="auto"/>
        <w:tabs>
          <w:tab w:leader="none" w:pos="685"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Application</w:t>
      </w:r>
      <w:r>
        <w:rPr>
          <w:rFonts w:ascii="Arial" w:cs="Arial" w:eastAsia="Arial" w:hAnsi="Arial"/>
          <w:sz w:val="16"/>
          <w:szCs w:val="16"/>
          <w:color w:val="auto"/>
        </w:rPr>
        <w:t xml:space="preserve">. Notwithstanding anything to the contrary contained in this Agreement, Cash Collateral provided under any of this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8.02</w:t>
      </w:r>
      <w:r>
        <w:rPr>
          <w:rFonts w:ascii="Arial" w:cs="Arial" w:eastAsia="Arial" w:hAnsi="Arial"/>
          <w:sz w:val="16"/>
          <w:szCs w:val="16"/>
          <w:color w:val="auto"/>
        </w:rPr>
        <w:t xml:space="preserve"> in respect of Letters of Credit or Secured Permitted Standalone Letters of Credit shall be held and applied to the satisfaction of the specific L/C Obligations, obligations to fund participations therein (including, as to Cash Collateral provided by any Defaulting Lender, any interest accrued on such obligation) and other obligations for which the Cash Collateral was so provided (including obligations under Secured Permitted Standalone Letters of Credit), prior to any other application of such property as may otherwise be provided for herein.</w:t>
      </w:r>
    </w:p>
    <w:p>
      <w:pPr>
        <w:spacing w:after="0" w:line="50" w:lineRule="exact"/>
        <w:rPr>
          <w:rFonts w:ascii="Arial" w:cs="Arial" w:eastAsia="Arial" w:hAnsi="Arial"/>
          <w:sz w:val="16"/>
          <w:szCs w:val="16"/>
          <w:color w:val="auto"/>
        </w:rPr>
      </w:pPr>
    </w:p>
    <w:p>
      <w:pPr>
        <w:ind w:right="40" w:firstLine="444"/>
        <w:spacing w:after="0" w:line="291" w:lineRule="auto"/>
        <w:tabs>
          <w:tab w:leader="none" w:pos="695"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6"/>
          <w:szCs w:val="16"/>
          <w:u w:val="single" w:color="auto"/>
          <w:color w:val="auto"/>
        </w:rPr>
        <w:t>Section 10.06(b)(vi)</w:t>
      </w:r>
      <w:r>
        <w:rPr>
          <w:rFonts w:ascii="Arial" w:cs="Arial" w:eastAsia="Arial" w:hAnsi="Arial"/>
          <w:sz w:val="16"/>
          <w:szCs w:val="16"/>
          <w:color w:val="auto"/>
        </w:rPr>
        <w:t xml:space="preserve">)) or (ii) the determination by the Administrative Agent and the L/C Issuers that there exists excess Cash Collateral;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Issuers may agree that Cash Collateral shall not be released but instead held to support future anticipated Fronting Exposure or other obligations.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0"/>
          </w:cols>
          <w:pgMar w:left="440" w:top="274" w:right="439" w:bottom="1440" w:gutter="0" w:footer="0" w:header="0"/>
        </w:sectPr>
      </w:pPr>
    </w:p>
    <w:bookmarkStart w:id="77" w:name="page78"/>
    <w:bookmarkEnd w:id="7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2.17 Defaulting Lenders.</w:t>
      </w:r>
    </w:p>
    <w:p>
      <w:pPr>
        <w:spacing w:after="0" w:line="121" w:lineRule="exact"/>
        <w:rPr>
          <w:sz w:val="20"/>
          <w:szCs w:val="20"/>
          <w:color w:val="auto"/>
        </w:rPr>
      </w:pPr>
    </w:p>
    <w:p>
      <w:pPr>
        <w:ind w:right="240" w:firstLine="444"/>
        <w:spacing w:after="0" w:line="277" w:lineRule="auto"/>
        <w:tabs>
          <w:tab w:leader="none" w:pos="685"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62" w:lineRule="exact"/>
        <w:rPr>
          <w:rFonts w:ascii="Arial" w:cs="Arial" w:eastAsia="Arial" w:hAnsi="Arial"/>
          <w:sz w:val="18"/>
          <w:szCs w:val="18"/>
          <w:color w:val="auto"/>
        </w:rPr>
      </w:pPr>
    </w:p>
    <w:p>
      <w:pPr>
        <w:ind w:left="440" w:right="200" w:firstLine="428"/>
        <w:spacing w:after="0" w:line="264" w:lineRule="auto"/>
        <w:tabs>
          <w:tab w:leader="none" w:pos="1078"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Such Defaulting Lender’s right to approve or disapprove any amendment, waiver or consent with respect to this Agreement shall be restricted as set forth in the definition of “Required Lenders”, “Required Revolving Credit Lenders”, “Required Term Loan Lenders” and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40" w:firstLine="428"/>
        <w:spacing w:after="0" w:line="284" w:lineRule="auto"/>
        <w:tabs>
          <w:tab w:leader="none" w:pos="1128"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Defaulting Lender Waterfall</w:t>
      </w:r>
      <w:r>
        <w:rPr>
          <w:rFonts w:ascii="Arial" w:cs="Arial" w:eastAsia="Arial" w:hAnsi="Arial"/>
          <w:sz w:val="16"/>
          <w:szCs w:val="16"/>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or otherwise) or received by the Administrative Agent from a Defaulting Lender pursuant to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shall be applied at such time or times as may be determined by the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the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to the payment on a pro rata basis of any amounts owing by such Defaulting Lender to any L/C Issuer or Swing Line Lender hereunder;</w:t>
      </w:r>
      <w:r>
        <w:rPr>
          <w:rFonts w:ascii="Arial" w:cs="Arial" w:eastAsia="Arial" w:hAnsi="Arial"/>
          <w:sz w:val="16"/>
          <w:szCs w:val="16"/>
          <w:i w:val="1"/>
          <w:iCs w:val="1"/>
          <w:color w:val="auto"/>
        </w:rPr>
        <w:t xml:space="preserve"> third</w:t>
      </w:r>
      <w:r>
        <w:rPr>
          <w:rFonts w:ascii="Arial" w:cs="Arial" w:eastAsia="Arial" w:hAnsi="Arial"/>
          <w:sz w:val="16"/>
          <w:szCs w:val="16"/>
          <w:color w:val="auto"/>
        </w:rPr>
        <w:t>, to Cash Collateralize the L/C Issuers’ Fronting Exposure with respect to such Defaulting Lender in accordance with</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2.16</w:t>
      </w:r>
      <w:r>
        <w:rPr>
          <w:rFonts w:ascii="Arial" w:cs="Arial" w:eastAsia="Arial" w:hAnsi="Arial"/>
          <w:sz w:val="16"/>
          <w:szCs w:val="16"/>
          <w:color w:val="auto"/>
        </w:rPr>
        <w:t>;</w:t>
      </w:r>
      <w:r>
        <w:rPr>
          <w:rFonts w:ascii="Arial" w:cs="Arial" w:eastAsia="Arial" w:hAnsi="Arial"/>
          <w:sz w:val="16"/>
          <w:szCs w:val="16"/>
          <w:i w:val="1"/>
          <w:iCs w:val="1"/>
          <w:color w:val="auto"/>
        </w:rPr>
        <w:t xml:space="preserve"> fourth</w:t>
      </w:r>
      <w:r>
        <w:rPr>
          <w:rFonts w:ascii="Arial" w:cs="Arial" w:eastAsia="Arial" w:hAnsi="Arial"/>
          <w:sz w:val="16"/>
          <w:szCs w:val="16"/>
          <w:color w:val="auto"/>
        </w:rPr>
        <w:t>,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Company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the Administrative Agent and the Company, to be held in a deposit account and released pro rata in order to (x) satisfy such Defaulting Lender’s potential future funding obligations with respect to Loans under this 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the L/C Issuers or the Swing Line Lender as a result of any judgment of a court of competent jurisdiction obtained by any Lender, any L/C Issuer or the Swing Line Lender against that Defaulting Lender as a result of that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the Company as a result of any judgment of a court of competent jurisdiction obtained by the Company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Loans of, and L/C Obligations owed to, all Non-Defaulting Lenders under the applicable Facility on a pro rata basis (and ratably among all applicable Facilities computed in accordance with the Defaulting Lenders’ respective funding deficiencies) prior to being applied to the payment of any Loans of, or L/C Obligations owed to, such Defaulting Lender under the applicable Facility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6"/>
          <w:szCs w:val="16"/>
          <w:u w:val="single" w:color="auto"/>
          <w:color w:val="auto"/>
        </w:rPr>
        <w:t>Section 2.17(a)(iv)</w:t>
      </w:r>
      <w:r>
        <w:rPr>
          <w:rFonts w:ascii="Arial" w:cs="Arial" w:eastAsia="Arial" w:hAnsi="Arial"/>
          <w:sz w:val="16"/>
          <w:szCs w:val="16"/>
          <w:color w:val="auto"/>
        </w:rPr>
        <w:t>. Any payments, prepayments or other amounts paid or payable to a Defaulting Lender that are applied (or held) to pay amounts owed by a Defaulting Lender or to post Cash Collateral pursuant to this</w:t>
      </w:r>
    </w:p>
    <w:p>
      <w:pPr>
        <w:spacing w:after="0" w:line="19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u w:val="single" w:color="auto"/>
          <w:color w:val="auto"/>
        </w:rPr>
        <w:t>Section 2.17(a)(ii)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0" w:right="439" w:bottom="1440" w:gutter="0" w:footer="0" w:header="0"/>
        </w:sectPr>
      </w:pPr>
    </w:p>
    <w:bookmarkStart w:id="78" w:name="page79"/>
    <w:bookmarkEnd w:id="78"/>
    <w:p>
      <w:pPr>
        <w:ind w:left="1180" w:hanging="312"/>
        <w:spacing w:after="0"/>
        <w:tabs>
          <w:tab w:leader="none" w:pos="1180"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Certain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880" w:right="40" w:firstLine="411"/>
        <w:spacing w:after="0" w:line="264" w:lineRule="auto"/>
        <w:tabs>
          <w:tab w:leader="none" w:pos="158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 xml:space="preserve">No Defaulting Lender shall be entitled to receive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for any period during which that Lender is a Defaulting Lender (and the Company shall not be required to pay any such fee that otherwise would have been required to have been paid to that Defaulting Lender).</w:t>
      </w:r>
    </w:p>
    <w:p>
      <w:pPr>
        <w:spacing w:after="0" w:line="73" w:lineRule="exact"/>
        <w:rPr>
          <w:rFonts w:ascii="Arial" w:cs="Arial" w:eastAsia="Arial" w:hAnsi="Arial"/>
          <w:sz w:val="18"/>
          <w:szCs w:val="18"/>
          <w:color w:val="auto"/>
        </w:rPr>
      </w:pPr>
    </w:p>
    <w:p>
      <w:pPr>
        <w:ind w:left="880" w:right="40" w:firstLine="411"/>
        <w:spacing w:after="0" w:line="264" w:lineRule="auto"/>
        <w:tabs>
          <w:tab w:leader="none" w:pos="157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 xml:space="preserve">Each Defaulting Lender which is a Revolving Credit Lender shall be entitled to receive Letter of Credit Fees for any period during which that Lender is a Defaulting Lender only to the extent allocable to its Applicable Revolving Credit Percentage of the stated amount of Letters of Credit for which it has provided Cash Collateral pursuant to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880" w:firstLine="411"/>
        <w:spacing w:after="0" w:line="255" w:lineRule="auto"/>
        <w:tabs>
          <w:tab w:leader="none" w:pos="157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 xml:space="preserve">With respect to any fee payable under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or any Letter of Credit Fee not required to be paid to any Defaulting Lender pursuant to clause (A) or (B) above, the Company shall (x) pay to each Non-Defaulting Lender which is a Revolving Credit Lender that portion of any such fee otherwise payable to such Defaulting Lender with respect to such Defaulting Lender’s participation in L/C Obligations or Swing Line Loans that has been reallocated to such Non-Defaulting Lender pursuant to clause (iv) below, (y) pay to the Swing Line Lender and the applicable L/C Issuer, as applicable, the amount of any such fee otherwise payable to such Defaulting Lender to the extent allocable to such L/C Issuer’s or the Swing Line Lender’s Fronting Exposure to such Defaulting Lender, and (z) not be required to pay the remaining amount of any such fee.</w:t>
      </w:r>
    </w:p>
    <w:p>
      <w:pPr>
        <w:spacing w:after="0" w:line="81" w:lineRule="exact"/>
        <w:rPr>
          <w:rFonts w:ascii="Arial" w:cs="Arial" w:eastAsia="Arial" w:hAnsi="Arial"/>
          <w:sz w:val="18"/>
          <w:szCs w:val="18"/>
          <w:color w:val="auto"/>
        </w:rPr>
      </w:pPr>
    </w:p>
    <w:p>
      <w:pPr>
        <w:ind w:left="440" w:right="320" w:firstLine="428"/>
        <w:spacing w:after="0" w:line="271" w:lineRule="auto"/>
        <w:tabs>
          <w:tab w:leader="none" w:pos="1168" w:val="left"/>
        </w:tabs>
        <w:numPr>
          <w:ilvl w:val="1"/>
          <w:numId w:val="109"/>
        </w:numPr>
        <w:rPr>
          <w:rFonts w:ascii="Arial" w:cs="Arial" w:eastAsia="Arial" w:hAnsi="Arial"/>
          <w:sz w:val="17"/>
          <w:szCs w:val="17"/>
          <w:color w:val="auto"/>
        </w:rPr>
      </w:pPr>
      <w:r>
        <w:rPr>
          <w:rFonts w:ascii="Arial" w:cs="Arial" w:eastAsia="Arial" w:hAnsi="Arial"/>
          <w:sz w:val="17"/>
          <w:szCs w:val="17"/>
          <w:u w:val="single" w:color="auto"/>
          <w:color w:val="auto"/>
        </w:rPr>
        <w:t>Reallocation of Applicable Revolving Credit Percentages to Reduce Fronting Exposure</w:t>
      </w:r>
      <w:r>
        <w:rPr>
          <w:rFonts w:ascii="Arial" w:cs="Arial" w:eastAsia="Arial" w:hAnsi="Arial"/>
          <w:sz w:val="17"/>
          <w:szCs w:val="17"/>
          <w:color w:val="auto"/>
        </w:rPr>
        <w:t xml:space="preserve">. All or any part of such Defaulting Lender’s participation in L/C Obligations and Swing Line Loans shall be reallocated among the Non-Defaulting Lenders which are Revolving Credit Lenders in accordance with their respective Applicable Revolving Credit Percentages (calculated without regard to such Defaulting Lender’s Revolving Credit Commitment) but only to the extent that such reallocation does not cause the aggregate Revolving Credit Exposure of any Non-Defaulting Lender to exceed such Non-Defaulting Lender’s Revolving Credit Commitment. Subject to </w:t>
      </w:r>
      <w:r>
        <w:rPr>
          <w:rFonts w:ascii="Arial" w:cs="Arial" w:eastAsia="Arial" w:hAnsi="Arial"/>
          <w:sz w:val="17"/>
          <w:szCs w:val="17"/>
          <w:u w:val="single" w:color="auto"/>
          <w:color w:val="auto"/>
        </w:rPr>
        <w:t>Section 10.22</w:t>
      </w:r>
      <w:r>
        <w:rPr>
          <w:rFonts w:ascii="Arial" w:cs="Arial" w:eastAsia="Arial" w:hAnsi="Arial"/>
          <w:sz w:val="17"/>
          <w:szCs w:val="17"/>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70" w:lineRule="exact"/>
        <w:rPr>
          <w:rFonts w:ascii="Arial" w:cs="Arial" w:eastAsia="Arial" w:hAnsi="Arial"/>
          <w:sz w:val="17"/>
          <w:szCs w:val="17"/>
          <w:color w:val="auto"/>
        </w:rPr>
      </w:pPr>
    </w:p>
    <w:p>
      <w:pPr>
        <w:jc w:val="both"/>
        <w:ind w:left="440" w:right="240" w:firstLine="428"/>
        <w:spacing w:after="0" w:line="259" w:lineRule="auto"/>
        <w:tabs>
          <w:tab w:leader="none" w:pos="1118"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 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(a)(iv)</w:t>
      </w:r>
      <w:r>
        <w:rPr>
          <w:rFonts w:ascii="Arial" w:cs="Arial" w:eastAsia="Arial" w:hAnsi="Arial"/>
          <w:sz w:val="18"/>
          <w:szCs w:val="18"/>
          <w:color w:val="auto"/>
        </w:rPr>
        <w:t xml:space="preserve"> above cannot, or can only partially, be effected, the Company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right="20" w:firstLine="444"/>
        <w:spacing w:after="0" w:line="291" w:lineRule="auto"/>
        <w:tabs>
          <w:tab w:leader="none" w:pos="69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Defaulting Lender Cure. If the Company, the Administrative Agent, and, in the case that a Defaulting Lender is a Revolving Credit Lender, the Swing Line Lender and the L/C Issuers agree in writing in their sole discretion that a Lender under any Facility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under such Facility or take such other actions as the Administrative Agent may determine to be necessary to cause the Loans under such Facility and, in the case of the Revolving Credit Facility, the funded and unfunded participations in Letters of Credit and Swing Line Loans to be held on a pro rata basis by the Lenders under such Facility in accordance with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0"/>
          </w:cols>
          <w:pgMar w:left="440" w:top="274" w:right="439" w:bottom="1440" w:gutter="0" w:footer="0" w:header="0"/>
        </w:sectPr>
      </w:pPr>
    </w:p>
    <w:bookmarkStart w:id="79" w:name="page80"/>
    <w:bookmarkEnd w:id="79"/>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their Applicable Percentages (without giving effect to </w:t>
      </w:r>
      <w:r>
        <w:rPr>
          <w:rFonts w:ascii="Arial" w:cs="Arial" w:eastAsia="Arial" w:hAnsi="Arial"/>
          <w:sz w:val="18"/>
          <w:szCs w:val="18"/>
          <w:u w:val="single" w:color="auto"/>
          <w:color w:val="auto"/>
        </w:rPr>
        <w:t>Section 2.17(a)(iv)</w:t>
      </w:r>
      <w:r>
        <w:rPr>
          <w:rFonts w:ascii="Arial" w:cs="Arial" w:eastAsia="Arial" w:hAnsi="Arial"/>
          <w:sz w:val="18"/>
          <w:szCs w:val="18"/>
          <w:color w:val="auto"/>
        </w:rPr>
        <w:t xml:space="preserve">), whereupon such Lender will cease to be a Defaulting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adjustments will be made retroactively with respect to fees accrued or payments made by or on behalf of the Company while that Lender was a Defaulting Lender;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80" w:lineRule="exact"/>
        <w:rPr>
          <w:sz w:val="20"/>
          <w:szCs w:val="20"/>
          <w:color w:val="auto"/>
        </w:rPr>
      </w:pPr>
    </w:p>
    <w:p>
      <w:pPr>
        <w:ind w:right="120" w:firstLine="444"/>
        <w:spacing w:after="0" w:line="291" w:lineRule="auto"/>
        <w:tabs>
          <w:tab w:leader="none" w:pos="685"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New Swing Line Loans/Letters of Credit</w:t>
      </w:r>
      <w:r>
        <w:rPr>
          <w:rFonts w:ascii="Arial" w:cs="Arial" w:eastAsia="Arial" w:hAnsi="Arial"/>
          <w:sz w:val="16"/>
          <w:szCs w:val="16"/>
          <w:color w:val="auto"/>
        </w:rPr>
        <w:t>. So long as any Revolving Credit Lender is a Defaulting Lender, (i) the Swing Line Lender shall not be required to fund any Swing Line Loans unless it is satisfied that it will have no Fronting Exposure after giving effect to such Swing Line Loan and</w:t>
      </w:r>
    </w:p>
    <w:p>
      <w:pPr>
        <w:ind w:right="320" w:firstLine="4"/>
        <w:spacing w:after="0" w:line="261" w:lineRule="auto"/>
        <w:tabs>
          <w:tab w:leader="none" w:pos="26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L/C Issuer shall be required to issue, extend, increase, reinstate or renew any Letter of Credit unless it is satisfied that it will have no Fronting Exposure after giving effect thereto.</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2.18 Designation of Unrestricted and Restricted Subsidiaries.</w:t>
      </w:r>
    </w:p>
    <w:p>
      <w:pPr>
        <w:spacing w:after="0" w:line="121" w:lineRule="exact"/>
        <w:rPr>
          <w:sz w:val="20"/>
          <w:szCs w:val="20"/>
          <w:color w:val="auto"/>
        </w:rPr>
      </w:pPr>
    </w:p>
    <w:p>
      <w:pPr>
        <w:ind w:firstLine="444"/>
        <w:spacing w:after="0" w:line="285" w:lineRule="auto"/>
        <w:tabs>
          <w:tab w:leader="none" w:pos="685"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At any time on or after the Closing Date, upon written notice to the Administrative Agent (which written notice shall contain a certification as to the matters set forth in this </w:t>
      </w:r>
      <w:r>
        <w:rPr>
          <w:rFonts w:ascii="Arial" w:cs="Arial" w:eastAsia="Arial" w:hAnsi="Arial"/>
          <w:sz w:val="16"/>
          <w:szCs w:val="16"/>
          <w:u w:val="single" w:color="auto"/>
          <w:color w:val="auto"/>
        </w:rPr>
        <w:t>Section 2.18(a)</w:t>
      </w:r>
      <w:r>
        <w:rPr>
          <w:rFonts w:ascii="Arial" w:cs="Arial" w:eastAsia="Arial" w:hAnsi="Arial"/>
          <w:sz w:val="16"/>
          <w:szCs w:val="16"/>
          <w:color w:val="auto"/>
        </w:rPr>
        <w:t xml:space="preserve">), the Company may designate any Restricted Subsidiary (along with all Subsidiaries of such Restricted Subsidiary) as an “Unrestricted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both immediately before and immediately after giving effect to such designation, no Default or Event of Default shall have occurred and be continuing, (ii) the Investment in such Unrestricted Subsidiary must be permitted at such time under </w:t>
      </w:r>
      <w:r>
        <w:rPr>
          <w:rFonts w:ascii="Arial" w:cs="Arial" w:eastAsia="Arial" w:hAnsi="Arial"/>
          <w:sz w:val="16"/>
          <w:szCs w:val="16"/>
          <w:u w:val="single" w:color="auto"/>
          <w:color w:val="auto"/>
        </w:rPr>
        <w:t>Section 7.02(f)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(with the amount of such Investment being deemed to be the fair market value of the net assets of such Subsidiary at the time such Subsidiary is designated an Unrestricted Subsidiary), (iii) once designated as an Unrestricted Subsidiary, the Company may re-designate such Subsidiary as a “Restricted Subsidiary” pursuant to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but, thereafter, the Company shall not re-designate such Subsidiary as an “Unrestricted Subsidiary” pursuant to this </w:t>
      </w:r>
      <w:r>
        <w:rPr>
          <w:rFonts w:ascii="Arial" w:cs="Arial" w:eastAsia="Arial" w:hAnsi="Arial"/>
          <w:sz w:val="16"/>
          <w:szCs w:val="16"/>
          <w:u w:val="single" w:color="auto"/>
          <w:color w:val="auto"/>
        </w:rPr>
        <w:t>Section 2.18(a)</w:t>
      </w:r>
      <w:r>
        <w:rPr>
          <w:rFonts w:ascii="Arial" w:cs="Arial" w:eastAsia="Arial" w:hAnsi="Arial"/>
          <w:sz w:val="16"/>
          <w:szCs w:val="16"/>
          <w:color w:val="auto"/>
        </w:rPr>
        <w:t xml:space="preserve">, (iv) no Subsidiary may be designated as an Unrestricted Subsidiary or continue as an Unrestricted Subsidiary (A) if it is a Borrower or a Subsidiary Guarantor (unless, in the case of a Subsidiary Guarantor, concurrently with such designation it ceases to be a Subsidiary Guarantor) or (B) unless each of its direct and indirect Subsidiaries is also designated an Unrestricted Subsidiary pursuant to this </w:t>
      </w:r>
      <w:r>
        <w:rPr>
          <w:rFonts w:ascii="Arial" w:cs="Arial" w:eastAsia="Arial" w:hAnsi="Arial"/>
          <w:sz w:val="16"/>
          <w:szCs w:val="16"/>
          <w:u w:val="single" w:color="auto"/>
          <w:color w:val="auto"/>
        </w:rPr>
        <w:t>Section 2.18(a)</w:t>
      </w:r>
      <w:r>
        <w:rPr>
          <w:rFonts w:ascii="Arial" w:cs="Arial" w:eastAsia="Arial" w:hAnsi="Arial"/>
          <w:sz w:val="16"/>
          <w:szCs w:val="16"/>
          <w:color w:val="auto"/>
        </w:rPr>
        <w:t xml:space="preserve">, (v) after giving effect to such designation, the Company and its Restricted Subsidiaries shall be in pro forma compliance with the covenants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such compliance to be determined on the basis of financial information for the fiscal period most recently ended for which financial information is available and calculated in accordance with </w:t>
      </w:r>
      <w:r>
        <w:rPr>
          <w:rFonts w:ascii="Arial" w:cs="Arial" w:eastAsia="Arial" w:hAnsi="Arial"/>
          <w:sz w:val="16"/>
          <w:szCs w:val="16"/>
          <w:u w:val="single" w:color="auto"/>
          <w:color w:val="auto"/>
        </w:rPr>
        <w:t>Section 1.07</w:t>
      </w:r>
      <w:r>
        <w:rPr>
          <w:rFonts w:ascii="Arial" w:cs="Arial" w:eastAsia="Arial" w:hAnsi="Arial"/>
          <w:sz w:val="16"/>
          <w:szCs w:val="16"/>
          <w:color w:val="auto"/>
        </w:rPr>
        <w:t>, and (vi) the Company and its Restricted Subsidiaries (excluding the proposed Unrestricted Subsidiary) shall at the time of the designation represent, on a consolidated basis (and without taking into account the assets or revenues of any Unrestricted Subsidiary (including the proposed Unrestricted Subsidiary) or the value of any Investment therein) at least 90% of the Consolidated Total Assets and 90% of the consolidated total revenues of the Company and its Subsidiaries. The designation of any Subsidiary as an Unrestricted Subsidiary on or after the Closing Date shall constitute an Investment (with the amount of such Investment being deemed to be the fair market value of the net assets of such Subsidiary at the time such Subsidiary is designated an Unrestricted Subsidiary) by the Company or a Restricted Subsidiary therein at the date of designation.</w:t>
      </w:r>
    </w:p>
    <w:p>
      <w:pPr>
        <w:spacing w:after="0" w:line="62" w:lineRule="exact"/>
        <w:rPr>
          <w:rFonts w:ascii="Arial" w:cs="Arial" w:eastAsia="Arial" w:hAnsi="Arial"/>
          <w:sz w:val="16"/>
          <w:szCs w:val="16"/>
          <w:color w:val="auto"/>
        </w:rPr>
      </w:pPr>
    </w:p>
    <w:p>
      <w:pPr>
        <w:ind w:right="160" w:firstLine="444"/>
        <w:spacing w:after="0" w:line="286" w:lineRule="auto"/>
        <w:tabs>
          <w:tab w:leader="none" w:pos="696" w:val="left"/>
        </w:tabs>
        <w:numPr>
          <w:ilvl w:val="1"/>
          <w:numId w:val="113"/>
        </w:numPr>
        <w:rPr>
          <w:rFonts w:ascii="Arial" w:cs="Arial" w:eastAsia="Arial" w:hAnsi="Arial"/>
          <w:sz w:val="16"/>
          <w:szCs w:val="16"/>
          <w:color w:val="auto"/>
        </w:rPr>
      </w:pPr>
      <w:r>
        <w:rPr>
          <w:rFonts w:ascii="Arial" w:cs="Arial" w:eastAsia="Arial" w:hAnsi="Arial"/>
          <w:sz w:val="16"/>
          <w:szCs w:val="16"/>
          <w:color w:val="auto"/>
        </w:rPr>
        <w:t xml:space="preserve">At any time after the Closing Date and upon written notice to the Administrative Agent, the Company may re-designate any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Subsidiary holding or owning Equity Interests in such re-designated Restricted Subsidiary shall be an Unrestricted Subsidiary (unless also being re-designated at such time) and (ii) both before and after giving effect to such designation, no Event of Default shall have occurred and be continuing. The re-designation of any Unrestricted Subsidiary as a Restricted Subsidiary shall constitute</w:t>
      </w:r>
    </w:p>
    <w:p>
      <w:pPr>
        <w:spacing w:after="0" w:line="1" w:lineRule="exact"/>
        <w:rPr>
          <w:rFonts w:ascii="Arial" w:cs="Arial" w:eastAsia="Arial" w:hAnsi="Arial"/>
          <w:sz w:val="16"/>
          <w:szCs w:val="16"/>
          <w:color w:val="auto"/>
        </w:rPr>
      </w:pPr>
    </w:p>
    <w:p>
      <w:pPr>
        <w:ind w:right="100" w:firstLine="4"/>
        <w:spacing w:after="0" w:line="254" w:lineRule="auto"/>
        <w:tabs>
          <w:tab w:leader="none" w:pos="2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incurrence at the time of such re-designation of any Investment, Indebtedness or Liens of such re-designated Restricted Subsidiary existing at such time and (ii) a return on any Investment by the Company or other applicable Restricted Subsidiary in such re-designated Restricted Subsidiary in an amount equal to the fair market value at the date of such re-designation of the Company’s or its Restricted Subsidiary’s (as applicable) Investment in such re-designated Restricted Subsidiary.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440" w:top="274" w:right="439" w:bottom="1440" w:gutter="0" w:footer="0" w:header="0"/>
        </w:sectPr>
      </w:pPr>
    </w:p>
    <w:bookmarkStart w:id="80" w:name="page81"/>
    <w:bookmarkEnd w:id="80"/>
    <w:p>
      <w:pPr>
        <w:ind w:left="-60" w:right="20" w:firstLine="444"/>
        <w:spacing w:after="0" w:line="277" w:lineRule="auto"/>
        <w:tabs>
          <w:tab w:leader="none" w:pos="625"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designation of a Subsidiary as an Unrestricted Subsidiary or a Restricted Subsidiary shall be deemed a representation and warranty by the Company that each of the requirements in </w:t>
      </w:r>
      <w:r>
        <w:rPr>
          <w:rFonts w:ascii="Arial" w:cs="Arial" w:eastAsia="Arial" w:hAnsi="Arial"/>
          <w:sz w:val="18"/>
          <w:szCs w:val="18"/>
          <w:u w:val="single" w:color="auto"/>
          <w:color w:val="auto"/>
        </w:rPr>
        <w:t>Section 2.18(a)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2.18(b)</w:t>
      </w:r>
      <w:r>
        <w:rPr>
          <w:rFonts w:ascii="Arial" w:cs="Arial" w:eastAsia="Arial" w:hAnsi="Arial"/>
          <w:sz w:val="18"/>
          <w:szCs w:val="18"/>
          <w:color w:val="auto"/>
        </w:rPr>
        <w:t>, as applicable, are satisfied in all respects.</w:t>
      </w:r>
    </w:p>
    <w:p>
      <w:pPr>
        <w:spacing w:after="0" w:line="62" w:lineRule="exact"/>
        <w:rPr>
          <w:rFonts w:ascii="Arial" w:cs="Arial" w:eastAsia="Arial" w:hAnsi="Arial"/>
          <w:sz w:val="18"/>
          <w:szCs w:val="18"/>
          <w:color w:val="auto"/>
        </w:rPr>
      </w:pPr>
    </w:p>
    <w:p>
      <w:pPr>
        <w:ind w:left="640" w:hanging="25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The Unrestricted Subsidiaries as of the Closing Date are set forth on </w:t>
      </w:r>
      <w:r>
        <w:rPr>
          <w:rFonts w:ascii="Arial" w:cs="Arial" w:eastAsia="Arial" w:hAnsi="Arial"/>
          <w:sz w:val="18"/>
          <w:szCs w:val="18"/>
          <w:u w:val="single" w:color="auto"/>
          <w:color w:val="auto"/>
        </w:rPr>
        <w:t>Schedule 2.18</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TAXES, YIELD PROTECTION AND ILLEGALITY</w:t>
      </w:r>
    </w:p>
    <w:p>
      <w:pPr>
        <w:spacing w:after="0" w:line="20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3.01 Taxes.</w:t>
      </w:r>
    </w:p>
    <w:p>
      <w:pPr>
        <w:spacing w:after="0" w:line="121" w:lineRule="exact"/>
        <w:rPr>
          <w:sz w:val="20"/>
          <w:szCs w:val="20"/>
          <w:color w:val="auto"/>
        </w:rPr>
      </w:pPr>
    </w:p>
    <w:p>
      <w:pPr>
        <w:ind w:left="620" w:hanging="236"/>
        <w:spacing w:after="0"/>
        <w:tabs>
          <w:tab w:leader="none" w:pos="62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Payments Free of Taxes; Obligation to Withhold; Payments on Account of Taxes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380" w:right="100" w:firstLine="428"/>
        <w:spacing w:after="0" w:line="276" w:lineRule="auto"/>
        <w:tabs>
          <w:tab w:leader="none" w:pos="1018"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a Withholding Agent, then the applicable Withholding Agent or such Loan Party shall be entitled to make such deduction or withholding, upon the basis of the information and documentation it has received pursuant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below, if any.</w:t>
      </w:r>
    </w:p>
    <w:p>
      <w:pPr>
        <w:spacing w:after="0" w:line="64" w:lineRule="exact"/>
        <w:rPr>
          <w:rFonts w:ascii="Arial" w:cs="Arial" w:eastAsia="Arial" w:hAnsi="Arial"/>
          <w:sz w:val="17"/>
          <w:szCs w:val="17"/>
          <w:color w:val="auto"/>
        </w:rPr>
      </w:pPr>
    </w:p>
    <w:p>
      <w:pPr>
        <w:jc w:val="both"/>
        <w:ind w:left="380" w:firstLine="428"/>
        <w:spacing w:after="0" w:line="271" w:lineRule="auto"/>
        <w:tabs>
          <w:tab w:leader="none" w:pos="1068" w:val="left"/>
        </w:tabs>
        <w:numPr>
          <w:ilvl w:val="1"/>
          <w:numId w:val="116"/>
        </w:numPr>
        <w:rPr>
          <w:rFonts w:ascii="Arial" w:cs="Arial" w:eastAsia="Arial" w:hAnsi="Arial"/>
          <w:sz w:val="17"/>
          <w:szCs w:val="17"/>
          <w:color w:val="auto"/>
        </w:rPr>
      </w:pPr>
      <w:r>
        <w:rPr>
          <w:rFonts w:ascii="Arial" w:cs="Arial" w:eastAsia="Arial" w:hAnsi="Arial"/>
          <w:sz w:val="17"/>
          <w:szCs w:val="17"/>
          <w:color w:val="auto"/>
        </w:rPr>
        <w:t xml:space="preserve">If any Loan Party or the Administrative Agent shall be required by the Code to withhold or deduct any Taxes, including both United States Federal backup withholding and withholding taxes, from any payment, then (A) the Administrative Agent shall withhold or make such deductions as are determined by the Administrative Agent to be required based upon the information and documentation it has received pursuant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below, if any, (B) the Administrative Agent shall timely pay the full amount withheld or deducted to the relevant Governmental Authority in accordance with the Code, and (C) to the extent that the withholding or deduction is made on account of Indemnified Taxes, the sum payable by the applicable Borrower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70" w:lineRule="exact"/>
        <w:rPr>
          <w:rFonts w:ascii="Arial" w:cs="Arial" w:eastAsia="Arial" w:hAnsi="Arial"/>
          <w:sz w:val="17"/>
          <w:szCs w:val="17"/>
          <w:color w:val="auto"/>
        </w:rPr>
      </w:pPr>
    </w:p>
    <w:p>
      <w:pPr>
        <w:ind w:left="380" w:right="80" w:firstLine="428"/>
        <w:spacing w:after="0" w:line="288" w:lineRule="auto"/>
        <w:tabs>
          <w:tab w:leader="none" w:pos="1118"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below,</w:t>
      </w:r>
    </w:p>
    <w:p>
      <w:pPr>
        <w:ind w:left="380" w:right="20"/>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Borrower shall be increased as necessary so that after any required withholding or the making of all required deductions (including deductions applicable to additional sums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the applicable Recipient receives an amount equal to the sum it would have received had no such withholding or deduction been made.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20"/>
          </w:cols>
          <w:pgMar w:left="500" w:top="274" w:right="479" w:bottom="1440" w:gutter="0" w:footer="0" w:header="0"/>
        </w:sectPr>
      </w:pPr>
    </w:p>
    <w:bookmarkStart w:id="81" w:name="page82"/>
    <w:bookmarkEnd w:id="81"/>
    <w:p>
      <w:pPr>
        <w:ind w:left="-20" w:right="40" w:firstLine="444"/>
        <w:spacing w:after="0" w:line="264" w:lineRule="auto"/>
        <w:tabs>
          <w:tab w:leader="none" w:pos="67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of Other Taxes by the Borrowers</w:t>
      </w:r>
      <w:r>
        <w:rPr>
          <w:rFonts w:ascii="Arial" w:cs="Arial" w:eastAsia="Arial" w:hAnsi="Arial"/>
          <w:sz w:val="18"/>
          <w:szCs w:val="18"/>
          <w:color w:val="auto"/>
        </w:rPr>
        <w:t xml:space="preserve">. Without limiting the provisions of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above, each Borrower shall timely pay to the relevant Governmental Authority in accordance with applicable law, or at the option of the Administrative Agent timely reimburse it for the payment of, any Other Taxes.</w:t>
      </w:r>
    </w:p>
    <w:p>
      <w:pPr>
        <w:spacing w:after="0" w:line="73" w:lineRule="exact"/>
        <w:rPr>
          <w:rFonts w:ascii="Arial" w:cs="Arial" w:eastAsia="Arial" w:hAnsi="Arial"/>
          <w:sz w:val="18"/>
          <w:szCs w:val="18"/>
          <w:color w:val="auto"/>
        </w:rPr>
      </w:pPr>
    </w:p>
    <w:p>
      <w:pPr>
        <w:ind w:left="660" w:hanging="236"/>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Tax Indemnifications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428"/>
        <w:spacing w:after="0" w:line="289" w:lineRule="auto"/>
        <w:tabs>
          <w:tab w:leader="none" w:pos="1058" w:val="left"/>
        </w:tabs>
        <w:numPr>
          <w:ilvl w:val="1"/>
          <w:numId w:val="117"/>
        </w:numPr>
        <w:rPr>
          <w:rFonts w:ascii="Arial" w:cs="Arial" w:eastAsia="Arial" w:hAnsi="Arial"/>
          <w:sz w:val="16"/>
          <w:szCs w:val="16"/>
          <w:color w:val="auto"/>
        </w:rPr>
      </w:pPr>
      <w:r>
        <w:rPr>
          <w:rFonts w:ascii="Arial" w:cs="Arial" w:eastAsia="Arial" w:hAnsi="Arial"/>
          <w:sz w:val="16"/>
          <w:szCs w:val="16"/>
          <w:color w:val="auto"/>
        </w:rPr>
        <w:t xml:space="preserve">The Company shall, and does hereby, indemnify each Recipient, and shall make payment in respect thereof within 10 Business Days after demand therefor, for the full amount of any Indemnified Taxes (including Indemnified Taxes imposed or asserted on or attributable to amounts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reasonably detailed certificate as to the amount of such payment or liability delivered to the Company by a Lender or an L/C Issuer (with a copy to the Administrative Agent), or by the Administrative Agent on its own behalf or on behalf of a Lender or an L/C Issuer, shall be conclusive absent manifest error. Each Borrower shall, and does hereby, indemnify the Administrative Agent, and shall make payment in respect thereof within 10 Business Days after demand therefor, for any amount which a Lender or an L/C Issuer for any reason fails to pay indefeasibly to the Administrative Agent as required pursuant to </w:t>
      </w:r>
      <w:r>
        <w:rPr>
          <w:rFonts w:ascii="Arial" w:cs="Arial" w:eastAsia="Arial" w:hAnsi="Arial"/>
          <w:sz w:val="16"/>
          <w:szCs w:val="16"/>
          <w:u w:val="single" w:color="auto"/>
          <w:color w:val="auto"/>
        </w:rPr>
        <w:t>Section 3.01(c)(ii)</w:t>
      </w:r>
      <w:r>
        <w:rPr>
          <w:rFonts w:ascii="Arial" w:cs="Arial" w:eastAsia="Arial" w:hAnsi="Arial"/>
          <w:sz w:val="16"/>
          <w:szCs w:val="16"/>
          <w:color w:val="auto"/>
        </w:rPr>
        <w:t xml:space="preserve"> below.</w:t>
      </w:r>
    </w:p>
    <w:p>
      <w:pPr>
        <w:spacing w:after="0" w:line="58" w:lineRule="exact"/>
        <w:rPr>
          <w:rFonts w:ascii="Arial" w:cs="Arial" w:eastAsia="Arial" w:hAnsi="Arial"/>
          <w:sz w:val="16"/>
          <w:szCs w:val="16"/>
          <w:color w:val="auto"/>
        </w:rPr>
      </w:pPr>
    </w:p>
    <w:p>
      <w:pPr>
        <w:ind w:left="420" w:right="60" w:firstLine="428"/>
        <w:spacing w:after="0" w:line="269" w:lineRule="auto"/>
        <w:tabs>
          <w:tab w:leader="none" w:pos="1108"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Each Lender and each L/C Issuer shall, and does hereby, severally indemnify, and shall make payment in respect thereof within 10 Business Days after demand therefor, (x) the Administrative Agent against any Indemnified Taxes attributable to such Lender or such L/C Issuer (but only to the extent that any Borrower has not already indemnified the Administrative Agent for such Indemnified Taxes and without limiting the obligation of each Borrower to do so), (y) the Administrative Agent and the Borrowers, as applicable, against any Taxes attributable to such Lender’s failure to comply with the provisions of </w:t>
      </w:r>
      <w:r>
        <w:rPr>
          <w:rFonts w:ascii="Arial" w:cs="Arial" w:eastAsia="Arial" w:hAnsi="Arial"/>
          <w:sz w:val="17"/>
          <w:szCs w:val="17"/>
          <w:u w:val="single" w:color="auto"/>
          <w:color w:val="auto"/>
        </w:rPr>
        <w:t>Section 10.06(d)</w:t>
      </w:r>
      <w:r>
        <w:rPr>
          <w:rFonts w:ascii="Arial" w:cs="Arial" w:eastAsia="Arial" w:hAnsi="Arial"/>
          <w:sz w:val="17"/>
          <w:szCs w:val="17"/>
          <w:color w:val="auto"/>
        </w:rPr>
        <w:t xml:space="preserve"> relating to the maintenance of a Participant Register and (z) the Administrative Agent and the Borrowers, as applicable, against any Excluded Taxes attributable to such Lender or such L/C Issuer, in each case, that are payable or paid by the Administrative Agent or a Borrower in connection with any Loan Document, and any reasonable and documented out-of-pocket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w:t>
      </w:r>
      <w:r>
        <w:rPr>
          <w:rFonts w:ascii="Arial" w:cs="Arial" w:eastAsia="Arial" w:hAnsi="Arial"/>
          <w:sz w:val="17"/>
          <w:szCs w:val="17"/>
          <w:u w:val="single" w:color="auto"/>
          <w:color w:val="auto"/>
        </w:rPr>
        <w:t>clause (ii)</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left="-20" w:right="20" w:firstLine="444"/>
        <w:spacing w:after="0" w:line="257" w:lineRule="auto"/>
        <w:tabs>
          <w:tab w:leader="none" w:pos="675"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Upon request by the Company or the Administrative Agent, as the case may be, after any payment of Taxes by any Borrower or by the Administrative Agent to a Governmental Authority as provided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Company shall deliver to the Administrative Agent or the Administrative Agent shall deliver to the Company, as the case may be, the original or a certified copy of a receipt issued by such Governmental Authority evidencing such payment, a copy of any return required by Laws to report such payment or other evidence of such payment reasonably satisfactory to the Company or the Administrative Agent, as the case may be.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60" w:top="274" w:right="439" w:bottom="1440" w:gutter="0" w:footer="0" w:header="0"/>
        </w:sectPr>
      </w:pPr>
    </w:p>
    <w:bookmarkStart w:id="82" w:name="page83"/>
    <w:bookmarkEnd w:id="82"/>
    <w:p>
      <w:pPr>
        <w:ind w:left="240" w:hanging="236"/>
        <w:spacing w:after="0"/>
        <w:tabs>
          <w:tab w:leader="none" w:pos="24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Status of Lenders; Tax Documentation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28"/>
        <w:spacing w:after="0" w:line="286" w:lineRule="auto"/>
        <w:tabs>
          <w:tab w:leader="none" w:pos="63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 xml:space="preserve">Any Lender that is entitled to an exemption from or reduction of withholding Tax with respect to payments made under any Loan Document shall deliver to the Company and the Administrative Agent, at the time or times reasonably requested by the Company or the Administrative Agent, and at the time prescribed by applicable Law, such properly completed and executed documentation prescribed by applicable law or the taxing authorities of a jurisdiction pursuant to such applicable law or reasonably requested by the Company or the Administrative Agent as will permit such payments to be made without withholding or at a reduced rate of withholding. In addition, any Lender, if reasonably requested by the Company or the Administrative Agent, shall deliver such other documentation prescribed by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Arial" w:cs="Arial" w:eastAsia="Arial" w:hAnsi="Arial"/>
          <w:sz w:val="16"/>
          <w:szCs w:val="16"/>
          <w:u w:val="single" w:color="auto"/>
          <w:color w:val="auto"/>
        </w:rPr>
        <w:t>Section 3.01(e)(ii)(A)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(ii)(D)</w:t>
      </w:r>
      <w:r>
        <w:rPr>
          <w:rFonts w:ascii="Arial" w:cs="Arial" w:eastAsia="Arial" w:hAnsi="Arial"/>
          <w:sz w:val="16"/>
          <w:szCs w:val="16"/>
          <w:color w:val="auto"/>
        </w:rPr>
        <w:t xml:space="preserve"> below or (B) required by applicable law other than the Code or the taxing authorities of the jurisdiction pursuant to such applicable law to comply with the requirements for exemption or reduction of withholding tax in that jurisdiction)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66" w:lineRule="exact"/>
        <w:rPr>
          <w:rFonts w:ascii="Arial" w:cs="Arial" w:eastAsia="Arial" w:hAnsi="Arial"/>
          <w:sz w:val="16"/>
          <w:szCs w:val="16"/>
          <w:color w:val="auto"/>
        </w:rPr>
      </w:pPr>
    </w:p>
    <w:p>
      <w:pPr>
        <w:ind w:left="700" w:hanging="272"/>
        <w:spacing w:after="0"/>
        <w:tabs>
          <w:tab w:leader="none" w:pos="7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440" w:right="100" w:firstLine="411"/>
        <w:spacing w:after="0" w:line="312" w:lineRule="auto"/>
        <w:tabs>
          <w:tab w:leader="none" w:pos="1140" w:val="left"/>
        </w:tabs>
        <w:numPr>
          <w:ilvl w:val="2"/>
          <w:numId w:val="118"/>
        </w:numPr>
        <w:rPr>
          <w:rFonts w:ascii="Arial" w:cs="Arial" w:eastAsia="Arial" w:hAnsi="Arial"/>
          <w:sz w:val="16"/>
          <w:szCs w:val="16"/>
          <w:color w:val="auto"/>
        </w:rPr>
      </w:pPr>
      <w:r>
        <w:rPr>
          <w:rFonts w:ascii="Arial" w:cs="Arial" w:eastAsia="Arial" w:hAnsi="Arial"/>
          <w:sz w:val="16"/>
          <w:szCs w:val="16"/>
          <w:color w:val="auto"/>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spacing w:after="0" w:line="38" w:lineRule="exact"/>
        <w:rPr>
          <w:rFonts w:ascii="Arial" w:cs="Arial" w:eastAsia="Arial" w:hAnsi="Arial"/>
          <w:sz w:val="16"/>
          <w:szCs w:val="16"/>
          <w:color w:val="auto"/>
        </w:rPr>
      </w:pPr>
    </w:p>
    <w:p>
      <w:pPr>
        <w:ind w:left="440" w:right="20" w:firstLine="411"/>
        <w:spacing w:after="0" w:line="259" w:lineRule="auto"/>
        <w:tabs>
          <w:tab w:leader="none" w:pos="113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whichever of the following is applicable:</w:t>
      </w:r>
    </w:p>
    <w:p>
      <w:pPr>
        <w:spacing w:after="0" w:line="78" w:lineRule="exact"/>
        <w:rPr>
          <w:rFonts w:ascii="Arial" w:cs="Arial" w:eastAsia="Arial" w:hAnsi="Arial"/>
          <w:sz w:val="18"/>
          <w:szCs w:val="18"/>
          <w:color w:val="auto"/>
        </w:rPr>
      </w:pPr>
    </w:p>
    <w:p>
      <w:pPr>
        <w:ind w:left="1000" w:firstLine="380"/>
        <w:spacing w:after="0" w:line="288" w:lineRule="auto"/>
        <w:tabs>
          <w:tab w:leader="none" w:pos="1608" w:val="left"/>
        </w:tabs>
        <w:numPr>
          <w:ilvl w:val="4"/>
          <w:numId w:val="118"/>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 federal withholding Tax pursuant to the “interest” article of such tax treaty and</w:t>
      </w:r>
    </w:p>
    <w:p>
      <w:pPr>
        <w:ind w:left="1000" w:right="160" w:hanging="4"/>
        <w:spacing w:after="0" w:line="255" w:lineRule="auto"/>
        <w:tabs>
          <w:tab w:leader="none" w:pos="1255" w:val="left"/>
        </w:tabs>
        <w:numPr>
          <w:ilvl w:val="3"/>
          <w:numId w:val="118"/>
        </w:numPr>
        <w:rPr>
          <w:rFonts w:ascii="Arial" w:cs="Arial" w:eastAsia="Arial" w:hAnsi="Arial"/>
          <w:sz w:val="18"/>
          <w:szCs w:val="18"/>
          <w:color w:val="auto"/>
        </w:rPr>
      </w:pPr>
      <w:r>
        <w:rPr>
          <w:rFonts w:ascii="Arial" w:cs="Arial" w:eastAsia="Arial" w:hAnsi="Arial"/>
          <w:sz w:val="18"/>
          <w:szCs w:val="18"/>
          <w:color w:val="auto"/>
        </w:rPr>
        <w:t>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82" w:lineRule="exact"/>
        <w:rPr>
          <w:rFonts w:ascii="Arial" w:cs="Arial" w:eastAsia="Arial" w:hAnsi="Arial"/>
          <w:sz w:val="18"/>
          <w:szCs w:val="18"/>
          <w:color w:val="auto"/>
        </w:rPr>
      </w:pPr>
    </w:p>
    <w:p>
      <w:pPr>
        <w:ind w:left="1660" w:hanging="280"/>
        <w:spacing w:after="0"/>
        <w:tabs>
          <w:tab w:leader="none" w:pos="1660" w:val="left"/>
        </w:tabs>
        <w:numPr>
          <w:ilvl w:val="4"/>
          <w:numId w:val="119"/>
        </w:numPr>
        <w:rPr>
          <w:rFonts w:ascii="Arial" w:cs="Arial" w:eastAsia="Arial" w:hAnsi="Arial"/>
          <w:sz w:val="18"/>
          <w:szCs w:val="18"/>
          <w:color w:val="auto"/>
        </w:rPr>
      </w:pPr>
      <w:r>
        <w:rPr>
          <w:rFonts w:ascii="Arial" w:cs="Arial" w:eastAsia="Arial" w:hAnsi="Arial"/>
          <w:sz w:val="18"/>
          <w:szCs w:val="18"/>
          <w:color w:val="auto"/>
        </w:rPr>
        <w:t>executed copies of IRS Form W-8ECI;</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560"/>
          </w:cols>
          <w:pgMar w:left="880" w:top="274" w:right="459" w:bottom="1440" w:gutter="0" w:footer="0" w:header="0"/>
        </w:sectPr>
      </w:pPr>
    </w:p>
    <w:bookmarkStart w:id="83" w:name="page84"/>
    <w:bookmarkEnd w:id="83"/>
    <w:p>
      <w:pPr>
        <w:ind w:left="1420" w:right="160" w:firstLine="380"/>
        <w:spacing w:after="0" w:line="288" w:lineRule="auto"/>
        <w:tabs>
          <w:tab w:leader="none" w:pos="2148" w:val="left"/>
        </w:tabs>
        <w:numPr>
          <w:ilvl w:val="1"/>
          <w:numId w:val="1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case of a Foreign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F-1</w:t>
      </w:r>
      <w:r>
        <w:rPr>
          <w:rFonts w:ascii="Arial" w:cs="Arial" w:eastAsia="Arial" w:hAnsi="Arial"/>
          <w:sz w:val="16"/>
          <w:szCs w:val="16"/>
          <w:color w:val="auto"/>
        </w:rPr>
        <w:t xml:space="preserve"> to the effect that such Foreign Lender is not a “bank” within the meaning of Section 881(c)(3)(A) of the Code, a “10 percent shareholder” of the Company within the meaning of Section 881(c)(3)</w:t>
      </w:r>
    </w:p>
    <w:p>
      <w:pPr>
        <w:ind w:left="1420" w:right="500" w:hanging="4"/>
        <w:spacing w:after="0" w:line="261" w:lineRule="auto"/>
        <w:tabs>
          <w:tab w:leader="none" w:pos="170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of the Code, or a “controlled foreign corporation” described in Section 881(c)(3)(C) of the Code (a “</w:t>
      </w:r>
      <w:r>
        <w:rPr>
          <w:rFonts w:ascii="Arial" w:cs="Arial" w:eastAsia="Arial" w:hAnsi="Arial"/>
          <w:sz w:val="18"/>
          <w:szCs w:val="18"/>
          <w:u w:val="single" w:color="auto"/>
          <w:color w:val="auto"/>
        </w:rPr>
        <w:t>U.S. Tax Compliance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 and (y) executed copies of IRS Form W-8BEN or W-8BEN-E, as applicable; or</w:t>
      </w:r>
    </w:p>
    <w:p>
      <w:pPr>
        <w:spacing w:after="0" w:line="76" w:lineRule="exact"/>
        <w:rPr>
          <w:sz w:val="20"/>
          <w:szCs w:val="20"/>
          <w:color w:val="auto"/>
        </w:rPr>
      </w:pPr>
    </w:p>
    <w:p>
      <w:pPr>
        <w:ind w:left="1420" w:right="60" w:firstLine="383"/>
        <w:spacing w:after="0" w:line="273" w:lineRule="auto"/>
        <w:rPr>
          <w:sz w:val="20"/>
          <w:szCs w:val="20"/>
          <w:color w:val="auto"/>
        </w:rPr>
      </w:pPr>
      <w:r>
        <w:rPr>
          <w:rFonts w:ascii="Arial" w:cs="Arial" w:eastAsia="Arial" w:hAnsi="Arial"/>
          <w:sz w:val="17"/>
          <w:szCs w:val="17"/>
          <w:color w:val="auto"/>
        </w:rPr>
        <w:t xml:space="preserve">(IV) to the extent a Foreign Lender is not the beneficial owner, executed copies of IRS Form W-8IMY, accompanied by IRS Form W-8ECI, IRS Form W-8BEN or W-8BEN-E, as applicable, a U.S. Tax Compliance Certificate substantially in the form of </w:t>
      </w:r>
      <w:r>
        <w:rPr>
          <w:rFonts w:ascii="Arial" w:cs="Arial" w:eastAsia="Arial" w:hAnsi="Arial"/>
          <w:sz w:val="17"/>
          <w:szCs w:val="17"/>
          <w:u w:val="single" w:color="auto"/>
          <w:color w:val="auto"/>
        </w:rPr>
        <w:t>Exhibit F-2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F-3</w:t>
      </w:r>
      <w:r>
        <w:rPr>
          <w:rFonts w:ascii="Arial" w:cs="Arial" w:eastAsia="Arial" w:hAnsi="Arial"/>
          <w:sz w:val="17"/>
          <w:szCs w:val="17"/>
          <w:color w:val="auto"/>
        </w:rPr>
        <w:t xml:space="preserve">, IRS Form W-9, and/or other certification documents from each beneficial owner,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7"/>
          <w:szCs w:val="17"/>
          <w:u w:val="single" w:color="auto"/>
          <w:color w:val="auto"/>
        </w:rPr>
        <w:t>Exhibit F-4</w:t>
      </w:r>
      <w:r>
        <w:rPr>
          <w:rFonts w:ascii="Arial" w:cs="Arial" w:eastAsia="Arial" w:hAnsi="Arial"/>
          <w:sz w:val="17"/>
          <w:szCs w:val="17"/>
          <w:color w:val="auto"/>
        </w:rPr>
        <w:t xml:space="preserve"> on behalf of each such direct and indirect partner;</w:t>
      </w:r>
    </w:p>
    <w:p>
      <w:pPr>
        <w:spacing w:after="0" w:line="70" w:lineRule="exact"/>
        <w:rPr>
          <w:sz w:val="20"/>
          <w:szCs w:val="20"/>
          <w:color w:val="auto"/>
        </w:rPr>
      </w:pPr>
    </w:p>
    <w:p>
      <w:pPr>
        <w:ind w:left="860" w:right="40" w:firstLine="411"/>
        <w:spacing w:after="0" w:line="273" w:lineRule="auto"/>
        <w:tabs>
          <w:tab w:leader="none" w:pos="1550" w:val="left"/>
        </w:tabs>
        <w:numPr>
          <w:ilvl w:val="2"/>
          <w:numId w:val="122"/>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Company or the Administrative Agent to determine the withholding or deduction required to be made; and</w:t>
      </w:r>
    </w:p>
    <w:p>
      <w:pPr>
        <w:spacing w:after="0" w:line="70" w:lineRule="exact"/>
        <w:rPr>
          <w:rFonts w:ascii="Arial" w:cs="Arial" w:eastAsia="Arial" w:hAnsi="Arial"/>
          <w:sz w:val="17"/>
          <w:szCs w:val="17"/>
          <w:color w:val="auto"/>
        </w:rPr>
      </w:pPr>
    </w:p>
    <w:p>
      <w:pPr>
        <w:ind w:left="860" w:right="40" w:firstLine="411"/>
        <w:spacing w:after="0" w:line="270" w:lineRule="auto"/>
        <w:tabs>
          <w:tab w:leader="none" w:pos="1560" w:val="left"/>
        </w:tabs>
        <w:numPr>
          <w:ilvl w:val="2"/>
          <w:numId w:val="122"/>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spacing w:after="0" w:line="73" w:lineRule="exact"/>
        <w:rPr>
          <w:rFonts w:ascii="Arial" w:cs="Arial" w:eastAsia="Arial" w:hAnsi="Arial"/>
          <w:sz w:val="17"/>
          <w:szCs w:val="17"/>
          <w:color w:val="auto"/>
        </w:rPr>
      </w:pPr>
    </w:p>
    <w:p>
      <w:pPr>
        <w:jc w:val="both"/>
        <w:ind w:left="420" w:right="80" w:firstLine="428"/>
        <w:spacing w:after="0" w:line="264" w:lineRule="auto"/>
        <w:tabs>
          <w:tab w:leader="none" w:pos="115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Each Lender agrees that if any form or certification it previously delivered pursuant to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expires or becomes obsolete or inaccurate in any respect, it shall update such form or certification or promptly notify the Company and the Administrative Agent in writing of its legal inability to do so.</w:t>
      </w:r>
    </w:p>
    <w:p>
      <w:pPr>
        <w:spacing w:after="0" w:line="73" w:lineRule="exact"/>
        <w:rPr>
          <w:rFonts w:ascii="Arial" w:cs="Arial" w:eastAsia="Arial" w:hAnsi="Arial"/>
          <w:sz w:val="18"/>
          <w:szCs w:val="18"/>
          <w:color w:val="auto"/>
        </w:rPr>
      </w:pPr>
    </w:p>
    <w:p>
      <w:pPr>
        <w:jc w:val="both"/>
        <w:ind w:left="-20" w:firstLine="444"/>
        <w:spacing w:after="0" w:line="259" w:lineRule="auto"/>
        <w:tabs>
          <w:tab w:leader="none" w:pos="645"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Treatment of Certain Refunds</w:t>
      </w:r>
      <w:r>
        <w:rPr>
          <w:rFonts w:ascii="Arial" w:cs="Arial" w:eastAsia="Arial" w:hAnsi="Arial"/>
          <w:sz w:val="18"/>
          <w:szCs w:val="18"/>
          <w:color w:val="auto"/>
        </w:rPr>
        <w:t>. Unless required by applicable Laws,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any Recipient determines that it has received a refund of any Taxes as to which it has been indemnified by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60" w:top="274" w:right="439" w:bottom="1440" w:gutter="0" w:footer="0" w:header="0"/>
        </w:sectPr>
      </w:pPr>
    </w:p>
    <w:bookmarkStart w:id="84" w:name="page85"/>
    <w:bookmarkEnd w:id="8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Borrower or with respect to which any Borrower has 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it shall pay to such Borrower an amount equal to such refund (but only to the extent of indemnity payments made, or additional amounts paid, by a Borrower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Borrower, upon the request of the Recipient, agrees to repay the amount paid over to such Borrower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any Borrower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Borrower or any other Person.</w:t>
      </w:r>
    </w:p>
    <w:p>
      <w:pPr>
        <w:spacing w:after="0" w:line="65" w:lineRule="exact"/>
        <w:rPr>
          <w:sz w:val="20"/>
          <w:szCs w:val="20"/>
          <w:color w:val="auto"/>
        </w:rPr>
      </w:pPr>
    </w:p>
    <w:p>
      <w:pPr>
        <w:ind w:right="420" w:firstLine="444"/>
        <w:spacing w:after="0" w:line="264" w:lineRule="auto"/>
        <w:tabs>
          <w:tab w:leader="none" w:pos="695"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or an L/C Issuer, the termination of the Commitments and the repayment, satisfaction or discharge of all other Obligations.</w:t>
      </w:r>
    </w:p>
    <w:p>
      <w:pPr>
        <w:spacing w:after="0" w:line="177" w:lineRule="exact"/>
        <w:rPr>
          <w:sz w:val="20"/>
          <w:szCs w:val="20"/>
          <w:color w:val="auto"/>
        </w:rPr>
      </w:pPr>
    </w:p>
    <w:p>
      <w:pPr>
        <w:ind w:right="20" w:firstLine="441"/>
        <w:spacing w:after="0" w:line="285" w:lineRule="auto"/>
        <w:rPr>
          <w:sz w:val="20"/>
          <w:szCs w:val="20"/>
          <w:color w:val="auto"/>
        </w:rPr>
      </w:pPr>
      <w:r>
        <w:rPr>
          <w:rFonts w:ascii="Arial" w:cs="Arial" w:eastAsia="Arial" w:hAnsi="Arial"/>
          <w:sz w:val="16"/>
          <w:szCs w:val="16"/>
          <w:b w:val="1"/>
          <w:bCs w:val="1"/>
          <w:color w:val="auto"/>
        </w:rPr>
        <w:t xml:space="preserve">3.02 Illegality. </w:t>
      </w:r>
      <w:r>
        <w:rPr>
          <w:rFonts w:ascii="Arial" w:cs="Arial" w:eastAsia="Arial" w:hAnsi="Arial"/>
          <w:sz w:val="16"/>
          <w:szCs w:val="16"/>
          <w:color w:val="auto"/>
        </w:rPr>
        <w:t>If any Lender determines in good faith that any Law has made it unlawful, or that any Governmental Authority has asserted that it</w:t>
      </w:r>
      <w:r>
        <w:rPr>
          <w:rFonts w:ascii="Arial" w:cs="Arial" w:eastAsia="Arial" w:hAnsi="Arial"/>
          <w:sz w:val="16"/>
          <w:szCs w:val="16"/>
          <w:b w:val="1"/>
          <w:bCs w:val="1"/>
          <w:color w:val="auto"/>
        </w:rPr>
        <w:t xml:space="preserve"> </w:t>
      </w:r>
      <w:r>
        <w:rPr>
          <w:rFonts w:ascii="Arial" w:cs="Arial" w:eastAsia="Arial" w:hAnsi="Arial"/>
          <w:sz w:val="16"/>
          <w:szCs w:val="16"/>
          <w:color w:val="auto"/>
        </w:rPr>
        <w:t>is unlawful, for any Lender or its applicable Lending Office to make, maintain or fund Loans whose interest is determined by reference to the Eurocurrency Rate (whether denominated in Dollars or an Alternative Currency), or to determine or charge interest rates based upon the Eurocurrency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(i) any obligation of such Lender to make or continue Eurocurrency Rate Loans in the affected currency or currencies or, in the case of Eurocurrency Rate Loans in Dollars, to convert Base Rate Revolving Credit Loans to Eurocurrency Rate Loans shall be suspended, and (ii) if such notice asserts the illegality of such Lender making or maintaining Base Rate Loans the interest rate on which is determined by reference to the Eurocurrency Rate component of the Base Rate, the interest rate on which Base Rate Loans of such Lender shall, if necessary to avoid such illegality, be determined by the Administrative Agent without reference to the Eurocurrency Rate component of the Base Rate, in each case until such Lender notifies the Administrative Agent and the Company that the circumstances giving rise to such determination no longer exist. Upon receipt of such notice, (x) the Borrowers shall, upon demand from such Lender (with a copy to the Administrative Agent), prepay or, if applicable and such Loans are denominated in Dollars, convert all Eurocurrency Rate Loans of such Lender to Base Rate Loans (the interest rate on which Base Rate Loans of such Lender shall, if necessary to avoid such illegality, be determined by the Administrative Agent without reference to the Eurocurrency Rate component of the Base Rate), either on the last day of the Interest Period therefor, if such Lender may lawfully continue to maintain such Eurocurrency Rate Loans to such day, or immediately, if such Lender may not lawfully continue to maintain such Eurocurrency Rate Loans and (y) if such notice asserts the illegality of such Lender determining or charging interest rates based upon the Eurocurrency Rate, the Administrative Agent shall during the period of such suspension compute the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Upon any such prepayment or conversion, the Borrowers shall also pay accrued interest on the amount so prepaid or converted.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20"/>
          </w:cols>
          <w:pgMar w:left="440" w:top="274" w:right="439" w:bottom="1440" w:gutter="0" w:footer="0" w:header="0"/>
        </w:sectPr>
      </w:pPr>
    </w:p>
    <w:bookmarkStart w:id="85" w:name="page86"/>
    <w:bookmarkEnd w:id="8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3.03 Inability to Determine Rates.</w:t>
      </w:r>
    </w:p>
    <w:p>
      <w:pPr>
        <w:spacing w:after="0" w:line="121" w:lineRule="exact"/>
        <w:rPr>
          <w:sz w:val="20"/>
          <w:szCs w:val="20"/>
          <w:color w:val="auto"/>
        </w:rPr>
      </w:pPr>
    </w:p>
    <w:p>
      <w:pPr>
        <w:ind w:firstLine="444"/>
        <w:spacing w:after="0" w:line="285" w:lineRule="auto"/>
        <w:tabs>
          <w:tab w:leader="none" w:pos="685"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If in connection with any request for a Eurocurrency Rate Loan or a conversion to or continuation thereof, (i) the Administrative Agent determines that (A) deposits (whether in Dollars or an Alternative Currency) are not being offered to banks in the applicable offshore interbank market for such currency for the applicable amount and Interest Period of such Eurocurrency Rate Loan, or (B) (x) adequate and reasonable means do not exist for determining the Eurocurrency Rate for any requested Interest Period with respect to a proposed Eurocurrency Rate Loan (whether denominated in Dollars or an Alternative Currency) or in connection with an existing or proposed Base Rate Loan and (y) the circumstances described in </w:t>
      </w:r>
      <w:r>
        <w:rPr>
          <w:rFonts w:ascii="Arial" w:cs="Arial" w:eastAsia="Arial" w:hAnsi="Arial"/>
          <w:sz w:val="16"/>
          <w:szCs w:val="16"/>
          <w:u w:val="single" w:color="auto"/>
          <w:color w:val="auto"/>
        </w:rPr>
        <w:t>Section 3.03(c)</w:t>
      </w:r>
    </w:p>
    <w:p>
      <w:pPr>
        <w:spacing w:after="0" w:line="2" w:lineRule="exact"/>
        <w:rPr>
          <w:rFonts w:ascii="Arial" w:cs="Arial" w:eastAsia="Arial" w:hAnsi="Arial"/>
          <w:sz w:val="16"/>
          <w:szCs w:val="16"/>
          <w:color w:val="auto"/>
        </w:rPr>
      </w:pPr>
    </w:p>
    <w:p>
      <w:pPr>
        <w:ind w:firstLine="4"/>
        <w:spacing w:after="0" w:line="267" w:lineRule="auto"/>
        <w:tabs>
          <w:tab w:leader="none" w:pos="215" w:val="left"/>
        </w:tabs>
        <w:numPr>
          <w:ilvl w:val="0"/>
          <w:numId w:val="127"/>
        </w:numPr>
        <w:rPr>
          <w:rFonts w:ascii="Arial" w:cs="Arial" w:eastAsia="Arial" w:hAnsi="Arial"/>
          <w:sz w:val="17"/>
          <w:szCs w:val="17"/>
          <w:u w:val="single" w:color="auto"/>
          <w:color w:val="auto"/>
        </w:rPr>
      </w:pPr>
      <w:r>
        <w:rPr>
          <w:rFonts w:ascii="Arial" w:cs="Arial" w:eastAsia="Arial" w:hAnsi="Arial"/>
          <w:sz w:val="17"/>
          <w:szCs w:val="17"/>
          <w:color w:val="auto"/>
        </w:rPr>
        <w:t xml:space="preserve">do not apply (in each case with respect to this </w:t>
      </w:r>
      <w:r>
        <w:rPr>
          <w:rFonts w:ascii="Arial" w:cs="Arial" w:eastAsia="Arial" w:hAnsi="Arial"/>
          <w:sz w:val="17"/>
          <w:szCs w:val="17"/>
          <w:u w:val="single" w:color="auto"/>
          <w:color w:val="auto"/>
        </w:rPr>
        <w:t>clause (i)</w:t>
      </w:r>
      <w:r>
        <w:rPr>
          <w:rFonts w:ascii="Arial" w:cs="Arial" w:eastAsia="Arial" w:hAnsi="Arial"/>
          <w:sz w:val="17"/>
          <w:szCs w:val="17"/>
          <w:color w:val="auto"/>
        </w:rPr>
        <w:t>, “</w:t>
      </w:r>
      <w:r>
        <w:rPr>
          <w:rFonts w:ascii="Arial" w:cs="Arial" w:eastAsia="Arial" w:hAnsi="Arial"/>
          <w:sz w:val="17"/>
          <w:szCs w:val="17"/>
          <w:u w:val="single" w:color="auto"/>
          <w:color w:val="auto"/>
        </w:rPr>
        <w:t>Impacted Loans</w:t>
      </w:r>
      <w:r>
        <w:rPr>
          <w:rFonts w:ascii="Arial" w:cs="Arial" w:eastAsia="Arial" w:hAnsi="Arial"/>
          <w:sz w:val="17"/>
          <w:szCs w:val="17"/>
          <w:color w:val="auto"/>
        </w:rPr>
        <w:t xml:space="preserve">”), or (ii) the Administrative Agent or the Required Lenders determine that for any reason the Eurocurrency Rate for any requested Interest Period with respect to a proposed Eurocurrency Rate Loan does not adequately and fairly reflect the cost to such Lenders of funding such Eurocurrency Rate Loan, the Administrative Agent will promptly so notify the Company and each Lender. Thereafter, (x) the obligation of the Lenders under the appropriate Facility to make or maintain Eurocurrency Rate Loans in the affected currency or currencies shall be suspended (to the extent of the affected Eurocurrency Rate Loans or Interest Periods) and (y) in the event of a determination described in the preceding sentence with respect to the Eurocurrency Rate component of the Base Rate, the utilization of the Eurocurrency Rate component in determining the Base Rate shall be suspended, in each case until the Administrative Agent (or, in the case of a determination by the Required Lenders described in </w:t>
      </w:r>
      <w:r>
        <w:rPr>
          <w:rFonts w:ascii="Arial" w:cs="Arial" w:eastAsia="Arial" w:hAnsi="Arial"/>
          <w:sz w:val="17"/>
          <w:szCs w:val="17"/>
          <w:u w:val="single" w:color="auto"/>
          <w:color w:val="auto"/>
        </w:rPr>
        <w:t>Section 3.03(a)(ii)</w:t>
      </w:r>
      <w:r>
        <w:rPr>
          <w:rFonts w:ascii="Arial" w:cs="Arial" w:eastAsia="Arial" w:hAnsi="Arial"/>
          <w:sz w:val="17"/>
          <w:szCs w:val="17"/>
          <w:color w:val="auto"/>
        </w:rPr>
        <w:t>, until the Administrative Agent upon the instruction of the Required Lenders) revokes such notice. Upon receipt of such notice, the Company may revoke any pending request for a Borrowing of, conversion to or continuation of Eurocurrency Rate Loans in the affected currency or currencies (to the extent of the affected Eurocurrency Rate Loans or Interest Periods) under the appropriate Facility or, failing that, will be deemed to have converted such request into a request for a Borrowing of Base Rate Loans under the appropriate Facility in the amount specified therein.</w:t>
      </w:r>
    </w:p>
    <w:p>
      <w:pPr>
        <w:spacing w:after="0" w:line="77" w:lineRule="exact"/>
        <w:rPr>
          <w:rFonts w:ascii="Arial" w:cs="Arial" w:eastAsia="Arial" w:hAnsi="Arial"/>
          <w:sz w:val="17"/>
          <w:szCs w:val="17"/>
          <w:u w:val="single" w:color="auto"/>
          <w:color w:val="auto"/>
        </w:rPr>
      </w:pPr>
    </w:p>
    <w:p>
      <w:pPr>
        <w:ind w:right="60" w:firstLine="444"/>
        <w:spacing w:after="0" w:line="270" w:lineRule="auto"/>
        <w:tabs>
          <w:tab w:leader="none" w:pos="696" w:val="left"/>
        </w:tabs>
        <w:numPr>
          <w:ilvl w:val="1"/>
          <w:numId w:val="127"/>
        </w:numPr>
        <w:rPr>
          <w:rFonts w:ascii="Arial" w:cs="Arial" w:eastAsia="Arial" w:hAnsi="Arial"/>
          <w:sz w:val="17"/>
          <w:szCs w:val="17"/>
          <w:color w:val="auto"/>
        </w:rPr>
      </w:pPr>
      <w:r>
        <w:rPr>
          <w:rFonts w:ascii="Arial" w:cs="Arial" w:eastAsia="Arial" w:hAnsi="Arial"/>
          <w:sz w:val="17"/>
          <w:szCs w:val="17"/>
          <w:color w:val="auto"/>
        </w:rPr>
        <w:t xml:space="preserve">Notwithstanding the foregoing, if the Administrative Agent has made the determination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3.03(a)</w:t>
      </w:r>
      <w:r>
        <w:rPr>
          <w:rFonts w:ascii="Arial" w:cs="Arial" w:eastAsia="Arial" w:hAnsi="Arial"/>
          <w:sz w:val="17"/>
          <w:szCs w:val="17"/>
          <w:color w:val="auto"/>
        </w:rPr>
        <w:t xml:space="preserve">, the Administrative Agent, in consultation with the Company, may establish an alternative interest rate for the Impacted Loans, in which case, such alternative rate of interest shall apply with respect to the Impacted Loans until (i) the Administrative Agent revokes the notice delivered with respect to the Impacted Loans under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the first sentence of </w:t>
      </w:r>
      <w:r>
        <w:rPr>
          <w:rFonts w:ascii="Arial" w:cs="Arial" w:eastAsia="Arial" w:hAnsi="Arial"/>
          <w:sz w:val="17"/>
          <w:szCs w:val="17"/>
          <w:u w:val="single" w:color="auto"/>
          <w:color w:val="auto"/>
        </w:rPr>
        <w:t>Section 3.03(a)</w:t>
      </w:r>
      <w:r>
        <w:rPr>
          <w:rFonts w:ascii="Arial" w:cs="Arial" w:eastAsia="Arial" w:hAnsi="Arial"/>
          <w:sz w:val="17"/>
          <w:szCs w:val="17"/>
          <w:color w:val="auto"/>
        </w:rPr>
        <w:t>, (ii) the Required Lenders notify the Administrative Agent and the Company that such alternative interest rate does not adequately and fairly reflect the cost to such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Company written notice thereof.</w:t>
      </w:r>
    </w:p>
    <w:p>
      <w:pPr>
        <w:spacing w:after="0" w:line="73" w:lineRule="exact"/>
        <w:rPr>
          <w:rFonts w:ascii="Arial" w:cs="Arial" w:eastAsia="Arial" w:hAnsi="Arial"/>
          <w:sz w:val="17"/>
          <w:szCs w:val="17"/>
          <w:color w:val="auto"/>
        </w:rPr>
      </w:pPr>
    </w:p>
    <w:p>
      <w:pPr>
        <w:ind w:right="180" w:firstLine="444"/>
        <w:spacing w:after="0" w:line="312" w:lineRule="auto"/>
        <w:tabs>
          <w:tab w:leader="none" w:pos="685" w:val="left"/>
        </w:tabs>
        <w:numPr>
          <w:ilvl w:val="1"/>
          <w:numId w:val="127"/>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or any other Loan Documents, if the Administrative Agent determines (which determination shall be conclusive absent manifest error), or the Company or the Required Lenders notify the Administrative Agent in writing (with, in the case of the Required Lenders, a copy to the Company) that the Company or the Required Lenders (as applicable) have determined, that:</w:t>
      </w:r>
    </w:p>
    <w:p>
      <w:pPr>
        <w:spacing w:after="0" w:line="38" w:lineRule="exact"/>
        <w:rPr>
          <w:rFonts w:ascii="Arial" w:cs="Arial" w:eastAsia="Arial" w:hAnsi="Arial"/>
          <w:sz w:val="16"/>
          <w:szCs w:val="16"/>
          <w:color w:val="auto"/>
        </w:rPr>
      </w:pPr>
    </w:p>
    <w:p>
      <w:pPr>
        <w:ind w:left="440" w:right="440" w:firstLine="428"/>
        <w:spacing w:after="0" w:line="342" w:lineRule="auto"/>
        <w:tabs>
          <w:tab w:leader="none" w:pos="1078" w:val="left"/>
        </w:tabs>
        <w:numPr>
          <w:ilvl w:val="2"/>
          <w:numId w:val="127"/>
        </w:numPr>
        <w:rPr>
          <w:rFonts w:ascii="Arial" w:cs="Arial" w:eastAsia="Arial" w:hAnsi="Arial"/>
          <w:sz w:val="16"/>
          <w:szCs w:val="16"/>
          <w:color w:val="auto"/>
        </w:rPr>
      </w:pPr>
      <w:r>
        <w:rPr>
          <w:rFonts w:ascii="Arial" w:cs="Arial" w:eastAsia="Arial" w:hAnsi="Arial"/>
          <w:sz w:val="16"/>
          <w:szCs w:val="16"/>
          <w:color w:val="auto"/>
        </w:rPr>
        <w:t>adequate and reasonable means do not exist for ascertaining LIBOR for any requested Interest Period, including, without limitation, because the LIBOR Screen Rate is not available or published on a current basis and such circumstances are unlikely to be temporary; or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20"/>
          </w:cols>
          <w:pgMar w:left="440" w:top="270" w:right="439" w:bottom="1440" w:gutter="0" w:footer="0" w:header="0"/>
        </w:sectPr>
      </w:pPr>
    </w:p>
    <w:bookmarkStart w:id="86" w:name="page87"/>
    <w:bookmarkEnd w:id="86"/>
    <w:p>
      <w:pPr>
        <w:ind w:left="440" w:right="80" w:firstLine="428"/>
        <w:spacing w:after="0" w:line="264" w:lineRule="auto"/>
        <w:tabs>
          <w:tab w:leader="none" w:pos="1128"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or</w:t>
      </w:r>
    </w:p>
    <w:p>
      <w:pPr>
        <w:spacing w:after="0" w:line="73" w:lineRule="exact"/>
        <w:rPr>
          <w:rFonts w:ascii="Arial" w:cs="Arial" w:eastAsia="Arial" w:hAnsi="Arial"/>
          <w:sz w:val="18"/>
          <w:szCs w:val="18"/>
          <w:color w:val="auto"/>
        </w:rPr>
      </w:pPr>
    </w:p>
    <w:p>
      <w:pPr>
        <w:ind w:left="440" w:right="500" w:firstLine="428"/>
        <w:spacing w:after="0" w:line="277" w:lineRule="auto"/>
        <w:tabs>
          <w:tab w:leader="none" w:pos="117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syndicated loans currently being executed, or that include language similar to that contained in this Section, are being executed or amended (as applicable) to incorporate or adopt a new benchmark interest rate to replace LIBOR;</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then, reasonably promptly after such determination by the Administrative Agent or receipt by the Administrative Agent of such notice, as applicable, the Administrative Agent and the Company may amend this Agreement to replace LIBOR with an alternate benchmark rate (including any mathematical or other adjustments to the benchmark (if any) incorporated therein), giving due consideration to any evolving or then existing convention for similar U.S. dollar denominated syndicated credit facilities for such alternative benchmarks (any such proposed rate, a “</w:t>
      </w:r>
      <w:r>
        <w:rPr>
          <w:rFonts w:ascii="Arial" w:cs="Arial" w:eastAsia="Arial" w:hAnsi="Arial"/>
          <w:sz w:val="17"/>
          <w:szCs w:val="17"/>
          <w:u w:val="single" w:color="auto"/>
          <w:color w:val="auto"/>
        </w:rPr>
        <w:t>LIBOR Successor Rate</w:t>
      </w:r>
      <w:r>
        <w:rPr>
          <w:rFonts w:ascii="Arial" w:cs="Arial" w:eastAsia="Arial" w:hAnsi="Arial"/>
          <w:sz w:val="17"/>
          <w:szCs w:val="17"/>
          <w:color w:val="auto"/>
        </w:rPr>
        <w:t xml:space="preserve">”), together with any proposed LIBOR Successor Rate Conforming Changes (as defined below)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do not accept such amendment. Such LIBOR Successor Rate shall be applied in a manner consistent with market practice;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such market practice is not administratively feasible for the Administrative Agent, such LIBOR Successor Rate shall be applied in a manner as otherwise reasonably determined by the Administrative Agent.</w:t>
      </w:r>
    </w:p>
    <w:p>
      <w:pPr>
        <w:spacing w:after="0" w:line="178" w:lineRule="exact"/>
        <w:rPr>
          <w:sz w:val="20"/>
          <w:szCs w:val="20"/>
          <w:color w:val="auto"/>
        </w:rPr>
      </w:pPr>
    </w:p>
    <w:p>
      <w:pPr>
        <w:ind w:right="100" w:firstLine="441"/>
        <w:spacing w:after="0" w:line="291" w:lineRule="auto"/>
        <w:rPr>
          <w:sz w:val="20"/>
          <w:szCs w:val="20"/>
          <w:color w:val="auto"/>
        </w:rPr>
      </w:pPr>
      <w:r>
        <w:rPr>
          <w:rFonts w:ascii="Arial" w:cs="Arial" w:eastAsia="Arial" w:hAnsi="Arial"/>
          <w:sz w:val="16"/>
          <w:szCs w:val="16"/>
          <w:color w:val="auto"/>
        </w:rPr>
        <w:t xml:space="preserve">If no LIBOR Successor Rate has been determined and the circumstances under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exist or the Scheduled Unavailability Date has occurred (as applicable), the Administrative Agent will promptly so notify the Company and each Lender. Thereafter, (x) the obligation of the Lenders to make or maintain Eurocurrency Rate Loans in the affected currency or currencies shall be suspended (to the extent of the affected Eurocurrency Rate Loans or Interest Periods), and (y) the Eurocurrency Rate component shall no longer be utilized in determining the Base Rate. Upon receipt of such notice, the Company may revoke any pending request for a Borrowing of, conversion to or continuation of Eurocurrency Rate Loans denominated in a LIBOR Quoted Currency (to the extent of the affected Eurocurrency Rate Loans or Interest Periods) or, failing that, will be deemed to have converted such request into a request for a Borrowing of Base Rate Loans (subject to the foregoing </w:t>
      </w:r>
      <w:r>
        <w:rPr>
          <w:rFonts w:ascii="Arial" w:cs="Arial" w:eastAsia="Arial" w:hAnsi="Arial"/>
          <w:sz w:val="16"/>
          <w:szCs w:val="16"/>
          <w:u w:val="single" w:color="auto"/>
          <w:color w:val="auto"/>
        </w:rPr>
        <w:t>clause (y)</w:t>
      </w:r>
      <w:r>
        <w:rPr>
          <w:rFonts w:ascii="Arial" w:cs="Arial" w:eastAsia="Arial" w:hAnsi="Arial"/>
          <w:sz w:val="16"/>
          <w:szCs w:val="16"/>
          <w:color w:val="auto"/>
        </w:rPr>
        <w:t>) in the amount specified therein.</w:t>
      </w:r>
    </w:p>
    <w:p>
      <w:pPr>
        <w:spacing w:after="0" w:line="167"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Notwithstanding anything else herein, any definition of LIBOR Successor Rate shall provide that in no event shall such LIBOR Successor Rate be less than zero for purposes of this Agreement.</w:t>
      </w:r>
    </w:p>
    <w:p>
      <w:pPr>
        <w:spacing w:after="0" w:line="170"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For purposes hereof, “</w:t>
      </w:r>
      <w:r>
        <w:rPr>
          <w:rFonts w:ascii="Arial" w:cs="Arial" w:eastAsia="Arial" w:hAnsi="Arial"/>
          <w:sz w:val="17"/>
          <w:szCs w:val="17"/>
          <w:u w:val="single" w:color="auto"/>
          <w:color w:val="auto"/>
        </w:rPr>
        <w:t>LIBOR Successor Rate Conforming Changes</w:t>
      </w:r>
      <w:r>
        <w:rPr>
          <w:rFonts w:ascii="Arial" w:cs="Arial" w:eastAsia="Arial" w:hAnsi="Arial"/>
          <w:sz w:val="17"/>
          <w:szCs w:val="17"/>
          <w:color w:val="auto"/>
        </w:rPr>
        <w:t>” means, with respect to any proposed LIBOR Successor Rate, any conforming changes to the definition of Base Rate, Interest Period, timing and frequency of determining rates and making payments of interest and other administrative matters as may be appropriate, in the discretion of the Administrative Agent in consultation with the Company,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is reasonably necessary in connection with the administration of this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440" w:top="274" w:right="439" w:bottom="1440" w:gutter="0" w:footer="0" w:header="0"/>
        </w:sectPr>
      </w:pPr>
    </w:p>
    <w:bookmarkStart w:id="87" w:name="page88"/>
    <w:bookmarkEnd w:id="8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3.04 Increased Costs; Reserves on Eurocurrency Rate Loans.</w:t>
      </w:r>
    </w:p>
    <w:p>
      <w:pPr>
        <w:spacing w:after="0" w:line="121" w:lineRule="exact"/>
        <w:rPr>
          <w:sz w:val="20"/>
          <w:szCs w:val="20"/>
          <w:color w:val="auto"/>
        </w:rPr>
      </w:pPr>
    </w:p>
    <w:p>
      <w:pPr>
        <w:ind w:left="680" w:hanging="236"/>
        <w:spacing w:after="0"/>
        <w:tabs>
          <w:tab w:leader="none" w:pos="6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440" w:right="100" w:firstLine="428"/>
        <w:spacing w:after="0" w:line="264" w:lineRule="auto"/>
        <w:tabs>
          <w:tab w:leader="none" w:pos="107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or any L/C Issuer;</w:t>
      </w:r>
    </w:p>
    <w:p>
      <w:pPr>
        <w:spacing w:after="0" w:line="73" w:lineRule="exact"/>
        <w:rPr>
          <w:rFonts w:ascii="Arial" w:cs="Arial" w:eastAsia="Arial" w:hAnsi="Arial"/>
          <w:sz w:val="18"/>
          <w:szCs w:val="18"/>
          <w:color w:val="auto"/>
        </w:rPr>
      </w:pPr>
    </w:p>
    <w:p>
      <w:pPr>
        <w:jc w:val="both"/>
        <w:ind w:left="440" w:right="20" w:firstLine="428"/>
        <w:spacing w:after="0" w:line="264" w:lineRule="auto"/>
        <w:tabs>
          <w:tab w:leader="none" w:pos="112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73" w:lineRule="exact"/>
        <w:rPr>
          <w:rFonts w:ascii="Arial" w:cs="Arial" w:eastAsia="Arial" w:hAnsi="Arial"/>
          <w:sz w:val="18"/>
          <w:szCs w:val="18"/>
          <w:color w:val="auto"/>
        </w:rPr>
      </w:pPr>
    </w:p>
    <w:p>
      <w:pPr>
        <w:ind w:left="440" w:right="120" w:firstLine="428"/>
        <w:spacing w:after="0" w:line="277" w:lineRule="auto"/>
        <w:tabs>
          <w:tab w:leader="none" w:pos="117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impose on any Lender or any L/C Issuer or the London interbank market any other condition, cost or expense affecting this Agreement or Eurocurrency Rate Loans made by such Lender or any Letter of Credit or participation therein;</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and the result of any of the foregoing shall be to increase the cost to such Lender of making, converting to, continuing or maintaining any Loan the interest on which is determined by reference to the Eurocurrency Rate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in each of the foregoing cases, by an amount deemed material by such Lender or such L/C Issuer, as applicable, then, upon request of such Lender or such L/C Issuer, the Company will pay (or cause the applicable Designated Borrower to pay) to such Lender or such L/C Issuer, as the case may be, such additional amount or amounts as will compensate such Lender or such L/C Issuer, as the case may be, for such additional costs incurred or reduction suffered.</w:t>
      </w:r>
    </w:p>
    <w:p>
      <w:pPr>
        <w:spacing w:after="0" w:line="84" w:lineRule="exact"/>
        <w:rPr>
          <w:sz w:val="20"/>
          <w:szCs w:val="20"/>
          <w:color w:val="auto"/>
        </w:rPr>
      </w:pPr>
    </w:p>
    <w:p>
      <w:pPr>
        <w:ind w:right="40" w:firstLine="444"/>
        <w:spacing w:after="0" w:line="288" w:lineRule="auto"/>
        <w:tabs>
          <w:tab w:leader="none" w:pos="695"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in each of the foregoing cases, by an amount deemed material by such Lender or such L/C Issuer, as applicable, then from time to time the Company will pay (or cause the applicable Designated Borrower to pay) such Lender or such L/C Issuer, as the case may be, such additional amount or amounts as will compensate such Lender or such L/C Issuer or such Lender’s or such L/C Issuer’s holding company for any such reduction suffered.</w:t>
      </w:r>
    </w:p>
    <w:p>
      <w:pPr>
        <w:spacing w:after="0" w:line="61" w:lineRule="exact"/>
        <w:rPr>
          <w:rFonts w:ascii="Arial" w:cs="Arial" w:eastAsia="Arial" w:hAnsi="Arial"/>
          <w:sz w:val="16"/>
          <w:szCs w:val="16"/>
          <w:color w:val="auto"/>
        </w:rPr>
      </w:pPr>
    </w:p>
    <w:p>
      <w:pPr>
        <w:jc w:val="both"/>
        <w:ind w:firstLine="444"/>
        <w:spacing w:after="0" w:line="302" w:lineRule="auto"/>
        <w:tabs>
          <w:tab w:leader="none" w:pos="685"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Certificates for Reimbursement</w:t>
      </w:r>
      <w:r>
        <w:rPr>
          <w:rFonts w:ascii="Arial" w:cs="Arial" w:eastAsia="Arial" w:hAnsi="Arial"/>
          <w:sz w:val="16"/>
          <w:szCs w:val="16"/>
          <w:color w:val="auto"/>
        </w:rPr>
        <w:t xml:space="preserve">. A certificate of a Lender or an L/C Issuer setting forth in reasonable detail the amount or amounts necessary to compensate such Lender or such L/C Issuer or its holding company, as the case may be, as specified in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this Section and delivered to the Company shall be conclusive absent manifest error. The Company shall pay (or cause the applicable Designated Borrower to pay) such Lender or such L/C Issuer, as the case may be, the amount shown as due on any such certificate within 10 days after receipt thereof.</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0" w:right="439" w:bottom="1440" w:gutter="0" w:footer="0" w:header="0"/>
        </w:sectPr>
      </w:pPr>
    </w:p>
    <w:bookmarkStart w:id="88" w:name="page89"/>
    <w:bookmarkEnd w:id="88"/>
    <w:p>
      <w:pPr>
        <w:ind w:right="20" w:firstLine="444"/>
        <w:spacing w:after="0" w:line="272" w:lineRule="auto"/>
        <w:tabs>
          <w:tab w:leader="none" w:pos="695" w:val="left"/>
        </w:tabs>
        <w:numPr>
          <w:ilvl w:val="1"/>
          <w:numId w:val="1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Delay in Requests</w:t>
      </w:r>
      <w:r>
        <w:rPr>
          <w:rFonts w:ascii="Arial" w:cs="Arial" w:eastAsia="Arial" w:hAnsi="Arial"/>
          <w:sz w:val="17"/>
          <w:szCs w:val="17"/>
          <w:color w:val="auto"/>
        </w:rPr>
        <w:t xml:space="preserve">. Failure or delay on the part of any Lender or any L/C Issuer to demand compensation pursuant to the foregoing provisions of this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shall not constitute a waiver of such Lender’s or such L/C Issuer’s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Borrower shall be required to compensate a Lender or an L/C Issuer pursuant to the foregoing provisions of this Section for any increased costs incurred or reductions suffered more than nine months prior to the date that such Lender or such L/C Issuer, as the case may be, notifies the Company of the Change in Law giving rise to such increased costs or reductions and of such Lender’s or such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69" w:lineRule="exact"/>
        <w:rPr>
          <w:rFonts w:ascii="Arial" w:cs="Arial" w:eastAsia="Arial" w:hAnsi="Arial"/>
          <w:sz w:val="17"/>
          <w:szCs w:val="17"/>
          <w:color w:val="auto"/>
        </w:rPr>
      </w:pPr>
    </w:p>
    <w:p>
      <w:pPr>
        <w:ind w:firstLine="444"/>
        <w:spacing w:after="0" w:line="286" w:lineRule="auto"/>
        <w:tabs>
          <w:tab w:leader="none" w:pos="685" w:val="left"/>
        </w:tabs>
        <w:numPr>
          <w:ilvl w:val="1"/>
          <w:numId w:val="131"/>
        </w:numPr>
        <w:rPr>
          <w:rFonts w:ascii="Arial" w:cs="Arial" w:eastAsia="Arial" w:hAnsi="Arial"/>
          <w:sz w:val="16"/>
          <w:szCs w:val="16"/>
          <w:color w:val="auto"/>
        </w:rPr>
      </w:pPr>
      <w:r>
        <w:rPr>
          <w:rFonts w:ascii="Arial" w:cs="Arial" w:eastAsia="Arial" w:hAnsi="Arial"/>
          <w:sz w:val="16"/>
          <w:szCs w:val="16"/>
          <w:u w:val="single" w:color="auto"/>
          <w:color w:val="auto"/>
        </w:rPr>
        <w:t>Reserves on Eurocurrency Rate Loans</w:t>
      </w:r>
      <w:r>
        <w:rPr>
          <w:rFonts w:ascii="Arial" w:cs="Arial" w:eastAsia="Arial" w:hAnsi="Arial"/>
          <w:sz w:val="16"/>
          <w:szCs w:val="16"/>
          <w:color w:val="auto"/>
        </w:rPr>
        <w:t>. The Company shall pay (or cause the applicable Designated Borrower to pay) to each Lender, (i) as long as such Lender shall be required to maintain reserves with respect to liabilities or assets consisting of or including Eurocurrency funds or deposits (currently known as “Eurocurrency liabilities”), additional interest on the unpaid principal amount of each Eurocurrency Rate Loan equal to the actual costs of such reserves allocated to such Loan by such Lender (as determined by such Lender in good faith, which determination shall be conclusive), and</w:t>
      </w:r>
    </w:p>
    <w:p>
      <w:pPr>
        <w:spacing w:after="0" w:line="1" w:lineRule="exact"/>
        <w:rPr>
          <w:rFonts w:ascii="Arial" w:cs="Arial" w:eastAsia="Arial" w:hAnsi="Arial"/>
          <w:sz w:val="16"/>
          <w:szCs w:val="16"/>
          <w:color w:val="auto"/>
        </w:rPr>
      </w:pPr>
    </w:p>
    <w:p>
      <w:pPr>
        <w:ind w:right="20" w:firstLine="4"/>
        <w:spacing w:after="0" w:line="288" w:lineRule="auto"/>
        <w:tabs>
          <w:tab w:leader="none" w:pos="265"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Company shall have received at least 10 days’ prior notice (with a copy to the Administrative Agent) of such additional interest or costs from such Lender. If a Lender fails to give notice 10 days prior to the relevant Interest Payment Date, such additional interest or costs shall be due and payable 10 days from receipt of such notice.</w:t>
      </w:r>
    </w:p>
    <w:p>
      <w:pPr>
        <w:spacing w:after="0" w:line="165"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b w:val="1"/>
          <w:bCs w:val="1"/>
          <w:color w:val="auto"/>
        </w:rPr>
        <w:t xml:space="preserve">3.05 Compensation for Losses. </w:t>
      </w:r>
      <w:r>
        <w:rPr>
          <w:rFonts w:ascii="Arial" w:cs="Arial" w:eastAsia="Arial" w:hAnsi="Arial"/>
          <w:sz w:val="18"/>
          <w:szCs w:val="18"/>
          <w:color w:val="auto"/>
        </w:rPr>
        <w:t>Upon demand of any Lender (with a copy to the Administrative Agent) from time to time, the Company shall</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compensate (or cause the applicable Designated Borrower to compensate) such Lender for and hold such Lender harmless from any loss, cost or reasonable and documented out-of-pocket expense actually incurred by it as a result of:</w:t>
      </w:r>
    </w:p>
    <w:p>
      <w:pPr>
        <w:spacing w:after="0" w:line="72" w:lineRule="exact"/>
        <w:rPr>
          <w:sz w:val="20"/>
          <w:szCs w:val="20"/>
          <w:color w:val="auto"/>
        </w:rPr>
      </w:pPr>
    </w:p>
    <w:p>
      <w:pPr>
        <w:ind w:right="120" w:firstLine="444"/>
        <w:spacing w:after="0" w:line="277" w:lineRule="auto"/>
        <w:tabs>
          <w:tab w:leader="none" w:pos="68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other than the last day of the Interest Period for such Loan (whether voluntary, mandatory, automatic, by reason of acceleration, or otherwise);</w:t>
      </w:r>
    </w:p>
    <w:p>
      <w:pPr>
        <w:spacing w:after="0" w:line="62" w:lineRule="exact"/>
        <w:rPr>
          <w:rFonts w:ascii="Arial" w:cs="Arial" w:eastAsia="Arial" w:hAnsi="Arial"/>
          <w:sz w:val="18"/>
          <w:szCs w:val="18"/>
          <w:color w:val="auto"/>
        </w:rPr>
      </w:pPr>
    </w:p>
    <w:p>
      <w:pPr>
        <w:ind w:right="340" w:firstLine="444"/>
        <w:spacing w:after="0" w:line="308" w:lineRule="auto"/>
        <w:tabs>
          <w:tab w:leader="none" w:pos="69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failure by any Borrower (for a reason other than the failure of such Lender to make a Loan) to prepay, borrow, continue or convert any Loan other than a Base Rate Loan on the date or in the amount notified by the Company or the applicable Designated Borrower;</w:t>
      </w:r>
    </w:p>
    <w:p>
      <w:pPr>
        <w:spacing w:after="0" w:line="38" w:lineRule="exact"/>
        <w:rPr>
          <w:rFonts w:ascii="Arial" w:cs="Arial" w:eastAsia="Arial" w:hAnsi="Arial"/>
          <w:sz w:val="17"/>
          <w:szCs w:val="17"/>
          <w:color w:val="auto"/>
        </w:rPr>
      </w:pPr>
    </w:p>
    <w:p>
      <w:pPr>
        <w:ind w:right="180" w:firstLine="444"/>
        <w:spacing w:after="0" w:line="277" w:lineRule="auto"/>
        <w:tabs>
          <w:tab w:leader="none" w:pos="68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failure by any Borrower to make payment of any Loan or drawing under any Letter of Credit (or interest due thereon) denominated in an Alternative Currency on its scheduled due date or any payment thereof in a different currency; or</w:t>
      </w:r>
    </w:p>
    <w:p>
      <w:pPr>
        <w:spacing w:after="0" w:line="62" w:lineRule="exact"/>
        <w:rPr>
          <w:rFonts w:ascii="Arial" w:cs="Arial" w:eastAsia="Arial" w:hAnsi="Arial"/>
          <w:sz w:val="18"/>
          <w:szCs w:val="18"/>
          <w:color w:val="auto"/>
        </w:rPr>
      </w:pPr>
    </w:p>
    <w:p>
      <w:pPr>
        <w:ind w:right="460" w:firstLine="444"/>
        <w:spacing w:after="0" w:line="277" w:lineRule="auto"/>
        <w:tabs>
          <w:tab w:leader="none" w:pos="69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any assignment of a Eurocurrency Rate Loan on a day other than the last day of the Interest Period therefor as a result of a request by the Company pursuant to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20"/>
          </w:cols>
          <w:pgMar w:left="440" w:top="274" w:right="439" w:bottom="1440" w:gutter="0" w:footer="0" w:header="0"/>
        </w:sectPr>
      </w:pPr>
    </w:p>
    <w:bookmarkStart w:id="89" w:name="page90"/>
    <w:bookmarkEnd w:id="89"/>
    <w:p>
      <w:pPr>
        <w:jc w:val="both"/>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any loss of anticipated profits, any foreign exchange losses and any loss or expense arising from the liquidation or reemployment of funds obtained by it to maintain such Loan or from fees payable to terminate the deposits from which such funds were obtained or from the performance of any foreign exchange contract. The Company shall also pay (or cause the applicable Designated Borrower to pay) any customary administrative fees charged by such Lender in connection with the foregoing.</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For purposes of calculating amounts payable by the Company (or applicable Designated Borrower) to the Lenders under this </w:t>
      </w:r>
      <w:r>
        <w:rPr>
          <w:rFonts w:ascii="Arial" w:cs="Arial" w:eastAsia="Arial" w:hAnsi="Arial"/>
          <w:sz w:val="18"/>
          <w:szCs w:val="18"/>
          <w:u w:val="single" w:color="auto"/>
          <w:color w:val="auto"/>
        </w:rPr>
        <w:t>Section 3.05</w:t>
      </w:r>
      <w:r>
        <w:rPr>
          <w:rFonts w:ascii="Arial" w:cs="Arial" w:eastAsia="Arial" w:hAnsi="Arial"/>
          <w:sz w:val="18"/>
          <w:szCs w:val="18"/>
          <w:color w:val="auto"/>
        </w:rPr>
        <w:t>, each Lender shall be deemed to have funded each Eurocurrency Rate Loan made by it at the Eurocurrency Rate for such Loan by a matching deposit or other borrowing in the offshore interbank market for such currency for a comparable amount and for a comparable period, whether or not such Eurocurrency Rate Loan was in fact so funded.</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3.06 Mitigation Obligations; Replacement of Lenders.</w:t>
      </w:r>
    </w:p>
    <w:p>
      <w:pPr>
        <w:spacing w:after="0" w:line="121" w:lineRule="exact"/>
        <w:rPr>
          <w:sz w:val="20"/>
          <w:szCs w:val="20"/>
          <w:color w:val="auto"/>
        </w:rPr>
      </w:pPr>
    </w:p>
    <w:p>
      <w:pPr>
        <w:ind w:firstLine="444"/>
        <w:spacing w:after="0" w:line="269" w:lineRule="auto"/>
        <w:tabs>
          <w:tab w:leader="none" w:pos="685"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Designation of a Different Lending Office</w:t>
      </w:r>
      <w:r>
        <w:rPr>
          <w:rFonts w:ascii="Arial" w:cs="Arial" w:eastAsia="Arial" w:hAnsi="Arial"/>
          <w:sz w:val="17"/>
          <w:szCs w:val="17"/>
          <w:color w:val="auto"/>
        </w:rPr>
        <w:t xml:space="preserve">. Each Lender may make any Credit Extension to a Borrower through any Lending Office, provided that the exercise of this option shall not affect the obligation of any Borrower to repay the Credit Extension in accordance with the terms of this Agreement.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requires any Borrower to pay any Indemnified Taxes or additional amounts to any Lender, any L/C Issuer, or any Governmental Authority for the account of any Lender or any L/C Issuer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if any Lender gives a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then at the request of the Company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as the case may be, in the future, or eliminate the need for the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and (ii) in each case, would not subject such Lender or such L/C Issuer, as the case may be, to any unreimbursed cost or expense and would not otherwise be disadvantageous to such Lender or such L/C Issuer, as the case may be. The Company hereby agrees to pay (or cause the applicable Designated Borrower to pay) all reasonable costs and out-of-pocket expenses incurred by any Lender or any L/C Issuer in connection with any such designation or assignment.</w:t>
      </w:r>
    </w:p>
    <w:p>
      <w:pPr>
        <w:spacing w:after="0" w:line="71" w:lineRule="exact"/>
        <w:rPr>
          <w:rFonts w:ascii="Arial" w:cs="Arial" w:eastAsia="Arial" w:hAnsi="Arial"/>
          <w:sz w:val="17"/>
          <w:szCs w:val="17"/>
          <w:color w:val="auto"/>
        </w:rPr>
      </w:pPr>
    </w:p>
    <w:p>
      <w:pPr>
        <w:ind w:right="80" w:firstLine="444"/>
        <w:spacing w:after="0" w:line="259" w:lineRule="auto"/>
        <w:tabs>
          <w:tab w:leader="none" w:pos="695"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any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 Company may replace such Lender in accordance with </w:t>
      </w:r>
      <w:r>
        <w:rPr>
          <w:rFonts w:ascii="Arial" w:cs="Arial" w:eastAsia="Arial" w:hAnsi="Arial"/>
          <w:sz w:val="18"/>
          <w:szCs w:val="18"/>
          <w:u w:val="single" w:color="auto"/>
          <w:color w:val="auto"/>
        </w:rPr>
        <w:t>Section 10.13</w:t>
      </w:r>
      <w:r>
        <w:rPr>
          <w:rFonts w:ascii="Arial" w:cs="Arial" w:eastAsia="Arial" w:hAnsi="Arial"/>
          <w:sz w:val="18"/>
          <w:szCs w:val="18"/>
          <w:color w:val="auto"/>
        </w:rPr>
        <w:t>.</w:t>
      </w:r>
    </w:p>
    <w:p>
      <w:pPr>
        <w:spacing w:after="0" w:line="183"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b w:val="1"/>
          <w:bCs w:val="1"/>
          <w:color w:val="auto"/>
        </w:rPr>
        <w:t xml:space="preserve">3.07 Survival. </w:t>
      </w:r>
      <w:r>
        <w:rPr>
          <w:rFonts w:ascii="Arial" w:cs="Arial" w:eastAsia="Arial" w:hAnsi="Arial"/>
          <w:sz w:val="18"/>
          <w:szCs w:val="18"/>
          <w:color w:val="auto"/>
        </w:rPr>
        <w:t>All of the Borrowers’ obligations under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survive termination of the Aggregate Commitments, repayment of all</w:t>
      </w:r>
      <w:r>
        <w:rPr>
          <w:rFonts w:ascii="Arial" w:cs="Arial" w:eastAsia="Arial" w:hAnsi="Arial"/>
          <w:sz w:val="18"/>
          <w:szCs w:val="18"/>
          <w:b w:val="1"/>
          <w:bCs w:val="1"/>
          <w:color w:val="auto"/>
        </w:rPr>
        <w:t xml:space="preserve"> </w:t>
      </w:r>
      <w:r>
        <w:rPr>
          <w:rFonts w:ascii="Arial" w:cs="Arial" w:eastAsia="Arial" w:hAnsi="Arial"/>
          <w:sz w:val="18"/>
          <w:szCs w:val="18"/>
          <w:color w:val="auto"/>
        </w:rPr>
        <w:t>other Obligations hereunder, and resignation of the Administrative Agent.</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CONDITIONS PRECEDENT TO CREDIT EXTENSIONS</w:t>
      </w:r>
    </w:p>
    <w:p>
      <w:pPr>
        <w:spacing w:after="0" w:line="207"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b w:val="1"/>
          <w:bCs w:val="1"/>
          <w:color w:val="auto"/>
        </w:rPr>
        <w:t xml:space="preserve">4.01 Conditions of Initial Credit Extension. </w:t>
      </w:r>
      <w:r>
        <w:rPr>
          <w:rFonts w:ascii="Arial" w:cs="Arial" w:eastAsia="Arial" w:hAnsi="Arial"/>
          <w:sz w:val="18"/>
          <w:szCs w:val="18"/>
          <w:color w:val="auto"/>
        </w:rPr>
        <w:t>The obligation of each L/C Issuer and each Lender to make its initial Credit Extension hereunder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satisfaction of the following conditions precedent: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80"/>
          </w:cols>
          <w:pgMar w:left="440" w:top="274" w:right="479" w:bottom="1440" w:gutter="0" w:footer="0" w:header="0"/>
        </w:sectPr>
      </w:pPr>
    </w:p>
    <w:bookmarkStart w:id="90" w:name="page91"/>
    <w:bookmarkEnd w:id="90"/>
    <w:p>
      <w:pPr>
        <w:ind w:left="-60" w:right="20" w:firstLine="444"/>
        <w:spacing w:after="0" w:line="259" w:lineRule="auto"/>
        <w:tabs>
          <w:tab w:leader="none" w:pos="625"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Documentation</w:t>
      </w:r>
      <w:r>
        <w:rPr>
          <w:rFonts w:ascii="Arial" w:cs="Arial" w:eastAsia="Arial" w:hAnsi="Arial"/>
          <w:sz w:val="18"/>
          <w:szCs w:val="18"/>
          <w:color w:val="auto"/>
        </w:rPr>
        <w:t>. The Administrative Agent’s receipt of the following, each of which shall be originals or telecopies (followed promptly by originals) unless otherwise specified, each properly executed by a Responsible Officer of the signing Loan Party, each dated the Closing Date (or, in the case of certificates of governmental officials, a recent date before the Closing Date) and each in form and substance reasonably satisfactory to the Administrative Agent and each of the Lenders:</w:t>
      </w:r>
    </w:p>
    <w:p>
      <w:pPr>
        <w:spacing w:after="0" w:line="78" w:lineRule="exact"/>
        <w:rPr>
          <w:rFonts w:ascii="Arial" w:cs="Arial" w:eastAsia="Arial" w:hAnsi="Arial"/>
          <w:sz w:val="18"/>
          <w:szCs w:val="18"/>
          <w:color w:val="auto"/>
        </w:rPr>
      </w:pPr>
    </w:p>
    <w:p>
      <w:pPr>
        <w:ind w:left="1020" w:hanging="212"/>
        <w:spacing w:after="0"/>
        <w:tabs>
          <w:tab w:leader="none" w:pos="10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executed counterparts of this Agreement, the Guaranties, the U.S. Security Agreement and the U.S. Pledge Agreement;</w:t>
      </w:r>
    </w:p>
    <w:p>
      <w:pPr>
        <w:spacing w:after="0" w:line="117" w:lineRule="exact"/>
        <w:rPr>
          <w:rFonts w:ascii="Arial" w:cs="Arial" w:eastAsia="Arial" w:hAnsi="Arial"/>
          <w:sz w:val="18"/>
          <w:szCs w:val="18"/>
          <w:color w:val="auto"/>
        </w:rPr>
      </w:pPr>
    </w:p>
    <w:p>
      <w:pPr>
        <w:ind w:left="1080" w:hanging="272"/>
        <w:spacing w:after="0"/>
        <w:tabs>
          <w:tab w:leader="none" w:pos="10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Notes executed by the Borrowers in favor of each Lender requesting Notes;</w:t>
      </w:r>
    </w:p>
    <w:p>
      <w:pPr>
        <w:spacing w:after="0" w:line="117" w:lineRule="exact"/>
        <w:rPr>
          <w:rFonts w:ascii="Arial" w:cs="Arial" w:eastAsia="Arial" w:hAnsi="Arial"/>
          <w:sz w:val="18"/>
          <w:szCs w:val="18"/>
          <w:color w:val="auto"/>
        </w:rPr>
      </w:pPr>
    </w:p>
    <w:p>
      <w:pPr>
        <w:jc w:val="both"/>
        <w:ind w:left="380" w:right="180" w:firstLine="428"/>
        <w:spacing w:after="0" w:line="312" w:lineRule="auto"/>
        <w:tabs>
          <w:tab w:leader="none" w:pos="1118" w:val="left"/>
        </w:tabs>
        <w:numPr>
          <w:ilvl w:val="1"/>
          <w:numId w:val="135"/>
        </w:numPr>
        <w:rPr>
          <w:rFonts w:ascii="Arial" w:cs="Arial" w:eastAsia="Arial" w:hAnsi="Arial"/>
          <w:sz w:val="16"/>
          <w:szCs w:val="16"/>
          <w:color w:val="auto"/>
        </w:rPr>
      </w:pPr>
      <w:r>
        <w:rPr>
          <w:rFonts w:ascii="Arial" w:cs="Arial" w:eastAsia="Arial" w:hAnsi="Arial"/>
          <w:sz w:val="16"/>
          <w:szCs w:val="16"/>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spacing w:after="0" w:line="38" w:lineRule="exact"/>
        <w:rPr>
          <w:rFonts w:ascii="Arial" w:cs="Arial" w:eastAsia="Arial" w:hAnsi="Arial"/>
          <w:sz w:val="16"/>
          <w:szCs w:val="16"/>
          <w:color w:val="auto"/>
        </w:rPr>
      </w:pPr>
    </w:p>
    <w:p>
      <w:pPr>
        <w:ind w:left="380" w:right="520" w:firstLine="428"/>
        <w:spacing w:after="0" w:line="264" w:lineRule="auto"/>
        <w:tabs>
          <w:tab w:leader="none" w:pos="110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such documents and certifications as the Administrative Agent may reasonably require to evidence that each Loan Party is duly organized or formed, and that each Loan Party is validly existing, in good standing and qualified to engage in business in its jurisdiction of organization;</w:t>
      </w:r>
    </w:p>
    <w:p>
      <w:pPr>
        <w:spacing w:after="0" w:line="73" w:lineRule="exact"/>
        <w:rPr>
          <w:rFonts w:ascii="Arial" w:cs="Arial" w:eastAsia="Arial" w:hAnsi="Arial"/>
          <w:sz w:val="18"/>
          <w:szCs w:val="18"/>
          <w:color w:val="auto"/>
        </w:rPr>
      </w:pPr>
    </w:p>
    <w:p>
      <w:pPr>
        <w:ind w:left="380" w:right="160" w:firstLine="428"/>
        <w:spacing w:after="0" w:line="277" w:lineRule="auto"/>
        <w:tabs>
          <w:tab w:leader="none" w:pos="105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favorable opinions of counsel to the Loan Parties addressed to the Administrative Agent and each Lender, as to the matters concerning the Loan Parties and the Loan Documents as the Administrative Agent may reasonably request;</w:t>
      </w:r>
    </w:p>
    <w:p>
      <w:pPr>
        <w:spacing w:after="0" w:line="62" w:lineRule="exact"/>
        <w:rPr>
          <w:rFonts w:ascii="Arial" w:cs="Arial" w:eastAsia="Arial" w:hAnsi="Arial"/>
          <w:sz w:val="18"/>
          <w:szCs w:val="18"/>
          <w:color w:val="auto"/>
        </w:rPr>
      </w:pPr>
    </w:p>
    <w:p>
      <w:pPr>
        <w:ind w:left="1120" w:hanging="312"/>
        <w:spacing w:after="0"/>
        <w:tabs>
          <w:tab w:leader="none" w:pos="11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160" w:hanging="352"/>
        <w:spacing w:after="0"/>
        <w:tabs>
          <w:tab w:leader="none" w:pos="116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 xml:space="preserve">a certificate signed by a Responsible Officer of the Company certifying (A) that the conditions specified in </w:t>
      </w:r>
      <w:r>
        <w:rPr>
          <w:rFonts w:ascii="Arial" w:cs="Arial" w:eastAsia="Arial" w:hAnsi="Arial"/>
          <w:sz w:val="17"/>
          <w:szCs w:val="17"/>
          <w:u w:val="single" w:color="auto"/>
          <w:color w:val="auto"/>
        </w:rPr>
        <w:t>Sections 4.02(a)</w:t>
      </w:r>
      <w:r>
        <w:rPr>
          <w:rFonts w:ascii="Arial" w:cs="Arial" w:eastAsia="Arial" w:hAnsi="Arial"/>
          <w:sz w:val="17"/>
          <w:szCs w:val="17"/>
          <w:color w:val="auto"/>
        </w:rPr>
        <w:t xml:space="preserve"> and</w:t>
      </w:r>
    </w:p>
    <w:p>
      <w:pPr>
        <w:spacing w:after="0" w:line="34" w:lineRule="exact"/>
        <w:rPr>
          <w:rFonts w:ascii="Arial" w:cs="Arial" w:eastAsia="Arial" w:hAnsi="Arial"/>
          <w:sz w:val="17"/>
          <w:szCs w:val="17"/>
          <w:color w:val="auto"/>
        </w:rPr>
      </w:pPr>
    </w:p>
    <w:p>
      <w:pPr>
        <w:ind w:left="380" w:firstLine="4"/>
        <w:spacing w:after="0" w:line="255" w:lineRule="auto"/>
        <w:tabs>
          <w:tab w:leader="none" w:pos="635" w:val="left"/>
        </w:tabs>
        <w:numPr>
          <w:ilvl w:val="0"/>
          <w:numId w:val="135"/>
        </w:numPr>
        <w:rPr>
          <w:rFonts w:ascii="Arial" w:cs="Arial" w:eastAsia="Arial" w:hAnsi="Arial"/>
          <w:sz w:val="18"/>
          <w:szCs w:val="18"/>
          <w:u w:val="single" w:color="auto"/>
          <w:color w:val="auto"/>
        </w:rPr>
      </w:pPr>
      <w:r>
        <w:rPr>
          <w:rFonts w:ascii="Arial" w:cs="Arial" w:eastAsia="Arial" w:hAnsi="Arial"/>
          <w:sz w:val="18"/>
          <w:szCs w:val="18"/>
          <w:color w:val="auto"/>
        </w:rPr>
        <w:t>have been satisfied, (B) that there has been no event or circumstance since December 31, 2018 that has had or could be reasonably expected to have, either individually or in the aggregate, a Material Adverse Effect and (C) a calculation of the Consolidated Net Leverage Ratio as of the Closing Date;</w:t>
      </w:r>
    </w:p>
    <w:p>
      <w:pPr>
        <w:spacing w:after="0" w:line="82" w:lineRule="exact"/>
        <w:rPr>
          <w:rFonts w:ascii="Arial" w:cs="Arial" w:eastAsia="Arial" w:hAnsi="Arial"/>
          <w:sz w:val="18"/>
          <w:szCs w:val="18"/>
          <w:u w:val="single" w:color="auto"/>
          <w:color w:val="auto"/>
        </w:rPr>
      </w:pPr>
    </w:p>
    <w:p>
      <w:pPr>
        <w:ind w:left="380" w:right="400" w:firstLine="428"/>
        <w:spacing w:after="0" w:line="264" w:lineRule="auto"/>
        <w:tabs>
          <w:tab w:leader="none" w:pos="120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 certificate of the chief financial officer of the Company as to the Solvency of the Company and the Company and its Restricted Subsidiaries, taken as a whole, after giving effect to the transactions contemplated on the Closing Date and the Indebtedness incurred in connection therewith;</w:t>
      </w:r>
    </w:p>
    <w:p>
      <w:pPr>
        <w:spacing w:after="0" w:line="73" w:lineRule="exact"/>
        <w:rPr>
          <w:rFonts w:ascii="Arial" w:cs="Arial" w:eastAsia="Arial" w:hAnsi="Arial"/>
          <w:sz w:val="18"/>
          <w:szCs w:val="18"/>
          <w:color w:val="auto"/>
        </w:rPr>
      </w:pPr>
    </w:p>
    <w:p>
      <w:pPr>
        <w:ind w:left="380" w:right="120" w:firstLine="428"/>
        <w:spacing w:after="0" w:line="277" w:lineRule="auto"/>
        <w:tabs>
          <w:tab w:leader="none" w:pos="110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searches of UCC filings in the jurisdiction of incorporation or formation, as applicable, of each Loan Party and copies of the financing statements on file in such jurisdictions;</w:t>
      </w:r>
    </w:p>
    <w:p>
      <w:pPr>
        <w:spacing w:after="0" w:line="62" w:lineRule="exact"/>
        <w:rPr>
          <w:rFonts w:ascii="Arial" w:cs="Arial" w:eastAsia="Arial" w:hAnsi="Arial"/>
          <w:sz w:val="18"/>
          <w:szCs w:val="18"/>
          <w:color w:val="auto"/>
        </w:rPr>
      </w:pPr>
    </w:p>
    <w:p>
      <w:pPr>
        <w:ind w:left="380" w:right="20" w:firstLine="428"/>
        <w:spacing w:after="0" w:line="291" w:lineRule="auto"/>
        <w:tabs>
          <w:tab w:leader="none" w:pos="1058" w:val="left"/>
        </w:tabs>
        <w:numPr>
          <w:ilvl w:val="1"/>
          <w:numId w:val="136"/>
        </w:numPr>
        <w:rPr>
          <w:rFonts w:ascii="Arial" w:cs="Arial" w:eastAsia="Arial" w:hAnsi="Arial"/>
          <w:sz w:val="16"/>
          <w:szCs w:val="16"/>
          <w:color w:val="auto"/>
        </w:rPr>
      </w:pPr>
      <w:r>
        <w:rPr>
          <w:rFonts w:ascii="Arial" w:cs="Arial" w:eastAsia="Arial" w:hAnsi="Arial"/>
          <w:sz w:val="16"/>
          <w:szCs w:val="16"/>
          <w:color w:val="auto"/>
        </w:rPr>
        <w:t>delivery of Uniform Commercial Code financing statements suitable in form and substance for filing in all places required by applicable Law to perfect the Liens of the Administrative Agent under the Collateral Documents as a first priority Lien as to items of Collateral in which a security interest may be perfected by the filing of financing statements, and such other documents and/or evidence of other actions as may be reasonably necessary under applicable Law to perfect the Liens of the Administrative Agent under such Collateral Documents as a first priority Lien (subject only to Permitted Liens) in and to such other Collateral as the Administrative Agent may require including without limitation the delivery by the Loan Parties of stock or membership certificates, if any, evidencing the Equity Interests pledged pursuant to the Collateral Documents and undated stock or transfer powers duly executed in blank; in each case to the extent such Equity Interests are certificated; and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00"/>
          </w:cols>
          <w:pgMar w:left="500" w:top="274" w:right="499" w:bottom="1440" w:gutter="0" w:footer="0" w:header="0"/>
        </w:sectPr>
      </w:pPr>
    </w:p>
    <w:bookmarkStart w:id="91" w:name="page92"/>
    <w:bookmarkEnd w:id="91"/>
    <w:p>
      <w:pPr>
        <w:ind w:left="440" w:right="500" w:firstLine="428"/>
        <w:spacing w:after="0" w:line="277" w:lineRule="auto"/>
        <w:tabs>
          <w:tab w:leader="none" w:pos="1168" w:val="left"/>
        </w:tabs>
        <w:numPr>
          <w:ilvl w:val="1"/>
          <w:numId w:val="1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other assurances, certificates, documents, consents or opinions as the Administrative Agent, each L/C Issuer, the Swing Line Lender or the Lenders reasonably may require.</w:t>
      </w:r>
    </w:p>
    <w:p>
      <w:pPr>
        <w:spacing w:after="0" w:line="62" w:lineRule="exact"/>
        <w:rPr>
          <w:rFonts w:ascii="Arial" w:cs="Arial" w:eastAsia="Arial" w:hAnsi="Arial"/>
          <w:sz w:val="18"/>
          <w:szCs w:val="18"/>
          <w:color w:val="auto"/>
        </w:rPr>
      </w:pPr>
    </w:p>
    <w:p>
      <w:pPr>
        <w:jc w:val="both"/>
        <w:ind w:right="620" w:firstLine="444"/>
        <w:spacing w:after="0" w:line="264"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Company shall have delivered to the Administrative Agent evidence of insurance coverage on the Company’s and each Restricted Subsidiary’s property satisfying the requirements of </w:t>
      </w:r>
      <w:r>
        <w:rPr>
          <w:rFonts w:ascii="Arial" w:cs="Arial" w:eastAsia="Arial" w:hAnsi="Arial"/>
          <w:sz w:val="18"/>
          <w:szCs w:val="18"/>
          <w:u w:val="single" w:color="auto"/>
          <w:color w:val="auto"/>
        </w:rPr>
        <w:t>Section 6.07</w:t>
      </w:r>
      <w:r>
        <w:rPr>
          <w:rFonts w:ascii="Arial" w:cs="Arial" w:eastAsia="Arial" w:hAnsi="Arial"/>
          <w:sz w:val="18"/>
          <w:szCs w:val="18"/>
          <w:color w:val="auto"/>
        </w:rPr>
        <w:t>, and where required by the Administrative Agent, with loss payable endorsements in favor of the Administrative Agent for the benefit of the Secured Parties.</w:t>
      </w:r>
    </w:p>
    <w:p>
      <w:pPr>
        <w:spacing w:after="0" w:line="73" w:lineRule="exact"/>
        <w:rPr>
          <w:rFonts w:ascii="Arial" w:cs="Arial" w:eastAsia="Arial" w:hAnsi="Arial"/>
          <w:sz w:val="18"/>
          <w:szCs w:val="18"/>
          <w:color w:val="auto"/>
        </w:rPr>
      </w:pPr>
    </w:p>
    <w:p>
      <w:pPr>
        <w:ind w:right="60" w:firstLine="444"/>
        <w:spacing w:after="0" w:line="257" w:lineRule="auto"/>
        <w:tabs>
          <w:tab w:leader="none" w:pos="68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PATRIOT Act, etc</w:t>
      </w:r>
      <w:r>
        <w:rPr>
          <w:rFonts w:ascii="Arial" w:cs="Arial" w:eastAsia="Arial" w:hAnsi="Arial"/>
          <w:sz w:val="18"/>
          <w:szCs w:val="18"/>
          <w:color w:val="auto"/>
        </w:rPr>
        <w:t>. The Administrative Agent and each Lender shall have received at least five Business Days prior to the Closing Date (i) all documentation and other information requested by the Administrative Agent or such Lender, as applicable, in order to comply with its obligations under applicable “know your customer” and anti-money laundering rules and regulations, including, without limitation, the Act, and (ii) with respect to any Loan Party that qualifies as a “legal entity customer” under the Beneficial Ownership Regulation, a Beneficial Ownership Certification in relation to such Loan Party.</w:t>
      </w:r>
    </w:p>
    <w:p>
      <w:pPr>
        <w:spacing w:after="0" w:line="80" w:lineRule="exact"/>
        <w:rPr>
          <w:rFonts w:ascii="Arial" w:cs="Arial" w:eastAsia="Arial" w:hAnsi="Arial"/>
          <w:sz w:val="18"/>
          <w:szCs w:val="18"/>
          <w:color w:val="auto"/>
        </w:rPr>
      </w:pPr>
    </w:p>
    <w:p>
      <w:pPr>
        <w:ind w:right="100" w:firstLine="444"/>
        <w:spacing w:after="0" w:line="259" w:lineRule="auto"/>
        <w:tabs>
          <w:tab w:leader="none" w:pos="69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Absence of Litigation</w:t>
      </w:r>
      <w:r>
        <w:rPr>
          <w:rFonts w:ascii="Arial" w:cs="Arial" w:eastAsia="Arial" w:hAnsi="Arial"/>
          <w:sz w:val="18"/>
          <w:szCs w:val="18"/>
          <w:color w:val="auto"/>
        </w:rPr>
        <w:t>. There are no actions, suits, proceedings, claims or disputes pending or, to the actual knowledge of the Company after reasonable inquiry, threatened in writing, at law, in equity, in arbitration or before any Governmental Authority, by or against the Company or any of its Restricted Subsidiaries or against any of their properties or revenues that could reasonably be expected to materially adversely affect the Loan Documents or any of the transactions contemplated thereby.</w:t>
      </w:r>
    </w:p>
    <w:p>
      <w:pPr>
        <w:spacing w:after="0" w:line="78" w:lineRule="exact"/>
        <w:rPr>
          <w:rFonts w:ascii="Arial" w:cs="Arial" w:eastAsia="Arial" w:hAnsi="Arial"/>
          <w:sz w:val="18"/>
          <w:szCs w:val="18"/>
          <w:color w:val="auto"/>
        </w:rPr>
      </w:pPr>
    </w:p>
    <w:p>
      <w:pPr>
        <w:jc w:val="both"/>
        <w:ind w:right="100" w:firstLine="444"/>
        <w:spacing w:after="0" w:line="259" w:lineRule="auto"/>
        <w:tabs>
          <w:tab w:leader="none" w:pos="68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Financial Information</w:t>
      </w:r>
      <w:r>
        <w:rPr>
          <w:rFonts w:ascii="Arial" w:cs="Arial" w:eastAsia="Arial" w:hAnsi="Arial"/>
          <w:sz w:val="18"/>
          <w:szCs w:val="18"/>
          <w:color w:val="auto"/>
        </w:rPr>
        <w:t>. The Administrative Agent shall have received (i) the Audited Financial Statements, (ii) all interim financial statements of the Company and its Subsidiaries from and the after the Audited Financial Statements through the most recent quarter for which financial statements are available and (iii) such projections and forecasts prepared by management of the Company as may be reasonably requested by the Administrative Agent.</w:t>
      </w:r>
    </w:p>
    <w:p>
      <w:pPr>
        <w:spacing w:after="0" w:line="78" w:lineRule="exact"/>
        <w:rPr>
          <w:rFonts w:ascii="Arial" w:cs="Arial" w:eastAsia="Arial" w:hAnsi="Arial"/>
          <w:sz w:val="18"/>
          <w:szCs w:val="18"/>
          <w:color w:val="auto"/>
        </w:rPr>
      </w:pPr>
    </w:p>
    <w:p>
      <w:pPr>
        <w:ind w:firstLine="444"/>
        <w:spacing w:after="0" w:line="257" w:lineRule="auto"/>
        <w:tabs>
          <w:tab w:leader="none" w:pos="665"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The Administrative Agent shall have received evidence reasonably satisfactory to it that, concurrently with the closing, (i) all outstanding principal and accrued and unpaid interest with respect to the term loan under the Existing Credit Agreement have been paid in full, (ii) all amounts owing under the Existing Credit Agreement to lenders thereunder who elect not to become Lenders hereunder, if any, has been paid in full and (iii) all accrued and unpaid interest and fees owing to the Lenders and the L/C Issuers under the Existing Credit Agreement have been paid in full.</w:t>
      </w:r>
    </w:p>
    <w:p>
      <w:pPr>
        <w:spacing w:after="0" w:line="80" w:lineRule="exact"/>
        <w:rPr>
          <w:rFonts w:ascii="Arial" w:cs="Arial" w:eastAsia="Arial" w:hAnsi="Arial"/>
          <w:sz w:val="18"/>
          <w:szCs w:val="18"/>
          <w:color w:val="auto"/>
        </w:rPr>
      </w:pPr>
    </w:p>
    <w:p>
      <w:pPr>
        <w:ind w:left="700" w:hanging="256"/>
        <w:spacing w:after="0"/>
        <w:tabs>
          <w:tab w:leader="none" w:pos="700"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Fees</w:t>
      </w:r>
      <w:r>
        <w:rPr>
          <w:rFonts w:ascii="Arial" w:cs="Arial" w:eastAsia="Arial" w:hAnsi="Arial"/>
          <w:sz w:val="16"/>
          <w:szCs w:val="16"/>
          <w:color w:val="auto"/>
        </w:rPr>
        <w:t>. Any fees required to be paid to the Administrative Agent, the Arranger or the Lenders on or before the Closing Date shall have been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paid.</w:t>
      </w:r>
    </w:p>
    <w:p>
      <w:pPr>
        <w:spacing w:after="0" w:line="102" w:lineRule="exact"/>
        <w:rPr>
          <w:rFonts w:ascii="Arial" w:cs="Arial" w:eastAsia="Arial" w:hAnsi="Arial"/>
          <w:sz w:val="16"/>
          <w:szCs w:val="16"/>
          <w:color w:val="auto"/>
        </w:rPr>
      </w:pPr>
    </w:p>
    <w:p>
      <w:pPr>
        <w:ind w:left="700" w:hanging="256"/>
        <w:spacing w:after="0"/>
        <w:tabs>
          <w:tab w:leader="none" w:pos="700"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Legal Fees and Expenses</w:t>
      </w:r>
      <w:r>
        <w:rPr>
          <w:rFonts w:ascii="Arial" w:cs="Arial" w:eastAsia="Arial" w:hAnsi="Arial"/>
          <w:sz w:val="17"/>
          <w:szCs w:val="17"/>
          <w:color w:val="auto"/>
        </w:rPr>
        <w:t>. Unless waived by the Administrative Agent, the Company shall have paid all reasonable and documented</w:t>
      </w:r>
    </w:p>
    <w:p>
      <w:pPr>
        <w:spacing w:after="0" w:line="35"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out-of-pocket fees, charges and disbursements of counsel to the Administrative Agent (directly to such counsel if requested by the Administrative Agent) to the extent invoiced at least two Business Days prior to the Closing Date (or otherwise reflected in a settlement statement approved by the Company), plus such additional amounts of such fees, charges and disbursements as shall constitute its reasonable estimate of such fees, charges and disbursements incurred or to be incurred by it through the closing proceedings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estimate shall not thereafter preclude a final settling of accounts between the Company and the Administrative Agent or its counsel).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74" w:right="439" w:bottom="1440" w:gutter="0" w:footer="0" w:header="0"/>
        </w:sectPr>
      </w:pPr>
    </w:p>
    <w:bookmarkStart w:id="92" w:name="page93"/>
    <w:bookmarkEnd w:id="92"/>
    <w:p>
      <w:pPr>
        <w:ind w:right="20" w:firstLine="44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Without limiting the generality of the provisions of the last paragraph of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4.01</w:t>
      </w:r>
      <w:r>
        <w:rPr>
          <w:rFonts w:ascii="Arial" w:cs="Arial" w:eastAsia="Arial" w:hAnsi="Arial"/>
          <w:sz w:val="16"/>
          <w:szCs w:val="16"/>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50" w:lineRule="exact"/>
        <w:rPr>
          <w:sz w:val="20"/>
          <w:szCs w:val="20"/>
          <w:color w:val="auto"/>
        </w:rPr>
      </w:pPr>
    </w:p>
    <w:p>
      <w:pPr>
        <w:jc w:val="both"/>
        <w:ind w:right="200" w:firstLine="441"/>
        <w:spacing w:after="0" w:line="266" w:lineRule="auto"/>
        <w:rPr>
          <w:sz w:val="20"/>
          <w:szCs w:val="20"/>
          <w:color w:val="auto"/>
        </w:rPr>
      </w:pPr>
      <w:r>
        <w:rPr>
          <w:rFonts w:ascii="Arial" w:cs="Arial" w:eastAsia="Arial" w:hAnsi="Arial"/>
          <w:sz w:val="18"/>
          <w:szCs w:val="18"/>
          <w:b w:val="1"/>
          <w:bCs w:val="1"/>
          <w:color w:val="auto"/>
        </w:rPr>
        <w:t xml:space="preserve">4.02 Conditions to all Credit Extensions. </w:t>
      </w:r>
      <w:r>
        <w:rPr>
          <w:rFonts w:ascii="Arial" w:cs="Arial" w:eastAsia="Arial" w:hAnsi="Arial"/>
          <w:sz w:val="18"/>
          <w:szCs w:val="18"/>
          <w:color w:val="auto"/>
        </w:rPr>
        <w:t>The obligation of each Lender and each L/C Issuer to honor any Request for Credit Extension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a Loan Notice requesting only a conversion of Loans to the other Type, or a continuation of Eurocurrency Rate Loans) is subject to the following conditions precedent:</w:t>
      </w:r>
    </w:p>
    <w:p>
      <w:pPr>
        <w:spacing w:after="0" w:line="72" w:lineRule="exact"/>
        <w:rPr>
          <w:sz w:val="20"/>
          <w:szCs w:val="20"/>
          <w:color w:val="auto"/>
        </w:rPr>
      </w:pPr>
    </w:p>
    <w:p>
      <w:pPr>
        <w:ind w:firstLine="444"/>
        <w:spacing w:after="0" w:line="291" w:lineRule="auto"/>
        <w:tabs>
          <w:tab w:leader="none" w:pos="68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Borrowers and each other Loan Party contained in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any other Loan Document or in any document furnished at any time under or in connection herewith or therewith, shall be true and correct in all material respects (or, in the case of any such representation and warranty that is subject to materiality or Material Adverse Effect qualifications, in all respects) on and as of the date of such Credit Extension, except to the extent that such representations and warranties specifically refer to an earlier date, in which case they shall be true and correct in all material respects (or, in the case of any such representation and warranty that is subject to materiality or Material Adverse Effect qualifications, in all respects) as of such earlier date, and except that for purposes of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the representations and warranties contained in </w:t>
      </w:r>
      <w:r>
        <w:rPr>
          <w:rFonts w:ascii="Arial" w:cs="Arial" w:eastAsia="Arial" w:hAnsi="Arial"/>
          <w:sz w:val="16"/>
          <w:szCs w:val="16"/>
          <w:u w:val="single" w:color="auto"/>
          <w:color w:val="auto"/>
        </w:rPr>
        <w:t>Sections 5.05(a)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shall be deemed to refer to the most recent statements furnished pursuant to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respectively.</w:t>
      </w:r>
    </w:p>
    <w:p>
      <w:pPr>
        <w:spacing w:after="0" w:line="59" w:lineRule="exact"/>
        <w:rPr>
          <w:rFonts w:ascii="Arial" w:cs="Arial" w:eastAsia="Arial" w:hAnsi="Arial"/>
          <w:sz w:val="16"/>
          <w:szCs w:val="16"/>
          <w:color w:val="auto"/>
        </w:rPr>
      </w:pPr>
    </w:p>
    <w:p>
      <w:pPr>
        <w:ind w:left="700" w:hanging="256"/>
        <w:spacing w:after="0"/>
        <w:tabs>
          <w:tab w:leader="none" w:pos="7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 Default shall exist or would result from such proposed Credit Extension or the application of the proceeds thereof.</w:t>
      </w:r>
    </w:p>
    <w:p>
      <w:pPr>
        <w:spacing w:after="0" w:line="117" w:lineRule="exact"/>
        <w:rPr>
          <w:rFonts w:ascii="Arial" w:cs="Arial" w:eastAsia="Arial" w:hAnsi="Arial"/>
          <w:sz w:val="18"/>
          <w:szCs w:val="18"/>
          <w:color w:val="auto"/>
        </w:rPr>
      </w:pPr>
    </w:p>
    <w:p>
      <w:pPr>
        <w:ind w:right="420" w:firstLine="444"/>
        <w:spacing w:after="0" w:line="277" w:lineRule="auto"/>
        <w:tabs>
          <w:tab w:leader="none" w:pos="68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Administrative Agent and, if applicable, the applicable L/C Issuer or the Swing Line Lender shall have received a Request for Credit Extension in accordance with the requirements hereof.</w:t>
      </w:r>
    </w:p>
    <w:p>
      <w:pPr>
        <w:spacing w:after="0" w:line="62" w:lineRule="exact"/>
        <w:rPr>
          <w:rFonts w:ascii="Arial" w:cs="Arial" w:eastAsia="Arial" w:hAnsi="Arial"/>
          <w:sz w:val="18"/>
          <w:szCs w:val="18"/>
          <w:color w:val="auto"/>
        </w:rPr>
      </w:pPr>
    </w:p>
    <w:p>
      <w:pPr>
        <w:ind w:right="120" w:firstLine="444"/>
        <w:spacing w:after="0" w:line="277" w:lineRule="auto"/>
        <w:tabs>
          <w:tab w:leader="none" w:pos="69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If the applicable Borrower is a Designated Borrower, then the conditions of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to the designation of such Borrower as a Designated Borrower shall have been met to the satisfaction of the Administrative Agent.</w:t>
      </w:r>
    </w:p>
    <w:p>
      <w:pPr>
        <w:spacing w:after="0" w:line="62" w:lineRule="exact"/>
        <w:rPr>
          <w:rFonts w:ascii="Arial" w:cs="Arial" w:eastAsia="Arial" w:hAnsi="Arial"/>
          <w:sz w:val="18"/>
          <w:szCs w:val="18"/>
          <w:color w:val="auto"/>
        </w:rPr>
      </w:pPr>
    </w:p>
    <w:p>
      <w:pPr>
        <w:ind w:right="180" w:firstLine="444"/>
        <w:spacing w:after="0" w:line="257" w:lineRule="auto"/>
        <w:tabs>
          <w:tab w:leader="none" w:pos="68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the case of a Credit Extension to be denominated in an Alternative Currency, there shall not have occurred any change in national or international financial, political or economic conditions or currency exchange rates or exchange controls which in the reasonable opinion of the Administrative Agent, the Required Revolving Credit Lenders (in the case of any Revolving Credit Loans to be denominated in an Alternative Currency) or the applicable L/C Issuer (in the case of any Letter of Credit to be denominated in an Alternative Currency) would make it impracticable for such Credit Extension to be denominated in the relevant Alternative Currency.</w:t>
      </w:r>
    </w:p>
    <w:p>
      <w:pPr>
        <w:spacing w:after="0" w:line="188"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 xml:space="preserve">Each Request for Credit Extension (other than a Loan Notice requesting only a conversion of Loans to the other Type or a continuation of Eurocurrency Rate Loans) submitted by the Company shall be deemed to be a representation and warranty that the conditions specified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4.02(a)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have been satisfied on and as of the date of the applicable Credit Extension.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Except as otherwise provided in </w:t>
      </w:r>
      <w:r>
        <w:rPr>
          <w:rFonts w:ascii="Arial" w:cs="Arial" w:eastAsia="Arial" w:hAnsi="Arial"/>
          <w:sz w:val="17"/>
          <w:szCs w:val="17"/>
          <w:u w:val="single" w:color="auto"/>
          <w:color w:val="auto"/>
        </w:rPr>
        <w:t>Section 5.23</w:t>
      </w:r>
      <w:r>
        <w:rPr>
          <w:rFonts w:ascii="Arial" w:cs="Arial" w:eastAsia="Arial" w:hAnsi="Arial"/>
          <w:sz w:val="17"/>
          <w:szCs w:val="17"/>
          <w:color w:val="auto"/>
        </w:rPr>
        <w:t>, each Borrower represents and warrants to the Administrative Agent and the Lenders that:</w:t>
      </w:r>
    </w:p>
    <w:p>
      <w:pPr>
        <w:spacing w:after="0" w:line="233" w:lineRule="exact"/>
        <w:rPr>
          <w:sz w:val="20"/>
          <w:szCs w:val="20"/>
          <w:color w:val="auto"/>
        </w:rPr>
      </w:pPr>
    </w:p>
    <w:p>
      <w:pPr>
        <w:jc w:val="both"/>
        <w:ind w:right="500" w:firstLine="441"/>
        <w:spacing w:after="0" w:line="289" w:lineRule="auto"/>
        <w:rPr>
          <w:sz w:val="20"/>
          <w:szCs w:val="20"/>
          <w:color w:val="auto"/>
        </w:rPr>
      </w:pPr>
      <w:r>
        <w:rPr>
          <w:rFonts w:ascii="Arial" w:cs="Arial" w:eastAsia="Arial" w:hAnsi="Arial"/>
          <w:sz w:val="16"/>
          <w:szCs w:val="16"/>
          <w:b w:val="1"/>
          <w:bCs w:val="1"/>
          <w:color w:val="auto"/>
        </w:rPr>
        <w:t xml:space="preserve">5.01 Existence, Qualification and Power. </w:t>
      </w:r>
      <w:r>
        <w:rPr>
          <w:rFonts w:ascii="Arial" w:cs="Arial" w:eastAsia="Arial" w:hAnsi="Arial"/>
          <w:sz w:val="16"/>
          <w:szCs w:val="16"/>
          <w:color w:val="auto"/>
        </w:rPr>
        <w:t>Each Loan Party and each Restricted Subsidiary thereof (a) is duly organized or formed, validly</w:t>
      </w:r>
      <w:r>
        <w:rPr>
          <w:rFonts w:ascii="Arial" w:cs="Arial" w:eastAsia="Arial" w:hAnsi="Arial"/>
          <w:sz w:val="16"/>
          <w:szCs w:val="16"/>
          <w:b w:val="1"/>
          <w:bCs w:val="1"/>
          <w:color w:val="auto"/>
        </w:rPr>
        <w:t xml:space="preserve"> </w:t>
      </w:r>
      <w:r>
        <w:rPr>
          <w:rFonts w:ascii="Arial" w:cs="Arial" w:eastAsia="Arial" w:hAnsi="Arial"/>
          <w:sz w:val="16"/>
          <w:szCs w:val="16"/>
          <w:color w:val="auto"/>
        </w:rPr>
        <w:t>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w:t>
      </w:r>
    </w:p>
    <w:p>
      <w:pPr>
        <w:spacing w:after="0" w:line="2" w:lineRule="exact"/>
        <w:rPr>
          <w:sz w:val="20"/>
          <w:szCs w:val="20"/>
          <w:color w:val="auto"/>
        </w:rPr>
      </w:pPr>
    </w:p>
    <w:p>
      <w:pPr>
        <w:ind w:right="360" w:firstLine="4"/>
        <w:spacing w:after="0" w:line="254" w:lineRule="auto"/>
        <w:tabs>
          <w:tab w:leader="none" w:pos="26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to the extent that failure to do so could not reasonably be expected to have a Material Adverse Effect.</w:t>
      </w:r>
    </w:p>
    <w:p>
      <w:pPr>
        <w:spacing w:after="0" w:line="186"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b w:val="1"/>
          <w:bCs w:val="1"/>
          <w:color w:val="auto"/>
        </w:rPr>
        <w:t xml:space="preserve">5.02 Authorization; No Contravention. </w:t>
      </w:r>
      <w:r>
        <w:rPr>
          <w:rFonts w:ascii="Arial" w:cs="Arial" w:eastAsia="Arial" w:hAnsi="Arial"/>
          <w:sz w:val="17"/>
          <w:szCs w:val="17"/>
          <w:color w:val="auto"/>
        </w:rPr>
        <w:t>The execution, delivery and performance by each Loan Party of each Loan Document to which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(other than the creation of a Lien in favor of the Administrative Agent under the Collateral Documents) under, or require any payment to be made under (i) any Contractual Obligation to which such Person is a party or affecting such Person or the properties of such Person or any of its Restricted Subsidiaries or any arbitral award to which such Person or its property is subject, except in each case referred to in this </w:t>
      </w:r>
      <w:r>
        <w:rPr>
          <w:rFonts w:ascii="Arial" w:cs="Arial" w:eastAsia="Arial" w:hAnsi="Arial"/>
          <w:sz w:val="17"/>
          <w:szCs w:val="17"/>
          <w:u w:val="single" w:color="auto"/>
          <w:color w:val="auto"/>
        </w:rPr>
        <w:t>clause (b)(i)</w:t>
      </w:r>
      <w:r>
        <w:rPr>
          <w:rFonts w:ascii="Arial" w:cs="Arial" w:eastAsia="Arial" w:hAnsi="Arial"/>
          <w:sz w:val="17"/>
          <w:szCs w:val="17"/>
          <w:color w:val="auto"/>
        </w:rPr>
        <w:t xml:space="preserve"> where such breach or contravention could not, individually or in the aggregate, reasonably be expected to have a Material Adverse Effect, or (ii) any order, injunction, writ or decree of any Governmental Authority; or (c) violate any Law in any material respect.</w:t>
      </w:r>
    </w:p>
    <w:p>
      <w:pPr>
        <w:spacing w:after="0" w:line="172"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b w:val="1"/>
          <w:bCs w:val="1"/>
          <w:color w:val="auto"/>
        </w:rPr>
        <w:t xml:space="preserve">5.03 Governmental Authorization; Other Consents. </w:t>
      </w:r>
      <w:r>
        <w:rPr>
          <w:rFonts w:ascii="Arial" w:cs="Arial" w:eastAsia="Arial" w:hAnsi="Arial"/>
          <w:sz w:val="17"/>
          <w:szCs w:val="17"/>
          <w:color w:val="auto"/>
        </w:rPr>
        <w:t>No approval, consent, exemption, authorization, or other action by, or notice to, or filing</w:t>
      </w:r>
      <w:r>
        <w:rPr>
          <w:rFonts w:ascii="Arial" w:cs="Arial" w:eastAsia="Arial" w:hAnsi="Arial"/>
          <w:sz w:val="17"/>
          <w:szCs w:val="17"/>
          <w:b w:val="1"/>
          <w:bCs w:val="1"/>
          <w:color w:val="auto"/>
        </w:rPr>
        <w:t xml:space="preserve"> </w:t>
      </w:r>
      <w:r>
        <w:rPr>
          <w:rFonts w:ascii="Arial" w:cs="Arial" w:eastAsia="Arial" w:hAnsi="Arial"/>
          <w:sz w:val="17"/>
          <w:szCs w:val="17"/>
          <w:color w:val="auto"/>
        </w:rPr>
        <w:t>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subject to Permitted Liens) or (d) the exercise by the Administrative Agent or any Lender of its rights under the Loan Documents or the remedies in respect of the Collateral pursuant to the Collateral Documents, in each case, other than (i) such as have been obtained or made and are in full force and effect and (ii) for approvals, consents, exemptions, authorizations, other actions, notices or filings, the failure of which to obtain or make could not, individually or in the aggregate, reasonably be expected to have a Material Adverse Effect.</w:t>
      </w:r>
    </w:p>
    <w:p>
      <w:pPr>
        <w:spacing w:after="0" w:line="172" w:lineRule="exact"/>
        <w:rPr>
          <w:sz w:val="20"/>
          <w:szCs w:val="20"/>
          <w:color w:val="auto"/>
        </w:rPr>
      </w:pPr>
    </w:p>
    <w:p>
      <w:pPr>
        <w:ind w:right="20" w:firstLine="441"/>
        <w:spacing w:after="0" w:line="277" w:lineRule="auto"/>
        <w:rPr>
          <w:sz w:val="20"/>
          <w:szCs w:val="20"/>
          <w:color w:val="auto"/>
        </w:rPr>
      </w:pPr>
      <w:r>
        <w:rPr>
          <w:rFonts w:ascii="Arial" w:cs="Arial" w:eastAsia="Arial" w:hAnsi="Arial"/>
          <w:sz w:val="17"/>
          <w:szCs w:val="17"/>
          <w:b w:val="1"/>
          <w:bCs w:val="1"/>
          <w:color w:val="auto"/>
        </w:rPr>
        <w:t xml:space="preserve">5.04 Binding Effect. </w:t>
      </w:r>
      <w:r>
        <w:rPr>
          <w:rFonts w:ascii="Arial" w:cs="Arial" w:eastAsia="Arial" w:hAnsi="Arial"/>
          <w:sz w:val="17"/>
          <w:szCs w:val="17"/>
          <w:color w:val="auto"/>
        </w:rPr>
        <w:t>This Agreement has been, and each other Loan Document, when delivered hereunder, will have been, duly executed and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 except as such enforcement may be limited by applicable bankruptcy, insolvency, reorganization or other similar laws relating to or limiting creditors’ rights generally and by general principles of equity (regardless of whether enforcement is sought in a proceeding in equity or at law).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440" w:top="270" w:right="439" w:bottom="1440" w:gutter="0" w:footer="0" w:header="0"/>
        </w:sectPr>
      </w:pPr>
    </w:p>
    <w:bookmarkStart w:id="94" w:name="page95"/>
    <w:bookmarkEnd w:id="9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5.05 Financial Statements; No Material Adverse Effect.</w:t>
      </w:r>
    </w:p>
    <w:p>
      <w:pPr>
        <w:spacing w:after="0" w:line="121" w:lineRule="exact"/>
        <w:rPr>
          <w:sz w:val="20"/>
          <w:szCs w:val="20"/>
          <w:color w:val="auto"/>
        </w:rPr>
      </w:pPr>
    </w:p>
    <w:p>
      <w:pPr>
        <w:ind w:firstLine="444"/>
        <w:spacing w:after="0" w:line="255" w:lineRule="auto"/>
        <w:tabs>
          <w:tab w:leader="none" w:pos="68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Audited Financial Statements (i) were prepared in accordance with GAAP consistently applied throughout the period covered thereby, except as otherwise expressly noted therein; (ii) fairly present the financial condition of the Company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direct or contingent, of the Company and its Subsidiaries as of the date thereof, including liabilities for taxes, material commitments and Indebtedness that would be required to be disclosed in accordance with GAAP.</w:t>
      </w:r>
    </w:p>
    <w:p>
      <w:pPr>
        <w:spacing w:after="0" w:line="85" w:lineRule="exact"/>
        <w:rPr>
          <w:rFonts w:ascii="Arial" w:cs="Arial" w:eastAsia="Arial" w:hAnsi="Arial"/>
          <w:sz w:val="18"/>
          <w:szCs w:val="18"/>
          <w:color w:val="auto"/>
        </w:rPr>
      </w:pPr>
    </w:p>
    <w:p>
      <w:pPr>
        <w:ind w:right="100" w:firstLine="444"/>
        <w:spacing w:after="0" w:line="297" w:lineRule="auto"/>
        <w:tabs>
          <w:tab w:leader="none" w:pos="69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The unaudited consolidated balance sheet of the Company and its Subsidiaries dated March 31, 2019,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Company and its Subsidiaries as of the date thereof and their results of operations, cash flows and changes in shareholders’ equity for the period covered thereby, subject, in the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to the absence of footnotes and to normal year-end audit adjustments.</w:t>
      </w:r>
    </w:p>
    <w:p>
      <w:pPr>
        <w:spacing w:after="0" w:line="50" w:lineRule="exact"/>
        <w:rPr>
          <w:rFonts w:ascii="Arial" w:cs="Arial" w:eastAsia="Arial" w:hAnsi="Arial"/>
          <w:sz w:val="16"/>
          <w:szCs w:val="16"/>
          <w:color w:val="auto"/>
        </w:rPr>
      </w:pPr>
    </w:p>
    <w:p>
      <w:pPr>
        <w:ind w:right="60" w:firstLine="444"/>
        <w:spacing w:after="0" w:line="277" w:lineRule="auto"/>
        <w:tabs>
          <w:tab w:leader="none" w:pos="685"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Since December 31, 2018, there has been no event or circumstance, either individually or in the aggregate, that has had or could reasonably be expected to have a Material Adverse Effect.</w:t>
      </w:r>
    </w:p>
    <w:p>
      <w:pPr>
        <w:spacing w:after="0" w:line="62" w:lineRule="exact"/>
        <w:rPr>
          <w:rFonts w:ascii="Arial" w:cs="Arial" w:eastAsia="Arial" w:hAnsi="Arial"/>
          <w:sz w:val="18"/>
          <w:szCs w:val="18"/>
          <w:color w:val="auto"/>
        </w:rPr>
      </w:pPr>
    </w:p>
    <w:p>
      <w:pPr>
        <w:ind w:firstLine="444"/>
        <w:spacing w:after="0" w:line="257" w:lineRule="auto"/>
        <w:tabs>
          <w:tab w:leader="none" w:pos="69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The consolidated forecasted balance sheet and statements of income and cash flows of the Company and its Restricted Subsidiaries delivered pursuant to </w:t>
      </w:r>
      <w:r>
        <w:rPr>
          <w:rFonts w:ascii="Arial" w:cs="Arial" w:eastAsia="Arial" w:hAnsi="Arial"/>
          <w:sz w:val="18"/>
          <w:szCs w:val="18"/>
          <w:u w:val="single" w:color="auto"/>
          <w:color w:val="auto"/>
        </w:rPr>
        <w:t>Section 6.01(c)</w:t>
      </w:r>
      <w:r>
        <w:rPr>
          <w:rFonts w:ascii="Arial" w:cs="Arial" w:eastAsia="Arial" w:hAnsi="Arial"/>
          <w:sz w:val="18"/>
          <w:szCs w:val="18"/>
          <w:color w:val="auto"/>
        </w:rPr>
        <w:t xml:space="preserve"> were prepared in good faith on the basis of the assumptions stated therein, which assumptions were believed to be reasonable at the time of delivery of such forecasts (it being understood that such forecasts are subject to uncertainties and contingencies, some of which are beyond the control of the Company, that no assurance can be given that any particular forecast will be realized, that actual results may differ and that such differences may be material).</w:t>
      </w:r>
    </w:p>
    <w:p>
      <w:pPr>
        <w:spacing w:after="0" w:line="184" w:lineRule="exact"/>
        <w:rPr>
          <w:sz w:val="20"/>
          <w:szCs w:val="20"/>
          <w:color w:val="auto"/>
        </w:rPr>
      </w:pPr>
    </w:p>
    <w:p>
      <w:pPr>
        <w:ind w:right="80" w:firstLine="441"/>
        <w:spacing w:after="0" w:line="258" w:lineRule="auto"/>
        <w:rPr>
          <w:sz w:val="20"/>
          <w:szCs w:val="20"/>
          <w:color w:val="auto"/>
        </w:rPr>
      </w:pPr>
      <w:r>
        <w:rPr>
          <w:rFonts w:ascii="Arial" w:cs="Arial" w:eastAsia="Arial" w:hAnsi="Arial"/>
          <w:sz w:val="18"/>
          <w:szCs w:val="18"/>
          <w:b w:val="1"/>
          <w:bCs w:val="1"/>
          <w:color w:val="auto"/>
        </w:rPr>
        <w:t xml:space="preserve">5.06 Litigation. </w:t>
      </w:r>
      <w:r>
        <w:rPr>
          <w:rFonts w:ascii="Arial" w:cs="Arial" w:eastAsia="Arial" w:hAnsi="Arial"/>
          <w:sz w:val="18"/>
          <w:szCs w:val="18"/>
          <w:color w:val="auto"/>
        </w:rPr>
        <w:t>There are no actions, suits, proceedings, claims or disputes pending or, to the actual knowledge of the Company after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inquiry, threatened or contemplated, at law, in equity, in arbitration or before any Governmental Authority, by or against the Company or any of its Restricted Subsidiaries or against any of their properties or revenues that (a) purport to affect or pertain to this Agreement or any other Loan Document, or any of the transactions contemplated hereby, or (b) either individually or in the aggregate, if determined adversely, could reasonably be expected to have a Material Adverse Effect.</w:t>
      </w:r>
    </w:p>
    <w:p>
      <w:pPr>
        <w:spacing w:after="0" w:line="184" w:lineRule="exact"/>
        <w:rPr>
          <w:sz w:val="20"/>
          <w:szCs w:val="20"/>
          <w:color w:val="auto"/>
        </w:rPr>
      </w:pPr>
    </w:p>
    <w:p>
      <w:pPr>
        <w:ind w:right="120" w:firstLine="441"/>
        <w:spacing w:after="0" w:line="289" w:lineRule="auto"/>
        <w:rPr>
          <w:sz w:val="20"/>
          <w:szCs w:val="20"/>
          <w:color w:val="auto"/>
        </w:rPr>
      </w:pPr>
      <w:r>
        <w:rPr>
          <w:rFonts w:ascii="Arial" w:cs="Arial" w:eastAsia="Arial" w:hAnsi="Arial"/>
          <w:sz w:val="17"/>
          <w:szCs w:val="17"/>
          <w:b w:val="1"/>
          <w:bCs w:val="1"/>
          <w:color w:val="auto"/>
        </w:rPr>
        <w:t xml:space="preserve">5.07 No Default. </w:t>
      </w:r>
      <w:r>
        <w:rPr>
          <w:rFonts w:ascii="Arial" w:cs="Arial" w:eastAsia="Arial" w:hAnsi="Arial"/>
          <w:sz w:val="17"/>
          <w:szCs w:val="17"/>
          <w:color w:val="auto"/>
        </w:rPr>
        <w:t>Neither any Loan Party nor any Restricted Subsidiary thereof is in default under or with respect to any Contractual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that could, either individually or in the aggregate, reasonably be expected to have a Material Adverse Effect. No Default has occurred and is continuing or would result from the consummation of the transactions contemplated by this Agreement or any other Loan Document.</w:t>
      </w:r>
    </w:p>
    <w:p>
      <w:pPr>
        <w:spacing w:after="0" w:line="158" w:lineRule="exact"/>
        <w:rPr>
          <w:sz w:val="20"/>
          <w:szCs w:val="20"/>
          <w:color w:val="auto"/>
        </w:rPr>
      </w:pPr>
    </w:p>
    <w:p>
      <w:pPr>
        <w:jc w:val="both"/>
        <w:ind w:right="20" w:firstLine="441"/>
        <w:spacing w:after="0" w:line="261" w:lineRule="auto"/>
        <w:rPr>
          <w:sz w:val="20"/>
          <w:szCs w:val="20"/>
          <w:color w:val="auto"/>
        </w:rPr>
      </w:pPr>
      <w:r>
        <w:rPr>
          <w:rFonts w:ascii="Arial" w:cs="Arial" w:eastAsia="Arial" w:hAnsi="Arial"/>
          <w:sz w:val="18"/>
          <w:szCs w:val="18"/>
          <w:b w:val="1"/>
          <w:bCs w:val="1"/>
          <w:color w:val="auto"/>
        </w:rPr>
        <w:t xml:space="preserve">5.08 Ownership of Property; Liens. </w:t>
      </w:r>
      <w:r>
        <w:rPr>
          <w:rFonts w:ascii="Arial" w:cs="Arial" w:eastAsia="Arial" w:hAnsi="Arial"/>
          <w:sz w:val="18"/>
          <w:szCs w:val="18"/>
          <w:color w:val="auto"/>
        </w:rPr>
        <w:t>Each of the Company and each Restricted Subsidiary has good record and marketable title in fee simple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valid leasehold interests in, all real property necessary or material to the conduct of its business, except as could not, individually or in the aggregate, reasonably be expected to have a Material Adverse Effect. The property of the Company and its Restricted Subsidiaries is subject to no Liens, other than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20"/>
          </w:cols>
          <w:pgMar w:left="440" w:top="270" w:right="439" w:bottom="1440" w:gutter="0" w:footer="0" w:header="0"/>
        </w:sectPr>
      </w:pPr>
    </w:p>
    <w:bookmarkStart w:id="95" w:name="page96"/>
    <w:bookmarkEnd w:id="95"/>
    <w:p>
      <w:pPr>
        <w:ind w:right="40" w:firstLine="441"/>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5.09 Environmental Compliance. </w:t>
      </w:r>
      <w:r>
        <w:rPr>
          <w:rFonts w:ascii="Arial" w:cs="Arial" w:eastAsia="Arial" w:hAnsi="Arial"/>
          <w:sz w:val="17"/>
          <w:szCs w:val="17"/>
          <w:color w:val="auto"/>
        </w:rPr>
        <w:t>The Company and its Restricted Subsidiaries conduct in the ordinary course of business a review of the effect</w:t>
      </w:r>
      <w:r>
        <w:rPr>
          <w:rFonts w:ascii="Arial" w:cs="Arial" w:eastAsia="Arial" w:hAnsi="Arial"/>
          <w:sz w:val="17"/>
          <w:szCs w:val="17"/>
          <w:b w:val="1"/>
          <w:bCs w:val="1"/>
          <w:color w:val="auto"/>
        </w:rPr>
        <w:t xml:space="preserve"> </w:t>
      </w:r>
      <w:r>
        <w:rPr>
          <w:rFonts w:ascii="Arial" w:cs="Arial" w:eastAsia="Arial" w:hAnsi="Arial"/>
          <w:sz w:val="17"/>
          <w:szCs w:val="17"/>
          <w:color w:val="auto"/>
        </w:rPr>
        <w:t>of existing Environmental Laws and claims alleging potential liability or responsibility for violation of any Environmental Law on their respective businesses, operations and properties, and as a result thereof the Company has reasonably concluded that such Environmental Laws and claims could not, individually or in the aggregate, reasonably be expected to have a Material Adverse Effect.</w:t>
      </w:r>
    </w:p>
    <w:p>
      <w:pPr>
        <w:spacing w:after="0" w:line="165" w:lineRule="exact"/>
        <w:rPr>
          <w:sz w:val="20"/>
          <w:szCs w:val="20"/>
          <w:color w:val="auto"/>
        </w:rPr>
      </w:pPr>
    </w:p>
    <w:p>
      <w:pPr>
        <w:ind w:right="380" w:firstLine="441"/>
        <w:spacing w:after="0" w:line="314" w:lineRule="auto"/>
        <w:rPr>
          <w:sz w:val="20"/>
          <w:szCs w:val="20"/>
          <w:color w:val="auto"/>
        </w:rPr>
      </w:pPr>
      <w:r>
        <w:rPr>
          <w:rFonts w:ascii="Arial" w:cs="Arial" w:eastAsia="Arial" w:hAnsi="Arial"/>
          <w:sz w:val="16"/>
          <w:szCs w:val="16"/>
          <w:b w:val="1"/>
          <w:bCs w:val="1"/>
          <w:color w:val="auto"/>
        </w:rPr>
        <w:t xml:space="preserve">5.10 Insurance. </w:t>
      </w:r>
      <w:r>
        <w:rPr>
          <w:rFonts w:ascii="Arial" w:cs="Arial" w:eastAsia="Arial" w:hAnsi="Arial"/>
          <w:sz w:val="16"/>
          <w:szCs w:val="16"/>
          <w:color w:val="auto"/>
        </w:rPr>
        <w:t>The properties of the Company and its Restricted Subsidiaries are insured with financially sound and reputable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not Affiliates of any Borrower, in such amounts, with such deductibles and covering such risks as are customarily carried by companies engaged in similar businesses and owning similar properties in localities where the Company or the applicable Restricted Subsidiary operates.</w:t>
      </w:r>
    </w:p>
    <w:p>
      <w:pPr>
        <w:spacing w:after="0" w:line="142"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b w:val="1"/>
          <w:bCs w:val="1"/>
          <w:color w:val="auto"/>
        </w:rPr>
        <w:t xml:space="preserve">5.11 Taxes. </w:t>
      </w:r>
      <w:r>
        <w:rPr>
          <w:rFonts w:ascii="Arial" w:cs="Arial" w:eastAsia="Arial" w:hAnsi="Arial"/>
          <w:sz w:val="17"/>
          <w:szCs w:val="17"/>
          <w:color w:val="auto"/>
        </w:rPr>
        <w:t>The Company and its Restricted Subsidiaries have filed all Federal, state and other material tax returns and reports required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written proposed tax assessment against the Company or any Subsidiary that would, if made, have a Material Adverse Effect. Neither any Loan Party nor any Subsidiary thereof is party to any tax sharing agreement by or among any one or more other Loan Parties or Subsidiaries that has not been disclosed to the Administrative Agent and the Lenders, excluding, for the avoidance of doubt, commercial agreements with third parties entered into in the ordinary course of business one of the principal purposes of which is not tax.</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5.12 ERISA Compliance.</w:t>
      </w:r>
    </w:p>
    <w:p>
      <w:pPr>
        <w:spacing w:after="0" w:line="121" w:lineRule="exact"/>
        <w:rPr>
          <w:sz w:val="20"/>
          <w:szCs w:val="20"/>
          <w:color w:val="auto"/>
        </w:rPr>
      </w:pPr>
    </w:p>
    <w:p>
      <w:pPr>
        <w:ind w:right="40" w:firstLine="444"/>
        <w:spacing w:after="0" w:line="273" w:lineRule="auto"/>
        <w:tabs>
          <w:tab w:leader="none" w:pos="685" w:val="left"/>
        </w:tabs>
        <w:numPr>
          <w:ilvl w:val="0"/>
          <w:numId w:val="142"/>
        </w:numPr>
        <w:rPr>
          <w:rFonts w:ascii="Arial" w:cs="Arial" w:eastAsia="Arial" w:hAnsi="Arial"/>
          <w:sz w:val="17"/>
          <w:szCs w:val="17"/>
          <w:color w:val="auto"/>
        </w:rPr>
      </w:pPr>
      <w:r>
        <w:rPr>
          <w:rFonts w:ascii="Arial" w:cs="Arial" w:eastAsia="Arial" w:hAnsi="Arial"/>
          <w:sz w:val="17"/>
          <w:szCs w:val="17"/>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from the Internal Revenue Service or is permitted to rely on an opinion letter from the Internal Revenue Service to the effect that the form of such Plan is qualified under Section 401(a) of the Code and the trust related thereto has been determined by the Internal Revenue Service to be exempt from federal income tax under Section 501(a) of the Code, or an application for such a determination letter is currently being processed by the Internal Revenue Service. To the best knowledge of the Company, nothing has occurred that would prevent or cause the loss of such tax-qualified status.</w:t>
      </w:r>
    </w:p>
    <w:p>
      <w:pPr>
        <w:spacing w:after="0" w:line="70" w:lineRule="exact"/>
        <w:rPr>
          <w:rFonts w:ascii="Arial" w:cs="Arial" w:eastAsia="Arial" w:hAnsi="Arial"/>
          <w:sz w:val="17"/>
          <w:szCs w:val="17"/>
          <w:color w:val="auto"/>
        </w:rPr>
      </w:pPr>
    </w:p>
    <w:p>
      <w:pPr>
        <w:ind w:right="140" w:firstLine="444"/>
        <w:spacing w:after="0" w:line="259" w:lineRule="auto"/>
        <w:tabs>
          <w:tab w:leader="none" w:pos="69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There are no pending or, to the best knowledge of the Company,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78" w:lineRule="exact"/>
        <w:rPr>
          <w:rFonts w:ascii="Arial" w:cs="Arial" w:eastAsia="Arial" w:hAnsi="Arial"/>
          <w:sz w:val="18"/>
          <w:szCs w:val="18"/>
          <w:color w:val="auto"/>
        </w:rPr>
      </w:pPr>
    </w:p>
    <w:p>
      <w:pPr>
        <w:ind w:firstLine="444"/>
        <w:spacing w:after="0" w:line="255" w:lineRule="auto"/>
        <w:tabs>
          <w:tab w:leader="none" w:pos="68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No ERISA Event has occurred, and neither the Company nor any ERISA Affiliate is aware of any fact, event or circumstance that could reasonably be expected to constitute or result in an ERISA Event with respect to any Pension Plan, which has resulted or could reasonably be expected to result in liability of the Company or any of its Restricted Subsidiaries under Title IV of ERISA to the Pension Plan, Multiemployer Plan or the PBGC in an aggregate amount in excess of the Threshold Amount; (ii) the Company and each ERISA Affiliate has met all applicable requirements under the Pension Funding Rules in respect of each Pension Plan, except as could not, either individually or in the aggregate, reasonably be expected to result in a Material Adverse Effect, and no waiver of the minimum</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60"/>
          </w:cols>
          <w:pgMar w:left="440" w:top="270" w:right="499" w:bottom="1440" w:gutter="0" w:footer="0" w:header="0"/>
        </w:sectPr>
      </w:pPr>
    </w:p>
    <w:bookmarkStart w:id="96" w:name="page97"/>
    <w:bookmarkEnd w:id="9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funding standards under the Pension Funding Rules has been applied for or obtained; (iii) as of the most recent valuation date for any Pension Plan, the funding target attainment percentage (as defined in Section 430(d)(2) of the Code) is 60% or higher and neither the Company nor any ERISA Affiliate knows 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could be subject to Section 4069 or Section 4212(c) of ERISA; and (vi) no Pension Plan has been terminated by the plan administrator, which has resulted or could reasonably be expected to result in liability of the Company or any of its Restricted Subsidiaries under Title IV of ERISA to the Pension Plan or the PBGC in an aggregate amount in excess of the Threshold Amount and no Pension Plan has been terminated by the PBGC, and no event or circumstance has occurred or exists that could reasonably be expected to cause the PBGC to institute proceedings under Title IV of ERISA to terminate any Pension Plan.</w:t>
      </w:r>
    </w:p>
    <w:p>
      <w:pPr>
        <w:spacing w:after="0" w:line="70" w:lineRule="exact"/>
        <w:rPr>
          <w:sz w:val="20"/>
          <w:szCs w:val="20"/>
          <w:color w:val="auto"/>
        </w:rPr>
      </w:pPr>
    </w:p>
    <w:p>
      <w:pPr>
        <w:ind w:right="20" w:firstLine="444"/>
        <w:spacing w:after="0" w:line="264" w:lineRule="auto"/>
        <w:tabs>
          <w:tab w:leader="none" w:pos="69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Neither the Company nor any ERISA Affiliate maintains or contributes to, or has any unsatisfied obligation to contribute to, or liability under, any active or terminated Pension Plan other than (i) on the Closing Date, those listed on </w:t>
      </w:r>
      <w:r>
        <w:rPr>
          <w:rFonts w:ascii="Arial" w:cs="Arial" w:eastAsia="Arial" w:hAnsi="Arial"/>
          <w:sz w:val="18"/>
          <w:szCs w:val="18"/>
          <w:u w:val="single" w:color="auto"/>
          <w:color w:val="auto"/>
        </w:rPr>
        <w:t>Schedule 5.12(d)</w:t>
      </w:r>
      <w:r>
        <w:rPr>
          <w:rFonts w:ascii="Arial" w:cs="Arial" w:eastAsia="Arial" w:hAnsi="Arial"/>
          <w:sz w:val="18"/>
          <w:szCs w:val="18"/>
          <w:color w:val="auto"/>
        </w:rPr>
        <w:t xml:space="preserve"> and (ii) thereafter, Pension Plans not otherwise prohibited by this Agreement.</w:t>
      </w:r>
    </w:p>
    <w:p>
      <w:pPr>
        <w:spacing w:after="0" w:line="73" w:lineRule="exact"/>
        <w:rPr>
          <w:rFonts w:ascii="Arial" w:cs="Arial" w:eastAsia="Arial" w:hAnsi="Arial"/>
          <w:sz w:val="18"/>
          <w:szCs w:val="18"/>
          <w:color w:val="auto"/>
        </w:rPr>
      </w:pPr>
    </w:p>
    <w:p>
      <w:pPr>
        <w:ind w:right="320" w:firstLine="444"/>
        <w:spacing w:after="0" w:line="264" w:lineRule="auto"/>
        <w:tabs>
          <w:tab w:leader="none" w:pos="68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With respect to each scheme or arrangement mandated by a government other than the United States (a “</w:t>
      </w:r>
      <w:r>
        <w:rPr>
          <w:rFonts w:ascii="Arial" w:cs="Arial" w:eastAsia="Arial" w:hAnsi="Arial"/>
          <w:sz w:val="18"/>
          <w:szCs w:val="18"/>
          <w:u w:val="single" w:color="auto"/>
          <w:color w:val="auto"/>
        </w:rPr>
        <w:t>Foreign Government Scheme or</w:t>
      </w:r>
      <w:r>
        <w:rPr>
          <w:rFonts w:ascii="Arial" w:cs="Arial" w:eastAsia="Arial" w:hAnsi="Arial"/>
          <w:sz w:val="18"/>
          <w:szCs w:val="18"/>
          <w:color w:val="auto"/>
        </w:rPr>
        <w:t xml:space="preserve"> </w:t>
      </w:r>
      <w:r>
        <w:rPr>
          <w:rFonts w:ascii="Arial" w:cs="Arial" w:eastAsia="Arial" w:hAnsi="Arial"/>
          <w:sz w:val="18"/>
          <w:szCs w:val="18"/>
          <w:u w:val="single" w:color="auto"/>
          <w:color w:val="auto"/>
        </w:rPr>
        <w:t>Arrangement</w:t>
      </w:r>
      <w:r>
        <w:rPr>
          <w:rFonts w:ascii="Arial" w:cs="Arial" w:eastAsia="Arial" w:hAnsi="Arial"/>
          <w:sz w:val="18"/>
          <w:szCs w:val="18"/>
          <w:color w:val="auto"/>
        </w:rPr>
        <w:t>”) and with respect to each employee benefit plan maintained or contributed to by the Company or any Restricted Subsidiary that is not subject to United States law (a “</w:t>
      </w:r>
      <w:r>
        <w:rPr>
          <w:rFonts w:ascii="Arial" w:cs="Arial" w:eastAsia="Arial" w:hAnsi="Arial"/>
          <w:sz w:val="18"/>
          <w:szCs w:val="18"/>
          <w:u w:val="single" w:color="auto"/>
          <w:color w:val="auto"/>
        </w:rPr>
        <w:t>Foreign Plan</w:t>
      </w:r>
      <w:r>
        <w:rPr>
          <w:rFonts w:ascii="Arial" w:cs="Arial" w:eastAsia="Arial" w:hAnsi="Arial"/>
          <w:sz w:val="18"/>
          <w:szCs w:val="18"/>
          <w:color w:val="auto"/>
        </w:rPr>
        <w:t>”):</w:t>
      </w:r>
    </w:p>
    <w:p>
      <w:pPr>
        <w:spacing w:after="0" w:line="73" w:lineRule="exact"/>
        <w:rPr>
          <w:rFonts w:ascii="Arial" w:cs="Arial" w:eastAsia="Arial" w:hAnsi="Arial"/>
          <w:sz w:val="18"/>
          <w:szCs w:val="18"/>
          <w:color w:val="auto"/>
        </w:rPr>
      </w:pPr>
    </w:p>
    <w:p>
      <w:pPr>
        <w:ind w:left="440" w:right="260" w:firstLine="428"/>
        <w:spacing w:after="0" w:line="277" w:lineRule="auto"/>
        <w:tabs>
          <w:tab w:leader="none" w:pos="107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employer and employee contributions required by law or by the terms of any Foreign Government Scheme or Arrangement or any Foreign Plan have been made, or, if applicable, accrued, in accordance with normal accounting practices;</w:t>
      </w:r>
    </w:p>
    <w:p>
      <w:pPr>
        <w:spacing w:after="0" w:line="62" w:lineRule="exact"/>
        <w:rPr>
          <w:rFonts w:ascii="Arial" w:cs="Arial" w:eastAsia="Arial" w:hAnsi="Arial"/>
          <w:sz w:val="18"/>
          <w:szCs w:val="18"/>
          <w:color w:val="auto"/>
        </w:rPr>
      </w:pPr>
    </w:p>
    <w:p>
      <w:pPr>
        <w:ind w:left="440" w:right="40" w:firstLine="428"/>
        <w:spacing w:after="0" w:line="297" w:lineRule="auto"/>
        <w:tabs>
          <w:tab w:leader="none" w:pos="1128"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except as could not, either individually or in the aggregate, reasonably be expected to result in a Material Adverse Effect, 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account for such obligations in accordance with applicable generally accepted accounting principles; and</w:t>
      </w:r>
    </w:p>
    <w:p>
      <w:pPr>
        <w:spacing w:after="0" w:line="50" w:lineRule="exact"/>
        <w:rPr>
          <w:rFonts w:ascii="Arial" w:cs="Arial" w:eastAsia="Arial" w:hAnsi="Arial"/>
          <w:sz w:val="16"/>
          <w:szCs w:val="16"/>
          <w:color w:val="auto"/>
        </w:rPr>
      </w:pPr>
    </w:p>
    <w:p>
      <w:pPr>
        <w:ind w:left="440" w:right="320" w:firstLine="428"/>
        <w:spacing w:after="0" w:line="277" w:lineRule="auto"/>
        <w:tabs>
          <w:tab w:leader="none" w:pos="117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each Foreign Plan required to be registered has been registered and has been maintained in good standing with applicable regulatory authorities.</w:t>
      </w:r>
    </w:p>
    <w:p>
      <w:pPr>
        <w:spacing w:after="0" w:line="166"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b w:val="1"/>
          <w:bCs w:val="1"/>
          <w:color w:val="auto"/>
        </w:rPr>
        <w:t xml:space="preserve">5.13 Subsidiaries; Equity Investments; Loan Parties. </w:t>
      </w:r>
      <w:r>
        <w:rPr>
          <w:rFonts w:ascii="Arial" w:cs="Arial" w:eastAsia="Arial" w:hAnsi="Arial"/>
          <w:sz w:val="17"/>
          <w:szCs w:val="17"/>
          <w:color w:val="auto"/>
        </w:rPr>
        <w:t>As of the Closing Date, the Company has no Subsidiaries other than those specifically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disclosed in </w:t>
      </w:r>
      <w:r>
        <w:rPr>
          <w:rFonts w:ascii="Arial" w:cs="Arial" w:eastAsia="Arial" w:hAnsi="Arial"/>
          <w:sz w:val="17"/>
          <w:szCs w:val="17"/>
          <w:u w:val="single" w:color="auto"/>
          <w:color w:val="auto"/>
        </w:rPr>
        <w:t>Part (a)</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and all of the outstanding Equity Interests of each Restricted Subsidiary have been validly issued, are fully paid and nonassessable (to the extent such concept is applicable) and are owned by a Loan Party in the amounts specified on </w:t>
      </w:r>
      <w:r>
        <w:rPr>
          <w:rFonts w:ascii="Arial" w:cs="Arial" w:eastAsia="Arial" w:hAnsi="Arial"/>
          <w:sz w:val="17"/>
          <w:szCs w:val="17"/>
          <w:u w:val="single" w:color="auto"/>
          <w:color w:val="auto"/>
        </w:rPr>
        <w:t>Part (a)</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free and clear of all Liens except those created under the Collateral Documents. As of the Closing Date, the Company has no equity investments in any other corporation or entity other than those specifically disclosed in </w:t>
      </w:r>
      <w:r>
        <w:rPr>
          <w:rFonts w:ascii="Arial" w:cs="Arial" w:eastAsia="Arial" w:hAnsi="Arial"/>
          <w:sz w:val="17"/>
          <w:szCs w:val="17"/>
          <w:u w:val="single" w:color="auto"/>
          <w:color w:val="auto"/>
        </w:rPr>
        <w:t>Part (b)</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All of the outstanding Equity Interests in the Company have been validly issued and are fully paid and nonassessable. Part (c) of </w:t>
      </w:r>
      <w:r>
        <w:rPr>
          <w:rFonts w:ascii="Arial" w:cs="Arial" w:eastAsia="Arial" w:hAnsi="Arial"/>
          <w:sz w:val="17"/>
          <w:szCs w:val="17"/>
          <w:u w:val="single" w:color="auto"/>
          <w:color w:val="auto"/>
        </w:rPr>
        <w:t>Schedule 5.13</w:t>
      </w:r>
      <w:r>
        <w:rPr>
          <w:rFonts w:ascii="Arial" w:cs="Arial" w:eastAsia="Arial" w:hAnsi="Arial"/>
          <w:sz w:val="17"/>
          <w:szCs w:val="17"/>
          <w:color w:val="auto"/>
        </w:rPr>
        <w:t xml:space="preserve"> sets forth the name, jurisdiction of organization and U.S. taxpayer identification number of each Loan Party (or, in the case of any Foreign Obligor, the unique identification number of such Person that has been issued by its jurisdiction of organization) as of the Closing Date.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20"/>
          </w:cols>
          <w:pgMar w:left="440" w:top="274" w:right="439" w:bottom="1440" w:gutter="0" w:footer="0" w:header="0"/>
        </w:sectPr>
      </w:pPr>
    </w:p>
    <w:bookmarkStart w:id="97" w:name="page98"/>
    <w:bookmarkEnd w:id="9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5.14 Margin Regulations; Investment Company Act.</w:t>
      </w:r>
    </w:p>
    <w:p>
      <w:pPr>
        <w:spacing w:after="0" w:line="121" w:lineRule="exact"/>
        <w:rPr>
          <w:sz w:val="20"/>
          <w:szCs w:val="20"/>
          <w:color w:val="auto"/>
        </w:rPr>
      </w:pPr>
    </w:p>
    <w:p>
      <w:pPr>
        <w:ind w:right="80" w:firstLine="444"/>
        <w:spacing w:after="0" w:line="308" w:lineRule="auto"/>
        <w:tabs>
          <w:tab w:leader="none" w:pos="685" w:val="left"/>
        </w:tabs>
        <w:numPr>
          <w:ilvl w:val="0"/>
          <w:numId w:val="144"/>
        </w:numPr>
        <w:rPr>
          <w:rFonts w:ascii="Arial" w:cs="Arial" w:eastAsia="Arial" w:hAnsi="Arial"/>
          <w:sz w:val="17"/>
          <w:szCs w:val="17"/>
          <w:color w:val="auto"/>
        </w:rPr>
      </w:pPr>
      <w:r>
        <w:rPr>
          <w:rFonts w:ascii="Arial" w:cs="Arial" w:eastAsia="Arial" w:hAnsi="Arial"/>
          <w:sz w:val="17"/>
          <w:szCs w:val="17"/>
          <w:color w:val="auto"/>
        </w:rPr>
        <w:t>No Borrower is engaged or will engage, principally or as one of its important activities, in the business of purchasing or carrying margin stock (within the meaning of Regulation U issued by the FRB), or extending credit for the purpose of purchasing or carrying margin stock.</w:t>
      </w:r>
    </w:p>
    <w:p>
      <w:pPr>
        <w:spacing w:after="0" w:line="38" w:lineRule="exact"/>
        <w:rPr>
          <w:rFonts w:ascii="Arial" w:cs="Arial" w:eastAsia="Arial" w:hAnsi="Arial"/>
          <w:sz w:val="17"/>
          <w:szCs w:val="17"/>
          <w:color w:val="auto"/>
        </w:rPr>
      </w:pPr>
    </w:p>
    <w:p>
      <w:pPr>
        <w:ind w:right="200" w:firstLine="444"/>
        <w:spacing w:after="0" w:line="277" w:lineRule="auto"/>
        <w:tabs>
          <w:tab w:leader="none" w:pos="696" w:val="left"/>
        </w:tabs>
        <w:numPr>
          <w:ilvl w:val="0"/>
          <w:numId w:val="144"/>
        </w:numPr>
        <w:rPr>
          <w:rFonts w:ascii="Arial" w:cs="Arial" w:eastAsia="Arial" w:hAnsi="Arial"/>
          <w:sz w:val="18"/>
          <w:szCs w:val="18"/>
          <w:color w:val="auto"/>
        </w:rPr>
      </w:pPr>
      <w:r>
        <w:rPr>
          <w:rFonts w:ascii="Arial" w:cs="Arial" w:eastAsia="Arial" w:hAnsi="Arial"/>
          <w:sz w:val="18"/>
          <w:szCs w:val="18"/>
          <w:color w:val="auto"/>
        </w:rPr>
        <w:t>None of the Company, any Person Controlling the Company, or any Restricted Subsidiary is or is required to be registered as an “investment company” under the Investment Company Act of 1940.</w:t>
      </w:r>
    </w:p>
    <w:p>
      <w:pPr>
        <w:spacing w:after="0" w:line="166"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b w:val="1"/>
          <w:bCs w:val="1"/>
          <w:color w:val="auto"/>
        </w:rPr>
        <w:t xml:space="preserve">5.15 Disclosure. </w:t>
      </w:r>
      <w:r>
        <w:rPr>
          <w:rFonts w:ascii="Arial" w:cs="Arial" w:eastAsia="Arial" w:hAnsi="Arial"/>
          <w:sz w:val="18"/>
          <w:szCs w:val="18"/>
          <w:color w:val="auto"/>
        </w:rPr>
        <w:t>No report, financial statement, certificate or other written information furnished by or on behalf of any Loan Party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Administrative Agent or any Lender in connection with the transactions contemplated hereby and the negotiation of this Agreement or delivered hereunder or under any other Loan Document (in each case, as modified or supplemented by other information so furnished), when taken as a whole, contains any material misstatement of fact or omits to state any material fact necessary to make the statements therein, in the light of the circumstances under which they were made, not misleading in any material respect;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the Company represents only that such information was prepared in good faith based upon assumptions believed to be reasonable at the time (it being understood that any projected financial information is subject to uncertainties and contingencies, some of which are beyond the control of the Company, that no assurance can be given that any particular projected financial information will be realized, that actual results may differ and that such differences may be material).</w:t>
      </w:r>
    </w:p>
    <w:p>
      <w:pPr>
        <w:spacing w:after="0" w:line="189" w:lineRule="exact"/>
        <w:rPr>
          <w:sz w:val="20"/>
          <w:szCs w:val="20"/>
          <w:color w:val="auto"/>
        </w:rPr>
      </w:pPr>
    </w:p>
    <w:p>
      <w:pPr>
        <w:ind w:right="20" w:firstLine="441"/>
        <w:spacing w:after="0" w:line="281" w:lineRule="auto"/>
        <w:rPr>
          <w:sz w:val="20"/>
          <w:szCs w:val="20"/>
          <w:color w:val="auto"/>
        </w:rPr>
      </w:pPr>
      <w:r>
        <w:rPr>
          <w:rFonts w:ascii="Arial" w:cs="Arial" w:eastAsia="Arial" w:hAnsi="Arial"/>
          <w:sz w:val="17"/>
          <w:szCs w:val="17"/>
          <w:b w:val="1"/>
          <w:bCs w:val="1"/>
          <w:color w:val="auto"/>
        </w:rPr>
        <w:t xml:space="preserve">5.16 Compliance with Laws. </w:t>
      </w:r>
      <w:r>
        <w:rPr>
          <w:rFonts w:ascii="Arial" w:cs="Arial" w:eastAsia="Arial" w:hAnsi="Arial"/>
          <w:sz w:val="17"/>
          <w:szCs w:val="17"/>
          <w:color w:val="auto"/>
        </w:rPr>
        <w:t>Each Loan Party and each Restricted Subsidiary thereof is in compliance in all material respects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65"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b w:val="1"/>
          <w:bCs w:val="1"/>
          <w:color w:val="auto"/>
        </w:rPr>
        <w:t xml:space="preserve">5.17 Intellectual Property; Licenses, Etc. </w:t>
      </w:r>
      <w:r>
        <w:rPr>
          <w:rFonts w:ascii="Arial" w:cs="Arial" w:eastAsia="Arial" w:hAnsi="Arial"/>
          <w:sz w:val="17"/>
          <w:szCs w:val="17"/>
          <w:color w:val="auto"/>
        </w:rPr>
        <w:t>The Company and its Restricted Subsidiaries own, or possess the right to use, all of the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trademarks, service marks, trade names, copyrights, patents, patent rights, franchises, licenses and other intellectual property rights (collectively, “</w:t>
      </w:r>
      <w:r>
        <w:rPr>
          <w:rFonts w:ascii="Arial" w:cs="Arial" w:eastAsia="Arial" w:hAnsi="Arial"/>
          <w:sz w:val="17"/>
          <w:szCs w:val="17"/>
          <w:u w:val="single" w:color="auto"/>
          <w:color w:val="auto"/>
        </w:rPr>
        <w:t>IP</w:t>
      </w:r>
      <w:r>
        <w:rPr>
          <w:rFonts w:ascii="Arial" w:cs="Arial" w:eastAsia="Arial" w:hAnsi="Arial"/>
          <w:sz w:val="17"/>
          <w:szCs w:val="17"/>
          <w:color w:val="auto"/>
        </w:rPr>
        <w:t xml:space="preserve"> </w:t>
      </w:r>
      <w:r>
        <w:rPr>
          <w:rFonts w:ascii="Arial" w:cs="Arial" w:eastAsia="Arial" w:hAnsi="Arial"/>
          <w:sz w:val="17"/>
          <w:szCs w:val="17"/>
          <w:u w:val="single" w:color="auto"/>
          <w:color w:val="auto"/>
        </w:rPr>
        <w:t>Rights</w:t>
      </w:r>
      <w:r>
        <w:rPr>
          <w:rFonts w:ascii="Arial" w:cs="Arial" w:eastAsia="Arial" w:hAnsi="Arial"/>
          <w:sz w:val="17"/>
          <w:szCs w:val="17"/>
          <w:color w:val="auto"/>
        </w:rPr>
        <w:t>”) that are reasonably necessary for the operation of their respective businesses, without infringing upon the rights of any other Person. To the best knowledge of the Company, no slogan or other advertising device, product, process, method, substance, part or other material now employed, or now contemplated to be employed, by the Company or any Restricted Subsidiary infringes upon any rights held by any other Person. No claim or litigation regarding any of the foregoing is pending or, to the best knowledge of the Company, threatened, which, either individually or in the aggregate, could reasonably be expected to have a Material Adverse Effect.</w:t>
      </w:r>
    </w:p>
    <w:p>
      <w:pPr>
        <w:spacing w:after="0" w:line="172"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b w:val="1"/>
          <w:bCs w:val="1"/>
          <w:color w:val="auto"/>
        </w:rPr>
        <w:t xml:space="preserve">5.18 OFAC. </w:t>
      </w:r>
      <w:r>
        <w:rPr>
          <w:rFonts w:ascii="Arial" w:cs="Arial" w:eastAsia="Arial" w:hAnsi="Arial"/>
          <w:sz w:val="17"/>
          <w:szCs w:val="17"/>
          <w:color w:val="auto"/>
        </w:rPr>
        <w:t>Neither the Company, nor any of its Subsidiaries, nor, to the knowledge of the Company and its Subsidiaries, any director,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agent, affiliate or representative thereof, is an individual or entity that is, or is owned or controlled by one or more individuals or entities that are (a) currently the subject or target of any Sanctions, (b) included on OFAC’s List of Specially Designated Nationals or HMT’s Consolidated List of Financial Sanctions Targets and the Investment Ban List, or any similar list enforced by any other relevant sanctions authority or (c) located, organized or resident in a Designated Jurisdiction. The Company and its Subsidiaries have conducted their businesses in compliance in all material respects with all applicable Sanctions and have, in their reasonable business judgment, instituted and maintained policies and procedures designed to promote and achieve compliance with such Sanctions.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70" w:right="439" w:bottom="1440" w:gutter="0" w:footer="0" w:header="0"/>
        </w:sectPr>
      </w:pPr>
    </w:p>
    <w:bookmarkStart w:id="98" w:name="page99"/>
    <w:bookmarkEnd w:id="9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5.19 Solvency. </w:t>
      </w:r>
      <w:r>
        <w:rPr>
          <w:rFonts w:ascii="Arial" w:cs="Arial" w:eastAsia="Arial" w:hAnsi="Arial"/>
          <w:sz w:val="18"/>
          <w:szCs w:val="18"/>
          <w:color w:val="auto"/>
        </w:rPr>
        <w:t>The Loan Parties, on a consolidated basis, are Solvent.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5.20 [Reserved.]</w:t>
      </w:r>
    </w:p>
    <w:p>
      <w:pPr>
        <w:spacing w:after="0" w:line="225"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 xml:space="preserve">5.21 Labor Matters. </w:t>
      </w:r>
      <w:r>
        <w:rPr>
          <w:rFonts w:ascii="Arial" w:cs="Arial" w:eastAsia="Arial" w:hAnsi="Arial"/>
          <w:sz w:val="18"/>
          <w:szCs w:val="18"/>
          <w:color w:val="auto"/>
        </w:rPr>
        <w:t>Except for those listed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5.21</w:t>
      </w:r>
      <w:r>
        <w:rPr>
          <w:rFonts w:ascii="Arial" w:cs="Arial" w:eastAsia="Arial" w:hAnsi="Arial"/>
          <w:sz w:val="18"/>
          <w:szCs w:val="18"/>
          <w:color w:val="auto"/>
        </w:rPr>
        <w:t>, there are no collective bargaining agreements or Multiemployer Plans covering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of the Company or any of its Restricted Subsidiaries as of the Closing Date. Neither the Company nor any Restricted Subsidiary has suffered any strikes, walkouts, work stoppages or other material labor difficulty within the last five years.</w:t>
      </w:r>
    </w:p>
    <w:p>
      <w:pPr>
        <w:spacing w:after="0" w:line="176"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b w:val="1"/>
          <w:bCs w:val="1"/>
          <w:color w:val="auto"/>
        </w:rPr>
        <w:t xml:space="preserve">5.22 Collateral Documents. </w:t>
      </w:r>
      <w:r>
        <w:rPr>
          <w:rFonts w:ascii="Arial" w:cs="Arial" w:eastAsia="Arial" w:hAnsi="Arial"/>
          <w:sz w:val="18"/>
          <w:szCs w:val="18"/>
          <w:color w:val="auto"/>
        </w:rPr>
        <w:t>The provisions of the Collateral Documents are effective to create in favor of the Administrative Agent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benefit of the Secured Parties a legal, valid and enforceable first priority Lien (subject to Permitted Liens) on all right, title and interest of the respective Loan Parties in the Collateral described therein. Except for filings completed on or prior to the Closing Date and as contemplated hereby and by the Collateral Documents, no filing or other action will be necessary to perfect or protect such Liens.</w:t>
      </w:r>
    </w:p>
    <w:p>
      <w:pPr>
        <w:spacing w:after="0" w:line="180" w:lineRule="exact"/>
        <w:rPr>
          <w:sz w:val="20"/>
          <w:szCs w:val="20"/>
          <w:color w:val="auto"/>
        </w:rPr>
      </w:pPr>
    </w:p>
    <w:p>
      <w:pPr>
        <w:ind w:right="320" w:firstLine="441"/>
        <w:spacing w:after="0" w:line="282" w:lineRule="auto"/>
        <w:rPr>
          <w:sz w:val="20"/>
          <w:szCs w:val="20"/>
          <w:color w:val="auto"/>
        </w:rPr>
      </w:pPr>
      <w:r>
        <w:rPr>
          <w:rFonts w:ascii="Arial" w:cs="Arial" w:eastAsia="Arial" w:hAnsi="Arial"/>
          <w:sz w:val="18"/>
          <w:szCs w:val="18"/>
          <w:b w:val="1"/>
          <w:bCs w:val="1"/>
          <w:color w:val="auto"/>
        </w:rPr>
        <w:t xml:space="preserve">5.23 Representations as to Foreign Obligors. </w:t>
      </w:r>
      <w:r>
        <w:rPr>
          <w:rFonts w:ascii="Arial" w:cs="Arial" w:eastAsia="Arial" w:hAnsi="Arial"/>
          <w:sz w:val="18"/>
          <w:szCs w:val="18"/>
          <w:color w:val="auto"/>
        </w:rPr>
        <w:t>Each of the Company and each Foreign Obligor represents and warrants to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the Lenders that:</w:t>
      </w:r>
    </w:p>
    <w:p>
      <w:pPr>
        <w:spacing w:after="0" w:line="58" w:lineRule="exact"/>
        <w:rPr>
          <w:sz w:val="20"/>
          <w:szCs w:val="20"/>
          <w:color w:val="auto"/>
        </w:rPr>
      </w:pPr>
    </w:p>
    <w:p>
      <w:pPr>
        <w:ind w:right="20" w:firstLine="444"/>
        <w:spacing w:after="0" w:line="293" w:lineRule="auto"/>
        <w:tabs>
          <w:tab w:leader="none" w:pos="68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Such Foreign Obligor is subject to civil and commercial Laws with respect to its obligations under this Agreement and the other Loan Documents to which it is a party (collectively as to such Foreign Obligor, the “</w:t>
      </w:r>
      <w:r>
        <w:rPr>
          <w:rFonts w:ascii="Arial" w:cs="Arial" w:eastAsia="Arial" w:hAnsi="Arial"/>
          <w:sz w:val="16"/>
          <w:szCs w:val="16"/>
          <w:u w:val="single" w:color="auto"/>
          <w:color w:val="auto"/>
        </w:rPr>
        <w:t>Applicable Foreign Obligor Documents</w:t>
      </w:r>
      <w:r>
        <w:rPr>
          <w:rFonts w:ascii="Arial" w:cs="Arial" w:eastAsia="Arial" w:hAnsi="Arial"/>
          <w:sz w:val="16"/>
          <w:szCs w:val="16"/>
          <w:color w:val="auto"/>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spacing w:after="0" w:line="56" w:lineRule="exact"/>
        <w:rPr>
          <w:rFonts w:ascii="Arial" w:cs="Arial" w:eastAsia="Arial" w:hAnsi="Arial"/>
          <w:sz w:val="16"/>
          <w:szCs w:val="16"/>
          <w:color w:val="auto"/>
        </w:rPr>
      </w:pPr>
    </w:p>
    <w:p>
      <w:pPr>
        <w:ind w:right="40" w:firstLine="444"/>
        <w:spacing w:after="0" w:line="290" w:lineRule="auto"/>
        <w:tabs>
          <w:tab w:leader="none" w:pos="696"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except for (i) any such filing, registration, recording, execution or notarization as has been made or is not required to be made until the Applicable Foreign Obligor Document or any other document is sought to be enforced and (ii) any charge or tax as has been timely paid.</w:t>
      </w:r>
    </w:p>
    <w:p>
      <w:pPr>
        <w:spacing w:after="0" w:line="58" w:lineRule="exact"/>
        <w:rPr>
          <w:rFonts w:ascii="Arial" w:cs="Arial" w:eastAsia="Arial" w:hAnsi="Arial"/>
          <w:sz w:val="16"/>
          <w:szCs w:val="16"/>
          <w:color w:val="auto"/>
        </w:rPr>
      </w:pPr>
    </w:p>
    <w:p>
      <w:pPr>
        <w:ind w:right="160" w:firstLine="444"/>
        <w:spacing w:after="0" w:line="259" w:lineRule="auto"/>
        <w:tabs>
          <w:tab w:leader="none" w:pos="68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There is no tax, levy, impost, duty, fee, assessment or other governmental charge, or any deduction or withholding, imposed by any Governmental Authority in or of the jurisdiction in which such Foreign Obligor is organized and existing either (i) on or by virtue of the execution or delivery of the Applicable Foreign Obligor Documents or (ii) on any payment to be made by such Foreign Obligor pursuant to the Applicable Foreign Obligor Documents, except as has been disclosed to the Administrative Agent.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80"/>
          </w:cols>
          <w:pgMar w:left="440" w:top="270" w:right="479" w:bottom="1440" w:gutter="0" w:footer="0" w:header="0"/>
        </w:sectPr>
      </w:pPr>
    </w:p>
    <w:bookmarkStart w:id="99" w:name="page100"/>
    <w:bookmarkEnd w:id="99"/>
    <w:p>
      <w:pPr>
        <w:ind w:right="200" w:firstLine="444"/>
        <w:spacing w:after="0" w:line="279" w:lineRule="auto"/>
        <w:tabs>
          <w:tab w:leader="none" w:pos="696" w:val="left"/>
        </w:tabs>
        <w:numPr>
          <w:ilvl w:val="0"/>
          <w:numId w:val="14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notification or authorization described in clause (ii) shall be made or obtained as soon as is reasonably practicable).</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5.24 Anti-Corruption Laws; Sanctions; Use of Proceeds.</w:t>
      </w:r>
    </w:p>
    <w:p>
      <w:pPr>
        <w:spacing w:after="0" w:line="121" w:lineRule="exact"/>
        <w:rPr>
          <w:sz w:val="20"/>
          <w:szCs w:val="20"/>
          <w:color w:val="auto"/>
        </w:rPr>
      </w:pPr>
    </w:p>
    <w:p>
      <w:pPr>
        <w:ind w:right="300" w:firstLine="444"/>
        <w:spacing w:after="0" w:line="312" w:lineRule="auto"/>
        <w:tabs>
          <w:tab w:leader="none" w:pos="685"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The Company and its Subsidiaries have conducted their businesses in compliance with the United States Foreign Corrupt Practices Act of 1977, the UK Bribery Act 2010, and other similar anti-corruption legislation in other jurisdictions to which the Company and its Subsidiaries are subject, and have instituted and maintained policies and procedures designed to promote and achieve compliance with such laws.</w:t>
      </w:r>
    </w:p>
    <w:p>
      <w:pPr>
        <w:spacing w:after="0" w:line="38" w:lineRule="exact"/>
        <w:rPr>
          <w:rFonts w:ascii="Arial" w:cs="Arial" w:eastAsia="Arial" w:hAnsi="Arial"/>
          <w:sz w:val="16"/>
          <w:szCs w:val="16"/>
          <w:color w:val="auto"/>
        </w:rPr>
      </w:pPr>
    </w:p>
    <w:p>
      <w:pPr>
        <w:ind w:firstLine="444"/>
        <w:spacing w:after="0" w:line="276" w:lineRule="auto"/>
        <w:tabs>
          <w:tab w:leader="none" w:pos="69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Company will not and will not permit any Subsidiary, directly or indirectly, to use the proceeds of any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a Lender, the Arranger, the Administrative Agent, the L/C Issuers, the Swing Line Lender, or otherwise) of Sanctions.</w:t>
      </w:r>
    </w:p>
    <w:p>
      <w:pPr>
        <w:spacing w:after="0" w:line="64" w:lineRule="exact"/>
        <w:rPr>
          <w:rFonts w:ascii="Arial" w:cs="Arial" w:eastAsia="Arial" w:hAnsi="Arial"/>
          <w:sz w:val="17"/>
          <w:szCs w:val="17"/>
          <w:color w:val="auto"/>
        </w:rPr>
      </w:pPr>
    </w:p>
    <w:p>
      <w:pPr>
        <w:ind w:right="40" w:firstLine="444"/>
        <w:spacing w:after="0" w:line="264" w:lineRule="auto"/>
        <w:tabs>
          <w:tab w:leader="none" w:pos="685"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Company will not and will not permit any Subsidiary, to directly or indirectly use the proceeds of any Credit Extension for any purpose which would breach the United States Foreign Corrupt Practices Act of 1977, the UK Bribery Act 2010, and other similar anti-corruption legislation in other jurisdictions to which the Company and its Subsidiaries are subject.</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5.25 EEA Financial Institution. </w:t>
      </w:r>
      <w:r>
        <w:rPr>
          <w:rFonts w:ascii="Arial" w:cs="Arial" w:eastAsia="Arial" w:hAnsi="Arial"/>
          <w:sz w:val="18"/>
          <w:szCs w:val="18"/>
          <w:color w:val="auto"/>
        </w:rPr>
        <w:t>No Loan Party is an EEA Financial Institution.</w:t>
      </w:r>
    </w:p>
    <w:p>
      <w:pPr>
        <w:spacing w:after="0" w:line="22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b w:val="1"/>
          <w:bCs w:val="1"/>
          <w:color w:val="auto"/>
        </w:rPr>
        <w:t xml:space="preserve">5.26 Borrower ERISA Status. </w:t>
      </w:r>
      <w:r>
        <w:rPr>
          <w:rFonts w:ascii="Arial" w:cs="Arial" w:eastAsia="Arial" w:hAnsi="Arial"/>
          <w:sz w:val="18"/>
          <w:szCs w:val="18"/>
          <w:color w:val="auto"/>
        </w:rPr>
        <w:t>Each Borrower represents and warrants as of the Closing Date that such Borrower is not and will not be (a) an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benefit plan subject to Title I of ERISA, (b) a plan or account subject to Section 4975 of the Code; (c) an entity deemed to hold “plan assets” (within the meaning of Section 3(42) of ERISA or otherwise) of any such plans or accounts for purposes of ERISA or the Code; or (d) a “governmental plan” within the meaning of ERISA.</w:t>
      </w:r>
    </w:p>
    <w:p>
      <w:pPr>
        <w:spacing w:after="0" w:line="180" w:lineRule="exact"/>
        <w:rPr>
          <w:sz w:val="20"/>
          <w:szCs w:val="20"/>
          <w:color w:val="auto"/>
        </w:rPr>
      </w:pPr>
    </w:p>
    <w:p>
      <w:pPr>
        <w:ind w:right="560" w:firstLine="441"/>
        <w:spacing w:after="0" w:line="282" w:lineRule="auto"/>
        <w:rPr>
          <w:sz w:val="20"/>
          <w:szCs w:val="20"/>
          <w:color w:val="auto"/>
        </w:rPr>
      </w:pPr>
      <w:r>
        <w:rPr>
          <w:rFonts w:ascii="Arial" w:cs="Arial" w:eastAsia="Arial" w:hAnsi="Arial"/>
          <w:sz w:val="18"/>
          <w:szCs w:val="18"/>
          <w:b w:val="1"/>
          <w:bCs w:val="1"/>
          <w:color w:val="auto"/>
        </w:rPr>
        <w:t xml:space="preserve">5.27 Beneficial Ownership Certification. </w:t>
      </w:r>
      <w:r>
        <w:rPr>
          <w:rFonts w:ascii="Arial" w:cs="Arial" w:eastAsia="Arial" w:hAnsi="Arial"/>
          <w:sz w:val="18"/>
          <w:szCs w:val="18"/>
          <w:color w:val="auto"/>
        </w:rPr>
        <w:t>As of the Closing Date, the information included in any Beneficial Ownership Certification, if</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is true and correct in all respects.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5.28 Covered Entity. </w:t>
      </w:r>
      <w:r>
        <w:rPr>
          <w:rFonts w:ascii="Arial" w:cs="Arial" w:eastAsia="Arial" w:hAnsi="Arial"/>
          <w:sz w:val="18"/>
          <w:szCs w:val="18"/>
          <w:color w:val="auto"/>
        </w:rPr>
        <w:t>No Loan Party is a Covered Entity (as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10.23</w:t>
      </w:r>
      <w:r>
        <w:rPr>
          <w:rFonts w:ascii="Arial" w:cs="Arial" w:eastAsia="Arial" w:hAnsi="Arial"/>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20"/>
          </w:cols>
          <w:pgMar w:left="440" w:top="274" w:right="5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AFFIRMATIVE COVENANTS</w:t>
      </w:r>
    </w:p>
    <w:p>
      <w:pPr>
        <w:spacing w:after="0" w:line="21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So long as the Facility Termination Date has not occurred, the Company shall, and shall (except in the case of the covenants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6.03</w:t>
      </w:r>
      <w:r>
        <w:rPr>
          <w:rFonts w:ascii="Arial" w:cs="Arial" w:eastAsia="Arial" w:hAnsi="Arial"/>
          <w:sz w:val="18"/>
          <w:szCs w:val="18"/>
          <w:color w:val="auto"/>
        </w:rPr>
        <w:t>) cause each Restricted Subsidiary to:</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6.01 Financial Statements. </w:t>
      </w:r>
      <w:r>
        <w:rPr>
          <w:rFonts w:ascii="Arial" w:cs="Arial" w:eastAsia="Arial" w:hAnsi="Arial"/>
          <w:sz w:val="18"/>
          <w:szCs w:val="18"/>
          <w:color w:val="auto"/>
        </w:rPr>
        <w:t>Deliver to the Administrative Agent, in form and detail reasonably satisfactory to the Required Lenders:</w:t>
      </w:r>
    </w:p>
    <w:p>
      <w:pPr>
        <w:spacing w:after="0" w:line="121" w:lineRule="exact"/>
        <w:rPr>
          <w:sz w:val="20"/>
          <w:szCs w:val="20"/>
          <w:color w:val="auto"/>
        </w:rPr>
      </w:pPr>
    </w:p>
    <w:p>
      <w:pPr>
        <w:ind w:right="100" w:firstLine="444"/>
        <w:spacing w:after="0" w:line="254" w:lineRule="auto"/>
        <w:tabs>
          <w:tab w:leader="none" w:pos="6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 soon as available, but in any event within 90 days after the end of each fiscal year of the Company (or, if earlier, 15 days after the date required to be filed with the SEC (after giving effect to any extension permitted by the SEC)), a consolidated balance sheet of the Company and its Subsidiaries as at the end of such fiscal year, and the related consolidated statements of income or operations, changes in shareholders’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Required Lenders,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84" w:lineRule="exact"/>
        <w:rPr>
          <w:rFonts w:ascii="Arial" w:cs="Arial" w:eastAsia="Arial" w:hAnsi="Arial"/>
          <w:sz w:val="18"/>
          <w:szCs w:val="18"/>
          <w:color w:val="auto"/>
        </w:rPr>
      </w:pPr>
    </w:p>
    <w:p>
      <w:pPr>
        <w:ind w:right="80" w:firstLine="444"/>
        <w:spacing w:after="0" w:line="289" w:lineRule="auto"/>
        <w:tabs>
          <w:tab w:leader="none" w:pos="69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as soon as available, but in any event within 45 days after the end of each of the first three fiscal quarters of each fiscal year of the Company (or, if earlier, 5 days after the date required to be filed with the SEC (after giving effect to any extension permitted by the SEC)) (commencing with the fiscal quarter ended June 30, 2019), a consolidated balance sheet of the Company and its Subsidiaries as at the end of such fiscal quarter, the related consolidated statements of income or operations for such fiscal quarter and for the portion of the Company’s fiscal year then ended, and the related consolidated statements of changes in shareholders’ equity and cash flows for such fiscal quarter and for the portion of the Company’s fiscal year then ended, in each case setting forth in comparative form, as applicable, the figures for the corresponding fiscal quarter of the previous fiscal year and the corresponding portion of the previous fiscal year, all in reasonable detail, certified by the chief executive officer, chief financial officer, treasurer or controller of the Company as fairly presenting the financial condition, results of operations, shareholders’ equity and cash flows of the Company and its Subsidiaries in accordance with GAAP, subject only to normal year-end audit adjustments and the absence of footnotes;</w:t>
      </w:r>
    </w:p>
    <w:p>
      <w:pPr>
        <w:spacing w:after="0" w:line="58" w:lineRule="exact"/>
        <w:rPr>
          <w:rFonts w:ascii="Arial" w:cs="Arial" w:eastAsia="Arial" w:hAnsi="Arial"/>
          <w:sz w:val="16"/>
          <w:szCs w:val="16"/>
          <w:color w:val="auto"/>
        </w:rPr>
      </w:pPr>
    </w:p>
    <w:p>
      <w:pPr>
        <w:ind w:right="20" w:firstLine="444"/>
        <w:spacing w:after="0" w:line="259" w:lineRule="auto"/>
        <w:tabs>
          <w:tab w:leader="none" w:pos="68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 xml:space="preserve">in the event that any Unrestricted Subsidiaries exist at such time, then simultaneously with the delivery of each set of consolidated financial statements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 summary statement, in form reasonably satisfactory to the Required Lenders, prepared in good faith by a Responsible Officer of the Company, reflecting adjustments necessary to eliminate the accounts of such Unrestricted Subsidiaries from such consolidated financial statements; and</w:t>
      </w:r>
    </w:p>
    <w:p>
      <w:pPr>
        <w:spacing w:after="0" w:line="78" w:lineRule="exact"/>
        <w:rPr>
          <w:rFonts w:ascii="Arial" w:cs="Arial" w:eastAsia="Arial" w:hAnsi="Arial"/>
          <w:sz w:val="18"/>
          <w:szCs w:val="18"/>
          <w:color w:val="auto"/>
        </w:rPr>
      </w:pPr>
    </w:p>
    <w:p>
      <w:pPr>
        <w:ind w:firstLine="444"/>
        <w:spacing w:after="0" w:line="279" w:lineRule="auto"/>
        <w:tabs>
          <w:tab w:leader="none" w:pos="696" w:val="left"/>
        </w:tabs>
        <w:numPr>
          <w:ilvl w:val="0"/>
          <w:numId w:val="148"/>
        </w:numPr>
        <w:rPr>
          <w:rFonts w:ascii="Arial" w:cs="Arial" w:eastAsia="Arial" w:hAnsi="Arial"/>
          <w:sz w:val="17"/>
          <w:szCs w:val="17"/>
          <w:color w:val="auto"/>
        </w:rPr>
      </w:pPr>
      <w:r>
        <w:rPr>
          <w:rFonts w:ascii="Arial" w:cs="Arial" w:eastAsia="Arial" w:hAnsi="Arial"/>
          <w:sz w:val="17"/>
          <w:szCs w:val="17"/>
          <w:color w:val="auto"/>
        </w:rPr>
        <w:t>within 90 days after the end of each fiscal year of the Company, forecasts prepared by management of the Company, in form reasonably satisfactory to the Required Lenders (it being agreed that the form of forecasts delivered by the Company pursuant to the Existing Credit Agreement are satisfactory), of consolidated balance sheets and statements of income or operations and cash flows of the Company and its Restricted Subsidiaries on an annual basis for the current fiscal year (including the fiscal year in which the Maturity Date occurs).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 xml:space="preserve">As to any information contained in materials furnished pursuant to </w:t>
      </w:r>
      <w:r>
        <w:rPr>
          <w:rFonts w:ascii="Arial" w:cs="Arial" w:eastAsia="Arial" w:hAnsi="Arial"/>
          <w:sz w:val="18"/>
          <w:szCs w:val="18"/>
          <w:u w:val="single" w:color="auto"/>
          <w:color w:val="auto"/>
        </w:rPr>
        <w:t>Section 6.02(c)</w:t>
      </w:r>
      <w:r>
        <w:rPr>
          <w:rFonts w:ascii="Arial" w:cs="Arial" w:eastAsia="Arial" w:hAnsi="Arial"/>
          <w:sz w:val="18"/>
          <w:szCs w:val="18"/>
          <w:color w:val="auto"/>
        </w:rPr>
        <w:t xml:space="preserve">, the Company shall not be separately required to furnish such information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but the foregoing shall not be in derogation of the obligation of the Company to furnish the information and materials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at the times specified therein.</w:t>
      </w:r>
    </w:p>
    <w:p>
      <w:pPr>
        <w:spacing w:after="0" w:line="177" w:lineRule="exact"/>
        <w:rPr>
          <w:sz w:val="20"/>
          <w:szCs w:val="20"/>
          <w:color w:val="auto"/>
        </w:rPr>
      </w:pPr>
    </w:p>
    <w:p>
      <w:pPr>
        <w:jc w:val="both"/>
        <w:ind w:right="160" w:firstLine="441"/>
        <w:spacing w:after="0" w:line="266" w:lineRule="auto"/>
        <w:rPr>
          <w:sz w:val="20"/>
          <w:szCs w:val="20"/>
          <w:color w:val="auto"/>
        </w:rPr>
      </w:pPr>
      <w:r>
        <w:rPr>
          <w:rFonts w:ascii="Arial" w:cs="Arial" w:eastAsia="Arial" w:hAnsi="Arial"/>
          <w:sz w:val="18"/>
          <w:szCs w:val="18"/>
          <w:b w:val="1"/>
          <w:bCs w:val="1"/>
          <w:color w:val="auto"/>
        </w:rPr>
        <w:t xml:space="preserve">6.02 Certificates; Other Information. </w:t>
      </w:r>
      <w:r>
        <w:rPr>
          <w:rFonts w:ascii="Arial" w:cs="Arial" w:eastAsia="Arial" w:hAnsi="Arial"/>
          <w:sz w:val="18"/>
          <w:szCs w:val="18"/>
          <w:color w:val="auto"/>
        </w:rPr>
        <w:t>Deliver to the Administrative Agent, in form and detail reasonably satisfactory to the Required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(which delivery may, unless the Administrative Agent, or a Lender requests executed originals, be by electronic communication including fax or email and shall be deemed to be an original authentic counterpart thereof for all purposes):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440" w:top="270" w:right="439" w:bottom="1440" w:gutter="0" w:footer="0" w:header="0"/>
        </w:sectPr>
      </w:pPr>
    </w:p>
    <w:bookmarkStart w:id="101" w:name="page102"/>
    <w:bookmarkEnd w:id="101"/>
    <w:p>
      <w:pPr>
        <w:ind w:right="100" w:firstLine="444"/>
        <w:spacing w:after="0" w:line="264" w:lineRule="auto"/>
        <w:tabs>
          <w:tab w:leader="none" w:pos="685"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concurrently with the delivery of the financial statements referred to in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(i) a duly completed Compliance Certificate signed by the chief executive officer, chief financial officer, treasurer or controller of the Company and (ii) a listing of each Subsidiary designated as an Unrestricted Subsidiary as of the date thereof;</w:t>
      </w:r>
    </w:p>
    <w:p>
      <w:pPr>
        <w:spacing w:after="0" w:line="73" w:lineRule="exact"/>
        <w:rPr>
          <w:rFonts w:ascii="Arial" w:cs="Arial" w:eastAsia="Arial" w:hAnsi="Arial"/>
          <w:sz w:val="18"/>
          <w:szCs w:val="18"/>
          <w:color w:val="auto"/>
        </w:rPr>
      </w:pPr>
    </w:p>
    <w:p>
      <w:pPr>
        <w:ind w:right="200" w:firstLine="444"/>
        <w:spacing w:after="0" w:line="264" w:lineRule="auto"/>
        <w:tabs>
          <w:tab w:leader="none" w:pos="69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promptly after any request by the Administrative Agent or any Lender, copies of any final audit reports, management letters or recommendations submitted to the board of directors (or the audit committee of the board of directors) of the Company by independent accountants in connection with the accounts or books of the Company or any Restricted Subsidiary, or any audit of any of them;</w:t>
      </w:r>
    </w:p>
    <w:p>
      <w:pPr>
        <w:spacing w:after="0" w:line="73" w:lineRule="exact"/>
        <w:rPr>
          <w:rFonts w:ascii="Arial" w:cs="Arial" w:eastAsia="Arial" w:hAnsi="Arial"/>
          <w:sz w:val="18"/>
          <w:szCs w:val="18"/>
          <w:color w:val="auto"/>
        </w:rPr>
      </w:pPr>
    </w:p>
    <w:p>
      <w:pPr>
        <w:jc w:val="both"/>
        <w:ind w:right="140" w:firstLine="444"/>
        <w:spacing w:after="0" w:line="259" w:lineRule="auto"/>
        <w:tabs>
          <w:tab w:leader="none" w:pos="68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promptly after the same are available, copies of each annual report, proxy or financial statement or other report or communication sent to the stockholders of the Company, and copies of all annual, regular, periodic and special reports and registration statements which the Company may file or be required to file with the SEC under Section 13 or 15(d) of the Securities Exchange Act of 1934, and not otherwise required to be delivered to the Administrative Agent pursuant hereto;</w:t>
      </w:r>
    </w:p>
    <w:p>
      <w:pPr>
        <w:spacing w:after="0" w:line="78" w:lineRule="exact"/>
        <w:rPr>
          <w:rFonts w:ascii="Arial" w:cs="Arial" w:eastAsia="Arial" w:hAnsi="Arial"/>
          <w:sz w:val="18"/>
          <w:szCs w:val="18"/>
          <w:color w:val="auto"/>
        </w:rPr>
      </w:pPr>
    </w:p>
    <w:p>
      <w:pPr>
        <w:ind w:right="40" w:firstLine="444"/>
        <w:spacing w:after="0" w:line="286" w:lineRule="auto"/>
        <w:tabs>
          <w:tab w:leader="none" w:pos="696" w:val="left"/>
        </w:tabs>
        <w:numPr>
          <w:ilvl w:val="0"/>
          <w:numId w:val="149"/>
        </w:numPr>
        <w:rPr>
          <w:rFonts w:ascii="Arial" w:cs="Arial" w:eastAsia="Arial" w:hAnsi="Arial"/>
          <w:sz w:val="17"/>
          <w:szCs w:val="17"/>
          <w:color w:val="auto"/>
        </w:rPr>
      </w:pPr>
      <w:r>
        <w:rPr>
          <w:rFonts w:ascii="Arial" w:cs="Arial" w:eastAsia="Arial" w:hAnsi="Arial"/>
          <w:sz w:val="17"/>
          <w:szCs w:val="17"/>
          <w:color w:val="auto"/>
        </w:rPr>
        <w:t>promptly, and in any event within five Business Days after receipt thereof by any Loan Party or any Subsidiary thereof, copies of each notice or other correspondence received from the SEC (or comparable agency in any applicable non-U.S. jurisdiction) concerning any investigation or possible investigation by such agency regarding financial or other operational results of any Loan Party or any Subsidiary thereof;</w:t>
      </w:r>
    </w:p>
    <w:p>
      <w:pPr>
        <w:spacing w:after="0" w:line="57" w:lineRule="exact"/>
        <w:rPr>
          <w:rFonts w:ascii="Arial" w:cs="Arial" w:eastAsia="Arial" w:hAnsi="Arial"/>
          <w:sz w:val="17"/>
          <w:szCs w:val="17"/>
          <w:color w:val="auto"/>
        </w:rPr>
      </w:pPr>
    </w:p>
    <w:p>
      <w:pPr>
        <w:ind w:right="120" w:firstLine="444"/>
        <w:spacing w:after="0" w:line="264" w:lineRule="auto"/>
        <w:tabs>
          <w:tab w:leader="none" w:pos="68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promptly upon the request thereof, such other information and documentation required by bank regulatory authorities under applicable “know your customer” and anti-money laundering rules and regulations (including, without limitation, the Act and the Beneficial Ownership Regulation), as from time to time reasonably requested by the Administrative Agent or any Lender; and</w:t>
      </w:r>
    </w:p>
    <w:p>
      <w:pPr>
        <w:spacing w:after="0" w:line="73" w:lineRule="exact"/>
        <w:rPr>
          <w:rFonts w:ascii="Arial" w:cs="Arial" w:eastAsia="Arial" w:hAnsi="Arial"/>
          <w:sz w:val="18"/>
          <w:szCs w:val="18"/>
          <w:color w:val="auto"/>
        </w:rPr>
      </w:pPr>
    </w:p>
    <w:p>
      <w:pPr>
        <w:ind w:right="200" w:firstLine="444"/>
        <w:spacing w:after="0" w:line="308" w:lineRule="auto"/>
        <w:tabs>
          <w:tab w:leader="none" w:pos="66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promptly, such additional information regarding the business, financial or corporate affairs of the Company or any Subsidiary, or compliance with the terms of the Loan Documents, as the Administrative Agent or any Lender may from time to time reasonably request.</w:t>
      </w:r>
    </w:p>
    <w:p>
      <w:pPr>
        <w:spacing w:after="0" w:line="14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6.02(c)</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date (i) on which the Company posts such documents, or provides a link thereto on the Company’s website on the Internet at the website address listed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10.02</w:t>
      </w:r>
      <w:r>
        <w:rPr>
          <w:rFonts w:ascii="Arial" w:cs="Arial" w:eastAsia="Arial" w:hAnsi="Arial"/>
          <w:sz w:val="17"/>
          <w:szCs w:val="17"/>
          <w:color w:val="auto"/>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Company shall deliver paper copies of such documents to the Administrative Agent or any Lender upon its request to the Company to deliver such paper copies until a written request to cease delivering paper copies is given by the Administrative Agent or such Lender and (ii) the Company shall notify the Administrative Agent and each Lender (by facsimile or electronic mail) of the posting of any such documents and provide to the Administrative Agent by electronic mail electronic versions (</w:t>
      </w:r>
      <w:r>
        <w:rPr>
          <w:rFonts w:ascii="Arial" w:cs="Arial" w:eastAsia="Arial" w:hAnsi="Arial"/>
          <w:sz w:val="17"/>
          <w:szCs w:val="17"/>
          <w:u w:val="single" w:color="auto"/>
          <w:color w:val="auto"/>
        </w:rPr>
        <w:t>i.e.</w:t>
      </w:r>
      <w:r>
        <w:rPr>
          <w:rFonts w:ascii="Arial" w:cs="Arial" w:eastAsia="Arial" w:hAnsi="Arial"/>
          <w:sz w:val="17"/>
          <w:szCs w:val="17"/>
          <w:color w:val="auto"/>
        </w:rPr>
        <w:t>, soft copies) of such documents. The Administrative Agent shall have no obligation to request the delivery of or to maintain paper copies of the documents referred to above, and in any event shall have no responsibility to monitor compliance by the Company with any such request by a Lender for delivery, and each Lender shall be solely responsible for requesting delivery to it or maintaining its copies of such documents.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20"/>
          </w:cols>
          <w:pgMar w:left="440" w:top="274" w:right="439" w:bottom="1440" w:gutter="0" w:footer="0" w:header="0"/>
        </w:sectPr>
      </w:pPr>
    </w:p>
    <w:bookmarkStart w:id="102" w:name="page103"/>
    <w:bookmarkEnd w:id="102"/>
    <w:p>
      <w:pPr>
        <w:ind w:right="20" w:firstLine="44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Borrower hereby acknowledges that (a) the Administrative Agent and/or the Arranger may, but shall not be obligated to, make available to the Lenders and the L/C Issuers materials and/or information provided by or on behalf of the Borrowers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Debt Domain, IntraLinks, SyndTrak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u w:val="single" w:color="auto"/>
          <w:color w:val="auto"/>
        </w:rPr>
        <w:t>Public Lender</w:t>
      </w:r>
      <w:r>
        <w:rPr>
          <w:rFonts w:ascii="Arial" w:cs="Arial" w:eastAsia="Arial" w:hAnsi="Arial"/>
          <w:sz w:val="17"/>
          <w:szCs w:val="17"/>
          <w:color w:val="auto"/>
        </w:rPr>
        <w:t>”) may have personnel who do not wish to receive material non-public information with respect to any of the Borrowers or their respective Affiliates, or the respective securities of any of the foregoing, and who may be engaged in investment and other market-related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such Borrower shall be deemed to have authorized the Administrative Agent, the Arranger, the L/C Issuers and the Lenders to treat such Borrower Materials as not containing any material non-public information with respect to such Borrower or its securities for purposes of United States Federal and state securities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such Borrower Materials constitute Information, they shall be treated as set forth in Section 10.07); (y) all Borrower Materials marked “PUBLIC” are permitted to be made available through a portion of the Platform designated “Public Side Information;” and (z) the Administrative Agent and the Arranger shall be entitled to treat any Borrower Materials that are not marked “PUBLIC” as being suitable only for posting on a portion of the Platform not designated “Public Side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-447040</wp:posOffset>
            </wp:positionV>
            <wp:extent cx="28575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6.03 Notices. </w:t>
      </w:r>
      <w:r>
        <w:rPr>
          <w:rFonts w:ascii="Arial" w:cs="Arial" w:eastAsia="Arial" w:hAnsi="Arial"/>
          <w:sz w:val="18"/>
          <w:szCs w:val="18"/>
          <w:color w:val="auto"/>
        </w:rPr>
        <w:t>Promptly notify the Administrative Agent:</w:t>
      </w:r>
    </w:p>
    <w:p>
      <w:pPr>
        <w:spacing w:after="0" w:line="121" w:lineRule="exact"/>
        <w:rPr>
          <w:sz w:val="20"/>
          <w:szCs w:val="20"/>
          <w:color w:val="auto"/>
        </w:rPr>
      </w:pPr>
    </w:p>
    <w:p>
      <w:pPr>
        <w:ind w:left="680" w:hanging="236"/>
        <w:spacing w:after="0"/>
        <w:tabs>
          <w:tab w:leader="none" w:pos="6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of the occurrence of any Default;</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1"/>
          <w:numId w:val="150"/>
        </w:numPr>
        <w:rPr>
          <w:rFonts w:ascii="Arial" w:cs="Arial" w:eastAsia="Arial" w:hAnsi="Arial"/>
          <w:sz w:val="16"/>
          <w:szCs w:val="16"/>
          <w:color w:val="auto"/>
        </w:rPr>
      </w:pPr>
      <w:r>
        <w:rPr>
          <w:rFonts w:ascii="Arial" w:cs="Arial" w:eastAsia="Arial" w:hAnsi="Arial"/>
          <w:sz w:val="16"/>
          <w:szCs w:val="16"/>
          <w:color w:val="auto"/>
        </w:rPr>
        <w:t>of any matter that has resulted or could reasonably be expected to result in a Material Adverse Effect, including any such matter arising from</w:t>
      </w:r>
    </w:p>
    <w:p>
      <w:pPr>
        <w:spacing w:after="0" w:line="46" w:lineRule="exact"/>
        <w:rPr>
          <w:rFonts w:ascii="Arial" w:cs="Arial" w:eastAsia="Arial" w:hAnsi="Arial"/>
          <w:sz w:val="16"/>
          <w:szCs w:val="16"/>
          <w:color w:val="auto"/>
        </w:rPr>
      </w:pPr>
    </w:p>
    <w:p>
      <w:pPr>
        <w:ind w:right="20" w:firstLine="4"/>
        <w:spacing w:after="0" w:line="273" w:lineRule="auto"/>
        <w:tabs>
          <w:tab w:leader="none" w:pos="21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 breach or non-performance of, or any default under, a Contractual Obligation of the Company or any Restricted Subsidiary involving more than the Threshold Amount; (ii) a material dispute, litigation, investigation, proceeding or suspension between the Company or any Restricted Subsidiary and any Governmental Authority; or (iii) the commencement of, or any material development in, any litigation or proceeding affecting the Company or any Restricted Subsidiary, including pursuant to any applicable Environmental Laws, involving more than the Threshold Amount;</w:t>
      </w:r>
    </w:p>
    <w:p>
      <w:pPr>
        <w:spacing w:after="0" w:line="68" w:lineRule="exact"/>
        <w:rPr>
          <w:rFonts w:ascii="Arial" w:cs="Arial" w:eastAsia="Arial" w:hAnsi="Arial"/>
          <w:sz w:val="17"/>
          <w:szCs w:val="17"/>
          <w:color w:val="auto"/>
        </w:rPr>
      </w:pPr>
    </w:p>
    <w:p>
      <w:pPr>
        <w:jc w:val="both"/>
        <w:ind w:right="320" w:firstLine="444"/>
        <w:spacing w:after="0" w:line="264" w:lineRule="auto"/>
        <w:tabs>
          <w:tab w:leader="none" w:pos="68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of the occurrence of any ERISA Event with respect to any Pension Plan or Multiemployer Plan which has resulted or could reasonably be expected to result in liability of the Company under Title IV of ERISA to such Pension Plan, such Multiemployer Plan or the PBGC in an aggregate amount in excess of the Threshold Amount;</w:t>
      </w:r>
    </w:p>
    <w:p>
      <w:pPr>
        <w:spacing w:after="0" w:line="73" w:lineRule="exact"/>
        <w:rPr>
          <w:rFonts w:ascii="Arial" w:cs="Arial" w:eastAsia="Arial" w:hAnsi="Arial"/>
          <w:sz w:val="18"/>
          <w:szCs w:val="18"/>
          <w:color w:val="auto"/>
        </w:rPr>
      </w:pPr>
    </w:p>
    <w:p>
      <w:pPr>
        <w:ind w:right="100" w:firstLine="444"/>
        <w:spacing w:after="0" w:line="277" w:lineRule="auto"/>
        <w:tabs>
          <w:tab w:leader="none" w:pos="696"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of any material change in accounting policies or financial reporting practices by the Company or any Subsidiary, including any determination by the Company referred to in </w:t>
      </w:r>
      <w:r>
        <w:rPr>
          <w:rFonts w:ascii="Arial" w:cs="Arial" w:eastAsia="Arial" w:hAnsi="Arial"/>
          <w:sz w:val="18"/>
          <w:szCs w:val="18"/>
          <w:u w:val="single" w:color="auto"/>
          <w:color w:val="auto"/>
        </w:rPr>
        <w:t>Section 2.10(b)</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right="80" w:firstLine="444"/>
        <w:spacing w:after="0" w:line="259" w:lineRule="auto"/>
        <w:tabs>
          <w:tab w:leader="none" w:pos="685" w:val="left"/>
        </w:tabs>
        <w:numPr>
          <w:ilvl w:val="1"/>
          <w:numId w:val="151"/>
        </w:numPr>
        <w:rPr>
          <w:rFonts w:ascii="Arial" w:cs="Arial" w:eastAsia="Arial" w:hAnsi="Arial"/>
          <w:sz w:val="18"/>
          <w:szCs w:val="18"/>
          <w:color w:val="auto"/>
        </w:rPr>
      </w:pPr>
      <w:r>
        <w:rPr>
          <w:rFonts w:ascii="Arial" w:cs="Arial" w:eastAsia="Arial" w:hAnsi="Arial"/>
          <w:sz w:val="18"/>
          <w:szCs w:val="18"/>
          <w:color w:val="auto"/>
        </w:rPr>
        <w:t xml:space="preserve">of the (i) occurrence of any Disposition of property or assets for which the Company is required to make a mandatory prepayment pursuant to </w:t>
      </w:r>
      <w:r>
        <w:rPr>
          <w:rFonts w:ascii="Arial" w:cs="Arial" w:eastAsia="Arial" w:hAnsi="Arial"/>
          <w:sz w:val="18"/>
          <w:szCs w:val="18"/>
          <w:u w:val="single" w:color="auto"/>
          <w:color w:val="auto"/>
        </w:rPr>
        <w:t>Section 2.05(b)(i)</w:t>
      </w:r>
      <w:r>
        <w:rPr>
          <w:rFonts w:ascii="Arial" w:cs="Arial" w:eastAsia="Arial" w:hAnsi="Arial"/>
          <w:sz w:val="18"/>
          <w:szCs w:val="18"/>
          <w:color w:val="auto"/>
        </w:rPr>
        <w:t xml:space="preserve">, (ii) incurrence or issuance of any Indebtedness for which the Company is required to make a mandatory prepayment pursuant to </w:t>
      </w:r>
      <w:r>
        <w:rPr>
          <w:rFonts w:ascii="Arial" w:cs="Arial" w:eastAsia="Arial" w:hAnsi="Arial"/>
          <w:sz w:val="18"/>
          <w:szCs w:val="18"/>
          <w:u w:val="single" w:color="auto"/>
          <w:color w:val="auto"/>
        </w:rPr>
        <w:t>Section 2.05(b)(ii)</w:t>
      </w:r>
      <w:r>
        <w:rPr>
          <w:rFonts w:ascii="Arial" w:cs="Arial" w:eastAsia="Arial" w:hAnsi="Arial"/>
          <w:sz w:val="18"/>
          <w:szCs w:val="18"/>
          <w:color w:val="auto"/>
        </w:rPr>
        <w:t xml:space="preserve">, and (iii) the occurrence of any Insurance and Condemnation Event for which the Company is required to make a mandatory prepayment pursuant to </w:t>
      </w:r>
      <w:r>
        <w:rPr>
          <w:rFonts w:ascii="Arial" w:cs="Arial" w:eastAsia="Arial" w:hAnsi="Arial"/>
          <w:sz w:val="18"/>
          <w:szCs w:val="18"/>
          <w:u w:val="single" w:color="auto"/>
          <w:color w:val="auto"/>
        </w:rPr>
        <w:t>Section 2.05(b)(iii)</w:t>
      </w:r>
      <w:r>
        <w:rPr>
          <w:rFonts w:ascii="Arial" w:cs="Arial" w:eastAsia="Arial" w:hAnsi="Arial"/>
          <w:sz w:val="18"/>
          <w:szCs w:val="18"/>
          <w:color w:val="auto"/>
        </w:rPr>
        <w:t>.</w:t>
      </w:r>
    </w:p>
    <w:p>
      <w:pPr>
        <w:spacing w:after="0" w:line="187"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 xml:space="preserve">Each notice pursuant to this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shall be accompanied by a statement of a Responsible Officer of the Company setting forth details of the occurrence referred to therein and stating what action the Company has taken and proposes to take with respect thereto. Each notice pursuant to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shall describe with particularity any and all provisions of this Agreement and any other Loan Document that have been breached.</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80"/>
          </w:cols>
          <w:pgMar w:left="440" w:top="274" w:right="479" w:bottom="1440" w:gutter="0" w:footer="0" w:header="0"/>
        </w:sectPr>
      </w:pPr>
    </w:p>
    <w:bookmarkStart w:id="103" w:name="page104"/>
    <w:bookmarkEnd w:id="103"/>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6.04 Payment of Obligations. </w:t>
      </w:r>
      <w:r>
        <w:rPr>
          <w:rFonts w:ascii="Arial" w:cs="Arial" w:eastAsia="Arial" w:hAnsi="Arial"/>
          <w:sz w:val="16"/>
          <w:szCs w:val="16"/>
          <w:color w:val="auto"/>
        </w:rPr>
        <w:t>Pay and discharge as the same shall become due and payable, all its material obligations and liabilities, including</w:t>
      </w:r>
    </w:p>
    <w:p>
      <w:pPr>
        <w:spacing w:after="0" w:line="50" w:lineRule="exact"/>
        <w:rPr>
          <w:sz w:val="20"/>
          <w:szCs w:val="20"/>
          <w:color w:val="auto"/>
        </w:rPr>
      </w:pPr>
    </w:p>
    <w:p>
      <w:pPr>
        <w:ind w:right="20" w:firstLine="4"/>
        <w:spacing w:after="0" w:line="253" w:lineRule="auto"/>
        <w:tabs>
          <w:tab w:leader="none" w:pos="24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Federal, State and other material tax liabilities, assessments and governmental charges or levies upon it or its properties or assets, unless the same are being contested in good faith by appropriate proceedings diligently conducted and adequate reserves in accordance with GAAP are being maintained by the Company or such Restricted Subsidiary; (b) all other lawful claims which, if unpaid, would by law become a Lien upon its property; and (c) all Indebtedness, as and when due and payable, but subject to any subordination provisions contained in any instrument or agreement evidencing or governing such Indebtedness.</w:t>
      </w:r>
    </w:p>
    <w:p>
      <w:pPr>
        <w:spacing w:after="0" w:line="18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b w:val="1"/>
          <w:bCs w:val="1"/>
          <w:color w:val="auto"/>
        </w:rPr>
        <w:t xml:space="preserve">6.05 Preservation of Existence, Etc. </w:t>
      </w:r>
      <w:r>
        <w:rPr>
          <w:rFonts w:ascii="Arial" w:cs="Arial" w:eastAsia="Arial" w:hAnsi="Arial"/>
          <w:sz w:val="17"/>
          <w:szCs w:val="17"/>
          <w:color w:val="auto"/>
        </w:rPr>
        <w:t>(a) (i) Preserve, renew and maintain in full force and effect its legal existence under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jurisdiction of its organization except in a transaction permitted by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7.05</w:t>
      </w:r>
      <w:r>
        <w:rPr>
          <w:rFonts w:ascii="Arial" w:cs="Arial" w:eastAsia="Arial" w:hAnsi="Arial"/>
          <w:sz w:val="17"/>
          <w:szCs w:val="17"/>
          <w:color w:val="auto"/>
        </w:rPr>
        <w:t xml:space="preserve"> and (ii) preserve, renew and maintain in full force and effect its good standing under the Laws of the jurisdiction of its organization except in a transaction permitted by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7.05</w:t>
      </w:r>
      <w:r>
        <w:rPr>
          <w:rFonts w:ascii="Arial" w:cs="Arial" w:eastAsia="Arial" w:hAnsi="Arial"/>
          <w:sz w:val="17"/>
          <w:szCs w:val="17"/>
          <w:color w:val="auto"/>
        </w:rPr>
        <w:t xml:space="preserve"> and except to the extent that the failure to do so could not reasonably be expected to have a Material Adverse Effect; (b) take all reasonable action to maintain all rights, privileges, permits, licenses and franchises necessary or desirable in the normal conduct of its business, except to the extent that failure to do so could not reasonably be expected to have a Material Adverse Effect; and (c) preserve or renew all of its registered patents, trademarks, trade names and service marks, the non-preservation of which could reasonably be expected to have a Material Adverse Effect.</w:t>
      </w:r>
    </w:p>
    <w:p>
      <w:pPr>
        <w:spacing w:after="0" w:line="172" w:lineRule="exact"/>
        <w:rPr>
          <w:sz w:val="20"/>
          <w:szCs w:val="20"/>
          <w:color w:val="auto"/>
        </w:rPr>
      </w:pPr>
    </w:p>
    <w:p>
      <w:pPr>
        <w:ind w:right="180" w:firstLine="441"/>
        <w:spacing w:after="0" w:line="314" w:lineRule="auto"/>
        <w:rPr>
          <w:sz w:val="20"/>
          <w:szCs w:val="20"/>
          <w:color w:val="auto"/>
        </w:rPr>
      </w:pPr>
      <w:r>
        <w:rPr>
          <w:rFonts w:ascii="Arial" w:cs="Arial" w:eastAsia="Arial" w:hAnsi="Arial"/>
          <w:sz w:val="16"/>
          <w:szCs w:val="16"/>
          <w:b w:val="1"/>
          <w:bCs w:val="1"/>
          <w:color w:val="auto"/>
        </w:rPr>
        <w:t xml:space="preserve">6.06 Maintenance of Properties. </w:t>
      </w:r>
      <w:r>
        <w:rPr>
          <w:rFonts w:ascii="Arial" w:cs="Arial" w:eastAsia="Arial" w:hAnsi="Arial"/>
          <w:sz w:val="16"/>
          <w:szCs w:val="16"/>
          <w:color w:val="auto"/>
        </w:rPr>
        <w:t>(a) Maintain, preserve and protect all of its material properties and equipment necessary in the operation of its</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in good working order and condition, ordinary wear and tear excepted and (b) make all necessary repairs thereto and renewals and replacements thereof except, in each case, where the failure to do so could not reasonably be expected to have a Material Adverse Effect.</w:t>
      </w:r>
    </w:p>
    <w:p>
      <w:pPr>
        <w:spacing w:after="0" w:line="142" w:lineRule="exact"/>
        <w:rPr>
          <w:sz w:val="20"/>
          <w:szCs w:val="20"/>
          <w:color w:val="auto"/>
        </w:rPr>
      </w:pPr>
    </w:p>
    <w:p>
      <w:pPr>
        <w:ind w:right="280" w:firstLine="441"/>
        <w:spacing w:after="0" w:line="292" w:lineRule="auto"/>
        <w:rPr>
          <w:sz w:val="20"/>
          <w:szCs w:val="20"/>
          <w:color w:val="auto"/>
        </w:rPr>
      </w:pPr>
      <w:r>
        <w:rPr>
          <w:rFonts w:ascii="Arial" w:cs="Arial" w:eastAsia="Arial" w:hAnsi="Arial"/>
          <w:sz w:val="16"/>
          <w:szCs w:val="16"/>
          <w:b w:val="1"/>
          <w:bCs w:val="1"/>
          <w:color w:val="auto"/>
        </w:rPr>
        <w:t xml:space="preserve">6.07 Maintenance of Insurance. </w:t>
      </w:r>
      <w:r>
        <w:rPr>
          <w:rFonts w:ascii="Arial" w:cs="Arial" w:eastAsia="Arial" w:hAnsi="Arial"/>
          <w:sz w:val="16"/>
          <w:szCs w:val="16"/>
          <w:color w:val="auto"/>
        </w:rPr>
        <w:t>Maintain with financially sound and reputable insurance companies not Affiliates of the Company,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its properties and business against loss or damage of the kinds customarily insured against by Persons engaged in the same or similar business, of such types and in such amounts as are customarily carried under similar circumstances by such other Persons and as may be required by applicable Law and as are required by any Collateral Document. All such insurance shall (unless otherwise agreed to by the Administrative Agent in writing), (a) provide that no cancellation or material modification thereof shall be effective until at least 30 days after receipt by the Administrative Agent of written notice thereof (except in the case of cancellation as a result of non-payment of premium in which case only 10 days’ prior written notice shall be required) and (b) name the Administrative Agent as an additional insured or lender’s loss payee, as applicable.</w:t>
      </w:r>
    </w:p>
    <w:p>
      <w:pPr>
        <w:spacing w:after="0" w:line="162"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b w:val="1"/>
          <w:bCs w:val="1"/>
          <w:color w:val="auto"/>
        </w:rPr>
        <w:t xml:space="preserve">6.08 Compliance with Laws. </w:t>
      </w:r>
      <w:r>
        <w:rPr>
          <w:rFonts w:ascii="Arial" w:cs="Arial" w:eastAsia="Arial" w:hAnsi="Arial"/>
          <w:sz w:val="18"/>
          <w:szCs w:val="18"/>
          <w:color w:val="auto"/>
        </w:rPr>
        <w:t>Comply in all material respects with the requirements of all Laws and all orders, writs, injunctions and decrees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80"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b w:val="1"/>
          <w:bCs w:val="1"/>
          <w:color w:val="auto"/>
        </w:rPr>
        <w:t xml:space="preserve">6.09 Books and Records. </w:t>
      </w:r>
      <w:r>
        <w:rPr>
          <w:rFonts w:ascii="Arial" w:cs="Arial" w:eastAsia="Arial" w:hAnsi="Arial"/>
          <w:sz w:val="18"/>
          <w:szCs w:val="18"/>
          <w:color w:val="auto"/>
        </w:rPr>
        <w:t>Maintain proper books of record and account, with entries that are full, true and correct in all material respects in</w:t>
      </w:r>
      <w:r>
        <w:rPr>
          <w:rFonts w:ascii="Arial" w:cs="Arial" w:eastAsia="Arial" w:hAnsi="Arial"/>
          <w:sz w:val="18"/>
          <w:szCs w:val="18"/>
          <w:b w:val="1"/>
          <w:bCs w:val="1"/>
          <w:color w:val="auto"/>
        </w:rPr>
        <w:t xml:space="preserve"> </w:t>
      </w:r>
      <w:r>
        <w:rPr>
          <w:rFonts w:ascii="Arial" w:cs="Arial" w:eastAsia="Arial" w:hAnsi="Arial"/>
          <w:sz w:val="18"/>
          <w:szCs w:val="18"/>
          <w:color w:val="auto"/>
        </w:rPr>
        <w:t>conformity with GAAP consistently applied shall be made of all financial transactions and matters involving the assets and business of the Company or such Restricted Subsidiary, as the case may be.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20"/>
          </w:cols>
          <w:pgMar w:left="440" w:top="270" w:right="439" w:bottom="1440" w:gutter="0" w:footer="0" w:header="0"/>
        </w:sectPr>
      </w:pPr>
    </w:p>
    <w:bookmarkStart w:id="104" w:name="page105"/>
    <w:bookmarkEnd w:id="104"/>
    <w:p>
      <w:pPr>
        <w:ind w:firstLine="441"/>
        <w:spacing w:after="0" w:line="28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6.10 Inspection Rights. </w:t>
      </w:r>
      <w:r>
        <w:rPr>
          <w:rFonts w:ascii="Arial" w:cs="Arial" w:eastAsia="Arial" w:hAnsi="Arial"/>
          <w:sz w:val="16"/>
          <w:szCs w:val="16"/>
          <w:color w:val="auto"/>
        </w:rPr>
        <w:t>Permit representatives and independent contractors of the Administrative Agent to visit and inspect any of its properties,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examine its corporate, financial and operating records, and make copies thereof or abstracts therefrom, and to discuss its affairs, finances and accounts with its directors, officers, and independent public accountants, all at the expense of the Company and at such reasonable times during normal business hours, upon reasonable advance notice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when no Event of Default exists, the Company shall not be obligated to pay for more than one such visitation and inspection in the period beginning on the Closing Date and ending on the day prior to the first anniversary of the Closing Date, or in any subsequent twelve-month period commencing on an anniversary of the Closing Date and ending twelve months thereafter and (b) when an Event of Default exists the Administrative Agent (or its representatives or independent contractors) may do any of the foregoing at the expense of the Company at any time during normal business hours, without advance notice and as often as may be reasonably deemed necessary or prudent to protect the interests of the Secured Parties. Each Lender shall be provided advance notice by the Administrative Agent of any such inspection and shall be permitted, at such Lender’s expense, to accompany (or to have its representatives or independent contractors accompany) the Administrative Agent (or its representatives or independent contractors) on any such inspection.</w:t>
      </w:r>
    </w:p>
    <w:p>
      <w:pPr>
        <w:spacing w:after="0" w:line="164"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b w:val="1"/>
          <w:bCs w:val="1"/>
          <w:color w:val="auto"/>
        </w:rPr>
        <w:t xml:space="preserve">6.11 Use of Proceeds. </w:t>
      </w:r>
      <w:r>
        <w:rPr>
          <w:rFonts w:ascii="Arial" w:cs="Arial" w:eastAsia="Arial" w:hAnsi="Arial"/>
          <w:sz w:val="18"/>
          <w:szCs w:val="18"/>
          <w:color w:val="auto"/>
        </w:rPr>
        <w:t>Use the proceeds of the Credit Extensions for general corporate purposes not in contravention of any Law or of any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6.12 Additional Subsidiaries.</w:t>
      </w:r>
    </w:p>
    <w:p>
      <w:pPr>
        <w:spacing w:after="0" w:line="121" w:lineRule="exact"/>
        <w:rPr>
          <w:sz w:val="20"/>
          <w:szCs w:val="20"/>
          <w:color w:val="auto"/>
        </w:rPr>
      </w:pPr>
    </w:p>
    <w:p>
      <w:pPr>
        <w:ind w:right="140" w:firstLine="444"/>
        <w:spacing w:after="0" w:line="270" w:lineRule="auto"/>
        <w:tabs>
          <w:tab w:leader="none" w:pos="685"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Subject to the limits and exclusions set forth in </w:t>
      </w:r>
      <w:r>
        <w:rPr>
          <w:rFonts w:ascii="Arial" w:cs="Arial" w:eastAsia="Arial" w:hAnsi="Arial"/>
          <w:sz w:val="17"/>
          <w:szCs w:val="17"/>
          <w:u w:val="single" w:color="auto"/>
          <w:color w:val="auto"/>
        </w:rPr>
        <w:t>Section 6.12(c)</w:t>
      </w:r>
      <w:r>
        <w:rPr>
          <w:rFonts w:ascii="Arial" w:cs="Arial" w:eastAsia="Arial" w:hAnsi="Arial"/>
          <w:sz w:val="17"/>
          <w:szCs w:val="17"/>
          <w:color w:val="auto"/>
        </w:rPr>
        <w:t xml:space="preserve"> below, if (1) (i) at any time the Company acquires or forms any additional Subsidiary, merges any Subsidiary into another Person or Disposes of assets from any Subsidiary to another Person and, as a result of such acquisition, formation, merger or Disposition, a Person becomes a Material Subsidiary (other than an Unrestricted Subsidiary), or (ii) as of the end of any fiscal quarter, any Subsidiary that is not already a Subsidiary Guarantor qualifies as a Material Subsidiary (other than an Unrestricted Subsidiary), the Company will promptly notify the Administrative Agent thereof and within thirty days (or such longer period to which the Administrative Agent may agree in its sole discretion) following such acquisition, formation, merger, Disposition or fiscal quarter end, as the case may be, deliver or cause to be delivered to the Administrative Agent each of the following or (2) any Person becomes a Designated Borrower, the Company will concurrently with such Person becoming a Designated Borrower, to the extent such Person has not already complied with this Section as a Subsidiary Guarantor), deliver or cause to be delivered to the Administrative Agent each of the following:</w:t>
      </w:r>
    </w:p>
    <w:p>
      <w:pPr>
        <w:spacing w:after="0" w:line="73" w:lineRule="exact"/>
        <w:rPr>
          <w:rFonts w:ascii="Arial" w:cs="Arial" w:eastAsia="Arial" w:hAnsi="Arial"/>
          <w:sz w:val="17"/>
          <w:szCs w:val="17"/>
          <w:color w:val="auto"/>
        </w:rPr>
      </w:pPr>
    </w:p>
    <w:p>
      <w:pPr>
        <w:ind w:left="1080" w:hanging="212"/>
        <w:spacing w:after="0"/>
        <w:tabs>
          <w:tab w:leader="none" w:pos="108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 Subsidiary Guaranty Agreement or a Subsidiary Guaranty Joinder Agreement, as applicable, duly executed by such Subsidiary;</w:t>
      </w:r>
    </w:p>
    <w:p>
      <w:pPr>
        <w:spacing w:after="0" w:line="128" w:lineRule="exact"/>
        <w:rPr>
          <w:rFonts w:ascii="Arial" w:cs="Arial" w:eastAsia="Arial" w:hAnsi="Arial"/>
          <w:sz w:val="17"/>
          <w:szCs w:val="17"/>
          <w:color w:val="auto"/>
        </w:rPr>
      </w:pPr>
    </w:p>
    <w:p>
      <w:pPr>
        <w:ind w:left="440" w:right="460" w:firstLine="428"/>
        <w:spacing w:after="0" w:line="277" w:lineRule="auto"/>
        <w:tabs>
          <w:tab w:leader="none" w:pos="1128"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 Security Agreement or a Security Joinder Agreement, as applicable, duly executed by such Subsidiary (with all schedules thereto appropriately completed);</w:t>
      </w:r>
    </w:p>
    <w:p>
      <w:pPr>
        <w:spacing w:after="0" w:line="62" w:lineRule="exact"/>
        <w:rPr>
          <w:rFonts w:ascii="Arial" w:cs="Arial" w:eastAsia="Arial" w:hAnsi="Arial"/>
          <w:sz w:val="18"/>
          <w:szCs w:val="18"/>
          <w:color w:val="auto"/>
        </w:rPr>
      </w:pPr>
    </w:p>
    <w:p>
      <w:pPr>
        <w:ind w:left="440" w:right="140" w:firstLine="428"/>
        <w:spacing w:after="0" w:line="342" w:lineRule="auto"/>
        <w:tabs>
          <w:tab w:leader="none" w:pos="1178" w:val="left"/>
        </w:tabs>
        <w:numPr>
          <w:ilvl w:val="1"/>
          <w:numId w:val="153"/>
        </w:numPr>
        <w:rPr>
          <w:rFonts w:ascii="Arial" w:cs="Arial" w:eastAsia="Arial" w:hAnsi="Arial"/>
          <w:sz w:val="16"/>
          <w:szCs w:val="16"/>
          <w:color w:val="auto"/>
        </w:rPr>
      </w:pPr>
      <w:r>
        <w:rPr>
          <w:rFonts w:ascii="Arial" w:cs="Arial" w:eastAsia="Arial" w:hAnsi="Arial"/>
          <w:sz w:val="16"/>
          <w:szCs w:val="16"/>
          <w:color w:val="auto"/>
        </w:rPr>
        <w:t>if such Subsidiary owns Equity Interests in any other Subsidiary, which Equity Interests constitute Collateral, a Pledge Agreement or a Pledge Joinder Agreement, as applicable, duly executed by such Subsidiary (with all schedules thereto appropriately completed);</w:t>
      </w:r>
    </w:p>
    <w:p>
      <w:pPr>
        <w:spacing w:after="0" w:line="15" w:lineRule="exact"/>
        <w:rPr>
          <w:rFonts w:ascii="Arial" w:cs="Arial" w:eastAsia="Arial" w:hAnsi="Arial"/>
          <w:sz w:val="16"/>
          <w:szCs w:val="16"/>
          <w:color w:val="auto"/>
        </w:rPr>
      </w:pPr>
    </w:p>
    <w:p>
      <w:pPr>
        <w:ind w:left="440" w:right="460" w:firstLine="428"/>
        <w:spacing w:after="0" w:line="308" w:lineRule="auto"/>
        <w:tabs>
          <w:tab w:leader="none" w:pos="1168" w:val="left"/>
        </w:tabs>
        <w:numPr>
          <w:ilvl w:val="1"/>
          <w:numId w:val="153"/>
        </w:numPr>
        <w:rPr>
          <w:rFonts w:ascii="Arial" w:cs="Arial" w:eastAsia="Arial" w:hAnsi="Arial"/>
          <w:sz w:val="17"/>
          <w:szCs w:val="17"/>
          <w:color w:val="auto"/>
        </w:rPr>
      </w:pPr>
      <w:r>
        <w:rPr>
          <w:rFonts w:ascii="Arial" w:cs="Arial" w:eastAsia="Arial" w:hAnsi="Arial"/>
          <w:sz w:val="17"/>
          <w:szCs w:val="17"/>
          <w:color w:val="auto"/>
        </w:rPr>
        <w:t>a Pledge Agreement, Pledge Joinder Agreement or Pledge Agreement Supplement, as applicable, duly executed by the Loan Party owning the Equity Interests of such Subsidiary (in either case, with all schedules thereto appropriately completed);</w:t>
      </w:r>
    </w:p>
    <w:p>
      <w:pPr>
        <w:spacing w:after="0" w:line="38" w:lineRule="exact"/>
        <w:rPr>
          <w:rFonts w:ascii="Arial" w:cs="Arial" w:eastAsia="Arial" w:hAnsi="Arial"/>
          <w:sz w:val="17"/>
          <w:szCs w:val="17"/>
          <w:color w:val="auto"/>
        </w:rPr>
      </w:pPr>
    </w:p>
    <w:p>
      <w:pPr>
        <w:jc w:val="both"/>
        <w:ind w:left="440" w:right="40" w:firstLine="428"/>
        <w:spacing w:after="0" w:line="302" w:lineRule="auto"/>
        <w:tabs>
          <w:tab w:leader="none" w:pos="1118" w:val="left"/>
        </w:tabs>
        <w:numPr>
          <w:ilvl w:val="1"/>
          <w:numId w:val="153"/>
        </w:numPr>
        <w:rPr>
          <w:rFonts w:ascii="Arial" w:cs="Arial" w:eastAsia="Arial" w:hAnsi="Arial"/>
          <w:sz w:val="16"/>
          <w:szCs w:val="16"/>
          <w:color w:val="auto"/>
        </w:rPr>
      </w:pPr>
      <w:r>
        <w:rPr>
          <w:rFonts w:ascii="Arial" w:cs="Arial" w:eastAsia="Arial" w:hAnsi="Arial"/>
          <w:sz w:val="16"/>
          <w:szCs w:val="16"/>
          <w:color w:val="auto"/>
        </w:rPr>
        <w:t xml:space="preserve">if any of the documents referenced in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(iv)</w:t>
      </w:r>
      <w:r>
        <w:rPr>
          <w:rFonts w:ascii="Arial" w:cs="Arial" w:eastAsia="Arial" w:hAnsi="Arial"/>
          <w:sz w:val="16"/>
          <w:szCs w:val="16"/>
          <w:color w:val="auto"/>
        </w:rPr>
        <w:t xml:space="preserve"> are delivered (or required to be delivered) and if requested by the Administrative Agent, opinions of counsel to the applicable Loan Parties and such Subsidiary with respect to the documents delivered and the transactions contemplated by this </w:t>
      </w:r>
      <w:r>
        <w:rPr>
          <w:rFonts w:ascii="Arial" w:cs="Arial" w:eastAsia="Arial" w:hAnsi="Arial"/>
          <w:sz w:val="16"/>
          <w:szCs w:val="16"/>
          <w:u w:val="single" w:color="auto"/>
          <w:color w:val="auto"/>
        </w:rPr>
        <w:t>Section 6.12(a)</w:t>
      </w:r>
      <w:r>
        <w:rPr>
          <w:rFonts w:ascii="Arial" w:cs="Arial" w:eastAsia="Arial" w:hAnsi="Arial"/>
          <w:sz w:val="16"/>
          <w:szCs w:val="16"/>
          <w:color w:val="auto"/>
        </w:rPr>
        <w:t xml:space="preserve">, in form and substance reasonably acceptable to the Administrative Agent, including opinions, assumptions and qualifications similar to those contained in the opinions of counsel delivered pursuant to </w:t>
      </w:r>
      <w:r>
        <w:rPr>
          <w:rFonts w:ascii="Arial" w:cs="Arial" w:eastAsia="Arial" w:hAnsi="Arial"/>
          <w:sz w:val="16"/>
          <w:szCs w:val="16"/>
          <w:u w:val="single" w:color="auto"/>
          <w:color w:val="auto"/>
        </w:rPr>
        <w:t>Section 4.01(a)</w:t>
      </w:r>
      <w:r>
        <w:rPr>
          <w:rFonts w:ascii="Arial" w:cs="Arial" w:eastAsia="Arial" w:hAnsi="Arial"/>
          <w:sz w:val="16"/>
          <w:szCs w:val="16"/>
          <w:color w:val="auto"/>
        </w:rPr>
        <w: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20"/>
          </w:cols>
          <w:pgMar w:left="440" w:top="270" w:right="439" w:bottom="1440" w:gutter="0" w:footer="0" w:header="0"/>
        </w:sectPr>
      </w:pPr>
    </w:p>
    <w:bookmarkStart w:id="105" w:name="page106"/>
    <w:bookmarkEnd w:id="105"/>
    <w:p>
      <w:pPr>
        <w:ind w:left="440" w:right="60" w:firstLine="428"/>
        <w:spacing w:after="0" w:line="259" w:lineRule="auto"/>
        <w:tabs>
          <w:tab w:leader="none" w:pos="1168" w:val="left"/>
        </w:tabs>
        <w:numPr>
          <w:ilvl w:val="2"/>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any of the documents referenced in the foregoing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are delivered (or required to be delivered), current copies of the documents of the types referred to in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with respect to such Subsidiary, all certified by the applicable Governmental Authority or appropriate officer as the Administrative Agent may elect, all in form and substance reasonably satisfactory to the Administrative Agent; and</w:t>
      </w:r>
    </w:p>
    <w:p>
      <w:pPr>
        <w:spacing w:after="0" w:line="78" w:lineRule="exact"/>
        <w:rPr>
          <w:rFonts w:ascii="Arial" w:cs="Arial" w:eastAsia="Arial" w:hAnsi="Arial"/>
          <w:sz w:val="18"/>
          <w:szCs w:val="18"/>
          <w:color w:val="auto"/>
        </w:rPr>
      </w:pPr>
    </w:p>
    <w:p>
      <w:pPr>
        <w:ind w:left="440" w:firstLine="428"/>
        <w:spacing w:after="0" w:line="264" w:lineRule="auto"/>
        <w:tabs>
          <w:tab w:leader="none" w:pos="1218" w:val="left"/>
        </w:tabs>
        <w:numPr>
          <w:ilvl w:val="2"/>
          <w:numId w:val="154"/>
        </w:numPr>
        <w:rPr>
          <w:rFonts w:ascii="Arial" w:cs="Arial" w:eastAsia="Arial" w:hAnsi="Arial"/>
          <w:sz w:val="18"/>
          <w:szCs w:val="18"/>
          <w:color w:val="auto"/>
        </w:rPr>
      </w:pPr>
      <w:r>
        <w:rPr>
          <w:rFonts w:ascii="Arial" w:cs="Arial" w:eastAsia="Arial" w:hAnsi="Arial"/>
          <w:sz w:val="18"/>
          <w:szCs w:val="18"/>
          <w:color w:val="auto"/>
        </w:rPr>
        <w:t xml:space="preserve">evidence reasonably satisfactory to the Administrative Agent that all taxes, filing fees and recording fees related to the perfection of the Liens created under any of the documents delivered pursuant to this </w:t>
      </w:r>
      <w:r>
        <w:rPr>
          <w:rFonts w:ascii="Arial" w:cs="Arial" w:eastAsia="Arial" w:hAnsi="Arial"/>
          <w:sz w:val="18"/>
          <w:szCs w:val="18"/>
          <w:u w:val="single" w:color="auto"/>
          <w:color w:val="auto"/>
        </w:rPr>
        <w:t>Section 6.12(a)</w:t>
      </w:r>
      <w:r>
        <w:rPr>
          <w:rFonts w:ascii="Arial" w:cs="Arial" w:eastAsia="Arial" w:hAnsi="Arial"/>
          <w:sz w:val="18"/>
          <w:szCs w:val="18"/>
          <w:color w:val="auto"/>
        </w:rPr>
        <w:t xml:space="preserve"> have been paid and all reasonable costs and expenses of the Administrative Agent in connection therewith have been paid.</w:t>
      </w:r>
    </w:p>
    <w:p>
      <w:pPr>
        <w:spacing w:after="0" w:line="73" w:lineRule="exact"/>
        <w:rPr>
          <w:rFonts w:ascii="Arial" w:cs="Arial" w:eastAsia="Arial" w:hAnsi="Arial"/>
          <w:sz w:val="18"/>
          <w:szCs w:val="18"/>
          <w:color w:val="auto"/>
        </w:rPr>
      </w:pPr>
    </w:p>
    <w:p>
      <w:pPr>
        <w:ind w:left="700" w:hanging="256"/>
        <w:spacing w:after="0"/>
        <w:tabs>
          <w:tab w:leader="none" w:pos="70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Without limiting the foregoing, within 30 days (or such longer period as approved by the Administrative Agent in its sole discretion) after</w:t>
      </w:r>
    </w:p>
    <w:p>
      <w:pPr>
        <w:spacing w:after="0" w:line="34" w:lineRule="exact"/>
        <w:rPr>
          <w:rFonts w:ascii="Arial" w:cs="Arial" w:eastAsia="Arial" w:hAnsi="Arial"/>
          <w:sz w:val="17"/>
          <w:szCs w:val="17"/>
          <w:color w:val="auto"/>
        </w:rPr>
      </w:pPr>
    </w:p>
    <w:p>
      <w:pPr>
        <w:jc w:val="both"/>
        <w:ind w:right="160" w:firstLine="4"/>
        <w:spacing w:after="0" w:line="254" w:lineRule="auto"/>
        <w:tabs>
          <w:tab w:leader="none" w:pos="21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each delivery or required delivery of financial information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6.01(b)</w:t>
      </w:r>
      <w:r>
        <w:rPr>
          <w:rFonts w:ascii="Arial" w:cs="Arial" w:eastAsia="Arial" w:hAnsi="Arial"/>
          <w:sz w:val="18"/>
          <w:szCs w:val="18"/>
          <w:color w:val="auto"/>
        </w:rPr>
        <w:t xml:space="preserve"> and (ii) any Disposition of any Restricted Subsidiary or any material portion of its assets (including via merger or dissolution), cause one or more Subsidiaries to become Subsidiary Guarantors and take such additional actions of the type described in </w:t>
      </w:r>
      <w:r>
        <w:rPr>
          <w:rFonts w:ascii="Arial" w:cs="Arial" w:eastAsia="Arial" w:hAnsi="Arial"/>
          <w:sz w:val="18"/>
          <w:szCs w:val="18"/>
          <w:u w:val="single" w:color="auto"/>
          <w:color w:val="auto"/>
        </w:rPr>
        <w:t>Section 6.12(a)</w:t>
      </w:r>
      <w:r>
        <w:rPr>
          <w:rFonts w:ascii="Arial" w:cs="Arial" w:eastAsia="Arial" w:hAnsi="Arial"/>
          <w:sz w:val="18"/>
          <w:szCs w:val="18"/>
          <w:color w:val="auto"/>
        </w:rPr>
        <w:t xml:space="preserve"> as if such Subsidiaries were Material Subsidiaries, to the extent necessary to cause, subject to the limits and exclusions set forth in </w:t>
      </w:r>
      <w:r>
        <w:rPr>
          <w:rFonts w:ascii="Arial" w:cs="Arial" w:eastAsia="Arial" w:hAnsi="Arial"/>
          <w:sz w:val="18"/>
          <w:szCs w:val="18"/>
          <w:u w:val="single" w:color="auto"/>
          <w:color w:val="auto"/>
        </w:rPr>
        <w:t>Section 6.12(c)</w:t>
      </w:r>
      <w:r>
        <w:rPr>
          <w:rFonts w:ascii="Arial" w:cs="Arial" w:eastAsia="Arial" w:hAnsi="Arial"/>
          <w:sz w:val="18"/>
          <w:szCs w:val="18"/>
          <w:color w:val="auto"/>
        </w:rPr>
        <w:t xml:space="preserve"> below:</w:t>
      </w:r>
    </w:p>
    <w:p>
      <w:pPr>
        <w:spacing w:after="0" w:line="81" w:lineRule="exact"/>
        <w:rPr>
          <w:rFonts w:ascii="Arial" w:cs="Arial" w:eastAsia="Arial" w:hAnsi="Arial"/>
          <w:sz w:val="18"/>
          <w:szCs w:val="18"/>
          <w:color w:val="auto"/>
        </w:rPr>
      </w:pPr>
    </w:p>
    <w:p>
      <w:pPr>
        <w:jc w:val="both"/>
        <w:ind w:left="440" w:right="280" w:firstLine="428"/>
        <w:spacing w:after="0" w:line="259" w:lineRule="auto"/>
        <w:tabs>
          <w:tab w:leader="none" w:pos="1078" w:val="left"/>
        </w:tabs>
        <w:numPr>
          <w:ilvl w:val="2"/>
          <w:numId w:val="156"/>
        </w:numPr>
        <w:rPr>
          <w:rFonts w:ascii="Arial" w:cs="Arial" w:eastAsia="Arial" w:hAnsi="Arial"/>
          <w:sz w:val="18"/>
          <w:szCs w:val="18"/>
          <w:color w:val="auto"/>
        </w:rPr>
      </w:pPr>
      <w:r>
        <w:rPr>
          <w:rFonts w:ascii="Arial" w:cs="Arial" w:eastAsia="Arial" w:hAnsi="Arial"/>
          <w:sz w:val="18"/>
          <w:szCs w:val="18"/>
          <w:color w:val="auto"/>
        </w:rPr>
        <w:t>the Obligations of the Company and each other U.S. Borrower to be guaranteed by Domestic Subsidiaries, and secured by the Equity Interests and assets of, Subsidiaries that, together with the Company, account for at least 90% of the Consolidated Total Assets and 90% of the consolidated total revenues of the Company and its Subsidiaries (but excluding from such calculation the assets and revenues of each Foreign Subsidiary); and</w:t>
      </w:r>
    </w:p>
    <w:p>
      <w:pPr>
        <w:spacing w:after="0" w:line="78" w:lineRule="exact"/>
        <w:rPr>
          <w:rFonts w:ascii="Arial" w:cs="Arial" w:eastAsia="Arial" w:hAnsi="Arial"/>
          <w:sz w:val="18"/>
          <w:szCs w:val="18"/>
          <w:color w:val="auto"/>
        </w:rPr>
      </w:pPr>
    </w:p>
    <w:p>
      <w:pPr>
        <w:jc w:val="both"/>
        <w:ind w:left="440" w:right="180" w:firstLine="428"/>
        <w:spacing w:after="0" w:line="264" w:lineRule="auto"/>
        <w:tabs>
          <w:tab w:leader="none" w:pos="1128" w:val="left"/>
        </w:tabs>
        <w:numPr>
          <w:ilvl w:val="2"/>
          <w:numId w:val="156"/>
        </w:numPr>
        <w:rPr>
          <w:rFonts w:ascii="Arial" w:cs="Arial" w:eastAsia="Arial" w:hAnsi="Arial"/>
          <w:sz w:val="18"/>
          <w:szCs w:val="18"/>
          <w:color w:val="auto"/>
        </w:rPr>
      </w:pPr>
      <w:r>
        <w:rPr>
          <w:rFonts w:ascii="Arial" w:cs="Arial" w:eastAsia="Arial" w:hAnsi="Arial"/>
          <w:sz w:val="18"/>
          <w:szCs w:val="18"/>
          <w:color w:val="auto"/>
        </w:rPr>
        <w:t>the Obligations of each Designated Borrower that is a Foreign Subsidiary to be guaranteed by, and secured by the Equity Interests and assets of, Subsidiaries that, together with the Company, account for at least 90% of Consolidated Total Assets and 90% of the consolidated total revenues of the Company and its Subsidiaries.</w:t>
      </w:r>
    </w:p>
    <w:p>
      <w:pPr>
        <w:spacing w:after="0" w:line="181" w:lineRule="exact"/>
        <w:rPr>
          <w:sz w:val="20"/>
          <w:szCs w:val="20"/>
          <w:color w:val="auto"/>
        </w:rPr>
      </w:pPr>
    </w:p>
    <w:p>
      <w:pPr>
        <w:ind w:right="340" w:firstLine="441"/>
        <w:spacing w:after="0" w:line="257" w:lineRule="auto"/>
        <w:rPr>
          <w:sz w:val="20"/>
          <w:szCs w:val="20"/>
          <w:color w:val="auto"/>
        </w:rPr>
      </w:pPr>
      <w:r>
        <w:rPr>
          <w:rFonts w:ascii="Arial" w:cs="Arial" w:eastAsia="Arial" w:hAnsi="Arial"/>
          <w:sz w:val="18"/>
          <w:szCs w:val="18"/>
          <w:color w:val="auto"/>
        </w:rPr>
        <w:t xml:space="preserve">For purposes of the foregoing calculations, (x) assets shall be determined as of the last day of the most recently ended fiscal quarter for which financial information is available, (y) revenues shall be determined using the results of the four fiscal quarter period of the Company most recently ended for which financial information is available, but giving effect to any pro forma adjustments, with respect to any Specified Transaction, in a manner consistent with the adjustments described in </w:t>
      </w:r>
      <w:r>
        <w:rPr>
          <w:rFonts w:ascii="Arial" w:cs="Arial" w:eastAsia="Arial" w:hAnsi="Arial"/>
          <w:sz w:val="18"/>
          <w:szCs w:val="18"/>
          <w:u w:val="single" w:color="auto"/>
          <w:color w:val="auto"/>
        </w:rPr>
        <w:t>Section 1.07</w:t>
      </w:r>
      <w:r>
        <w:rPr>
          <w:rFonts w:ascii="Arial" w:cs="Arial" w:eastAsia="Arial" w:hAnsi="Arial"/>
          <w:sz w:val="18"/>
          <w:szCs w:val="18"/>
          <w:color w:val="auto"/>
        </w:rPr>
        <w:t xml:space="preserve"> and (z) the assets and revenues of a Subsidiary shall not be deemed to include the assets and revenues of its Subsidiaries.</w:t>
      </w:r>
    </w:p>
    <w:p>
      <w:pPr>
        <w:spacing w:after="0" w:line="80" w:lineRule="exact"/>
        <w:rPr>
          <w:sz w:val="20"/>
          <w:szCs w:val="20"/>
          <w:color w:val="auto"/>
        </w:rPr>
      </w:pPr>
    </w:p>
    <w:p>
      <w:pPr>
        <w:jc w:val="both"/>
        <w:ind w:right="40" w:firstLine="444"/>
        <w:spacing w:after="0" w:line="259" w:lineRule="auto"/>
        <w:tabs>
          <w:tab w:leader="none" w:pos="68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to the contrary, it is acknowledged and agreed that (i) in no event shall any Foreign Subsidiary be required to guarantee, or provide collateral security for, any portion of the Obligations of a U.S. Loan Party and (ii) the pledge of any Voting Equity Interests (as defined in the U.S. Pledge Agreement) in Foreign Subsidiaries as collateral security for any portion of the Obligations of a U.S. Loan Party shall be limited as provided in the U.S. Pledge Agreement and the other Loan Documents.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0"/>
          </w:cols>
          <w:pgMar w:left="440" w:top="274" w:right="479" w:bottom="1440" w:gutter="0" w:footer="0" w:header="0"/>
        </w:sectPr>
      </w:pPr>
    </w:p>
    <w:bookmarkStart w:id="106" w:name="page107"/>
    <w:bookmarkEnd w:id="106"/>
    <w:p>
      <w:pPr>
        <w:ind w:right="40" w:firstLine="441"/>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6.13 Compliance with Environmental Laws. </w:t>
      </w:r>
      <w:r>
        <w:rPr>
          <w:rFonts w:ascii="Arial" w:cs="Arial" w:eastAsia="Arial" w:hAnsi="Arial"/>
          <w:sz w:val="17"/>
          <w:szCs w:val="17"/>
          <w:color w:val="auto"/>
        </w:rPr>
        <w:t>Comply, and use commercially reasonable efforts to cause all lessees and other Persons operating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occupying its properties to comply, in all material respects, with all applicable Environmental Laws and Environmental Permits; obtain and renew all Environmental Permits necessary for its operations and properties; and conduct any investigation, study, sampling and testing, and undertake any cleanup, removal, remedial or other action necessary to remove and clean up all Hazardous Materials from any of its properties, in accordance with the requirements of all Environmental Laws;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the Company nor any of its Restricted Subsidiaries shall be required to undertake any such cleanup, removal, remedial or other action to the extent that (a) its obligation to do so is being contested in good faith and by proper proceedings and appropriate reserves are being maintained with respect to such circumstances in accordance with GAAP, or (b) its failure to undertake any such action, either individually or in the aggregate, could not reasonably be expected to have a Material Adverse Effect or result in a penalty, fine or liability to the Company or any of its Restricted Subsidiaries in excess of the Threshold Amount.</w:t>
      </w:r>
    </w:p>
    <w:p>
      <w:pPr>
        <w:spacing w:after="0" w:line="174" w:lineRule="exact"/>
        <w:rPr>
          <w:sz w:val="20"/>
          <w:szCs w:val="20"/>
          <w:color w:val="auto"/>
        </w:rPr>
      </w:pPr>
    </w:p>
    <w:p>
      <w:pPr>
        <w:ind w:right="140" w:firstLine="441"/>
        <w:spacing w:after="0" w:line="287" w:lineRule="auto"/>
        <w:rPr>
          <w:sz w:val="20"/>
          <w:szCs w:val="20"/>
          <w:color w:val="auto"/>
        </w:rPr>
      </w:pPr>
      <w:r>
        <w:rPr>
          <w:rFonts w:ascii="Arial" w:cs="Arial" w:eastAsia="Arial" w:hAnsi="Arial"/>
          <w:sz w:val="16"/>
          <w:szCs w:val="16"/>
          <w:b w:val="1"/>
          <w:bCs w:val="1"/>
          <w:color w:val="auto"/>
        </w:rPr>
        <w:t xml:space="preserve">6.14 Further Assurances. </w:t>
      </w:r>
      <w:r>
        <w:rPr>
          <w:rFonts w:ascii="Arial" w:cs="Arial" w:eastAsia="Arial" w:hAnsi="Arial"/>
          <w:sz w:val="16"/>
          <w:szCs w:val="16"/>
          <w:color w:val="auto"/>
        </w:rPr>
        <w:t>Promptly upon request by the Administrative Agent, or any Lender through the Administrative Agent, (a) correct any</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w:t>
      </w:r>
    </w:p>
    <w:p>
      <w:pPr>
        <w:spacing w:after="0" w:line="3" w:lineRule="exact"/>
        <w:rPr>
          <w:sz w:val="20"/>
          <w:szCs w:val="20"/>
          <w:color w:val="auto"/>
        </w:rPr>
      </w:pPr>
    </w:p>
    <w:p>
      <w:pPr>
        <w:ind w:right="80" w:firstLine="4"/>
        <w:spacing w:after="0" w:line="252" w:lineRule="auto"/>
        <w:tabs>
          <w:tab w:leader="none" w:pos="21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carry out more effectively the purposes of the Loan Documents, (ii) to the fullest extent permitted by applicable law, subject any Loan Party’s or any of its Restricted Subsidiaries’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or any of its Restricted Subsidiaries is or is to be a party, and cause each of its Restricted Subsidiaries to do so.</w:t>
      </w:r>
    </w:p>
    <w:p>
      <w:pPr>
        <w:spacing w:after="0" w:line="189"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b w:val="1"/>
          <w:bCs w:val="1"/>
          <w:color w:val="auto"/>
        </w:rPr>
        <w:t xml:space="preserve">6.15 Approvals and Authorizations. </w:t>
      </w:r>
      <w:r>
        <w:rPr>
          <w:rFonts w:ascii="Arial" w:cs="Arial" w:eastAsia="Arial" w:hAnsi="Arial"/>
          <w:sz w:val="18"/>
          <w:szCs w:val="18"/>
          <w:color w:val="auto"/>
        </w:rPr>
        <w:t>Except as would not reasonably be expected to cause a Material Adverse Effect, maintain all authorizations,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consents, approvals and licenses from, exemptions of, and filings and registrations with, each Governmental Authority of the jurisdiction in which each Foreign Obligor is organized and existing, and all approvals and consents of each other Person in such jurisdiction, in each case that are required in connection with the Loan Documents.</w:t>
      </w:r>
    </w:p>
    <w:p>
      <w:pPr>
        <w:spacing w:after="0" w:line="180"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b w:val="1"/>
          <w:bCs w:val="1"/>
          <w:color w:val="auto"/>
        </w:rPr>
        <w:t xml:space="preserve">6.16 Anti-Corruption Laws; Sanctions. </w:t>
      </w:r>
      <w:r>
        <w:rPr>
          <w:rFonts w:ascii="Arial" w:cs="Arial" w:eastAsia="Arial" w:hAnsi="Arial"/>
          <w:sz w:val="18"/>
          <w:szCs w:val="18"/>
          <w:color w:val="auto"/>
        </w:rPr>
        <w:t>Conduct its businesses in compliance in all material respects with the United States Foreign Corrupt</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Act of 1977, the UK Bribery Act 2010, and other similar anti-corruption legislation in other jurisdictions applicable to the Company or any of its Restricted Subsidiaries and with all applicable Sanctions and maintain policies and procedures in the Company’s reasonable business judgment designed to promote and achieve compliance with such laws and Sanctions.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NEGATIVE COVENANTS</w:t>
      </w:r>
    </w:p>
    <w:p>
      <w:pPr>
        <w:spacing w:after="0" w:line="21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So long as the Facility Termination Date has not occurred, the Company shall not, nor shall it permit any Restricted Subsidiary to, directly or indirectly:</w:t>
      </w:r>
    </w:p>
    <w:p>
      <w:pPr>
        <w:spacing w:after="0" w:line="166" w:lineRule="exact"/>
        <w:rPr>
          <w:sz w:val="20"/>
          <w:szCs w:val="20"/>
          <w:color w:val="auto"/>
        </w:rPr>
      </w:pPr>
    </w:p>
    <w:p>
      <w:pPr>
        <w:ind w:right="660" w:firstLine="441"/>
        <w:spacing w:after="0" w:line="282" w:lineRule="auto"/>
        <w:rPr>
          <w:sz w:val="20"/>
          <w:szCs w:val="20"/>
          <w:color w:val="auto"/>
        </w:rPr>
      </w:pPr>
      <w:r>
        <w:rPr>
          <w:rFonts w:ascii="Arial" w:cs="Arial" w:eastAsia="Arial" w:hAnsi="Arial"/>
          <w:sz w:val="18"/>
          <w:szCs w:val="18"/>
          <w:b w:val="1"/>
          <w:bCs w:val="1"/>
          <w:color w:val="auto"/>
        </w:rPr>
        <w:t xml:space="preserve">7.01 Liens. </w:t>
      </w:r>
      <w:r>
        <w:rPr>
          <w:rFonts w:ascii="Arial" w:cs="Arial" w:eastAsia="Arial" w:hAnsi="Arial"/>
          <w:sz w:val="18"/>
          <w:szCs w:val="18"/>
          <w:color w:val="auto"/>
        </w:rPr>
        <w:t>Create, incur, assume or suffer to exist any Lien upon any of its property, assets or revenues, whether now owned or 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other than the following:</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Liens pursuant to any Loan Document;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00"/>
          </w:cols>
          <w:pgMar w:left="440" w:top="270" w:right="459" w:bottom="1440" w:gutter="0" w:footer="0" w:header="0"/>
        </w:sectPr>
      </w:pPr>
    </w:p>
    <w:bookmarkStart w:id="107" w:name="page108"/>
    <w:bookmarkEnd w:id="107"/>
    <w:p>
      <w:pPr>
        <w:jc w:val="both"/>
        <w:ind w:left="-4" w:right="100" w:firstLine="444"/>
        <w:spacing w:after="0" w:line="259" w:lineRule="auto"/>
        <w:tabs>
          <w:tab w:leader="none" w:pos="692" w:val="left"/>
        </w:tabs>
        <w:numPr>
          <w:ilvl w:val="1"/>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Liens existing on the date hereof and listed on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and any renewals or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property covered thereby is not changed, (ii) the amount secured or benefited thereby is not increased except as contemplated by </w:t>
      </w:r>
      <w:r>
        <w:rPr>
          <w:rFonts w:ascii="Arial" w:cs="Arial" w:eastAsia="Arial" w:hAnsi="Arial"/>
          <w:sz w:val="18"/>
          <w:szCs w:val="18"/>
          <w:u w:val="single" w:color="auto"/>
          <w:color w:val="auto"/>
        </w:rPr>
        <w:t>Section 7.03(b)</w:t>
      </w:r>
      <w:r>
        <w:rPr>
          <w:rFonts w:ascii="Arial" w:cs="Arial" w:eastAsia="Arial" w:hAnsi="Arial"/>
          <w:sz w:val="18"/>
          <w:szCs w:val="18"/>
          <w:color w:val="auto"/>
        </w:rPr>
        <w:t xml:space="preserve">, (iii) the direct or any contingent obligor with respect thereto is not changed, and (iv) any renewal or extension of the obligations secured or benefited thereby is permitted by </w:t>
      </w:r>
      <w:r>
        <w:rPr>
          <w:rFonts w:ascii="Arial" w:cs="Arial" w:eastAsia="Arial" w:hAnsi="Arial"/>
          <w:sz w:val="18"/>
          <w:szCs w:val="18"/>
          <w:u w:val="single" w:color="auto"/>
          <w:color w:val="auto"/>
        </w:rPr>
        <w:t>Section 7.03(b)</w:t>
      </w:r>
      <w:r>
        <w:rPr>
          <w:rFonts w:ascii="Arial" w:cs="Arial" w:eastAsia="Arial" w:hAnsi="Arial"/>
          <w:sz w:val="18"/>
          <w:szCs w:val="18"/>
          <w:color w:val="auto"/>
        </w:rPr>
        <w:t>;</w:t>
      </w:r>
    </w:p>
    <w:p>
      <w:pPr>
        <w:spacing w:after="0" w:line="78" w:lineRule="exact"/>
        <w:rPr>
          <w:rFonts w:ascii="Arial" w:cs="Arial" w:eastAsia="Arial" w:hAnsi="Arial"/>
          <w:sz w:val="18"/>
          <w:szCs w:val="18"/>
          <w:color w:val="auto"/>
        </w:rPr>
      </w:pPr>
    </w:p>
    <w:p>
      <w:pPr>
        <w:ind w:left="676" w:hanging="236"/>
        <w:spacing w:after="0"/>
        <w:tabs>
          <w:tab w:leader="none" w:pos="676" w:val="left"/>
        </w:tabs>
        <w:numPr>
          <w:ilvl w:val="1"/>
          <w:numId w:val="159"/>
        </w:numPr>
        <w:rPr>
          <w:rFonts w:ascii="Arial" w:cs="Arial" w:eastAsia="Arial" w:hAnsi="Arial"/>
          <w:sz w:val="17"/>
          <w:szCs w:val="17"/>
          <w:color w:val="auto"/>
        </w:rPr>
      </w:pPr>
      <w:r>
        <w:rPr>
          <w:rFonts w:ascii="Arial" w:cs="Arial" w:eastAsia="Arial" w:hAnsi="Arial"/>
          <w:sz w:val="17"/>
          <w:szCs w:val="17"/>
          <w:color w:val="auto"/>
        </w:rPr>
        <w:t>Liens for taxes (i) not yet due or as to which the period of grace (not to exceed thirty (30) days), if any, related thereto has not expired or</w:t>
      </w:r>
    </w:p>
    <w:p>
      <w:pPr>
        <w:spacing w:after="0" w:line="34" w:lineRule="exact"/>
        <w:rPr>
          <w:rFonts w:ascii="Arial" w:cs="Arial" w:eastAsia="Arial" w:hAnsi="Arial"/>
          <w:sz w:val="17"/>
          <w:szCs w:val="17"/>
          <w:color w:val="auto"/>
        </w:rPr>
      </w:pPr>
    </w:p>
    <w:p>
      <w:pPr>
        <w:ind w:left="-4" w:right="820" w:firstLine="4"/>
        <w:spacing w:after="0" w:line="261" w:lineRule="auto"/>
        <w:tabs>
          <w:tab w:leader="none" w:pos="261"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which are being contested in good faith and by appropriate proceedings diligently conducted, if adequate reserves with respect thereto are maintained on the books of the applicable Person in accordance with GAAP;</w:t>
      </w:r>
    </w:p>
    <w:p>
      <w:pPr>
        <w:spacing w:after="0" w:line="75" w:lineRule="exact"/>
        <w:rPr>
          <w:rFonts w:ascii="Arial" w:cs="Arial" w:eastAsia="Arial" w:hAnsi="Arial"/>
          <w:sz w:val="18"/>
          <w:szCs w:val="18"/>
          <w:color w:val="auto"/>
        </w:rPr>
      </w:pPr>
    </w:p>
    <w:p>
      <w:pPr>
        <w:ind w:left="-4" w:right="60" w:firstLine="444"/>
        <w:spacing w:after="0" w:line="286" w:lineRule="auto"/>
        <w:tabs>
          <w:tab w:leader="none" w:pos="692" w:val="left"/>
        </w:tabs>
        <w:numPr>
          <w:ilvl w:val="1"/>
          <w:numId w:val="160"/>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or other like Liens arising in the ordinary course of business which are not overdue for a period of more than 30 days or which are being contested in good faith and by appropriate proceedings diligently conducted, if adequate reserves with respect thereto are maintained on the books of the applicable Person in accordance with GAAP;</w:t>
      </w:r>
    </w:p>
    <w:p>
      <w:pPr>
        <w:spacing w:after="0" w:line="57" w:lineRule="exact"/>
        <w:rPr>
          <w:rFonts w:ascii="Arial" w:cs="Arial" w:eastAsia="Arial" w:hAnsi="Arial"/>
          <w:sz w:val="17"/>
          <w:szCs w:val="17"/>
          <w:color w:val="auto"/>
        </w:rPr>
      </w:pPr>
    </w:p>
    <w:p>
      <w:pPr>
        <w:ind w:left="-4" w:right="280" w:firstLine="444"/>
        <w:spacing w:after="0" w:line="277" w:lineRule="auto"/>
        <w:tabs>
          <w:tab w:leader="none" w:pos="68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pledges or deposits in the ordinary course of business in connection with workers’ compensation, unemployment insurance and other social security legislation, other than any Lien imposed by ERISA;</w:t>
      </w:r>
    </w:p>
    <w:p>
      <w:pPr>
        <w:spacing w:after="0" w:line="62" w:lineRule="exact"/>
        <w:rPr>
          <w:rFonts w:ascii="Arial" w:cs="Arial" w:eastAsia="Arial" w:hAnsi="Arial"/>
          <w:sz w:val="18"/>
          <w:szCs w:val="18"/>
          <w:color w:val="auto"/>
        </w:rPr>
      </w:pPr>
    </w:p>
    <w:p>
      <w:pPr>
        <w:ind w:left="-4" w:right="60" w:firstLine="444"/>
        <w:spacing w:after="0" w:line="277" w:lineRule="auto"/>
        <w:tabs>
          <w:tab w:leader="none" w:pos="66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and leases (other than Indebtedness), statutory obligations, surety and appeal bonds, performance bonds and other obligations of a like nature incurred in the ordinary course of business;</w:t>
      </w:r>
    </w:p>
    <w:p>
      <w:pPr>
        <w:spacing w:after="0" w:line="62" w:lineRule="exact"/>
        <w:rPr>
          <w:rFonts w:ascii="Arial" w:cs="Arial" w:eastAsia="Arial" w:hAnsi="Arial"/>
          <w:sz w:val="18"/>
          <w:szCs w:val="18"/>
          <w:color w:val="auto"/>
        </w:rPr>
      </w:pPr>
    </w:p>
    <w:p>
      <w:pPr>
        <w:ind w:left="-4" w:right="140" w:firstLine="444"/>
        <w:spacing w:after="0" w:line="264" w:lineRule="auto"/>
        <w:tabs>
          <w:tab w:leader="none" w:pos="69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73" w:lineRule="exact"/>
        <w:rPr>
          <w:rFonts w:ascii="Arial" w:cs="Arial" w:eastAsia="Arial" w:hAnsi="Arial"/>
          <w:sz w:val="18"/>
          <w:szCs w:val="18"/>
          <w:color w:val="auto"/>
        </w:rPr>
      </w:pPr>
    </w:p>
    <w:p>
      <w:pPr>
        <w:ind w:left="696" w:hanging="256"/>
        <w:spacing w:after="0"/>
        <w:tabs>
          <w:tab w:leader="none" w:pos="69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Liens securing judgments for the payment of money not constituting an Event of Default under </w:t>
      </w:r>
      <w:r>
        <w:rPr>
          <w:rFonts w:ascii="Arial" w:cs="Arial" w:eastAsia="Arial" w:hAnsi="Arial"/>
          <w:sz w:val="18"/>
          <w:szCs w:val="18"/>
          <w:u w:val="single" w:color="auto"/>
          <w:color w:val="auto"/>
        </w:rPr>
        <w:t>Section 8.01(h)</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firstLine="444"/>
        <w:spacing w:after="0" w:line="259" w:lineRule="auto"/>
        <w:tabs>
          <w:tab w:leader="none" w:pos="65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7.03(e)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7.03(f)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do not at any time encumber any property other than the property financed by such Indebtedness and, in the case of Indebtedness assumed in connection with a Permitted Acquisition, the property subject thereto immediately prior to such Acquisition and (ii) the Indebtedness secured thereby does not exceed the cost or fair market value, whichever is lower, of the property being acquired on the date of acquisition;</w:t>
      </w:r>
    </w:p>
    <w:p>
      <w:pPr>
        <w:spacing w:after="0" w:line="78" w:lineRule="exact"/>
        <w:rPr>
          <w:rFonts w:ascii="Arial" w:cs="Arial" w:eastAsia="Arial" w:hAnsi="Arial"/>
          <w:sz w:val="18"/>
          <w:szCs w:val="18"/>
          <w:color w:val="auto"/>
        </w:rPr>
      </w:pPr>
    </w:p>
    <w:p>
      <w:pPr>
        <w:ind w:left="-4" w:firstLine="444"/>
        <w:spacing w:after="0" w:line="259" w:lineRule="auto"/>
        <w:tabs>
          <w:tab w:leader="none" w:pos="65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Liens, if any, in favor of a surety granted by the Company and/or its Restricted Subsidiaries arising by operation of law or under any indemnity agreement or surety agreement entered into in the ordinary course of business in connection with construction-related bid or performance bonds;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Lien does not at any time encumber any property other than the applicable bonded contractual obligation and the accounts receivable, material and equipment under such applicable bonded contractual obligation;</w:t>
      </w:r>
    </w:p>
    <w:p>
      <w:pPr>
        <w:spacing w:after="0" w:line="78" w:lineRule="exact"/>
        <w:rPr>
          <w:rFonts w:ascii="Arial" w:cs="Arial" w:eastAsia="Arial" w:hAnsi="Arial"/>
          <w:sz w:val="18"/>
          <w:szCs w:val="18"/>
          <w:color w:val="auto"/>
        </w:rPr>
      </w:pPr>
    </w:p>
    <w:p>
      <w:pPr>
        <w:ind w:left="-4" w:right="160" w:firstLine="444"/>
        <w:spacing w:after="0" w:line="264" w:lineRule="auto"/>
        <w:tabs>
          <w:tab w:leader="none" w:pos="69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Liens on cash collateral securing Indebtedness permitted under </w:t>
      </w:r>
      <w:r>
        <w:rPr>
          <w:rFonts w:ascii="Arial" w:cs="Arial" w:eastAsia="Arial" w:hAnsi="Arial"/>
          <w:sz w:val="18"/>
          <w:szCs w:val="18"/>
          <w:u w:val="single" w:color="auto"/>
          <w:color w:val="auto"/>
        </w:rPr>
        <w:t>Section 7.03(j)</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aggregate amount of obligations secured thereby shall not exceed $3,000,000 and (ii) the amount of cash collateral provided shall not exceed 110% of the face amount of the letter of credit or bank guarantee secured thereby.</w:t>
      </w:r>
    </w:p>
    <w:p>
      <w:pPr>
        <w:spacing w:after="0" w:line="11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96"/>
          </w:cols>
          <w:pgMar w:left="444" w:top="274" w:right="459" w:bottom="1440" w:gutter="0" w:footer="0" w:header="0"/>
        </w:sectPr>
      </w:pPr>
    </w:p>
    <w:bookmarkStart w:id="108" w:name="page109"/>
    <w:bookmarkEnd w:id="10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 other Liens securing obligations, which do not exceed $10,000,000 at any time outstanding.</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7.02 Investments. </w:t>
      </w:r>
      <w:r>
        <w:rPr>
          <w:rFonts w:ascii="Arial" w:cs="Arial" w:eastAsia="Arial" w:hAnsi="Arial"/>
          <w:sz w:val="18"/>
          <w:szCs w:val="18"/>
          <w:color w:val="auto"/>
        </w:rPr>
        <w:t>Make or hold any Investments, except:</w:t>
      </w:r>
    </w:p>
    <w:p>
      <w:pPr>
        <w:spacing w:after="0" w:line="121" w:lineRule="exact"/>
        <w:rPr>
          <w:sz w:val="20"/>
          <w:szCs w:val="20"/>
          <w:color w:val="auto"/>
        </w:rPr>
      </w:pPr>
    </w:p>
    <w:p>
      <w:pPr>
        <w:ind w:left="680" w:hanging="236"/>
        <w:spacing w:after="0"/>
        <w:tabs>
          <w:tab w:leader="none" w:pos="6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Investments held by the Company or such Restricted Subsidiary in the form of Cash Equivalents;</w:t>
      </w:r>
    </w:p>
    <w:p>
      <w:pPr>
        <w:spacing w:after="0" w:line="117" w:lineRule="exact"/>
        <w:rPr>
          <w:rFonts w:ascii="Arial" w:cs="Arial" w:eastAsia="Arial" w:hAnsi="Arial"/>
          <w:sz w:val="18"/>
          <w:szCs w:val="18"/>
          <w:color w:val="auto"/>
        </w:rPr>
      </w:pPr>
    </w:p>
    <w:p>
      <w:pPr>
        <w:ind w:right="220" w:firstLine="444"/>
        <w:spacing w:after="0" w:line="277" w:lineRule="auto"/>
        <w:tabs>
          <w:tab w:leader="none" w:pos="69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advances to officers, directors and employees of the Company and Restricted Subsidiaries in the ordinary course of business in an aggregate amount not to exceed $1,000,000 at any time outstanding;</w:t>
      </w:r>
    </w:p>
    <w:p>
      <w:pPr>
        <w:spacing w:after="0" w:line="62" w:lineRule="exact"/>
        <w:rPr>
          <w:rFonts w:ascii="Arial" w:cs="Arial" w:eastAsia="Arial" w:hAnsi="Arial"/>
          <w:sz w:val="18"/>
          <w:szCs w:val="18"/>
          <w:color w:val="auto"/>
        </w:rPr>
      </w:pPr>
    </w:p>
    <w:p>
      <w:pPr>
        <w:ind w:right="100" w:firstLine="444"/>
        <w:spacing w:after="0" w:line="255" w:lineRule="auto"/>
        <w:tabs>
          <w:tab w:leader="none" w:pos="68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 Investments existing on the Closing Date in Subsidiaries existing on the Closing Date; (ii) Investments existing on the Closing Date (other than Investments in Subsidiaries existing on the Closing Date) and described on </w:t>
      </w:r>
      <w:r>
        <w:rPr>
          <w:rFonts w:ascii="Arial" w:cs="Arial" w:eastAsia="Arial" w:hAnsi="Arial"/>
          <w:sz w:val="18"/>
          <w:szCs w:val="18"/>
          <w:u w:val="single" w:color="auto"/>
          <w:color w:val="auto"/>
        </w:rPr>
        <w:t>Schedule 7.02</w:t>
      </w:r>
      <w:r>
        <w:rPr>
          <w:rFonts w:ascii="Arial" w:cs="Arial" w:eastAsia="Arial" w:hAnsi="Arial"/>
          <w:sz w:val="18"/>
          <w:szCs w:val="18"/>
          <w:color w:val="auto"/>
        </w:rPr>
        <w:t>; (iii) Investments made after the Closing Date by any Loan Party in any other Loan Party (limited, in the case of U.S. Loan Parties, to Investments in each other and in other Loan Parties that have Guaranteed the Obligations of the Company); (iv) Investments made after the Closing Date by any Restricted Subsidiary that is not a Loan Party in any other Restricted Subsidiary that is not a Loan Party; and (v) Investments made after the Closing Date by any Restricted Subsidiary that is not a Loan Party in any Loan Party;</w:t>
      </w:r>
    </w:p>
    <w:p>
      <w:pPr>
        <w:spacing w:after="0" w:line="85" w:lineRule="exact"/>
        <w:rPr>
          <w:rFonts w:ascii="Arial" w:cs="Arial" w:eastAsia="Arial" w:hAnsi="Arial"/>
          <w:sz w:val="18"/>
          <w:szCs w:val="18"/>
          <w:color w:val="auto"/>
        </w:rPr>
      </w:pPr>
    </w:p>
    <w:p>
      <w:pPr>
        <w:jc w:val="both"/>
        <w:ind w:right="180" w:firstLine="444"/>
        <w:spacing w:after="0" w:line="264" w:lineRule="auto"/>
        <w:tabs>
          <w:tab w:leader="none" w:pos="69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73" w:lineRule="exact"/>
        <w:rPr>
          <w:rFonts w:ascii="Arial" w:cs="Arial" w:eastAsia="Arial" w:hAnsi="Arial"/>
          <w:sz w:val="18"/>
          <w:szCs w:val="18"/>
          <w:color w:val="auto"/>
        </w:rPr>
      </w:pPr>
    </w:p>
    <w:p>
      <w:pPr>
        <w:ind w:left="680" w:hanging="236"/>
        <w:spacing w:after="0"/>
        <w:tabs>
          <w:tab w:leader="none" w:pos="6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444"/>
        <w:spacing w:after="0" w:line="255" w:lineRule="auto"/>
        <w:tabs>
          <w:tab w:leader="none" w:pos="66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Investments by any Loan Party (i) in any Subsidiary that is either not a Loan Party or is a Loan Party that has not Guaranteed the Obligations of the Company or (ii) in joint ventures;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aggregate amount of all such Investments described in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when taken together with the aggregate amount of Investments made in the form of Permitted Acquisitions pursuant to </w:t>
      </w:r>
      <w:r>
        <w:rPr>
          <w:rFonts w:ascii="Arial" w:cs="Arial" w:eastAsia="Arial" w:hAnsi="Arial"/>
          <w:sz w:val="18"/>
          <w:szCs w:val="18"/>
          <w:u w:val="single" w:color="auto"/>
          <w:color w:val="auto"/>
        </w:rPr>
        <w:t>Section 7.02(g)(ii)</w:t>
      </w:r>
      <w:r>
        <w:rPr>
          <w:rFonts w:ascii="Arial" w:cs="Arial" w:eastAsia="Arial" w:hAnsi="Arial"/>
          <w:sz w:val="18"/>
          <w:szCs w:val="18"/>
          <w:color w:val="auto"/>
        </w:rPr>
        <w:t xml:space="preserve">, shall not at any time exceed the Investment Amount and (B) any Investments in the form of loans or advances made by any Loan Party pursuant to this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shall be evidenced by a demand note in form and substance reasonably satisfactory to the Administrative Agent and shall be pledged and delivered to the Administrative Agent pursuant to the Collateral Documents;</w:t>
      </w:r>
    </w:p>
    <w:p>
      <w:pPr>
        <w:spacing w:after="0" w:line="85" w:lineRule="exact"/>
        <w:rPr>
          <w:rFonts w:ascii="Arial" w:cs="Arial" w:eastAsia="Arial" w:hAnsi="Arial"/>
          <w:sz w:val="18"/>
          <w:szCs w:val="18"/>
          <w:color w:val="auto"/>
        </w:rPr>
      </w:pPr>
    </w:p>
    <w:p>
      <w:pPr>
        <w:ind w:left="700" w:hanging="256"/>
        <w:spacing w:after="0"/>
        <w:tabs>
          <w:tab w:leader="none" w:pos="7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Investments by the Company or any Restricted Subsidiary in the form of:</w:t>
      </w:r>
    </w:p>
    <w:p>
      <w:pPr>
        <w:spacing w:after="0" w:line="117" w:lineRule="exact"/>
        <w:rPr>
          <w:rFonts w:ascii="Arial" w:cs="Arial" w:eastAsia="Arial" w:hAnsi="Arial"/>
          <w:sz w:val="18"/>
          <w:szCs w:val="18"/>
          <w:color w:val="auto"/>
        </w:rPr>
      </w:pPr>
    </w:p>
    <w:p>
      <w:pPr>
        <w:jc w:val="both"/>
        <w:ind w:left="440" w:right="100" w:firstLine="428"/>
        <w:spacing w:after="0" w:line="264" w:lineRule="auto"/>
        <w:tabs>
          <w:tab w:leader="none" w:pos="107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Permitted Acquisitions to the extent that any Person or property acquired in such Permitted Acquisition becomes a part of the Company or a Loan Party that has Guaranteed the Obligations of the Company or becomes a Subsidiary Guarantor which Guarantees the Obligations of the Company in the manner contemplated by </w:t>
      </w:r>
      <w:r>
        <w:rPr>
          <w:rFonts w:ascii="Arial" w:cs="Arial" w:eastAsia="Arial" w:hAnsi="Arial"/>
          <w:sz w:val="18"/>
          <w:szCs w:val="18"/>
          <w:u w:val="single" w:color="auto"/>
          <w:color w:val="auto"/>
        </w:rPr>
        <w:t>Section 6.12</w:t>
      </w:r>
      <w:r>
        <w:rPr>
          <w:rFonts w:ascii="Arial" w:cs="Arial" w:eastAsia="Arial" w:hAnsi="Arial"/>
          <w:sz w:val="18"/>
          <w:szCs w:val="18"/>
          <w:color w:val="auto"/>
        </w:rPr>
        <w:t>; and</w:t>
      </w:r>
    </w:p>
    <w:p>
      <w:pPr>
        <w:spacing w:after="0" w:line="73" w:lineRule="exact"/>
        <w:rPr>
          <w:rFonts w:ascii="Arial" w:cs="Arial" w:eastAsia="Arial" w:hAnsi="Arial"/>
          <w:sz w:val="18"/>
          <w:szCs w:val="18"/>
          <w:color w:val="auto"/>
        </w:rPr>
      </w:pPr>
    </w:p>
    <w:p>
      <w:pPr>
        <w:ind w:left="440" w:right="20" w:firstLine="428"/>
        <w:spacing w:after="0" w:line="312" w:lineRule="auto"/>
        <w:tabs>
          <w:tab w:leader="none" w:pos="1128" w:val="left"/>
        </w:tabs>
        <w:numPr>
          <w:ilvl w:val="1"/>
          <w:numId w:val="161"/>
        </w:numPr>
        <w:rPr>
          <w:rFonts w:ascii="Arial" w:cs="Arial" w:eastAsia="Arial" w:hAnsi="Arial"/>
          <w:sz w:val="16"/>
          <w:szCs w:val="16"/>
          <w:color w:val="auto"/>
        </w:rPr>
      </w:pPr>
      <w:r>
        <w:rPr>
          <w:rFonts w:ascii="Arial" w:cs="Arial" w:eastAsia="Arial" w:hAnsi="Arial"/>
          <w:sz w:val="16"/>
          <w:szCs w:val="16"/>
          <w:color w:val="auto"/>
        </w:rPr>
        <w:t xml:space="preserve">Permitted Acquisitions to the extent that any Person or property acquired in such Permitted Acquisition does not become a Loan Party that has Guaranteed the Obligations of the Company or a part of a Loan Party that has Guaranteed the Obligations of the Company in an aggregate amount, when taken together with the aggregate amount of Investments made pursuant to </w:t>
      </w:r>
      <w:r>
        <w:rPr>
          <w:rFonts w:ascii="Arial" w:cs="Arial" w:eastAsia="Arial" w:hAnsi="Arial"/>
          <w:sz w:val="16"/>
          <w:szCs w:val="16"/>
          <w:u w:val="single" w:color="auto"/>
          <w:color w:val="auto"/>
        </w:rPr>
        <w:t>Section 7.02(f)</w:t>
      </w:r>
      <w:r>
        <w:rPr>
          <w:rFonts w:ascii="Arial" w:cs="Arial" w:eastAsia="Arial" w:hAnsi="Arial"/>
          <w:sz w:val="16"/>
          <w:szCs w:val="16"/>
          <w:color w:val="auto"/>
        </w:rPr>
        <w:t>, not to exceed the Investment Amount;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20"/>
          </w:cols>
          <w:pgMar w:left="440" w:top="274" w:right="439" w:bottom="1440" w:gutter="0" w:footer="0" w:header="0"/>
        </w:sectPr>
      </w:pPr>
    </w:p>
    <w:bookmarkStart w:id="109" w:name="page110"/>
    <w:bookmarkEnd w:id="109"/>
    <w:p>
      <w:pPr>
        <w:ind w:right="20" w:firstLine="444"/>
        <w:spacing w:after="0" w:line="259" w:lineRule="auto"/>
        <w:tabs>
          <w:tab w:leader="none" w:pos="696"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Investments of a Person or any of its Restricted Subsidiaries existing at the time such Person becomes a Restricted Subsidiary of the Company or at the time such Person merges or consolidates with the Company or any of its Restricted Subsidiaries, in either case, in connection with a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Investments were not made by such Person in connection with, or in anticipation or contemplation of, such Person becoming a Restricted Subsidiary of the Company or such merger or consolidation; and</w:t>
      </w:r>
    </w:p>
    <w:p>
      <w:pPr>
        <w:spacing w:after="0" w:line="78" w:lineRule="exact"/>
        <w:rPr>
          <w:rFonts w:ascii="Arial" w:cs="Arial" w:eastAsia="Arial" w:hAnsi="Arial"/>
          <w:sz w:val="18"/>
          <w:szCs w:val="18"/>
          <w:color w:val="auto"/>
        </w:rPr>
      </w:pPr>
    </w:p>
    <w:p>
      <w:pPr>
        <w:ind w:right="20" w:firstLine="444"/>
        <w:spacing w:after="0" w:line="342" w:lineRule="auto"/>
        <w:tabs>
          <w:tab w:leader="none" w:pos="656"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other Investments so long as, after giving thereto, the amount of Investments made pursuant to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in the fiscal quarter in which such Investment is made and in the three fiscal quarters immediately preceding such fiscal quarter, in the aggregate, does not exceed $5,000,000.</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7.03 Indebtedness. </w:t>
      </w:r>
      <w:r>
        <w:rPr>
          <w:rFonts w:ascii="Arial" w:cs="Arial" w:eastAsia="Arial" w:hAnsi="Arial"/>
          <w:sz w:val="18"/>
          <w:szCs w:val="18"/>
          <w:color w:val="auto"/>
        </w:rPr>
        <w:t>Create, incur, assume or suffer to exist any Indebtedness, except:</w:t>
      </w:r>
    </w:p>
    <w:p>
      <w:pPr>
        <w:spacing w:after="0" w:line="121" w:lineRule="exact"/>
        <w:rPr>
          <w:sz w:val="20"/>
          <w:szCs w:val="20"/>
          <w:color w:val="auto"/>
        </w:rPr>
      </w:pPr>
    </w:p>
    <w:p>
      <w:pPr>
        <w:ind w:left="680" w:hanging="236"/>
        <w:spacing w:after="0"/>
        <w:tabs>
          <w:tab w:leader="none" w:pos="6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Indebtedness under the Loan Documents;</w:t>
      </w:r>
    </w:p>
    <w:p>
      <w:pPr>
        <w:spacing w:after="0" w:line="117" w:lineRule="exact"/>
        <w:rPr>
          <w:rFonts w:ascii="Arial" w:cs="Arial" w:eastAsia="Arial" w:hAnsi="Arial"/>
          <w:sz w:val="18"/>
          <w:szCs w:val="18"/>
          <w:color w:val="auto"/>
        </w:rPr>
      </w:pPr>
    </w:p>
    <w:p>
      <w:pPr>
        <w:ind w:right="60" w:firstLine="444"/>
        <w:spacing w:after="0" w:line="297" w:lineRule="auto"/>
        <w:tabs>
          <w:tab w:leader="none" w:pos="696" w:val="left"/>
        </w:tabs>
        <w:numPr>
          <w:ilvl w:val="1"/>
          <w:numId w:val="163"/>
        </w:numPr>
        <w:rPr>
          <w:rFonts w:ascii="Arial" w:cs="Arial" w:eastAsia="Arial" w:hAnsi="Arial"/>
          <w:sz w:val="16"/>
          <w:szCs w:val="16"/>
          <w:color w:val="auto"/>
        </w:rPr>
      </w:pPr>
      <w:r>
        <w:rPr>
          <w:rFonts w:ascii="Arial" w:cs="Arial" w:eastAsia="Arial" w:hAnsi="Arial"/>
          <w:sz w:val="16"/>
          <w:szCs w:val="16"/>
          <w:color w:val="auto"/>
        </w:rPr>
        <w:t xml:space="preserve">Indebtedness outstanding on the date hereof and listed on </w:t>
      </w:r>
      <w:r>
        <w:rPr>
          <w:rFonts w:ascii="Arial" w:cs="Arial" w:eastAsia="Arial" w:hAnsi="Arial"/>
          <w:sz w:val="16"/>
          <w:szCs w:val="16"/>
          <w:u w:val="single" w:color="auto"/>
          <w:color w:val="auto"/>
        </w:rPr>
        <w:t>Schedule 7.03</w:t>
      </w:r>
      <w:r>
        <w:rPr>
          <w:rFonts w:ascii="Arial" w:cs="Arial" w:eastAsia="Arial" w:hAnsi="Arial"/>
          <w:sz w:val="16"/>
          <w:szCs w:val="16"/>
          <w:color w:val="auto"/>
        </w:rPr>
        <w:t xml:space="preserve"> and any refinancings, refundings, renewals or extensions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such Indebtedness is not increased at the time of such refinancing, refunding, renewal or extension except by (i) an amount equal to a reasonable premium or other reasonable amount paid, and fees and expenses reasonably incurred, in connection with such refinancing, (ii) an amount equal to any existing commitments unutilized thereunder, and (iii) the amount of Indebtedness incurred pursuant to another subsection of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and allocated by the Company for such purpose in accordance with the final sentence of this </w:t>
      </w:r>
      <w:r>
        <w:rPr>
          <w:rFonts w:ascii="Arial" w:cs="Arial" w:eastAsia="Arial" w:hAnsi="Arial"/>
          <w:sz w:val="16"/>
          <w:szCs w:val="16"/>
          <w:u w:val="single" w:color="auto"/>
          <w:color w:val="auto"/>
        </w:rPr>
        <w:t>Section 7.03</w:t>
      </w:r>
      <w:r>
        <w:rPr>
          <w:rFonts w:ascii="Arial" w:cs="Arial" w:eastAsia="Arial" w:hAnsi="Arial"/>
          <w:sz w:val="16"/>
          <w:szCs w:val="16"/>
          <w:color w:val="auto"/>
        </w:rPr>
        <w:t>;</w:t>
      </w:r>
    </w:p>
    <w:p>
      <w:pPr>
        <w:spacing w:after="0" w:line="50" w:lineRule="exact"/>
        <w:rPr>
          <w:rFonts w:ascii="Arial" w:cs="Arial" w:eastAsia="Arial" w:hAnsi="Arial"/>
          <w:sz w:val="16"/>
          <w:szCs w:val="16"/>
          <w:color w:val="auto"/>
        </w:rPr>
      </w:pPr>
    </w:p>
    <w:p>
      <w:pPr>
        <w:ind w:right="60" w:firstLine="444"/>
        <w:spacing w:after="0" w:line="271" w:lineRule="auto"/>
        <w:tabs>
          <w:tab w:leader="none" w:pos="685" w:val="left"/>
        </w:tabs>
        <w:numPr>
          <w:ilvl w:val="1"/>
          <w:numId w:val="163"/>
        </w:numPr>
        <w:rPr>
          <w:rFonts w:ascii="Arial" w:cs="Arial" w:eastAsia="Arial" w:hAnsi="Arial"/>
          <w:sz w:val="17"/>
          <w:szCs w:val="17"/>
          <w:color w:val="auto"/>
        </w:rPr>
      </w:pPr>
      <w:r>
        <w:rPr>
          <w:rFonts w:ascii="Arial" w:cs="Arial" w:eastAsia="Arial" w:hAnsi="Arial"/>
          <w:sz w:val="17"/>
          <w:szCs w:val="17"/>
          <w:color w:val="auto"/>
        </w:rPr>
        <w:t xml:space="preserve">unsecured (i) Indebtedness of any U.S. Loan Party to another U.S. Loan Party and Guarantees of any U.S. Loan Party in respect of Indebtedness otherwise permitted hereunder of another U.S. Loan Party; (ii) Indebtedness of any Restricted Subsidiary that is not a Loan Party to another Restricted Subsidiary that is not a Loan Party and Guarantees of any Restricted Subsidiary that is not a Loan Party in respect of Indebtedness otherwise permitted hereunder of another Restricted Subsidiary that is not a Loan Party; (iii) Indebtedness of a Restricted Subsidiary that is either not a Loan Party or is a Loan Party that has not Guaranteed the Obligations of the Company to the Company or any wholly-owned Restricted Subsidiary that is a Loan Party to the extent such Indebtedness is permitted by </w:t>
      </w:r>
      <w:r>
        <w:rPr>
          <w:rFonts w:ascii="Arial" w:cs="Arial" w:eastAsia="Arial" w:hAnsi="Arial"/>
          <w:sz w:val="17"/>
          <w:szCs w:val="17"/>
          <w:u w:val="single" w:color="auto"/>
          <w:color w:val="auto"/>
        </w:rPr>
        <w:t>Section 7.02(f)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7.02(i)</w:t>
      </w:r>
      <w:r>
        <w:rPr>
          <w:rFonts w:ascii="Arial" w:cs="Arial" w:eastAsia="Arial" w:hAnsi="Arial"/>
          <w:sz w:val="17"/>
          <w:szCs w:val="17"/>
          <w:color w:val="auto"/>
        </w:rPr>
        <w:t>; and (iv) Indebtedness owed by any Loan Party to any Restricted Subsidiary that is not a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Indebtedness shall be subordinated to the Obligations in a manner reasonably satisfactory to the Administrative Agent);</w:t>
      </w:r>
    </w:p>
    <w:p>
      <w:pPr>
        <w:spacing w:after="0" w:line="70" w:lineRule="exact"/>
        <w:rPr>
          <w:rFonts w:ascii="Arial" w:cs="Arial" w:eastAsia="Arial" w:hAnsi="Arial"/>
          <w:sz w:val="17"/>
          <w:szCs w:val="17"/>
          <w:color w:val="auto"/>
        </w:rPr>
      </w:pPr>
    </w:p>
    <w:p>
      <w:pPr>
        <w:ind w:left="700" w:hanging="256"/>
        <w:spacing w:after="0"/>
        <w:tabs>
          <w:tab w:leader="none" w:pos="70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 xml:space="preserve">obligations (contingent or otherwise) of the Company or any Restricted Subsidiary existing or arising under any Swap Contract,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46" w:lineRule="exact"/>
        <w:rPr>
          <w:rFonts w:ascii="Arial" w:cs="Arial" w:eastAsia="Arial" w:hAnsi="Arial"/>
          <w:sz w:val="16"/>
          <w:szCs w:val="16"/>
          <w:color w:val="auto"/>
        </w:rPr>
      </w:pPr>
    </w:p>
    <w:p>
      <w:pPr>
        <w:ind w:left="220" w:hanging="216"/>
        <w:spacing w:after="0"/>
        <w:tabs>
          <w:tab w:leader="none" w:pos="22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such obligations are (or were) entered into by such Person in the ordinary course of business for the purpose of directly mitigating risks associated</w:t>
      </w:r>
    </w:p>
    <w:p>
      <w:pPr>
        <w:spacing w:after="0" w:line="32"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7"/>
          <w:szCs w:val="17"/>
          <w:color w:val="auto"/>
        </w:rPr>
        <w:t>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65" w:lineRule="exact"/>
        <w:rPr>
          <w:rFonts w:ascii="Arial" w:cs="Arial" w:eastAsia="Arial" w:hAnsi="Arial"/>
          <w:sz w:val="16"/>
          <w:szCs w:val="16"/>
          <w:color w:val="auto"/>
        </w:rPr>
      </w:pPr>
    </w:p>
    <w:p>
      <w:pPr>
        <w:ind w:firstLine="444"/>
        <w:spacing w:after="0" w:line="273" w:lineRule="auto"/>
        <w:tabs>
          <w:tab w:leader="none" w:pos="685" w:val="left"/>
        </w:tabs>
        <w:numPr>
          <w:ilvl w:val="1"/>
          <w:numId w:val="164"/>
        </w:numPr>
        <w:rPr>
          <w:rFonts w:ascii="Arial" w:cs="Arial" w:eastAsia="Arial" w:hAnsi="Arial"/>
          <w:sz w:val="17"/>
          <w:szCs w:val="17"/>
          <w:color w:val="auto"/>
        </w:rPr>
      </w:pPr>
      <w:r>
        <w:rPr>
          <w:rFonts w:ascii="Arial" w:cs="Arial" w:eastAsia="Arial" w:hAnsi="Arial"/>
          <w:sz w:val="17"/>
          <w:szCs w:val="17"/>
          <w:color w:val="auto"/>
        </w:rPr>
        <w:t xml:space="preserve">Indebtedness in respect of capital leases, Synthetic Lease Obligations and purchase money obligations for fixed or capital assets within the limitations set forth in </w:t>
      </w:r>
      <w:r>
        <w:rPr>
          <w:rFonts w:ascii="Arial" w:cs="Arial" w:eastAsia="Arial" w:hAnsi="Arial"/>
          <w:sz w:val="17"/>
          <w:szCs w:val="17"/>
          <w:u w:val="single" w:color="auto"/>
          <w:color w:val="auto"/>
        </w:rPr>
        <w:t>Section 7.01(i)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aggregate amount of all such Indebtedness, at any one time outstanding, when added to the aggregate amount of all outstanding Indebtedness permitted under </w:t>
      </w:r>
      <w:r>
        <w:rPr>
          <w:rFonts w:ascii="Arial" w:cs="Arial" w:eastAsia="Arial" w:hAnsi="Arial"/>
          <w:sz w:val="17"/>
          <w:szCs w:val="17"/>
          <w:u w:val="single" w:color="auto"/>
          <w:color w:val="auto"/>
        </w:rPr>
        <w:t>Section 7.03(f)</w:t>
      </w:r>
      <w:r>
        <w:rPr>
          <w:rFonts w:ascii="Arial" w:cs="Arial" w:eastAsia="Arial" w:hAnsi="Arial"/>
          <w:sz w:val="17"/>
          <w:szCs w:val="17"/>
          <w:color w:val="auto"/>
        </w:rPr>
        <w:t xml:space="preserve"> below, shall not exceed $10,000,000;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up to $15,000,000 in the aggregate of Attributable Indebtedness from additional capital leases arising from sale-leaseback transactions may be incurred and carved out of the preceding combined $10,0000,000 limitation to the extent the Net Cash Proceeds therefrom are used substantially contemporaneously with the receipt thereof to prepay Term Loans outstanding hereunder pursuant to </w:t>
      </w:r>
      <w:r>
        <w:rPr>
          <w:rFonts w:ascii="Arial" w:cs="Arial" w:eastAsia="Arial" w:hAnsi="Arial"/>
          <w:sz w:val="17"/>
          <w:szCs w:val="17"/>
          <w:u w:val="single" w:color="auto"/>
          <w:color w:val="auto"/>
        </w:rPr>
        <w:t>Section 2.05(b)(i)</w:t>
      </w:r>
      <w:r>
        <w:rPr>
          <w:rFonts w:ascii="Arial" w:cs="Arial" w:eastAsia="Arial" w:hAnsi="Arial"/>
          <w:sz w:val="17"/>
          <w:szCs w:val="17"/>
          <w:color w:val="auto"/>
        </w:rPr>
        <w:t>;</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80"/>
          </w:cols>
          <w:pgMar w:left="440" w:top="274" w:right="479" w:bottom="1440" w:gutter="0" w:footer="0" w:header="0"/>
        </w:sectPr>
      </w:pPr>
    </w:p>
    <w:bookmarkStart w:id="110" w:name="page111"/>
    <w:bookmarkEnd w:id="110"/>
    <w:p>
      <w:pPr>
        <w:ind w:right="120" w:firstLine="444"/>
        <w:spacing w:after="0" w:line="288" w:lineRule="auto"/>
        <w:tabs>
          <w:tab w:leader="none" w:pos="665" w:val="left"/>
        </w:tabs>
        <w:numPr>
          <w:ilvl w:val="0"/>
          <w:numId w:val="1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Indebtedness incurred in connection with Permitted Acquisitions (including existing Indebtedness of a Person acquired in connection with a Permitted Acquisition provided such Indebtedness was not incurred in anticipation of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aggregate amount of all such Indebtedness, at any one time outstanding, when added to the aggregate amount of all outstanding Indebtedness permitted under</w:t>
      </w:r>
    </w:p>
    <w:p>
      <w:pPr>
        <w:ind w:right="46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Section 7.03(e)</w:t>
      </w:r>
      <w:r>
        <w:rPr>
          <w:rFonts w:ascii="Arial" w:cs="Arial" w:eastAsia="Arial" w:hAnsi="Arial"/>
          <w:sz w:val="18"/>
          <w:szCs w:val="18"/>
          <w:color w:val="auto"/>
        </w:rPr>
        <w:t xml:space="preserve"> above (excluding Attributable Indebtedness of the type described in the second proviso of </w:t>
      </w:r>
      <w:r>
        <w:rPr>
          <w:rFonts w:ascii="Arial" w:cs="Arial" w:eastAsia="Arial" w:hAnsi="Arial"/>
          <w:sz w:val="18"/>
          <w:szCs w:val="18"/>
          <w:u w:val="single" w:color="auto"/>
          <w:color w:val="auto"/>
        </w:rPr>
        <w:t>Section 7.03(e)</w:t>
      </w:r>
      <w:r>
        <w:rPr>
          <w:rFonts w:ascii="Arial" w:cs="Arial" w:eastAsia="Arial" w:hAnsi="Arial"/>
          <w:sz w:val="18"/>
          <w:szCs w:val="18"/>
          <w:color w:val="auto"/>
        </w:rPr>
        <w:t xml:space="preserve"> above), shall not exceed $10,000,000;</w:t>
      </w:r>
    </w:p>
    <w:p>
      <w:pPr>
        <w:spacing w:after="0" w:line="75" w:lineRule="exact"/>
        <w:rPr>
          <w:rFonts w:ascii="Arial" w:cs="Arial" w:eastAsia="Arial" w:hAnsi="Arial"/>
          <w:sz w:val="16"/>
          <w:szCs w:val="16"/>
          <w:color w:val="auto"/>
        </w:rPr>
      </w:pPr>
    </w:p>
    <w:p>
      <w:pPr>
        <w:ind w:right="40" w:firstLine="444"/>
        <w:spacing w:after="0" w:line="277" w:lineRule="auto"/>
        <w:tabs>
          <w:tab w:leader="none" w:pos="69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“earn-out” and similar payments and obligations to make purchase price adjustments, indemnities and the like in connection with Acquisitions permitted hereby;</w:t>
      </w:r>
    </w:p>
    <w:p>
      <w:pPr>
        <w:spacing w:after="0" w:line="62" w:lineRule="exact"/>
        <w:rPr>
          <w:rFonts w:ascii="Arial" w:cs="Arial" w:eastAsia="Arial" w:hAnsi="Arial"/>
          <w:sz w:val="18"/>
          <w:szCs w:val="18"/>
          <w:color w:val="auto"/>
        </w:rPr>
      </w:pPr>
    </w:p>
    <w:p>
      <w:pPr>
        <w:ind w:right="340" w:firstLine="444"/>
        <w:spacing w:after="0" w:line="277" w:lineRule="auto"/>
        <w:tabs>
          <w:tab w:leader="none" w:pos="69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Indebtedness of Restricted Subsidiaries that are Foreign Subsidiaries and Guarantees by the Company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aggregate amount of all such Indebtedness, at any one time outstanding, shall not exceed $20,000,000;</w:t>
      </w:r>
    </w:p>
    <w:p>
      <w:pPr>
        <w:spacing w:after="0" w:line="62" w:lineRule="exact"/>
        <w:rPr>
          <w:rFonts w:ascii="Arial" w:cs="Arial" w:eastAsia="Arial" w:hAnsi="Arial"/>
          <w:sz w:val="18"/>
          <w:szCs w:val="18"/>
          <w:color w:val="auto"/>
        </w:rPr>
      </w:pPr>
    </w:p>
    <w:p>
      <w:pPr>
        <w:ind w:left="660" w:hanging="216"/>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Indebtedness in respect of Permitted Standalone Letters of Credit;</w:t>
      </w:r>
    </w:p>
    <w:p>
      <w:pPr>
        <w:spacing w:after="0" w:line="117" w:lineRule="exact"/>
        <w:rPr>
          <w:rFonts w:ascii="Arial" w:cs="Arial" w:eastAsia="Arial" w:hAnsi="Arial"/>
          <w:sz w:val="18"/>
          <w:szCs w:val="18"/>
          <w:color w:val="auto"/>
        </w:rPr>
      </w:pPr>
    </w:p>
    <w:p>
      <w:pPr>
        <w:ind w:right="140" w:firstLine="444"/>
        <w:spacing w:after="0" w:line="264" w:lineRule="auto"/>
        <w:tabs>
          <w:tab w:leader="none" w:pos="65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Indebtedness in respect of other letters of credit and bank guarantees supporting the operations in China or India of the Company or any of its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face amount of all such letters of credit and bank guarantees shall not exceed $3,000,000 at any time;</w:t>
      </w:r>
    </w:p>
    <w:p>
      <w:pPr>
        <w:spacing w:after="0" w:line="73" w:lineRule="exact"/>
        <w:rPr>
          <w:rFonts w:ascii="Arial" w:cs="Arial" w:eastAsia="Arial" w:hAnsi="Arial"/>
          <w:sz w:val="18"/>
          <w:szCs w:val="18"/>
          <w:color w:val="auto"/>
        </w:rPr>
      </w:pPr>
    </w:p>
    <w:p>
      <w:pPr>
        <w:ind w:firstLine="444"/>
        <w:spacing w:after="0" w:line="277" w:lineRule="auto"/>
        <w:tabs>
          <w:tab w:leader="none" w:pos="69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Indebtedness under bid, performance or surety, appeal or similar bonds and completion guarantees, in each case incurred in the ordinary course of business; and</w:t>
      </w:r>
    </w:p>
    <w:p>
      <w:pPr>
        <w:spacing w:after="0" w:line="62" w:lineRule="exact"/>
        <w:rPr>
          <w:rFonts w:ascii="Arial" w:cs="Arial" w:eastAsia="Arial" w:hAnsi="Arial"/>
          <w:sz w:val="18"/>
          <w:szCs w:val="18"/>
          <w:color w:val="auto"/>
        </w:rPr>
      </w:pPr>
    </w:p>
    <w:p>
      <w:pPr>
        <w:ind w:left="660" w:hanging="216"/>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other Indebtedness in an aggregate principal amount not to exceed $10,000,000 at any time outstanding.</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To the extent that the creation, incurrence or assumption of any Indebtedness could be attributable to more than one subsection of this </w:t>
      </w:r>
      <w:r>
        <w:rPr>
          <w:rFonts w:ascii="Arial" w:cs="Arial" w:eastAsia="Arial" w:hAnsi="Arial"/>
          <w:sz w:val="18"/>
          <w:szCs w:val="18"/>
          <w:u w:val="single" w:color="auto"/>
          <w:color w:val="auto"/>
        </w:rPr>
        <w:t>Section 7.03</w:t>
      </w:r>
      <w:r>
        <w:rPr>
          <w:rFonts w:ascii="Arial" w:cs="Arial" w:eastAsia="Arial" w:hAnsi="Arial"/>
          <w:sz w:val="18"/>
          <w:szCs w:val="18"/>
          <w:color w:val="auto"/>
        </w:rPr>
        <w:t>, the Company may allocate such Indebtedness to any one or more of such subsections and in no event shall the same portion of Indebtedness be deemed to utilize or be attributable to more than one item.</w:t>
      </w:r>
    </w:p>
    <w:p>
      <w:pPr>
        <w:spacing w:after="0" w:line="177" w:lineRule="exact"/>
        <w:rPr>
          <w:sz w:val="20"/>
          <w:szCs w:val="20"/>
          <w:color w:val="auto"/>
        </w:rPr>
      </w:pPr>
    </w:p>
    <w:p>
      <w:pPr>
        <w:ind w:right="20" w:firstLine="441"/>
        <w:spacing w:after="0" w:line="289" w:lineRule="auto"/>
        <w:rPr>
          <w:sz w:val="20"/>
          <w:szCs w:val="20"/>
          <w:color w:val="auto"/>
        </w:rPr>
      </w:pPr>
      <w:r>
        <w:rPr>
          <w:rFonts w:ascii="Arial" w:cs="Arial" w:eastAsia="Arial" w:hAnsi="Arial"/>
          <w:sz w:val="17"/>
          <w:szCs w:val="17"/>
          <w:b w:val="1"/>
          <w:bCs w:val="1"/>
          <w:color w:val="auto"/>
        </w:rPr>
        <w:t xml:space="preserve">7.04 Fundamental Changes. </w:t>
      </w:r>
      <w:r>
        <w:rPr>
          <w:rFonts w:ascii="Arial" w:cs="Arial" w:eastAsia="Arial" w:hAnsi="Arial"/>
          <w:sz w:val="17"/>
          <w:szCs w:val="17"/>
          <w:color w:val="auto"/>
        </w:rPr>
        <w:t>Merge, dissolve, liquidate, consolidate with or into another Person, or Dispose of (whether in one transaction or in a</w:t>
      </w:r>
      <w:r>
        <w:rPr>
          <w:rFonts w:ascii="Arial" w:cs="Arial" w:eastAsia="Arial" w:hAnsi="Arial"/>
          <w:sz w:val="17"/>
          <w:szCs w:val="17"/>
          <w:b w:val="1"/>
          <w:bCs w:val="1"/>
          <w:color w:val="auto"/>
        </w:rPr>
        <w:t xml:space="preserve"> </w:t>
      </w:r>
      <w:r>
        <w:rPr>
          <w:rFonts w:ascii="Arial" w:cs="Arial" w:eastAsia="Arial" w:hAnsi="Arial"/>
          <w:sz w:val="17"/>
          <w:szCs w:val="17"/>
          <w:color w:val="auto"/>
        </w:rPr>
        <w:t>series of transactions) all or substantially all of its assets (whether now owned or hereafter acquired) to or in favor of any Person (including, in each case, pursuant to a Delaware LLC Division), except that, so long as no Event of Default exists or would result therefrom:</w:t>
      </w:r>
    </w:p>
    <w:p>
      <w:pPr>
        <w:spacing w:after="0" w:line="54" w:lineRule="exact"/>
        <w:rPr>
          <w:sz w:val="20"/>
          <w:szCs w:val="20"/>
          <w:color w:val="auto"/>
        </w:rPr>
      </w:pPr>
    </w:p>
    <w:p>
      <w:pPr>
        <w:ind w:right="40" w:firstLine="444"/>
        <w:spacing w:after="0" w:line="297" w:lineRule="auto"/>
        <w:tabs>
          <w:tab w:leader="none" w:pos="68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any Restricted Subsidiary may merge with (i)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be the continuing or surviving Person, or (ii) any one or more other Restricted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when any Restricted Subsidiary that is a Loan Party is merging with another Restricted Subsidiary that is not a Loan Party, the Restricted Subsidiary that is a Loan Party shall be the continuing or surviving Person and (ii) when any Restricted Subsidiary that is a Loan Party that has Guaranteed the Obligations of the Company is merging with another Restricted Subsidiary, the Restricted Subsidiary that is a Loan Party that has Guaranteed the Obligations of the Company shall be the continuing or surviving Person;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4" w:right="459" w:bottom="1440" w:gutter="0" w:footer="0" w:header="0"/>
        </w:sectPr>
      </w:pPr>
    </w:p>
    <w:bookmarkStart w:id="111" w:name="page112"/>
    <w:bookmarkEnd w:id="111"/>
    <w:p>
      <w:pPr>
        <w:ind w:right="120" w:firstLine="444"/>
        <w:spacing w:after="0" w:line="279" w:lineRule="auto"/>
        <w:tabs>
          <w:tab w:leader="none" w:pos="696" w:val="left"/>
        </w:tabs>
        <w:numPr>
          <w:ilvl w:val="1"/>
          <w:numId w:val="1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Restricted Subsidiary may Dispose of all or substantially all of its assets (upon voluntary liquidation or otherwise) to the Company or to another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the transferor in such a transaction is a Loan Party, then the transferee must either be the Company or another Loan Party and (ii) if the transferor of such property is a Loan Party that has Guaranteed the Obligations of the Company, the transferee thereof must either be the Company or a Loan Party that has Guaranteed the Obligations of the Company; and</w:t>
      </w:r>
    </w:p>
    <w:p>
      <w:pPr>
        <w:spacing w:after="0" w:line="63" w:lineRule="exact"/>
        <w:rPr>
          <w:rFonts w:ascii="Arial" w:cs="Arial" w:eastAsia="Arial" w:hAnsi="Arial"/>
          <w:sz w:val="17"/>
          <w:szCs w:val="17"/>
          <w:color w:val="auto"/>
        </w:rPr>
      </w:pPr>
    </w:p>
    <w:p>
      <w:pPr>
        <w:jc w:val="both"/>
        <w:ind w:right="400" w:firstLine="444"/>
        <w:spacing w:after="0" w:line="291" w:lineRule="auto"/>
        <w:tabs>
          <w:tab w:leader="none" w:pos="685" w:val="left"/>
        </w:tabs>
        <w:numPr>
          <w:ilvl w:val="1"/>
          <w:numId w:val="167"/>
        </w:numPr>
        <w:rPr>
          <w:rFonts w:ascii="Arial" w:cs="Arial" w:eastAsia="Arial" w:hAnsi="Arial"/>
          <w:sz w:val="16"/>
          <w:szCs w:val="16"/>
          <w:color w:val="auto"/>
        </w:rPr>
      </w:pPr>
      <w:r>
        <w:rPr>
          <w:rFonts w:ascii="Arial" w:cs="Arial" w:eastAsia="Arial" w:hAnsi="Arial"/>
          <w:sz w:val="16"/>
          <w:szCs w:val="16"/>
          <w:color w:val="auto"/>
        </w:rPr>
        <w:t xml:space="preserve">in connection with any acquisition permitted under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any Restricted Subsidiary may merge into or consolidate with any other Person or permit any other Person to merge into or consolidate with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case, immediately after giving effect thereto</w:t>
      </w:r>
    </w:p>
    <w:p>
      <w:pPr>
        <w:ind w:right="380" w:firstLine="4"/>
        <w:spacing w:after="0" w:line="261" w:lineRule="auto"/>
        <w:tabs>
          <w:tab w:leader="none" w:pos="21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Person surviving such merger shall be a wholly-owned Restricted Subsidiary and (ii) in the case of any such merger to which any Loan Party (other than the Company) is a party, such Loan Party is the surviving Person.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7.05 Dispositions. </w:t>
      </w:r>
      <w:r>
        <w:rPr>
          <w:rFonts w:ascii="Arial" w:cs="Arial" w:eastAsia="Arial" w:hAnsi="Arial"/>
          <w:sz w:val="18"/>
          <w:szCs w:val="18"/>
          <w:color w:val="auto"/>
        </w:rPr>
        <w:t>Make any Disposition, except:</w:t>
      </w:r>
    </w:p>
    <w:p>
      <w:pPr>
        <w:spacing w:after="0" w:line="121" w:lineRule="exact"/>
        <w:rPr>
          <w:sz w:val="20"/>
          <w:szCs w:val="20"/>
          <w:color w:val="auto"/>
        </w:rPr>
      </w:pPr>
    </w:p>
    <w:p>
      <w:pPr>
        <w:ind w:right="580" w:firstLine="444"/>
        <w:spacing w:after="0" w:line="277" w:lineRule="auto"/>
        <w:tabs>
          <w:tab w:leader="none" w:pos="68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Dispositions of obsolete or worn out assets or assets no longer used or useful to the business in the reasonable business judgment of the Company, whether now owned or hereafter acquired, in the ordinary course of business;</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Dispositions of inventory in the ordinary course of business;</w:t>
      </w:r>
    </w:p>
    <w:p>
      <w:pPr>
        <w:spacing w:after="0" w:line="117" w:lineRule="exact"/>
        <w:rPr>
          <w:rFonts w:ascii="Arial" w:cs="Arial" w:eastAsia="Arial" w:hAnsi="Arial"/>
          <w:sz w:val="18"/>
          <w:szCs w:val="18"/>
          <w:color w:val="auto"/>
        </w:rPr>
      </w:pPr>
    </w:p>
    <w:p>
      <w:pPr>
        <w:ind w:right="440" w:firstLine="444"/>
        <w:spacing w:after="0" w:line="342" w:lineRule="auto"/>
        <w:tabs>
          <w:tab w:leader="none" w:pos="68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Dispositions of equipment or real property to the extent that (i) such property is exchanged for credit against the purchase price of similar replacement property or (ii) the proceeds of such Disposition are reasonably promptly applied to the purchase price of such replacement property;</w:t>
      </w:r>
    </w:p>
    <w:p>
      <w:pPr>
        <w:spacing w:after="0" w:line="15" w:lineRule="exact"/>
        <w:rPr>
          <w:rFonts w:ascii="Arial" w:cs="Arial" w:eastAsia="Arial" w:hAnsi="Arial"/>
          <w:sz w:val="16"/>
          <w:szCs w:val="16"/>
          <w:color w:val="auto"/>
        </w:rPr>
      </w:pPr>
    </w:p>
    <w:p>
      <w:pPr>
        <w:ind w:firstLine="444"/>
        <w:spacing w:after="0" w:line="259" w:lineRule="auto"/>
        <w:tabs>
          <w:tab w:leader="none" w:pos="69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Dispositions of property by any Restricted Subsidiary to the Company or to a wholly-owned Restricted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the transferor of such property is a Loan Party, the transferee thereof must either be the Company or a Loan Party and (ii) if the transferor of such property is a Loan Party that has Guaranteed the Obligations of the Company, the transferee thereof must either be the Company or a Loan Party that has Guaranteed the Obligations of the Company;</w:t>
      </w:r>
    </w:p>
    <w:p>
      <w:pPr>
        <w:spacing w:after="0" w:line="78" w:lineRule="exact"/>
        <w:rPr>
          <w:rFonts w:ascii="Arial" w:cs="Arial" w:eastAsia="Arial" w:hAnsi="Arial"/>
          <w:sz w:val="18"/>
          <w:szCs w:val="18"/>
          <w:color w:val="auto"/>
        </w:rPr>
      </w:pPr>
    </w:p>
    <w:p>
      <w:pPr>
        <w:ind w:left="680" w:hanging="236"/>
        <w:spacing w:after="0"/>
        <w:tabs>
          <w:tab w:leader="none" w:pos="6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Dispositions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80" w:firstLine="444"/>
        <w:spacing w:after="0" w:line="277" w:lineRule="auto"/>
        <w:tabs>
          <w:tab w:leader="none" w:pos="66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Dispositions of accounts receivable that are at least 180 days past due or are owing from obligors that are the subject of proceedings of the types described in </w:t>
      </w:r>
      <w:r>
        <w:rPr>
          <w:rFonts w:ascii="Arial" w:cs="Arial" w:eastAsia="Arial" w:hAnsi="Arial"/>
          <w:sz w:val="18"/>
          <w:szCs w:val="18"/>
          <w:u w:val="single" w:color="auto"/>
          <w:color w:val="auto"/>
        </w:rPr>
        <w:t>Section 8.01(f)</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20" w:firstLine="444"/>
        <w:spacing w:after="0" w:line="264" w:lineRule="auto"/>
        <w:tabs>
          <w:tab w:leader="none" w:pos="69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Dispositions of non-core assets acquired in a Permitted Acquisition by the Company or any of its Restricted Subsidiaries within 18 months of such Permitted Acquisition;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book value of all property Disposed of in reliance on this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from the Closing Date through the Facility Termination Date shall not exceed $2,500,000; and</w:t>
      </w:r>
    </w:p>
    <w:p>
      <w:pPr>
        <w:spacing w:after="0" w:line="73" w:lineRule="exact"/>
        <w:rPr>
          <w:rFonts w:ascii="Arial" w:cs="Arial" w:eastAsia="Arial" w:hAnsi="Arial"/>
          <w:sz w:val="18"/>
          <w:szCs w:val="18"/>
          <w:color w:val="auto"/>
        </w:rPr>
      </w:pPr>
    </w:p>
    <w:p>
      <w:pPr>
        <w:ind w:firstLine="444"/>
        <w:spacing w:after="0" w:line="276" w:lineRule="auto"/>
        <w:tabs>
          <w:tab w:leader="none" w:pos="696"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Dispositions by the Company and its Restricted Subsidiaries not otherwise permitted under this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at the time of such Disposition, no Event of Default shall exist or would result from such Disposition and (ii) the aggregate book value of all property Disposed of in reliance on this </w:t>
      </w:r>
      <w:r>
        <w:rPr>
          <w:rFonts w:ascii="Arial" w:cs="Arial" w:eastAsia="Arial" w:hAnsi="Arial"/>
          <w:sz w:val="17"/>
          <w:szCs w:val="17"/>
          <w:u w:val="single" w:color="auto"/>
          <w:color w:val="auto"/>
        </w:rPr>
        <w:t>clause (h)</w:t>
      </w:r>
      <w:r>
        <w:rPr>
          <w:rFonts w:ascii="Arial" w:cs="Arial" w:eastAsia="Arial" w:hAnsi="Arial"/>
          <w:sz w:val="17"/>
          <w:szCs w:val="17"/>
          <w:color w:val="auto"/>
        </w:rPr>
        <w:t xml:space="preserve"> from the Closing Date through the Facility Termination Date shall not exceed $35,000,000 (excluding from such limitation the book value of any property that is Disposed of in sale-leaseback transactions to the extent the Net Cash Proceeds therefrom are used substantially contemporaneously with the receipt thereof to prepay Term Loans outstanding hereunder pursuant to </w:t>
      </w:r>
      <w:r>
        <w:rPr>
          <w:rFonts w:ascii="Arial" w:cs="Arial" w:eastAsia="Arial" w:hAnsi="Arial"/>
          <w:sz w:val="17"/>
          <w:szCs w:val="17"/>
          <w:u w:val="single" w:color="auto"/>
          <w:color w:val="auto"/>
        </w:rPr>
        <w:t>Section 2.05(b)(i)</w:t>
      </w:r>
      <w:r>
        <w:rPr>
          <w:rFonts w:ascii="Arial" w:cs="Arial" w:eastAsia="Arial" w:hAnsi="Arial"/>
          <w:sz w:val="17"/>
          <w:szCs w:val="17"/>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20"/>
          </w:cols>
          <w:pgMar w:left="440" w:top="274" w:right="439" w:bottom="1440" w:gutter="0" w:footer="0" w:header="0"/>
        </w:sectPr>
      </w:pPr>
    </w:p>
    <w:bookmarkStart w:id="112" w:name="page113"/>
    <w:bookmarkEnd w:id="112"/>
    <w:p>
      <w:pPr>
        <w:ind w:right="2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Disposition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(h)</w:t>
      </w:r>
      <w:r>
        <w:rPr>
          <w:rFonts w:ascii="Arial" w:cs="Arial" w:eastAsia="Arial" w:hAnsi="Arial"/>
          <w:sz w:val="18"/>
          <w:szCs w:val="18"/>
          <w:color w:val="auto"/>
        </w:rPr>
        <w:t xml:space="preserve"> above shall be for fair market value and, in the case of Dispositions pursuant to </w:t>
      </w:r>
      <w:r>
        <w:rPr>
          <w:rFonts w:ascii="Arial" w:cs="Arial" w:eastAsia="Arial" w:hAnsi="Arial"/>
          <w:sz w:val="18"/>
          <w:szCs w:val="18"/>
          <w:u w:val="single" w:color="auto"/>
          <w:color w:val="auto"/>
        </w:rPr>
        <w:t>clause (h)</w:t>
      </w:r>
      <w:r>
        <w:rPr>
          <w:rFonts w:ascii="Arial" w:cs="Arial" w:eastAsia="Arial" w:hAnsi="Arial"/>
          <w:sz w:val="18"/>
          <w:szCs w:val="18"/>
          <w:color w:val="auto"/>
        </w:rPr>
        <w:t xml:space="preserve"> above, shall be for at least 75% cash consideration.</w:t>
      </w:r>
    </w:p>
    <w:p>
      <w:pPr>
        <w:spacing w:after="0" w:line="166"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b w:val="1"/>
          <w:bCs w:val="1"/>
          <w:color w:val="auto"/>
        </w:rPr>
        <w:t xml:space="preserve">7.06 Restricted Payments. </w:t>
      </w:r>
      <w:r>
        <w:rPr>
          <w:rFonts w:ascii="Arial" w:cs="Arial" w:eastAsia="Arial" w:hAnsi="Arial"/>
          <w:sz w:val="18"/>
          <w:szCs w:val="18"/>
          <w:color w:val="auto"/>
        </w:rPr>
        <w:t>Declare or make, directly or indirectly, any Restricted Payment, or incur any obligation (contingent or otherwise) to</w:t>
      </w:r>
      <w:r>
        <w:rPr>
          <w:rFonts w:ascii="Arial" w:cs="Arial" w:eastAsia="Arial" w:hAnsi="Arial"/>
          <w:sz w:val="18"/>
          <w:szCs w:val="18"/>
          <w:b w:val="1"/>
          <w:bCs w:val="1"/>
          <w:color w:val="auto"/>
        </w:rPr>
        <w:t xml:space="preserve"> </w:t>
      </w:r>
      <w:r>
        <w:rPr>
          <w:rFonts w:ascii="Arial" w:cs="Arial" w:eastAsia="Arial" w:hAnsi="Arial"/>
          <w:sz w:val="18"/>
          <w:szCs w:val="18"/>
          <w:color w:val="auto"/>
        </w:rPr>
        <w:t>do so, except that:</w:t>
      </w:r>
    </w:p>
    <w:p>
      <w:pPr>
        <w:spacing w:after="0" w:line="58" w:lineRule="exact"/>
        <w:rPr>
          <w:sz w:val="20"/>
          <w:szCs w:val="20"/>
          <w:color w:val="auto"/>
        </w:rPr>
      </w:pPr>
    </w:p>
    <w:p>
      <w:pPr>
        <w:ind w:right="420" w:firstLine="444"/>
        <w:spacing w:after="0" w:line="264" w:lineRule="auto"/>
        <w:tabs>
          <w:tab w:leader="none" w:pos="685" w:val="left"/>
        </w:tabs>
        <w:numPr>
          <w:ilvl w:val="0"/>
          <w:numId w:val="170"/>
        </w:numPr>
        <w:rPr>
          <w:rFonts w:ascii="Arial" w:cs="Arial" w:eastAsia="Arial" w:hAnsi="Arial"/>
          <w:sz w:val="18"/>
          <w:szCs w:val="18"/>
          <w:color w:val="auto"/>
        </w:rPr>
      </w:pPr>
      <w:r>
        <w:rPr>
          <w:rFonts w:ascii="Arial" w:cs="Arial" w:eastAsia="Arial" w:hAnsi="Arial"/>
          <w:sz w:val="18"/>
          <w:szCs w:val="18"/>
          <w:color w:val="auto"/>
        </w:rPr>
        <w:t>each Restricted Subsidiary may make Restricted Payments to the Company, the Subsidiary Guarantors and any other Person that owns an Equity Interest in such Restricted Subsidiary, ratably according to their respective holdings of the type of Equity Interest in respect of which such Restricted Payment is being made;</w:t>
      </w:r>
    </w:p>
    <w:p>
      <w:pPr>
        <w:spacing w:after="0" w:line="73" w:lineRule="exact"/>
        <w:rPr>
          <w:rFonts w:ascii="Arial" w:cs="Arial" w:eastAsia="Arial" w:hAnsi="Arial"/>
          <w:sz w:val="18"/>
          <w:szCs w:val="18"/>
          <w:color w:val="auto"/>
        </w:rPr>
      </w:pPr>
    </w:p>
    <w:p>
      <w:pPr>
        <w:ind w:right="240" w:firstLine="444"/>
        <w:spacing w:after="0" w:line="277" w:lineRule="auto"/>
        <w:tabs>
          <w:tab w:leader="none" w:pos="69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Company and each Restricted Subsidiary may declare and make dividend payments or other distributions payable solely in the common stock or other common Equity Interests of such Person;</w:t>
      </w:r>
    </w:p>
    <w:p>
      <w:pPr>
        <w:spacing w:after="0" w:line="62" w:lineRule="exact"/>
        <w:rPr>
          <w:rFonts w:ascii="Arial" w:cs="Arial" w:eastAsia="Arial" w:hAnsi="Arial"/>
          <w:sz w:val="18"/>
          <w:szCs w:val="18"/>
          <w:color w:val="auto"/>
        </w:rPr>
      </w:pPr>
    </w:p>
    <w:p>
      <w:pPr>
        <w:ind w:right="560" w:firstLine="444"/>
        <w:spacing w:after="0" w:line="342" w:lineRule="auto"/>
        <w:tabs>
          <w:tab w:leader="none" w:pos="685"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the Company and each Restricted Subsidiary may purchase, redeem or otherwise acquire common Equity Interests issued by it with the proceeds received from the substantially concurrent issue of new shares of its common stock or other common Equity Interests; and</w:t>
      </w:r>
    </w:p>
    <w:p>
      <w:pPr>
        <w:spacing w:after="0" w:line="15" w:lineRule="exact"/>
        <w:rPr>
          <w:rFonts w:ascii="Arial" w:cs="Arial" w:eastAsia="Arial" w:hAnsi="Arial"/>
          <w:sz w:val="16"/>
          <w:szCs w:val="16"/>
          <w:color w:val="auto"/>
        </w:rPr>
      </w:pPr>
    </w:p>
    <w:p>
      <w:pPr>
        <w:ind w:right="60" w:firstLine="444"/>
        <w:spacing w:after="0" w:line="288" w:lineRule="auto"/>
        <w:tabs>
          <w:tab w:leader="none" w:pos="696" w:val="left"/>
        </w:tabs>
        <w:numPr>
          <w:ilvl w:val="0"/>
          <w:numId w:val="170"/>
        </w:numPr>
        <w:rPr>
          <w:rFonts w:ascii="Arial" w:cs="Arial" w:eastAsia="Arial" w:hAnsi="Arial"/>
          <w:sz w:val="16"/>
          <w:szCs w:val="16"/>
          <w:color w:val="auto"/>
        </w:rPr>
      </w:pPr>
      <w:r>
        <w:rPr>
          <w:rFonts w:ascii="Arial" w:cs="Arial" w:eastAsia="Arial" w:hAnsi="Arial"/>
          <w:sz w:val="16"/>
          <w:szCs w:val="16"/>
          <w:color w:val="auto"/>
        </w:rPr>
        <w:t xml:space="preserve">so long as no Event of Default exists or would result therefrom and after giving effect thereto the Company is in pro forma compliance with the financial covenants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(calculated as of the last day of the four fiscal quarter period most recently ended for which financial information is available, but, in the case of the Consolidated Fixed Charge Coverage Ratio, ignoring all cash dividends, distributions and redemptions made during such period and instead assuming that the particular cash dividend, distribution or redemption and all other cash dividends, distributions and redemptions made pursuant to this clause (d) during the trailing 365-day period immediately preceding the day on which such cash dividend, distribution or redemption is proposed to be made were made on the last day of such four fiscal quarter period), the Company may declare and pay cash dividends and distributions to the holders of its Equity Interests or declare and make redemptions of its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7.06(d)</w:t>
      </w:r>
      <w:r>
        <w:rPr>
          <w:rFonts w:ascii="Arial" w:cs="Arial" w:eastAsia="Arial" w:hAnsi="Arial"/>
          <w:sz w:val="16"/>
          <w:szCs w:val="16"/>
          <w:color w:val="auto"/>
        </w:rPr>
        <w:t xml:space="preserve"> shall operate to prevent the making of a previously declared Restricted Payment by the Company so long as (i) at the declaration date, such Restricted Payment was permitted by the foregoing and (ii) such Restricted Payment is made within the earlier of (A) 60 days following such declaration date and (B) any date under applicable Law on which such Restricted Payment must be made.</w:t>
      </w:r>
    </w:p>
    <w:p>
      <w:pPr>
        <w:spacing w:after="0" w:line="165" w:lineRule="exact"/>
        <w:rPr>
          <w:sz w:val="20"/>
          <w:szCs w:val="20"/>
          <w:color w:val="auto"/>
        </w:rPr>
      </w:pPr>
    </w:p>
    <w:p>
      <w:pPr>
        <w:ind w:right="60" w:firstLine="441"/>
        <w:spacing w:after="0" w:line="347" w:lineRule="auto"/>
        <w:rPr>
          <w:sz w:val="20"/>
          <w:szCs w:val="20"/>
          <w:color w:val="auto"/>
        </w:rPr>
      </w:pPr>
      <w:r>
        <w:rPr>
          <w:rFonts w:ascii="Arial" w:cs="Arial" w:eastAsia="Arial" w:hAnsi="Arial"/>
          <w:sz w:val="16"/>
          <w:szCs w:val="16"/>
          <w:b w:val="1"/>
          <w:bCs w:val="1"/>
          <w:color w:val="auto"/>
        </w:rPr>
        <w:t xml:space="preserve">7.07 Change in Nature of Business. </w:t>
      </w:r>
      <w:r>
        <w:rPr>
          <w:rFonts w:ascii="Arial" w:cs="Arial" w:eastAsia="Arial" w:hAnsi="Arial"/>
          <w:sz w:val="16"/>
          <w:szCs w:val="16"/>
          <w:color w:val="auto"/>
        </w:rPr>
        <w:t>Engage in any material line of business substantially different from those lines of business conducted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its Restricted Subsidiaries on the date hereof or any business substantially related or incidental thereto or reasonable extensions thereof.</w:t>
      </w:r>
    </w:p>
    <w:p>
      <w:pPr>
        <w:spacing w:after="0" w:line="116"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b w:val="1"/>
          <w:bCs w:val="1"/>
          <w:color w:val="auto"/>
        </w:rPr>
        <w:t xml:space="preserve">7.08 Transactions with Affiliates. </w:t>
      </w:r>
      <w:r>
        <w:rPr>
          <w:rFonts w:ascii="Arial" w:cs="Arial" w:eastAsia="Arial" w:hAnsi="Arial"/>
          <w:sz w:val="18"/>
          <w:szCs w:val="18"/>
          <w:color w:val="auto"/>
        </w:rPr>
        <w:t>Enter into any transaction of any kind with any Affiliate of the Company, whether or not in the ordinary course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business, other than on fair and reasonable terms substantially as favorable to the Company or such Restricted Subsidiary as would be obtainable by the Company or such Restricted Subsidiary at the time in a comparable arm’s length transaction with a Person other than an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restriction shall not apply to transactions between or among the Company and any Subsidiary Guarantor or Designated Borrower or between and among any Designated Borrowers or Subsidiary Guarantors.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7.09 Burdensome Agreements. </w:t>
      </w:r>
      <w:r>
        <w:rPr>
          <w:rFonts w:ascii="Arial" w:cs="Arial" w:eastAsia="Arial" w:hAnsi="Arial"/>
          <w:sz w:val="16"/>
          <w:szCs w:val="16"/>
          <w:color w:val="auto"/>
        </w:rPr>
        <w:t>Enter into or permit to exist any Contractual Obligation (other than this Agreement or any other Loan Document)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0"/>
          </w:cols>
          <w:pgMar w:left="440" w:top="274" w:right="459" w:bottom="1440" w:gutter="0" w:footer="0" w:header="0"/>
        </w:sectPr>
      </w:pPr>
    </w:p>
    <w:bookmarkStart w:id="113" w:name="page114"/>
    <w:bookmarkEnd w:id="113"/>
    <w:p>
      <w:pPr>
        <w:ind w:left="-4" w:right="20" w:firstLine="444"/>
        <w:spacing w:after="0" w:line="283" w:lineRule="auto"/>
        <w:tabs>
          <w:tab w:leader="none" w:pos="682" w:val="left"/>
        </w:tabs>
        <w:numPr>
          <w:ilvl w:val="1"/>
          <w:numId w:val="1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limits the ability (i) of any Restricted Subsidiary to make Restricted Payments to the Company or any Restricted Subsidiary or to otherwise transfer property to the Company or any Restricted Subsidiary that is not a Foreign Subsidiary, (ii) of any Restricted Subsidiary to Guarantee the Indebtedness of the Company or (iii) of the Company or any Restricted Subsidiary to create, incur, assume or suffer to exist Liens on property of such Person, in each case, other than (A) customary restrictions and conditions contained in agreements relating to the sale of all or a substantial part of the Equity Interests or assets of such Person pending such sale (provided such restrictions and conditions apply only to such Person pending such sale and such sale is permitted hereunder), (B) customary restrictions in purchase agreements related to a Disposition of property permitted hereunder that limit the transfer of such property pending the consummation of such Disposition, (C) customary restrictions and conditions imposed by any agreement relating to purchase money Indebtedness or capital leases permitted hereunder, but only to the extent such restrictions and conditions apply only to the assets secured pursuant to such Indebtedness or capital lease, (D) customary restrictions and conditions contained in leases and other contracts restricting the assignment thereof, (E) customary provisions in joint venture agreements and other similar agreements applicable to joint ventures permitted hereunder and applicable solely to such joint venture that are entered into in the ordinary course of business but not entered into in contemplation hereof, (F) restrictions or conditions on a Restricted Subsidiary existing prior to such Restricted Subsidiary becoming a Subsidiary of the Company, so long as such restriction or condition only applies to such Restricted Subsidiary and was not entered into in contemplation of such Person becoming a Subsidiary, (G) imposed by any agreement related to Indebtedness permitted by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to the extent such restrictions (1) in the Company’s reasonable judgment, are not more restrictive, taken as a whole, than the restrictions contained herein and (2) do not hinder the Loan Parties ability to satisfy their Obligations under the Loan Documents (including, without limitation, the requirements set forth in </w:t>
      </w:r>
      <w:r>
        <w:rPr>
          <w:rFonts w:ascii="Arial" w:cs="Arial" w:eastAsia="Arial" w:hAnsi="Arial"/>
          <w:sz w:val="16"/>
          <w:szCs w:val="16"/>
          <w:u w:val="single" w:color="auto"/>
          <w:color w:val="auto"/>
        </w:rPr>
        <w:t>Section 6.12</w:t>
      </w:r>
      <w:r>
        <w:rPr>
          <w:rFonts w:ascii="Arial" w:cs="Arial" w:eastAsia="Arial" w:hAnsi="Arial"/>
          <w:sz w:val="16"/>
          <w:szCs w:val="16"/>
          <w:color w:val="auto"/>
        </w:rPr>
        <w:t>) and</w:t>
      </w:r>
    </w:p>
    <w:p>
      <w:pPr>
        <w:ind w:left="296" w:hanging="296"/>
        <w:spacing w:after="0"/>
        <w:tabs>
          <w:tab w:leader="none" w:pos="29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restrictions on cash or other deposits imposed by customers under contracts entered into in the ordinary course of business; or</w:t>
      </w:r>
    </w:p>
    <w:p>
      <w:pPr>
        <w:spacing w:after="0" w:line="102" w:lineRule="exact"/>
        <w:rPr>
          <w:rFonts w:ascii="Arial" w:cs="Arial" w:eastAsia="Arial" w:hAnsi="Arial"/>
          <w:sz w:val="18"/>
          <w:szCs w:val="18"/>
          <w:color w:val="auto"/>
        </w:rPr>
      </w:pPr>
    </w:p>
    <w:p>
      <w:pPr>
        <w:ind w:left="696" w:hanging="256"/>
        <w:spacing w:after="0"/>
        <w:tabs>
          <w:tab w:leader="none" w:pos="696" w:val="left"/>
        </w:tabs>
        <w:numPr>
          <w:ilvl w:val="1"/>
          <w:numId w:val="172"/>
        </w:numPr>
        <w:rPr>
          <w:rFonts w:ascii="Arial" w:cs="Arial" w:eastAsia="Arial" w:hAnsi="Arial"/>
          <w:sz w:val="17"/>
          <w:szCs w:val="17"/>
          <w:color w:val="auto"/>
        </w:rPr>
      </w:pPr>
      <w:r>
        <w:rPr>
          <w:rFonts w:ascii="Arial" w:cs="Arial" w:eastAsia="Arial" w:hAnsi="Arial"/>
          <w:sz w:val="17"/>
          <w:szCs w:val="17"/>
          <w:color w:val="auto"/>
        </w:rPr>
        <w:t>requires the grant of a Lien to secure an obligation of such Person if a Lien is granted to secure another obligation of such Person.</w:t>
      </w:r>
    </w:p>
    <w:p>
      <w:pPr>
        <w:spacing w:after="0" w:line="233" w:lineRule="exact"/>
        <w:rPr>
          <w:sz w:val="20"/>
          <w:szCs w:val="20"/>
          <w:color w:val="auto"/>
        </w:rPr>
      </w:pPr>
    </w:p>
    <w:p>
      <w:pPr>
        <w:ind w:left="436"/>
        <w:spacing w:after="0"/>
        <w:rPr>
          <w:sz w:val="20"/>
          <w:szCs w:val="20"/>
          <w:color w:val="auto"/>
        </w:rPr>
      </w:pPr>
      <w:r>
        <w:rPr>
          <w:rFonts w:ascii="Arial" w:cs="Arial" w:eastAsia="Arial" w:hAnsi="Arial"/>
          <w:sz w:val="18"/>
          <w:szCs w:val="18"/>
          <w:b w:val="1"/>
          <w:bCs w:val="1"/>
          <w:color w:val="auto"/>
        </w:rPr>
        <w:t>7.10 Use of Proceeds.</w:t>
      </w:r>
    </w:p>
    <w:p>
      <w:pPr>
        <w:spacing w:after="0" w:line="121" w:lineRule="exact"/>
        <w:rPr>
          <w:sz w:val="20"/>
          <w:szCs w:val="20"/>
          <w:color w:val="auto"/>
        </w:rPr>
      </w:pPr>
    </w:p>
    <w:p>
      <w:pPr>
        <w:ind w:left="-4" w:firstLine="444"/>
        <w:spacing w:after="0" w:line="264" w:lineRule="auto"/>
        <w:tabs>
          <w:tab w:leader="none" w:pos="68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73" w:lineRule="exact"/>
        <w:rPr>
          <w:rFonts w:ascii="Arial" w:cs="Arial" w:eastAsia="Arial" w:hAnsi="Arial"/>
          <w:sz w:val="18"/>
          <w:szCs w:val="18"/>
          <w:color w:val="auto"/>
        </w:rPr>
      </w:pPr>
    </w:p>
    <w:p>
      <w:pPr>
        <w:ind w:left="-4" w:firstLine="444"/>
        <w:spacing w:after="0" w:line="257" w:lineRule="auto"/>
        <w:tabs>
          <w:tab w:leader="none" w:pos="69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Directly or indirectly, use the proceeds of any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a Lender, the Arranger, the Administrative Agent, the L/C Issuers, the Swing Line Lender, or otherwise) of Sanctions.</w:t>
      </w:r>
    </w:p>
    <w:p>
      <w:pPr>
        <w:spacing w:after="0" w:line="80" w:lineRule="exact"/>
        <w:rPr>
          <w:rFonts w:ascii="Arial" w:cs="Arial" w:eastAsia="Arial" w:hAnsi="Arial"/>
          <w:sz w:val="18"/>
          <w:szCs w:val="18"/>
          <w:color w:val="auto"/>
        </w:rPr>
      </w:pPr>
    </w:p>
    <w:p>
      <w:pPr>
        <w:ind w:left="-4" w:right="600" w:firstLine="444"/>
        <w:spacing w:after="0" w:line="277" w:lineRule="auto"/>
        <w:tabs>
          <w:tab w:leader="none" w:pos="68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Directly or indirectly use the proceeds of any Credit Extension for any purpose which would breach the United States Foreign Corrupt Practices Act of 1977, the UK Bribery Act 2010, and other similar anti-corruption legislation in other jurisdictions.</w:t>
      </w:r>
    </w:p>
    <w:p>
      <w:pPr>
        <w:spacing w:after="0" w:line="103"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56"/>
          </w:cols>
          <w:pgMar w:left="444" w:top="274" w:right="499" w:bottom="1440" w:gutter="0" w:footer="0" w:header="0"/>
        </w:sectPr>
      </w:pPr>
    </w:p>
    <w:bookmarkStart w:id="114" w:name="page115"/>
    <w:bookmarkEnd w:id="114"/>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7.11 Financial Covenants.</w:t>
      </w:r>
    </w:p>
    <w:p>
      <w:pPr>
        <w:spacing w:after="0" w:line="121" w:lineRule="exact"/>
        <w:rPr>
          <w:sz w:val="20"/>
          <w:szCs w:val="20"/>
          <w:color w:val="auto"/>
        </w:rPr>
      </w:pPr>
    </w:p>
    <w:p>
      <w:pPr>
        <w:ind w:right="220" w:firstLine="444"/>
        <w:spacing w:after="0" w:line="277" w:lineRule="auto"/>
        <w:tabs>
          <w:tab w:leader="none" w:pos="685"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Permit the Consolidated Fixed Charge Coverage Ratio as of the last day of any fiscal quarter of the Company to be less than 1.25 to 1.00.</w:t>
      </w:r>
    </w:p>
    <w:p>
      <w:pPr>
        <w:spacing w:after="0" w:line="62" w:lineRule="exact"/>
        <w:rPr>
          <w:rFonts w:ascii="Arial" w:cs="Arial" w:eastAsia="Arial" w:hAnsi="Arial"/>
          <w:sz w:val="18"/>
          <w:szCs w:val="18"/>
          <w:color w:val="auto"/>
        </w:rPr>
      </w:pPr>
    </w:p>
    <w:p>
      <w:pPr>
        <w:ind w:right="140" w:firstLine="444"/>
        <w:spacing w:after="0" w:line="277" w:lineRule="auto"/>
        <w:tabs>
          <w:tab w:leader="none" w:pos="695"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Consolidated Net Leverage Ratio</w:t>
      </w:r>
      <w:r>
        <w:rPr>
          <w:rFonts w:ascii="Arial" w:cs="Arial" w:eastAsia="Arial" w:hAnsi="Arial"/>
          <w:sz w:val="18"/>
          <w:szCs w:val="18"/>
          <w:color w:val="auto"/>
        </w:rPr>
        <w:t>. Permit the Consolidated Net Leverage Ratio as of the last day of any fiscal quarter of the Company during any period set forth below to be greater than the ratio set forth below opposite such period:</w:t>
      </w:r>
    </w:p>
    <w:p>
      <w:pPr>
        <w:spacing w:after="0" w:line="193" w:lineRule="exact"/>
        <w:rPr>
          <w:sz w:val="20"/>
          <w:szCs w:val="20"/>
          <w:color w:val="auto"/>
        </w:rPr>
      </w:pPr>
    </w:p>
    <w:tbl>
      <w:tblPr>
        <w:tblLayout w:type="fixed"/>
        <w:tblInd w:w="1780" w:type="dxa"/>
        <w:tblCellMar>
          <w:top w:w="0" w:type="dxa"/>
          <w:left w:w="0" w:type="dxa"/>
          <w:bottom w:w="0" w:type="dxa"/>
          <w:right w:w="0" w:type="dxa"/>
        </w:tblCellMar>
      </w:tblPr>
      <w:tr>
        <w:trPr>
          <w:trHeight w:val="187"/>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Period</w:t>
            </w:r>
          </w:p>
        </w:tc>
        <w:tc>
          <w:tcPr>
            <w:tcW w:w="4420" w:type="dxa"/>
            <w:vAlign w:val="bottom"/>
          </w:tcPr>
          <w:p>
            <w:pPr>
              <w:spacing w:after="0"/>
              <w:rPr>
                <w:sz w:val="16"/>
                <w:szCs w:val="16"/>
                <w:color w:val="auto"/>
              </w:rPr>
            </w:pPr>
          </w:p>
        </w:tc>
        <w:tc>
          <w:tcPr>
            <w:tcW w:w="2680" w:type="dxa"/>
            <w:vAlign w:val="bottom"/>
          </w:tcPr>
          <w:p>
            <w:pPr>
              <w:ind w:left="380"/>
              <w:spacing w:after="0"/>
              <w:rPr>
                <w:sz w:val="20"/>
                <w:szCs w:val="20"/>
                <w:color w:val="auto"/>
              </w:rPr>
            </w:pPr>
            <w:r>
              <w:rPr>
                <w:rFonts w:ascii="Arial" w:cs="Arial" w:eastAsia="Arial" w:hAnsi="Arial"/>
                <w:sz w:val="14"/>
                <w:szCs w:val="14"/>
                <w:color w:val="auto"/>
              </w:rPr>
              <w:t>Consolidated Net Leverage Ratio</w:t>
            </w:r>
          </w:p>
        </w:tc>
      </w:tr>
      <w:tr>
        <w:trPr>
          <w:trHeight w:val="203"/>
        </w:trPr>
        <w:tc>
          <w:tcPr>
            <w:tcW w:w="4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June 30, 2019 through September 30, 2020</w:t>
            </w:r>
          </w:p>
        </w:tc>
        <w:tc>
          <w:tcPr>
            <w:tcW w:w="2680" w:type="dxa"/>
            <w:vAlign w:val="bottom"/>
            <w:tcBorders>
              <w:top w:val="single" w:sz="8" w:color="auto"/>
            </w:tcBorders>
            <w:shd w:val="clear" w:color="auto" w:fill="CCEEFF"/>
          </w:tcPr>
          <w:p>
            <w:pPr>
              <w:ind w:left="1820"/>
              <w:spacing w:after="0" w:line="203" w:lineRule="exact"/>
              <w:rPr>
                <w:sz w:val="20"/>
                <w:szCs w:val="20"/>
                <w:color w:val="auto"/>
              </w:rPr>
            </w:pPr>
            <w:r>
              <w:rPr>
                <w:rFonts w:ascii="Arial" w:cs="Arial" w:eastAsia="Arial" w:hAnsi="Arial"/>
                <w:sz w:val="18"/>
                <w:szCs w:val="18"/>
                <w:color w:val="auto"/>
                <w:w w:val="88"/>
              </w:rPr>
              <w:t>3.75 to 1.00</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December 31, 2020 through September 30, 2021</w:t>
            </w:r>
          </w:p>
        </w:tc>
        <w:tc>
          <w:tcPr>
            <w:tcW w:w="2680" w:type="dxa"/>
            <w:vAlign w:val="bottom"/>
          </w:tcPr>
          <w:p>
            <w:pPr>
              <w:ind w:left="1820"/>
              <w:spacing w:after="0"/>
              <w:rPr>
                <w:sz w:val="20"/>
                <w:szCs w:val="20"/>
                <w:color w:val="auto"/>
              </w:rPr>
            </w:pPr>
            <w:r>
              <w:rPr>
                <w:rFonts w:ascii="Arial" w:cs="Arial" w:eastAsia="Arial" w:hAnsi="Arial"/>
                <w:sz w:val="18"/>
                <w:szCs w:val="18"/>
                <w:color w:val="auto"/>
                <w:w w:val="88"/>
              </w:rPr>
              <w:t>3.50 to 1.00</w:t>
            </w: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2021 and thereafter</w:t>
            </w:r>
          </w:p>
        </w:tc>
        <w:tc>
          <w:tcPr>
            <w:tcW w:w="2680" w:type="dxa"/>
            <w:vAlign w:val="bottom"/>
            <w:shd w:val="clear" w:color="auto" w:fill="CCEEFF"/>
          </w:tcPr>
          <w:p>
            <w:pPr>
              <w:ind w:left="1820"/>
              <w:spacing w:after="0"/>
              <w:rPr>
                <w:sz w:val="20"/>
                <w:szCs w:val="20"/>
                <w:color w:val="auto"/>
              </w:rPr>
            </w:pPr>
            <w:r>
              <w:rPr>
                <w:rFonts w:ascii="Arial" w:cs="Arial" w:eastAsia="Arial" w:hAnsi="Arial"/>
                <w:sz w:val="18"/>
                <w:szCs w:val="18"/>
                <w:color w:val="auto"/>
                <w:w w:val="88"/>
              </w:rPr>
              <w:t>3.25 to 1.00</w:t>
            </w:r>
          </w:p>
        </w:tc>
      </w:tr>
    </w:tbl>
    <w:p>
      <w:pPr>
        <w:spacing w:after="0" w:line="20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Notwithstanding the foregoing, if a Permitted Acquisition involving aggregate consideration of $15,000,000 or more is consummated during a fiscal quarter ending after the Closing Date, at the request of the Company (which shall be made on or prior to the date of consummation of such Permitted Acquisition), the maximum Consolidated Net Leverage Ratio permitted under this </w:t>
      </w:r>
      <w:r>
        <w:rPr>
          <w:rFonts w:ascii="Arial" w:cs="Arial" w:eastAsia="Arial" w:hAnsi="Arial"/>
          <w:sz w:val="17"/>
          <w:szCs w:val="17"/>
          <w:u w:val="single" w:color="auto"/>
          <w:color w:val="auto"/>
        </w:rPr>
        <w:t>Section 7.11(b)</w:t>
      </w:r>
      <w:r>
        <w:rPr>
          <w:rFonts w:ascii="Arial" w:cs="Arial" w:eastAsia="Arial" w:hAnsi="Arial"/>
          <w:sz w:val="17"/>
          <w:szCs w:val="17"/>
          <w:color w:val="auto"/>
        </w:rPr>
        <w:t xml:space="preserve"> at any time shall be increased by 0.50 to 1.00 (but in no event shall the maximum permitted Consolidated Net Leverage Ratio exceed 4.00 to 1.00) during such fiscal quarter and the subsequent three fiscal quarters (such four fiscal quarters, an “</w:t>
      </w:r>
      <w:r>
        <w:rPr>
          <w:rFonts w:ascii="Arial" w:cs="Arial" w:eastAsia="Arial" w:hAnsi="Arial"/>
          <w:sz w:val="17"/>
          <w:szCs w:val="17"/>
          <w:u w:val="single" w:color="auto"/>
          <w:color w:val="auto"/>
        </w:rPr>
        <w:t>Elevated Ratio Period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(i) there shall be at least two consecutive full fiscal quarters between Elevated Ratio Periods during which the Consolidated Net Leverage Ratio is not in excess of the otherwise maximum Consolidated Net Leverage Ratio permitted under this </w:t>
      </w:r>
      <w:r>
        <w:rPr>
          <w:rFonts w:ascii="Arial" w:cs="Arial" w:eastAsia="Arial" w:hAnsi="Arial"/>
          <w:sz w:val="17"/>
          <w:szCs w:val="17"/>
          <w:u w:val="single" w:color="auto"/>
          <w:color w:val="auto"/>
        </w:rPr>
        <w:t>Section 7.11(b)</w:t>
      </w:r>
      <w:r>
        <w:rPr>
          <w:rFonts w:ascii="Arial" w:cs="Arial" w:eastAsia="Arial" w:hAnsi="Arial"/>
          <w:sz w:val="17"/>
          <w:szCs w:val="17"/>
          <w:color w:val="auto"/>
        </w:rPr>
        <w:t xml:space="preserve"> as of the last day thereof and (ii) the Company may in its discretion, by written notice to the Administrative Agent, elect to end an Elevated Ratio Period early.</w:t>
      </w:r>
    </w:p>
    <w:p>
      <w:pPr>
        <w:spacing w:after="0" w:line="175"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b w:val="1"/>
          <w:bCs w:val="1"/>
          <w:color w:val="auto"/>
        </w:rPr>
        <w:t xml:space="preserve">7.12 Amendment or Modification of Organization Documents. </w:t>
      </w:r>
      <w:r>
        <w:rPr>
          <w:rFonts w:ascii="Arial" w:cs="Arial" w:eastAsia="Arial" w:hAnsi="Arial"/>
          <w:sz w:val="18"/>
          <w:szCs w:val="18"/>
          <w:color w:val="auto"/>
        </w:rPr>
        <w:t>Amend any of its Organization Documents in any manner that is material and</w:t>
      </w:r>
      <w:r>
        <w:rPr>
          <w:rFonts w:ascii="Arial" w:cs="Arial" w:eastAsia="Arial" w:hAnsi="Arial"/>
          <w:sz w:val="18"/>
          <w:szCs w:val="18"/>
          <w:b w:val="1"/>
          <w:bCs w:val="1"/>
          <w:color w:val="auto"/>
        </w:rPr>
        <w:t xml:space="preserve"> </w:t>
      </w:r>
      <w:r>
        <w:rPr>
          <w:rFonts w:ascii="Arial" w:cs="Arial" w:eastAsia="Arial" w:hAnsi="Arial"/>
          <w:sz w:val="18"/>
          <w:szCs w:val="18"/>
          <w:color w:val="auto"/>
        </w:rPr>
        <w:t>adverse to the interests of any Secured Party.</w:t>
      </w:r>
    </w:p>
    <w:p>
      <w:pPr>
        <w:spacing w:after="0" w:line="162"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b w:val="1"/>
          <w:bCs w:val="1"/>
          <w:color w:val="auto"/>
        </w:rPr>
        <w:t xml:space="preserve">7.13 Accounting Changes. </w:t>
      </w:r>
      <w:r>
        <w:rPr>
          <w:rFonts w:ascii="Arial" w:cs="Arial" w:eastAsia="Arial" w:hAnsi="Arial"/>
          <w:sz w:val="18"/>
          <w:szCs w:val="18"/>
          <w:color w:val="auto"/>
        </w:rPr>
        <w:t>Make any material change in (a) accounting policies or reporting practices, except as required or permitted by GAAP,</w:t>
      </w:r>
      <w:r>
        <w:rPr>
          <w:rFonts w:ascii="Arial" w:cs="Arial" w:eastAsia="Arial" w:hAnsi="Arial"/>
          <w:sz w:val="18"/>
          <w:szCs w:val="18"/>
          <w:b w:val="1"/>
          <w:bCs w:val="1"/>
          <w:color w:val="auto"/>
        </w:rPr>
        <w:t xml:space="preserve"> </w:t>
      </w:r>
      <w:r>
        <w:rPr>
          <w:rFonts w:ascii="Arial" w:cs="Arial" w:eastAsia="Arial" w:hAnsi="Arial"/>
          <w:sz w:val="18"/>
          <w:szCs w:val="18"/>
          <w:color w:val="auto"/>
        </w:rPr>
        <w:t>or (b) fiscal year, except that any Subsidiary can conform its fiscal year to that of the Company.</w:t>
      </w:r>
    </w:p>
    <w:p>
      <w:pPr>
        <w:spacing w:after="0" w:line="162"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b w:val="1"/>
          <w:bCs w:val="1"/>
          <w:color w:val="auto"/>
        </w:rPr>
        <w:t xml:space="preserve">7.14 Post-Closing Actions. </w:t>
      </w:r>
      <w:r>
        <w:rPr>
          <w:rFonts w:ascii="Arial" w:cs="Arial" w:eastAsia="Arial" w:hAnsi="Arial"/>
          <w:sz w:val="18"/>
          <w:szCs w:val="18"/>
          <w:color w:val="auto"/>
        </w:rPr>
        <w:t>Fail to deliver to the Administrative Agent the items described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7.14</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applicable time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therein.</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EVENTS OF DEFAULT AND REMEDIES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8.01 Events of Default. </w:t>
      </w:r>
      <w:r>
        <w:rPr>
          <w:rFonts w:ascii="Arial" w:cs="Arial" w:eastAsia="Arial" w:hAnsi="Arial"/>
          <w:sz w:val="18"/>
          <w:szCs w:val="18"/>
          <w:color w:val="auto"/>
        </w:rPr>
        <w:t>Any of the following shall constitute an event of default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w:t>
      </w:r>
    </w:p>
    <w:p>
      <w:pPr>
        <w:spacing w:after="0" w:line="121" w:lineRule="exact"/>
        <w:rPr>
          <w:sz w:val="20"/>
          <w:szCs w:val="20"/>
          <w:color w:val="auto"/>
        </w:rPr>
      </w:pPr>
    </w:p>
    <w:p>
      <w:pPr>
        <w:ind w:right="20" w:firstLine="444"/>
        <w:spacing w:after="0" w:line="279" w:lineRule="auto"/>
        <w:tabs>
          <w:tab w:leader="none" w:pos="685"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Non-Payment</w:t>
      </w:r>
      <w:r>
        <w:rPr>
          <w:rFonts w:ascii="Arial" w:cs="Arial" w:eastAsia="Arial" w:hAnsi="Arial"/>
          <w:sz w:val="17"/>
          <w:szCs w:val="17"/>
          <w:color w:val="auto"/>
        </w:rPr>
        <w:t>. The Company or any other Loan Party fails to (i) pay when and as required to be paid herein, and in the currency required hereunder, any amount of principal of any Loan or any L/C Obligation or deposit any funds as Cash Collateral in respect of L/C Obligations, or (ii) pay within three Business Days after the same becomes due, any interest on any Loan or on any L/C Obligation, or any fee due hereunder, or (iii) pay within five Business Days after the same becomes due, any other amount payable hereunder or under any other Loan Document; or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0"/>
          </w:cols>
          <w:pgMar w:left="440" w:top="270" w:right="459" w:bottom="1440" w:gutter="0" w:footer="0" w:header="0"/>
        </w:sectPr>
      </w:pPr>
    </w:p>
    <w:bookmarkStart w:id="115" w:name="page116"/>
    <w:bookmarkEnd w:id="115"/>
    <w:p>
      <w:pPr>
        <w:ind w:left="-20" w:right="200" w:firstLine="444"/>
        <w:spacing w:after="0" w:line="277" w:lineRule="auto"/>
        <w:tabs>
          <w:tab w:leader="none" w:pos="67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Specific Covenants</w:t>
      </w:r>
      <w:r>
        <w:rPr>
          <w:rFonts w:ascii="Arial" w:cs="Arial" w:eastAsia="Arial" w:hAnsi="Arial"/>
          <w:sz w:val="18"/>
          <w:szCs w:val="18"/>
          <w:color w:val="auto"/>
        </w:rPr>
        <w:t xml:space="preserve">. The Company or Restricted Subsidiary fails to perform or observe any term, covenant or agreement contained in any of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6.03</w:t>
      </w:r>
      <w:r>
        <w:rPr>
          <w:rFonts w:ascii="Arial" w:cs="Arial" w:eastAsia="Arial" w:hAnsi="Arial"/>
          <w:sz w:val="18"/>
          <w:szCs w:val="18"/>
          <w:color w:val="auto"/>
        </w:rPr>
        <w:t xml:space="preserve">, </w:t>
      </w:r>
      <w:r>
        <w:rPr>
          <w:rFonts w:ascii="Arial" w:cs="Arial" w:eastAsia="Arial" w:hAnsi="Arial"/>
          <w:sz w:val="18"/>
          <w:szCs w:val="18"/>
          <w:u w:val="single" w:color="auto"/>
          <w:color w:val="auto"/>
        </w:rPr>
        <w:t>6.05(a)</w:t>
      </w:r>
      <w:r>
        <w:rPr>
          <w:rFonts w:ascii="Arial" w:cs="Arial" w:eastAsia="Arial" w:hAnsi="Arial"/>
          <w:sz w:val="18"/>
          <w:szCs w:val="18"/>
          <w:color w:val="auto"/>
        </w:rPr>
        <w:t xml:space="preserve"> (in the case of any Borrower only), </w:t>
      </w:r>
      <w:r>
        <w:rPr>
          <w:rFonts w:ascii="Arial" w:cs="Arial" w:eastAsia="Arial" w:hAnsi="Arial"/>
          <w:sz w:val="18"/>
          <w:szCs w:val="18"/>
          <w:u w:val="single" w:color="auto"/>
          <w:color w:val="auto"/>
        </w:rPr>
        <w:t>6.11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 or</w:t>
      </w:r>
    </w:p>
    <w:p>
      <w:pPr>
        <w:spacing w:after="0" w:line="62" w:lineRule="exact"/>
        <w:rPr>
          <w:rFonts w:ascii="Arial" w:cs="Arial" w:eastAsia="Arial" w:hAnsi="Arial"/>
          <w:sz w:val="18"/>
          <w:szCs w:val="18"/>
          <w:color w:val="auto"/>
        </w:rPr>
      </w:pPr>
    </w:p>
    <w:p>
      <w:pPr>
        <w:ind w:left="-20" w:right="60" w:firstLine="444"/>
        <w:spacing w:after="0" w:line="264" w:lineRule="auto"/>
        <w:tabs>
          <w:tab w:leader="none" w:pos="66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Other Defaults</w:t>
      </w:r>
      <w:r>
        <w:rPr>
          <w:rFonts w:ascii="Arial" w:cs="Arial" w:eastAsia="Arial" w:hAnsi="Arial"/>
          <w:sz w:val="18"/>
          <w:szCs w:val="18"/>
          <w:color w:val="auto"/>
        </w:rPr>
        <w:t xml:space="preserve">. Any Loan Party fails to perform or observe any other covenant or agreement (not specified in </w:t>
      </w:r>
      <w:r>
        <w:rPr>
          <w:rFonts w:ascii="Arial" w:cs="Arial" w:eastAsia="Arial" w:hAnsi="Arial"/>
          <w:sz w:val="18"/>
          <w:szCs w:val="18"/>
          <w:u w:val="single" w:color="auto"/>
          <w:color w:val="auto"/>
        </w:rPr>
        <w:t>subsection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contained in any Loan Document on its part to be performed or observed and such failure continues for (i) 5 Business Days, in the case of any covenant or agreement contained in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6.10</w:t>
      </w:r>
      <w:r>
        <w:rPr>
          <w:rFonts w:ascii="Arial" w:cs="Arial" w:eastAsia="Arial" w:hAnsi="Arial"/>
          <w:sz w:val="18"/>
          <w:szCs w:val="18"/>
          <w:color w:val="auto"/>
        </w:rPr>
        <w:t xml:space="preserve"> or (ii) 30 days, in all other cases; or</w:t>
      </w:r>
    </w:p>
    <w:p>
      <w:pPr>
        <w:spacing w:after="0" w:line="73" w:lineRule="exact"/>
        <w:rPr>
          <w:rFonts w:ascii="Arial" w:cs="Arial" w:eastAsia="Arial" w:hAnsi="Arial"/>
          <w:sz w:val="18"/>
          <w:szCs w:val="18"/>
          <w:color w:val="auto"/>
        </w:rPr>
      </w:pPr>
    </w:p>
    <w:p>
      <w:pPr>
        <w:ind w:left="-20" w:right="180" w:firstLine="444"/>
        <w:spacing w:after="0" w:line="264" w:lineRule="auto"/>
        <w:tabs>
          <w:tab w:leader="none" w:pos="67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Any representation, warranty, certification or statement of fact made or deemed made by or on behalf of the Company or any other Loan Party herein, in any other Loan Document, or in any document delivered in connection herewith or therewith shall be incorrect or misleading in any material respect when made or deemed made; or</w:t>
      </w:r>
    </w:p>
    <w:p>
      <w:pPr>
        <w:spacing w:after="0" w:line="73" w:lineRule="exact"/>
        <w:rPr>
          <w:rFonts w:ascii="Arial" w:cs="Arial" w:eastAsia="Arial" w:hAnsi="Arial"/>
          <w:sz w:val="18"/>
          <w:szCs w:val="18"/>
          <w:color w:val="auto"/>
        </w:rPr>
      </w:pPr>
    </w:p>
    <w:p>
      <w:pPr>
        <w:ind w:left="-20" w:firstLine="444"/>
        <w:spacing w:after="0" w:line="268" w:lineRule="auto"/>
        <w:tabs>
          <w:tab w:leader="none" w:pos="665"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Cross-Default</w:t>
      </w:r>
      <w:r>
        <w:rPr>
          <w:rFonts w:ascii="Arial" w:cs="Arial" w:eastAsia="Arial" w:hAnsi="Arial"/>
          <w:sz w:val="17"/>
          <w:szCs w:val="17"/>
          <w:color w:val="auto"/>
        </w:rPr>
        <w:t>. (i) The Company or any Restricted Subsidiary (A) fails to make any payment when due (whether by scheduled maturity, required prepayment, acceleration, demand, or otherwise but taking into account any applicable period of grace)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(after taking into account any applicable period of grace)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the Company or any Restricted Subsidiary is the Defaulting Party (as defined in such Swap Contract) or (B) any Termination Event (as so defined) under such Swap Contract as to which the Company or any Restricted Subsidiary is an Affected Party (as so defined) and, in either event, the Swap Termination Value owed by the Company or such Restricted Subsidiary as a result thereof is greater than the Threshold Amount; or</w:t>
      </w:r>
    </w:p>
    <w:p>
      <w:pPr>
        <w:spacing w:after="0" w:line="75" w:lineRule="exact"/>
        <w:rPr>
          <w:rFonts w:ascii="Arial" w:cs="Arial" w:eastAsia="Arial" w:hAnsi="Arial"/>
          <w:sz w:val="17"/>
          <w:szCs w:val="17"/>
          <w:color w:val="auto"/>
        </w:rPr>
      </w:pPr>
    </w:p>
    <w:p>
      <w:pPr>
        <w:ind w:left="-20" w:firstLine="444"/>
        <w:spacing w:after="0" w:line="255" w:lineRule="auto"/>
        <w:tabs>
          <w:tab w:leader="none" w:pos="64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Insolvency Proceedings, Etc.</w:t>
      </w:r>
      <w:r>
        <w:rPr>
          <w:rFonts w:ascii="Arial" w:cs="Arial" w:eastAsia="Arial" w:hAnsi="Arial"/>
          <w:sz w:val="18"/>
          <w:szCs w:val="18"/>
          <w:color w:val="auto"/>
        </w:rPr>
        <w:t xml:space="preserve"> The Company or any Restricted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or any proceeding under any Debtor Relief Law relating to any such Person or to all or any material part of its property is instituted without the consent of such Person and continues undismissed or unstayed for 60 calendar days, or an order for relief is entered in any such proceeding; or</w:t>
      </w:r>
    </w:p>
    <w:p>
      <w:pPr>
        <w:spacing w:after="0" w:line="81" w:lineRule="exact"/>
        <w:rPr>
          <w:rFonts w:ascii="Arial" w:cs="Arial" w:eastAsia="Arial" w:hAnsi="Arial"/>
          <w:sz w:val="18"/>
          <w:szCs w:val="18"/>
          <w:color w:val="auto"/>
        </w:rPr>
      </w:pPr>
    </w:p>
    <w:p>
      <w:pPr>
        <w:ind w:left="-20" w:right="200" w:firstLine="444"/>
        <w:spacing w:after="0" w:line="312" w:lineRule="auto"/>
        <w:tabs>
          <w:tab w:leader="none" w:pos="675"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Inability to Pay Debts; Attachment</w:t>
      </w:r>
      <w:r>
        <w:rPr>
          <w:rFonts w:ascii="Arial" w:cs="Arial" w:eastAsia="Arial" w:hAnsi="Arial"/>
          <w:sz w:val="16"/>
          <w:szCs w:val="16"/>
          <w:color w:val="auto"/>
        </w:rPr>
        <w:t>. (i) The Company or any Restricted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80"/>
          </w:cols>
          <w:pgMar w:left="460" w:top="274" w:right="459" w:bottom="1440" w:gutter="0" w:footer="0" w:header="0"/>
        </w:sectPr>
      </w:pPr>
    </w:p>
    <w:bookmarkStart w:id="116" w:name="page117"/>
    <w:bookmarkEnd w:id="116"/>
    <w:p>
      <w:pPr>
        <w:ind w:firstLine="444"/>
        <w:spacing w:after="0" w:line="255" w:lineRule="auto"/>
        <w:tabs>
          <w:tab w:leader="none" w:pos="69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Judgments</w:t>
      </w:r>
      <w:r>
        <w:rPr>
          <w:rFonts w:ascii="Arial" w:cs="Arial" w:eastAsia="Arial" w:hAnsi="Arial"/>
          <w:sz w:val="18"/>
          <w:szCs w:val="18"/>
          <w:color w:val="auto"/>
        </w:rPr>
        <w:t>. There is entered against the Company or any Restricted Subsidiary (i) one or more final judgments or orders for the payment of money in an aggregate amount (as to all such judgments or orders) exceeding the Threshold Amount (to the extent not covered by independent third-party insurance as to which the insurer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30 consecutive days during which a stay of enforcement of such judgment, by reason of a pending appeal or otherwise, is not in effect; or</w:t>
      </w:r>
    </w:p>
    <w:p>
      <w:pPr>
        <w:spacing w:after="0" w:line="85" w:lineRule="exact"/>
        <w:rPr>
          <w:rFonts w:ascii="Arial" w:cs="Arial" w:eastAsia="Arial" w:hAnsi="Arial"/>
          <w:sz w:val="18"/>
          <w:szCs w:val="18"/>
          <w:color w:val="auto"/>
        </w:rPr>
      </w:pPr>
    </w:p>
    <w:p>
      <w:pPr>
        <w:ind w:right="20" w:firstLine="444"/>
        <w:spacing w:after="0" w:line="257"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(i) An ERISA Event occurs with respect to a Pension Plan or Multiemployer Plan which has resulted or could reasonably be expected to result in liability of the Company or any of its Restricted Subsidiaries under Title IV of ERISA to the Pension Plan, Multiemployer Plan or the PBGC in an aggregate amount in excess of the Threshold Amount, or (ii) the Company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80" w:lineRule="exact"/>
        <w:rPr>
          <w:rFonts w:ascii="Arial" w:cs="Arial" w:eastAsia="Arial" w:hAnsi="Arial"/>
          <w:sz w:val="18"/>
          <w:szCs w:val="18"/>
          <w:color w:val="auto"/>
        </w:rPr>
      </w:pPr>
    </w:p>
    <w:p>
      <w:pPr>
        <w:ind w:firstLine="444"/>
        <w:spacing w:after="0" w:line="279" w:lineRule="auto"/>
        <w:tabs>
          <w:tab w:leader="none" w:pos="655" w:val="left"/>
        </w:tabs>
        <w:numPr>
          <w:ilvl w:val="0"/>
          <w:numId w:val="177"/>
        </w:numPr>
        <w:rPr>
          <w:rFonts w:ascii="Arial" w:cs="Arial" w:eastAsia="Arial" w:hAnsi="Arial"/>
          <w:sz w:val="17"/>
          <w:szCs w:val="17"/>
          <w:color w:val="auto"/>
        </w:rPr>
      </w:pPr>
      <w:r>
        <w:rPr>
          <w:rFonts w:ascii="Arial" w:cs="Arial" w:eastAsia="Arial" w:hAnsi="Arial"/>
          <w:sz w:val="17"/>
          <w:szCs w:val="17"/>
          <w:u w:val="single" w:color="auto"/>
          <w:color w:val="auto"/>
        </w:rPr>
        <w:t>Invalidity of Loan Documents</w:t>
      </w:r>
      <w:r>
        <w:rPr>
          <w:rFonts w:ascii="Arial" w:cs="Arial" w:eastAsia="Arial" w:hAnsi="Arial"/>
          <w:sz w:val="17"/>
          <w:szCs w:val="17"/>
          <w:color w:val="auto"/>
        </w:rPr>
        <w:t>. Any provision of any Loan Document, at any time after its execution and delivery and for any reason other than as expressly permitted hereunder or thereunder or satisfaction in full of all the Obligations, ceases to be in full force and effect; or any Loan Party contests in any manner the validity or enforceability of any provision of any Loan Document; or any Loan Party denies that it has any or further liability or obligation under any Loan Document, or purports to revoke, terminate or rescind any provision of any Loan Document; or</w:t>
      </w:r>
    </w:p>
    <w:p>
      <w:pPr>
        <w:spacing w:after="0" w:line="63" w:lineRule="exact"/>
        <w:rPr>
          <w:rFonts w:ascii="Arial" w:cs="Arial" w:eastAsia="Arial" w:hAnsi="Arial"/>
          <w:sz w:val="17"/>
          <w:szCs w:val="17"/>
          <w:color w:val="auto"/>
        </w:rPr>
      </w:pPr>
    </w:p>
    <w:p>
      <w:pPr>
        <w:ind w:left="700" w:hanging="256"/>
        <w:spacing w:after="0"/>
        <w:tabs>
          <w:tab w:leader="none" w:pos="700"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There occurs any Change of Control; or</w:t>
      </w:r>
    </w:p>
    <w:p>
      <w:pPr>
        <w:spacing w:after="0" w:line="117" w:lineRule="exact"/>
        <w:rPr>
          <w:rFonts w:ascii="Arial" w:cs="Arial" w:eastAsia="Arial" w:hAnsi="Arial"/>
          <w:sz w:val="18"/>
          <w:szCs w:val="18"/>
          <w:color w:val="auto"/>
        </w:rPr>
      </w:pPr>
    </w:p>
    <w:p>
      <w:pPr>
        <w:ind w:right="340" w:firstLine="444"/>
        <w:spacing w:after="0" w:line="264" w:lineRule="auto"/>
        <w:tabs>
          <w:tab w:leader="none" w:pos="655"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Collateral Documents</w:t>
      </w:r>
      <w:r>
        <w:rPr>
          <w:rFonts w:ascii="Arial" w:cs="Arial" w:eastAsia="Arial" w:hAnsi="Arial"/>
          <w:sz w:val="18"/>
          <w:szCs w:val="18"/>
          <w:color w:val="auto"/>
        </w:rPr>
        <w:t xml:space="preserve">. Any Collateral Document after delivery thereof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shall for any reason (other than pursuant to the terms thereof) cease to create a valid Lien on any portion of the Collateral purported to be covered thereby the aggregate fair market value of which is in excess of $1,000,000.</w:t>
      </w:r>
    </w:p>
    <w:p>
      <w:pPr>
        <w:spacing w:after="0" w:line="177" w:lineRule="exact"/>
        <w:rPr>
          <w:sz w:val="20"/>
          <w:szCs w:val="20"/>
          <w:color w:val="auto"/>
        </w:rPr>
      </w:pPr>
    </w:p>
    <w:p>
      <w:pPr>
        <w:ind w:right="320" w:firstLine="441"/>
        <w:spacing w:after="0" w:line="282" w:lineRule="auto"/>
        <w:rPr>
          <w:sz w:val="20"/>
          <w:szCs w:val="20"/>
          <w:color w:val="auto"/>
        </w:rPr>
      </w:pPr>
      <w:r>
        <w:rPr>
          <w:rFonts w:ascii="Arial" w:cs="Arial" w:eastAsia="Arial" w:hAnsi="Arial"/>
          <w:sz w:val="18"/>
          <w:szCs w:val="18"/>
          <w:b w:val="1"/>
          <w:bCs w:val="1"/>
          <w:color w:val="auto"/>
        </w:rPr>
        <w:t xml:space="preserve">8.02 Remedies Upon Event of Default. </w:t>
      </w:r>
      <w:r>
        <w:rPr>
          <w:rFonts w:ascii="Arial" w:cs="Arial" w:eastAsia="Arial" w:hAnsi="Arial"/>
          <w:sz w:val="18"/>
          <w:szCs w:val="18"/>
          <w:color w:val="auto"/>
        </w:rPr>
        <w:t>If any Event of Default occurs and is continuing, the Administrative Agent shall, at the request of, or</w:t>
      </w:r>
      <w:r>
        <w:rPr>
          <w:rFonts w:ascii="Arial" w:cs="Arial" w:eastAsia="Arial" w:hAnsi="Arial"/>
          <w:sz w:val="18"/>
          <w:szCs w:val="18"/>
          <w:b w:val="1"/>
          <w:bCs w:val="1"/>
          <w:color w:val="auto"/>
        </w:rPr>
        <w:t xml:space="preserve"> </w:t>
      </w:r>
      <w:r>
        <w:rPr>
          <w:rFonts w:ascii="Arial" w:cs="Arial" w:eastAsia="Arial" w:hAnsi="Arial"/>
          <w:sz w:val="18"/>
          <w:szCs w:val="18"/>
          <w:color w:val="auto"/>
        </w:rPr>
        <w:t>may, with the consent of, the Required Lenders, take any or all of the following actions:</w:t>
      </w:r>
    </w:p>
    <w:p>
      <w:pPr>
        <w:spacing w:after="0" w:line="58" w:lineRule="exact"/>
        <w:rPr>
          <w:sz w:val="20"/>
          <w:szCs w:val="20"/>
          <w:color w:val="auto"/>
        </w:rPr>
      </w:pPr>
    </w:p>
    <w:p>
      <w:pPr>
        <w:ind w:right="40" w:firstLine="444"/>
        <w:spacing w:after="0" w:line="277" w:lineRule="auto"/>
        <w:tabs>
          <w:tab w:leader="none" w:pos="68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declare the commitment of each Lender to make Loans and any obligation of each L/C Issuer to make L/C Credit Extensions to be terminated, whereupon such commitments and obligation shall be terminated;</w:t>
      </w:r>
    </w:p>
    <w:p>
      <w:pPr>
        <w:spacing w:after="0" w:line="62" w:lineRule="exact"/>
        <w:rPr>
          <w:rFonts w:ascii="Arial" w:cs="Arial" w:eastAsia="Arial" w:hAnsi="Arial"/>
          <w:sz w:val="18"/>
          <w:szCs w:val="18"/>
          <w:color w:val="auto"/>
        </w:rPr>
      </w:pPr>
    </w:p>
    <w:p>
      <w:pPr>
        <w:jc w:val="both"/>
        <w:ind w:right="80" w:firstLine="444"/>
        <w:spacing w:after="0" w:line="264" w:lineRule="auto"/>
        <w:tabs>
          <w:tab w:leader="none" w:pos="69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73" w:lineRule="exact"/>
        <w:rPr>
          <w:rFonts w:ascii="Arial" w:cs="Arial" w:eastAsia="Arial" w:hAnsi="Arial"/>
          <w:sz w:val="18"/>
          <w:szCs w:val="18"/>
          <w:color w:val="auto"/>
        </w:rPr>
      </w:pPr>
    </w:p>
    <w:p>
      <w:pPr>
        <w:ind w:firstLine="444"/>
        <w:spacing w:after="0" w:line="342" w:lineRule="auto"/>
        <w:tabs>
          <w:tab w:leader="none" w:pos="68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require that the Company Cash Collateralize the L/C Obligations (in an amount equal to the Minimum Collateral Amount with respect thereto) and Cash Collateralize the Secured Permitted Bilateral Letters of Credit (in an amount equal to the maximum potential drawings thereunder); and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80"/>
          </w:cols>
          <w:pgMar w:left="440" w:top="274" w:right="479" w:bottom="1440" w:gutter="0" w:footer="0" w:header="0"/>
        </w:sectPr>
      </w:pPr>
    </w:p>
    <w:bookmarkStart w:id="117" w:name="page118"/>
    <w:bookmarkEnd w:id="117"/>
    <w:p>
      <w:pPr>
        <w:ind w:right="240" w:firstLine="444"/>
        <w:spacing w:after="0" w:line="277" w:lineRule="auto"/>
        <w:tabs>
          <w:tab w:leader="none" w:pos="696" w:val="left"/>
        </w:tabs>
        <w:numPr>
          <w:ilvl w:val="0"/>
          <w:numId w:val="1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on behalf of itself, the Lenders and the L/C Issuers all rights and remedies available to it, the Lenders and the L/C Issuers under the Loan Documents;</w:t>
      </w:r>
    </w:p>
    <w:p>
      <w:pPr>
        <w:spacing w:after="0" w:line="170"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upon the occurrence of an actual or deemed entry of an order for relief with respect to any Borrower under the Bankruptcy Code of the United States, the obligation of each Lender to make Loans and any obligation of any L/C Issuer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and Secured Permitted Standalone Letters of Credit as aforesaid shall automatically become effective, in each case without further act of the Administrative Agent or any Lender.</w:t>
      </w:r>
    </w:p>
    <w:p>
      <w:pPr>
        <w:spacing w:after="0" w:line="154" w:lineRule="exact"/>
        <w:rPr>
          <w:sz w:val="20"/>
          <w:szCs w:val="20"/>
          <w:color w:val="auto"/>
        </w:rPr>
      </w:pPr>
    </w:p>
    <w:p>
      <w:pPr>
        <w:ind w:right="760" w:firstLine="441"/>
        <w:spacing w:after="0" w:line="261" w:lineRule="auto"/>
        <w:rPr>
          <w:sz w:val="20"/>
          <w:szCs w:val="20"/>
          <w:color w:val="auto"/>
        </w:rPr>
      </w:pPr>
      <w:r>
        <w:rPr>
          <w:rFonts w:ascii="Arial" w:cs="Arial" w:eastAsia="Arial" w:hAnsi="Arial"/>
          <w:sz w:val="18"/>
          <w:szCs w:val="18"/>
          <w:b w:val="1"/>
          <w:bCs w:val="1"/>
          <w:color w:val="auto"/>
        </w:rPr>
        <w:t xml:space="preserve">8.03 Application of Funds. </w:t>
      </w:r>
      <w:r>
        <w:rPr>
          <w:rFonts w:ascii="Arial" w:cs="Arial" w:eastAsia="Arial" w:hAnsi="Arial"/>
          <w:sz w:val="18"/>
          <w:szCs w:val="18"/>
          <w:color w:val="auto"/>
        </w:rPr>
        <w:t>After the exercise of remedies provided for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8.02</w:t>
      </w:r>
      <w:r>
        <w:rPr>
          <w:rFonts w:ascii="Arial" w:cs="Arial" w:eastAsia="Arial" w:hAnsi="Arial"/>
          <w:sz w:val="18"/>
          <w:szCs w:val="18"/>
          <w:b w:val="1"/>
          <w:bCs w:val="1"/>
          <w:color w:val="auto"/>
        </w:rPr>
        <w:t xml:space="preserve"> </w:t>
      </w:r>
      <w:r>
        <w:rPr>
          <w:rFonts w:ascii="Arial" w:cs="Arial" w:eastAsia="Arial" w:hAnsi="Arial"/>
          <w:sz w:val="18"/>
          <w:szCs w:val="18"/>
          <w:color w:val="auto"/>
        </w:rPr>
        <w:t>(or after the Loans have automatically become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immediately due and payable and the L/C Obligations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any amounts received on account of the Obligations shall, subject to the provisions of </w:t>
      </w:r>
      <w:r>
        <w:rPr>
          <w:rFonts w:ascii="Arial" w:cs="Arial" w:eastAsia="Arial" w:hAnsi="Arial"/>
          <w:sz w:val="18"/>
          <w:szCs w:val="18"/>
          <w:u w:val="single" w:color="auto"/>
          <w:color w:val="auto"/>
        </w:rPr>
        <w:t>Sections 2.16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2.17</w:t>
      </w:r>
      <w:r>
        <w:rPr>
          <w:rFonts w:ascii="Arial" w:cs="Arial" w:eastAsia="Arial" w:hAnsi="Arial"/>
          <w:sz w:val="18"/>
          <w:szCs w:val="18"/>
          <w:color w:val="auto"/>
        </w:rPr>
        <w:t>, be applied by the Administrative Agent in the following order:</w:t>
      </w:r>
    </w:p>
    <w:p>
      <w:pPr>
        <w:spacing w:after="0" w:line="76"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payment of that portion of the Obligations constituting fees, indemnities, expenses and other amounts (including fees, charges and disbursements of counsel to the Administrative Agent (to the extent required to be paid or reimbursed hereunder)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Administrative Agent in its capacity as such;</w:t>
      </w:r>
    </w:p>
    <w:p>
      <w:pPr>
        <w:spacing w:after="0" w:line="73"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payment of that portion of the Obligations arising under the Loan Documents constituting fees, indemnities and other amounts (other than principal, interest and Letter of Credit Fees) payable to the Lenders and the L/C Issuers (including fees, charges and disbursements of counsel to the respective Lenders and the L/C Issuers (to the extent required to be paid or reimbursed hereunder) and amounts payable under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ratably among them in proportion to the respective amounts described in this clause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payable to them;</w:t>
      </w:r>
    </w:p>
    <w:p>
      <w:pPr>
        <w:spacing w:after="0" w:line="63"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payment of that portion of the Obligations constituting accrued and unpaid Letter of Credit Fees and interest on the Loans, L/C Borrowings and other Obligations arising under the Loan Documents, ratably among the Lenders and the L/C Issuers in proportion to the respective amounts described in this clause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payable to them;</w:t>
      </w:r>
    </w:p>
    <w:p>
      <w:pPr>
        <w:spacing w:after="0" w:line="73" w:lineRule="exact"/>
        <w:rPr>
          <w:sz w:val="20"/>
          <w:szCs w:val="20"/>
          <w:color w:val="auto"/>
        </w:rPr>
      </w:pPr>
    </w:p>
    <w:p>
      <w:pPr>
        <w:ind w:right="220" w:firstLine="441"/>
        <w:spacing w:after="0" w:line="279" w:lineRule="auto"/>
        <w:rPr>
          <w:sz w:val="20"/>
          <w:szCs w:val="20"/>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xml:space="preserve">, to payment of that portion of the Obligations constituting unpaid principal of the Loans, L/C Borrowings, Obligations then owing under Secured Hedge Agreements and Secured Cash Management Agreements and Obligations in the nature of drawn and unreimbursed amounts under Secured Permitted Standalone Letters of Credit, ratably among the Lenders, the L/C Issuers, the Hedge Banks, the Cash Management Banks and the PSLOC Banks in proportion to the respective amounts described in this clause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held by them;</w:t>
      </w:r>
    </w:p>
    <w:p>
      <w:pPr>
        <w:spacing w:after="0" w:line="63"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xml:space="preserve">, to the Administrative Agent for the account of the L/C Issuers and the PSLOC Banks, to Cash Collateralize that portion of L/C Obligations comprised of the aggregate undrawn amount of Letters of Credit and obligations comprised of the aggregate undrawn amount of Secured Permitted Standalone Letters of Credit, in each case to the extent not otherwise Cash Collateralized by the Company pursuant to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and the terms of such Secured Permitted Standalone Letters of Credit ratably among the L/C Issuers and the PSLOC Banks in proportion to the respective amounts described in this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held by them; and</w:t>
      </w:r>
    </w:p>
    <w:p>
      <w:pPr>
        <w:spacing w:after="0" w:line="80" w:lineRule="exact"/>
        <w:rPr>
          <w:sz w:val="20"/>
          <w:szCs w:val="20"/>
          <w:color w:val="auto"/>
        </w:rPr>
      </w:pPr>
    </w:p>
    <w:p>
      <w:pPr>
        <w:jc w:val="center"/>
        <w:ind w:right="260"/>
        <w:spacing w:after="0" w:line="449" w:lineRule="auto"/>
        <w:rPr>
          <w:sz w:val="20"/>
          <w:szCs w:val="20"/>
          <w:color w:val="auto"/>
        </w:rPr>
      </w:pPr>
      <w:r>
        <w:rPr>
          <w:rFonts w:ascii="Arial" w:cs="Arial" w:eastAsia="Arial" w:hAnsi="Arial"/>
          <w:sz w:val="18"/>
          <w:szCs w:val="18"/>
          <w:u w:val="single" w:color="auto"/>
          <w:color w:val="auto"/>
        </w:rPr>
        <w:t>Last</w:t>
      </w:r>
      <w:r>
        <w:rPr>
          <w:rFonts w:ascii="Arial" w:cs="Arial" w:eastAsia="Arial" w:hAnsi="Arial"/>
          <w:sz w:val="18"/>
          <w:szCs w:val="18"/>
          <w:color w:val="auto"/>
        </w:rPr>
        <w:t>, the balance, if any, after all of the Obligations have been indefeasibly paid in full, to the Company or as otherwise required by Law; 108</w:t>
      </w:r>
    </w:p>
    <w:p>
      <w:pPr>
        <w:sectPr>
          <w:pgSz w:w="11900" w:h="16838" w:orient="portrait"/>
          <w:cols w:equalWidth="0" w:num="1">
            <w:col w:w="11020"/>
          </w:cols>
          <w:pgMar w:left="440" w:top="274" w:right="439" w:bottom="1440" w:gutter="0" w:footer="0" w:header="0"/>
        </w:sectPr>
      </w:pPr>
    </w:p>
    <w:bookmarkStart w:id="118" w:name="page119"/>
    <w:bookmarkEnd w:id="118"/>
    <w:p>
      <w:pPr>
        <w:ind w:right="4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w:t>
      </w:r>
      <w:r>
        <w:rPr>
          <w:rFonts w:ascii="Arial" w:cs="Arial" w:eastAsia="Arial" w:hAnsi="Arial"/>
          <w:sz w:val="18"/>
          <w:szCs w:val="18"/>
          <w:u w:val="single" w:color="auto"/>
          <w:color w:val="auto"/>
        </w:rPr>
        <w:t>Sections 2.03(c)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amounts used to Cash Collateralize the aggregate undrawn amount of Letters of Credit and Secured Permitted Standalone Letters of Credit pursuant to clause </w:t>
      </w:r>
      <w:r>
        <w:rPr>
          <w:rFonts w:ascii="Arial" w:cs="Arial" w:eastAsia="Arial" w:hAnsi="Arial"/>
          <w:sz w:val="18"/>
          <w:szCs w:val="18"/>
          <w:u w:val="single" w:color="auto"/>
          <w:color w:val="auto"/>
        </w:rPr>
        <w:t>Fifth</w:t>
      </w:r>
      <w:r>
        <w:rPr>
          <w:rFonts w:ascii="Arial" w:cs="Arial" w:eastAsia="Arial" w:hAnsi="Arial"/>
          <w:sz w:val="18"/>
          <w:szCs w:val="18"/>
          <w:color w:val="auto"/>
        </w:rPr>
        <w:t xml:space="preserve"> above shall be applied to satisfy drawings under such Letters of Credit and Secured Permitted Standalone Letters of Credit as they occur. If any amount remains on deposit as Cash Collateral after all Letters of Credit and Secured Permitted Standalone Letters of Credit have either been fully drawn or expired, such remaining amount shall be applied to the other Obligations, if any, in the order set forth above.</w:t>
      </w:r>
    </w:p>
    <w:p>
      <w:pPr>
        <w:spacing w:after="0" w:line="18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Notwithstanding the foregoing, Obligations arising under Secured Cash Management Agreements, Secured Hedge Agreements and Secured Permitted Standalone Letters of Credit shall be excluded from the application described above if the Administrative Agent has not received written notice thereof, together with such supporting documentation as the Administrative Agent may request, from the applicable Cash Management Bank, Hedge Bank or PSLOC Bank, as the case may be. Each Cash Management Bank, Hedge Bank or PSLOC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hereof for itself and its Affiliates as if a “Lender” party to this Agreement.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ADMINISTRATIVE AGENT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9.01 Appointment and Authority.</w:t>
      </w:r>
    </w:p>
    <w:p>
      <w:pPr>
        <w:spacing w:after="0" w:line="121" w:lineRule="exact"/>
        <w:rPr>
          <w:sz w:val="20"/>
          <w:szCs w:val="20"/>
          <w:color w:val="auto"/>
        </w:rPr>
      </w:pPr>
    </w:p>
    <w:p>
      <w:pPr>
        <w:ind w:firstLine="444"/>
        <w:spacing w:after="0" w:line="270" w:lineRule="auto"/>
        <w:tabs>
          <w:tab w:leader="none" w:pos="685" w:val="left"/>
        </w:tabs>
        <w:numPr>
          <w:ilvl w:val="0"/>
          <w:numId w:val="180"/>
        </w:numPr>
        <w:rPr>
          <w:rFonts w:ascii="Arial" w:cs="Arial" w:eastAsia="Arial" w:hAnsi="Arial"/>
          <w:sz w:val="17"/>
          <w:szCs w:val="17"/>
          <w:color w:val="auto"/>
        </w:rPr>
      </w:pPr>
      <w:r>
        <w:rPr>
          <w:rFonts w:ascii="Arial" w:cs="Arial" w:eastAsia="Arial" w:hAnsi="Arial"/>
          <w:sz w:val="17"/>
          <w:szCs w:val="17"/>
          <w:color w:val="auto"/>
        </w:rPr>
        <w:t>Each of the Lenders (including in its capacities as a potential Hedge Bank, a potential Cash Management Bank and a potential PSLOC Bank) and the L/C Issuers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neither any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73" w:lineRule="exact"/>
        <w:rPr>
          <w:rFonts w:ascii="Arial" w:cs="Arial" w:eastAsia="Arial" w:hAnsi="Arial"/>
          <w:sz w:val="17"/>
          <w:szCs w:val="17"/>
          <w:color w:val="auto"/>
        </w:rPr>
      </w:pPr>
    </w:p>
    <w:p>
      <w:pPr>
        <w:ind w:right="40" w:firstLine="444"/>
        <w:spacing w:after="0" w:line="289" w:lineRule="auto"/>
        <w:tabs>
          <w:tab w:leader="none" w:pos="696"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Administrative Agent shall also act as the “</w:t>
      </w:r>
      <w:r>
        <w:rPr>
          <w:rFonts w:ascii="Arial" w:cs="Arial" w:eastAsia="Arial" w:hAnsi="Arial"/>
          <w:sz w:val="16"/>
          <w:szCs w:val="16"/>
          <w:u w:val="single" w:color="auto"/>
          <w:color w:val="auto"/>
        </w:rPr>
        <w:t>collateral agent</w:t>
      </w:r>
      <w:r>
        <w:rPr>
          <w:rFonts w:ascii="Arial" w:cs="Arial" w:eastAsia="Arial" w:hAnsi="Arial"/>
          <w:sz w:val="16"/>
          <w:szCs w:val="16"/>
          <w:color w:val="auto"/>
        </w:rPr>
        <w:t xml:space="preserve">” under the Loan Documents, and each of the Lenders (including in its capacities as a potential Hedge Bank, a potential Cash Management Bank and a potential PSLOC Bank) and each L/C Issuer hereby irrevocably appoints and authorizes the Administrative Agent to act as the agent of such Lender and such L/C Issuer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10.04(c)</w:t>
      </w:r>
      <w:r>
        <w:rPr>
          <w:rFonts w:ascii="Arial" w:cs="Arial" w:eastAsia="Arial" w:hAnsi="Arial"/>
          <w:sz w:val="16"/>
          <w:szCs w:val="16"/>
          <w:color w:val="auto"/>
        </w:rPr>
        <w:t>, as though such co-agents, sub-agents and attorneys-in-fact were the “collateral agent” under the Loan Documents) as if set forth in full herein with respect thereto.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20"/>
          </w:cols>
          <w:pgMar w:left="440" w:top="274" w:right="439" w:bottom="1440" w:gutter="0" w:footer="0" w:header="0"/>
        </w:sectPr>
      </w:pPr>
    </w:p>
    <w:bookmarkStart w:id="119" w:name="page120"/>
    <w:bookmarkEnd w:id="119"/>
    <w:p>
      <w:pPr>
        <w:ind w:right="80" w:firstLine="441"/>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9.02 Rights as a Lender. </w:t>
      </w:r>
      <w:r>
        <w:rPr>
          <w:rFonts w:ascii="Arial" w:cs="Arial" w:eastAsia="Arial" w:hAnsi="Arial"/>
          <w:sz w:val="17"/>
          <w:szCs w:val="17"/>
          <w:color w:val="auto"/>
        </w:rPr>
        <w:t>The Person serving as the Administrative Agent hereunder shall have the same rights and powers in its capacity as a</w:t>
      </w:r>
      <w:r>
        <w:rPr>
          <w:rFonts w:ascii="Arial" w:cs="Arial" w:eastAsia="Arial" w:hAnsi="Arial"/>
          <w:sz w:val="17"/>
          <w:szCs w:val="17"/>
          <w:b w:val="1"/>
          <w:bCs w:val="1"/>
          <w:color w:val="auto"/>
        </w:rPr>
        <w:t xml:space="preserve"> </w:t>
      </w:r>
      <w:r>
        <w:rPr>
          <w:rFonts w:ascii="Arial" w:cs="Arial" w:eastAsia="Arial" w:hAnsi="Arial"/>
          <w:sz w:val="17"/>
          <w:szCs w:val="17"/>
          <w:color w:val="auto"/>
        </w:rPr>
        <w:t>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9.03 Exculpatory Provisions.</w:t>
      </w:r>
    </w:p>
    <w:p>
      <w:pPr>
        <w:spacing w:after="0" w:line="121" w:lineRule="exact"/>
        <w:rPr>
          <w:sz w:val="20"/>
          <w:szCs w:val="20"/>
          <w:color w:val="auto"/>
        </w:rPr>
      </w:pPr>
    </w:p>
    <w:p>
      <w:pPr>
        <w:ind w:right="280" w:firstLine="444"/>
        <w:spacing w:after="0" w:line="342" w:lineRule="auto"/>
        <w:tabs>
          <w:tab w:leader="none" w:pos="68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w:t>
      </w:r>
    </w:p>
    <w:p>
      <w:pPr>
        <w:spacing w:after="0" w:line="15" w:lineRule="exact"/>
        <w:rPr>
          <w:rFonts w:ascii="Arial" w:cs="Arial" w:eastAsia="Arial" w:hAnsi="Arial"/>
          <w:sz w:val="16"/>
          <w:szCs w:val="16"/>
          <w:color w:val="auto"/>
        </w:rPr>
      </w:pPr>
    </w:p>
    <w:p>
      <w:pPr>
        <w:ind w:left="1080" w:hanging="212"/>
        <w:spacing w:after="0"/>
        <w:tabs>
          <w:tab w:leader="none" w:pos="10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w:t>
      </w:r>
    </w:p>
    <w:p>
      <w:pPr>
        <w:spacing w:after="0" w:line="117" w:lineRule="exact"/>
        <w:rPr>
          <w:rFonts w:ascii="Arial" w:cs="Arial" w:eastAsia="Arial" w:hAnsi="Arial"/>
          <w:sz w:val="18"/>
          <w:szCs w:val="18"/>
          <w:color w:val="auto"/>
        </w:rPr>
      </w:pPr>
    </w:p>
    <w:p>
      <w:pPr>
        <w:ind w:left="440" w:right="60" w:firstLine="428"/>
        <w:spacing w:after="0" w:line="272" w:lineRule="auto"/>
        <w:tabs>
          <w:tab w:leader="none" w:pos="1128" w:val="left"/>
        </w:tabs>
        <w:numPr>
          <w:ilvl w:val="1"/>
          <w:numId w:val="181"/>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69" w:lineRule="exact"/>
        <w:rPr>
          <w:rFonts w:ascii="Arial" w:cs="Arial" w:eastAsia="Arial" w:hAnsi="Arial"/>
          <w:sz w:val="17"/>
          <w:szCs w:val="17"/>
          <w:color w:val="auto"/>
        </w:rPr>
      </w:pPr>
    </w:p>
    <w:p>
      <w:pPr>
        <w:jc w:val="both"/>
        <w:ind w:left="440" w:right="20" w:firstLine="428"/>
        <w:spacing w:after="0" w:line="264" w:lineRule="auto"/>
        <w:tabs>
          <w:tab w:leader="none" w:pos="117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have any duty to disclose, and shall not be liable for the failure to disclose, any information relating to any of the Borrowers or any of their respective Affiliates that is communicated to or obtained by the Person serving as the Administrative Agent or any of its Affiliates in any capacity.</w:t>
      </w:r>
    </w:p>
    <w:p>
      <w:pPr>
        <w:spacing w:after="0" w:line="73" w:lineRule="exact"/>
        <w:rPr>
          <w:rFonts w:ascii="Arial" w:cs="Arial" w:eastAsia="Arial" w:hAnsi="Arial"/>
          <w:sz w:val="18"/>
          <w:szCs w:val="18"/>
          <w:color w:val="auto"/>
        </w:rPr>
      </w:pPr>
    </w:p>
    <w:p>
      <w:pPr>
        <w:ind w:firstLine="444"/>
        <w:spacing w:after="0" w:line="255" w:lineRule="auto"/>
        <w:tabs>
          <w:tab w:leader="none" w:pos="696"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10.01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w:t>
      </w:r>
      <w:r>
        <w:rPr>
          <w:rFonts w:ascii="Arial" w:cs="Arial" w:eastAsia="Arial" w:hAnsi="Arial"/>
          <w:sz w:val="18"/>
          <w:szCs w:val="18"/>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Company, a Lender or an L/C Issuer.</w:t>
      </w:r>
    </w:p>
    <w:p>
      <w:pPr>
        <w:spacing w:after="0" w:line="85" w:lineRule="exact"/>
        <w:rPr>
          <w:rFonts w:ascii="Arial" w:cs="Arial" w:eastAsia="Arial" w:hAnsi="Arial"/>
          <w:sz w:val="18"/>
          <w:szCs w:val="18"/>
          <w:color w:val="auto"/>
        </w:rPr>
      </w:pPr>
    </w:p>
    <w:p>
      <w:pPr>
        <w:ind w:firstLine="444"/>
        <w:spacing w:after="0" w:line="257" w:lineRule="auto"/>
        <w:tabs>
          <w:tab w:leader="none" w:pos="68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20"/>
          </w:cols>
          <w:pgMar w:left="440" w:top="270" w:right="439" w:bottom="1440" w:gutter="0" w:footer="0" w:header="0"/>
        </w:sectPr>
      </w:pPr>
    </w:p>
    <w:bookmarkStart w:id="120" w:name="page121"/>
    <w:bookmarkEnd w:id="120"/>
    <w:p>
      <w:pPr>
        <w:ind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herein, other than to confirm receipt of items expressly required to be delivered to the Administrative Agent.</w:t>
      </w:r>
    </w:p>
    <w:p>
      <w:pPr>
        <w:spacing w:after="0" w:line="177"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b w:val="1"/>
          <w:bCs w:val="1"/>
          <w:color w:val="auto"/>
        </w:rPr>
        <w:t xml:space="preserve">9.04 Reliance by Administrative Agent. </w:t>
      </w:r>
      <w:r>
        <w:rPr>
          <w:rFonts w:ascii="Arial" w:cs="Arial" w:eastAsia="Arial" w:hAnsi="Arial"/>
          <w:sz w:val="16"/>
          <w:szCs w:val="16"/>
          <w:color w:val="auto"/>
        </w:rPr>
        <w:t>The Administrative Agent shall be entitled to rely upon, and shall not incur any liability for relying</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61"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b w:val="1"/>
          <w:bCs w:val="1"/>
          <w:color w:val="auto"/>
        </w:rPr>
        <w:t xml:space="preserve">9.05 Delegation of Duties. </w:t>
      </w:r>
      <w:r>
        <w:rPr>
          <w:rFonts w:ascii="Arial" w:cs="Arial" w:eastAsia="Arial" w:hAnsi="Arial"/>
          <w:sz w:val="17"/>
          <w:szCs w:val="17"/>
          <w:color w:val="auto"/>
        </w:rPr>
        <w:t>The Administrative Agent may perform any and all of its duties and exercise its rights and powers hereunder or 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72"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b w:val="1"/>
          <w:bCs w:val="1"/>
          <w:color w:val="auto"/>
        </w:rPr>
        <w:t xml:space="preserve">9.06 Resignation of Administrative Agent. </w:t>
      </w:r>
      <w:r>
        <w:rPr>
          <w:rFonts w:ascii="Arial" w:cs="Arial" w:eastAsia="Arial" w:hAnsi="Arial"/>
          <w:sz w:val="17"/>
          <w:szCs w:val="17"/>
          <w:color w:val="auto"/>
        </w:rPr>
        <w:t>The Administrative Agent may at any time give notice of its resignation to the Lenders, the L/C</w:t>
      </w:r>
      <w:r>
        <w:rPr>
          <w:rFonts w:ascii="Arial" w:cs="Arial" w:eastAsia="Arial" w:hAnsi="Arial"/>
          <w:sz w:val="17"/>
          <w:szCs w:val="17"/>
          <w:b w:val="1"/>
          <w:bCs w:val="1"/>
          <w:color w:val="auto"/>
        </w:rPr>
        <w:t xml:space="preserve"> </w:t>
      </w:r>
      <w:r>
        <w:rPr>
          <w:rFonts w:ascii="Arial" w:cs="Arial" w:eastAsia="Arial" w:hAnsi="Arial"/>
          <w:sz w:val="17"/>
          <w:szCs w:val="17"/>
          <w:color w:val="auto"/>
        </w:rPr>
        <w:t>Issuers and the Company. Upon receipt of any such notice of resignation, the Required Lenders shall have the right, with the consent of the Company so long as no Event of Default has occurred and is continuing (such consent not to be unreasonably withheld, conditioned or delayed),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Arial" w:cs="Arial" w:eastAsia="Arial" w:hAnsi="Arial"/>
          <w:sz w:val="17"/>
          <w:szCs w:val="17"/>
          <w:u w:val="single" w:color="auto"/>
          <w:color w:val="auto"/>
        </w:rPr>
        <w:t>Resignation Effective Date</w:t>
      </w:r>
      <w:r>
        <w:rPr>
          <w:rFonts w:ascii="Arial" w:cs="Arial" w:eastAsia="Arial" w:hAnsi="Arial"/>
          <w:sz w:val="17"/>
          <w:szCs w:val="17"/>
          <w:color w:val="auto"/>
        </w:rPr>
        <w:t>”), then the retiring Administrative Agent may (but shall not be obligated to) on behalf of the Lenders and the L/C Issuers, appoint a successor Administrative Agent meeting the qualifications set forth above with the consent of the Company so long as no Event of Default has occurred and is continuing (such consent not to be unreasonably withheld, conditioned or delayed). Whether or not a successor has been appointed, such resignation shall become effective in accordance with such notice on the Resignation Effective Date. With effect from the Resignation Effective Date, (1) the retiring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Administrative Agent shall continue to hold such collateral security until such time as a successor Administrative Agent is appointed) and (2) except for any indemnity payments or other amounts then owed to the retiring</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80"/>
          </w:cols>
          <w:pgMar w:left="440" w:top="274" w:right="479" w:bottom="1440" w:gutter="0" w:footer="0" w:header="0"/>
        </w:sectPr>
      </w:pPr>
    </w:p>
    <w:bookmarkStart w:id="121" w:name="page122"/>
    <w:bookmarkEnd w:id="121"/>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Administrative Agent, all payments, communications and determinations provided to be made by, to or through the Administrative Agent shall instead be made by or to each Lender and each L/C Issuer directly, until such time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retired) Administrative Agent (other than as provided in </w:t>
      </w:r>
      <w:r>
        <w:rPr>
          <w:rFonts w:ascii="Arial" w:cs="Arial" w:eastAsia="Arial" w:hAnsi="Arial"/>
          <w:sz w:val="17"/>
          <w:szCs w:val="17"/>
          <w:u w:val="single" w:color="auto"/>
          <w:color w:val="auto"/>
        </w:rPr>
        <w:t>Section 3.01(g)</w:t>
      </w:r>
      <w:r>
        <w:rPr>
          <w:rFonts w:ascii="Arial" w:cs="Arial" w:eastAsia="Arial" w:hAnsi="Arial"/>
          <w:sz w:val="17"/>
          <w:szCs w:val="17"/>
          <w:color w:val="auto"/>
        </w:rPr>
        <w:t xml:space="preserve"> and other than any rights to indemnity payments or other amounts owed to the retiring Administrative Agent as of the Resignation Effective Date), and the retiring Administrative Agent shall be discharged from all of its duties and obligations hereunder or under the other Loan Documents (if not already discharged therefrom as provided above in this Section). The fees payable by the Company to a successor Administrative Agent shall be the same as those payable to its predecessor unless otherwise agreed between the Company and such successor. After the retiring Administrative Agent’s resignation hereunder and under the other Loan Documents, the provisions of this Article and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shall continue in effect for the benefit of such retiring Administrative Agent, its sub agents and their respective Related Parties in respect of any actions taken or omitted to be taken by any of them (i) while the retiring Administrative Agent was acting as Administrative Agent and (ii) after such resignation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185" w:lineRule="exact"/>
        <w:rPr>
          <w:sz w:val="20"/>
          <w:szCs w:val="20"/>
          <w:color w:val="auto"/>
        </w:rPr>
      </w:pPr>
    </w:p>
    <w:p>
      <w:pPr>
        <w:ind w:right="40" w:firstLine="441"/>
        <w:spacing w:after="0" w:line="284" w:lineRule="auto"/>
        <w:rPr>
          <w:sz w:val="20"/>
          <w:szCs w:val="20"/>
          <w:color w:val="auto"/>
        </w:rPr>
      </w:pPr>
      <w:r>
        <w:rPr>
          <w:rFonts w:ascii="Arial" w:cs="Arial" w:eastAsia="Arial" w:hAnsi="Arial"/>
          <w:sz w:val="16"/>
          <w:szCs w:val="16"/>
          <w:color w:val="auto"/>
        </w:rPr>
        <w:t xml:space="preserve">Any resignation by Bank of America as Administrative Agent pursuant to this Section shall also constitute its resignation as an L/C Issuer and the Swing Line Lender. If Bank of America resigns as an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Revolving Credit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Revolving Credit Loans or fund risk participations in outstanding Swing Line Loans pursuant to </w:t>
      </w:r>
      <w:r>
        <w:rPr>
          <w:rFonts w:ascii="Arial" w:cs="Arial" w:eastAsia="Arial" w:hAnsi="Arial"/>
          <w:sz w:val="16"/>
          <w:szCs w:val="16"/>
          <w:u w:val="single" w:color="auto"/>
          <w:color w:val="auto"/>
        </w:rPr>
        <w:t>Section 2.04(c)</w:t>
      </w:r>
      <w:r>
        <w:rPr>
          <w:rFonts w:ascii="Arial" w:cs="Arial" w:eastAsia="Arial" w:hAnsi="Arial"/>
          <w:sz w:val="16"/>
          <w:szCs w:val="16"/>
          <w:color w:val="auto"/>
        </w:rPr>
        <w:t>. Upon the appointment by the Company of a successor L/C Issuer or Swing Line Lender hereunder (which successor shall in all cases be a Lender other than a Defaulting Lender),</w:t>
      </w:r>
    </w:p>
    <w:p>
      <w:pPr>
        <w:spacing w:after="0" w:line="1" w:lineRule="exact"/>
        <w:rPr>
          <w:sz w:val="20"/>
          <w:szCs w:val="20"/>
          <w:color w:val="auto"/>
        </w:rPr>
      </w:pPr>
    </w:p>
    <w:p>
      <w:pPr>
        <w:ind w:right="40" w:firstLine="4"/>
        <w:spacing w:after="0" w:line="253" w:lineRule="auto"/>
        <w:tabs>
          <w:tab w:leader="none" w:pos="245" w:val="left"/>
        </w:tabs>
        <w:numPr>
          <w:ilvl w:val="0"/>
          <w:numId w:val="182"/>
        </w:numPr>
        <w:rPr>
          <w:rFonts w:ascii="Arial" w:cs="Arial" w:eastAsia="Arial" w:hAnsi="Arial"/>
          <w:sz w:val="18"/>
          <w:szCs w:val="18"/>
          <w:color w:val="auto"/>
        </w:rPr>
      </w:pPr>
      <w:r>
        <w:rPr>
          <w:rFonts w:ascii="Arial" w:cs="Arial" w:eastAsia="Arial" w:hAnsi="Arial"/>
          <w:sz w:val="18"/>
          <w:szCs w:val="18"/>
          <w:color w:val="auto"/>
        </w:rPr>
        <w:t>such successor shall succeed to and become vested with all of the rights, powers, privileges and duties of the retiring L/C Issuer or Swing Line Lender, as applicable, (b) the retiring 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187" w:lineRule="exact"/>
        <w:rPr>
          <w:sz w:val="20"/>
          <w:szCs w:val="20"/>
          <w:color w:val="auto"/>
        </w:rPr>
      </w:pPr>
    </w:p>
    <w:p>
      <w:pPr>
        <w:ind w:firstLine="441"/>
        <w:spacing w:after="0" w:line="295" w:lineRule="auto"/>
        <w:rPr>
          <w:sz w:val="20"/>
          <w:szCs w:val="20"/>
          <w:color w:val="auto"/>
        </w:rPr>
      </w:pPr>
      <w:r>
        <w:rPr>
          <w:rFonts w:ascii="Arial" w:cs="Arial" w:eastAsia="Arial" w:hAnsi="Arial"/>
          <w:sz w:val="16"/>
          <w:szCs w:val="16"/>
          <w:b w:val="1"/>
          <w:bCs w:val="1"/>
          <w:color w:val="auto"/>
        </w:rPr>
        <w:t xml:space="preserve">9.07 Non-Reliance on Administrative Agent and Other Lenders. </w:t>
      </w:r>
      <w:r>
        <w:rPr>
          <w:rFonts w:ascii="Arial" w:cs="Arial" w:eastAsia="Arial" w:hAnsi="Arial"/>
          <w:sz w:val="16"/>
          <w:szCs w:val="16"/>
          <w:color w:val="auto"/>
        </w:rPr>
        <w:t>Each Lender and each L/C Issuer acknowledges that it has, independently and</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reliance upon the Administrative Agent or any other Lender or any of their Related Parties and based on such documents and information as it has deemed appropriate, made its own credit analysis and decision to enter into this Agreement. Each Lender and each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56" w:lineRule="exact"/>
        <w:rPr>
          <w:sz w:val="20"/>
          <w:szCs w:val="20"/>
          <w:color w:val="auto"/>
        </w:rPr>
      </w:pPr>
    </w:p>
    <w:p>
      <w:pPr>
        <w:ind w:right="180" w:firstLine="441"/>
        <w:spacing w:after="0" w:line="289" w:lineRule="auto"/>
        <w:rPr>
          <w:sz w:val="20"/>
          <w:szCs w:val="20"/>
          <w:color w:val="auto"/>
        </w:rPr>
      </w:pPr>
      <w:r>
        <w:rPr>
          <w:rFonts w:ascii="Arial" w:cs="Arial" w:eastAsia="Arial" w:hAnsi="Arial"/>
          <w:sz w:val="17"/>
          <w:szCs w:val="17"/>
          <w:b w:val="1"/>
          <w:bCs w:val="1"/>
          <w:color w:val="auto"/>
        </w:rPr>
        <w:t xml:space="preserve">9.08 No Other Duties, Etc. </w:t>
      </w:r>
      <w:r>
        <w:rPr>
          <w:rFonts w:ascii="Arial" w:cs="Arial" w:eastAsia="Arial" w:hAnsi="Arial"/>
          <w:sz w:val="17"/>
          <w:szCs w:val="17"/>
          <w:color w:val="auto"/>
        </w:rPr>
        <w:t>Anything herein to the contrary notwithstanding, none of the arranger(s), bookrunner(s), syndication agent(s) or</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documentation agent(s) listed on the cover page hereof shall have any powers, duties or responsibilities under this Agreement or any of the other Loan Documents, except in its capacity, as applicable, as the Administrative Agent, a Lender or an L/C Issuer hereunder.</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20"/>
          </w:cols>
          <w:pgMar w:left="440" w:top="274" w:right="439" w:bottom="1440" w:gutter="0" w:footer="0" w:header="0"/>
        </w:sectPr>
      </w:pPr>
    </w:p>
    <w:bookmarkStart w:id="122" w:name="page123"/>
    <w:bookmarkEnd w:id="122"/>
    <w:p>
      <w:pPr>
        <w:ind w:right="20" w:firstLine="441"/>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9.09 Administrative Agent May File Proofs of Claim; Credit Bidding. </w:t>
      </w:r>
      <w:r>
        <w:rPr>
          <w:rFonts w:ascii="Arial" w:cs="Arial" w:eastAsia="Arial" w:hAnsi="Arial"/>
          <w:sz w:val="17"/>
          <w:szCs w:val="17"/>
          <w:color w:val="auto"/>
        </w:rPr>
        <w:t>In case of the pendency of any proceeding under any Debtor Relief Law</w:t>
      </w:r>
      <w:r>
        <w:rPr>
          <w:rFonts w:ascii="Arial" w:cs="Arial" w:eastAsia="Arial" w:hAnsi="Arial"/>
          <w:sz w:val="17"/>
          <w:szCs w:val="17"/>
          <w:b w:val="1"/>
          <w:bCs w:val="1"/>
          <w:color w:val="auto"/>
        </w:rPr>
        <w:t xml:space="preserve"> </w:t>
      </w:r>
      <w:r>
        <w:rPr>
          <w:rFonts w:ascii="Arial" w:cs="Arial" w:eastAsia="Arial" w:hAnsi="Arial"/>
          <w:sz w:val="17"/>
          <w:szCs w:val="17"/>
          <w:color w:val="auto"/>
        </w:rPr>
        <w:t>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61" w:lineRule="exact"/>
        <w:rPr>
          <w:sz w:val="20"/>
          <w:szCs w:val="20"/>
          <w:color w:val="auto"/>
        </w:rPr>
      </w:pPr>
    </w:p>
    <w:p>
      <w:pPr>
        <w:ind w:right="100" w:firstLine="444"/>
        <w:spacing w:after="0" w:line="297" w:lineRule="auto"/>
        <w:tabs>
          <w:tab w:leader="none" w:pos="68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Arial" w:cs="Arial" w:eastAsia="Arial" w:hAnsi="Arial"/>
          <w:sz w:val="16"/>
          <w:szCs w:val="16"/>
          <w:u w:val="single" w:color="auto"/>
          <w:color w:val="auto"/>
        </w:rPr>
        <w:t>Sections 2.03(h)</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w:t>
      </w:r>
      <w:r>
        <w:rPr>
          <w:rFonts w:ascii="Arial" w:cs="Arial" w:eastAsia="Arial" w:hAnsi="Arial"/>
          <w:sz w:val="16"/>
          <w:szCs w:val="16"/>
          <w:color w:val="auto"/>
        </w:rPr>
        <w:t xml:space="preserve">, </w:t>
      </w:r>
      <w:r>
        <w:rPr>
          <w:rFonts w:ascii="Arial" w:cs="Arial" w:eastAsia="Arial" w:hAnsi="Arial"/>
          <w:sz w:val="16"/>
          <w:szCs w:val="16"/>
          <w:u w:val="single" w:color="auto"/>
          <w:color w:val="auto"/>
        </w:rPr>
        <w:t>2.09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10.04</w:t>
      </w:r>
      <w:r>
        <w:rPr>
          <w:rFonts w:ascii="Arial" w:cs="Arial" w:eastAsia="Arial" w:hAnsi="Arial"/>
          <w:sz w:val="16"/>
          <w:szCs w:val="16"/>
          <w:color w:val="auto"/>
        </w:rPr>
        <w:t>) allowed in such judicial proceeding; and</w:t>
      </w:r>
    </w:p>
    <w:p>
      <w:pPr>
        <w:spacing w:after="0" w:line="50" w:lineRule="exact"/>
        <w:rPr>
          <w:rFonts w:ascii="Arial" w:cs="Arial" w:eastAsia="Arial" w:hAnsi="Arial"/>
          <w:sz w:val="16"/>
          <w:szCs w:val="16"/>
          <w:color w:val="auto"/>
        </w:rPr>
      </w:pPr>
    </w:p>
    <w:p>
      <w:pPr>
        <w:ind w:left="700" w:hanging="256"/>
        <w:spacing w:after="0"/>
        <w:tabs>
          <w:tab w:leader="none" w:pos="7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w:t>
      </w:r>
    </w:p>
    <w:p>
      <w:pPr>
        <w:spacing w:after="0" w:line="188" w:lineRule="exact"/>
        <w:rPr>
          <w:sz w:val="20"/>
          <w:szCs w:val="20"/>
          <w:color w:val="auto"/>
        </w:rPr>
      </w:pPr>
    </w:p>
    <w:p>
      <w:pPr>
        <w:jc w:val="both"/>
        <w:ind w:right="280" w:firstLine="441"/>
        <w:spacing w:after="0" w:line="312" w:lineRule="auto"/>
        <w:rPr>
          <w:sz w:val="20"/>
          <w:szCs w:val="20"/>
          <w:color w:val="auto"/>
        </w:rPr>
      </w:pPr>
      <w:r>
        <w:rPr>
          <w:rFonts w:ascii="Arial" w:cs="Arial" w:eastAsia="Arial" w:hAnsi="Arial"/>
          <w:sz w:val="16"/>
          <w:szCs w:val="16"/>
          <w:color w:val="auto"/>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in any such proceeding.</w:t>
      </w:r>
    </w:p>
    <w:p>
      <w:pPr>
        <w:spacing w:after="0" w:line="147" w:lineRule="exact"/>
        <w:rPr>
          <w:sz w:val="20"/>
          <w:szCs w:val="20"/>
          <w:color w:val="auto"/>
        </w:rPr>
      </w:pPr>
    </w:p>
    <w:p>
      <w:pPr>
        <w:ind w:right="80" w:firstLine="441"/>
        <w:spacing w:after="0" w:line="288" w:lineRule="auto"/>
        <w:rPr>
          <w:sz w:val="20"/>
          <w:szCs w:val="20"/>
          <w:color w:val="auto"/>
        </w:rPr>
      </w:pPr>
      <w:r>
        <w:rPr>
          <w:rFonts w:ascii="Arial" w:cs="Arial" w:eastAsia="Arial" w:hAnsi="Arial"/>
          <w:sz w:val="16"/>
          <w:szCs w:val="16"/>
          <w:color w:val="auto"/>
        </w:rPr>
        <w:t>The Secured Parties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w:t>
      </w:r>
    </w:p>
    <w:p>
      <w:pPr>
        <w:ind w:right="200" w:firstLine="4"/>
        <w:spacing w:after="0" w:line="268" w:lineRule="auto"/>
        <w:tabs>
          <w:tab w:leader="none" w:pos="24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at any sale thereof conducted under the provisions of the Bankruptcy Code of the United States, including under Sections 363, 1123 or 1129 of the Bankruptcy Code of the United States or any similar Laws in any other jurisdictions to which a Loan Party is subject, or (b) at any other sale or foreclosure or acceptance of collateral in lieu of debt conducted by (or with the consent or at the direction of) the Administrative Agent (whether by judicial action or otherwise) in accordance with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20"/>
          </w:cols>
          <w:pgMar w:left="440" w:top="270" w:right="439" w:bottom="1440" w:gutter="0" w:footer="0" w:header="0"/>
        </w:sectPr>
      </w:pPr>
    </w:p>
    <w:bookmarkStart w:id="123" w:name="page124"/>
    <w:bookmarkEnd w:id="12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one or more acquisition vehicles to make a bid, (ii)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(m)</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10.01</w:t>
      </w:r>
      <w:r>
        <w:rPr>
          <w:rFonts w:ascii="Arial" w:cs="Arial" w:eastAsia="Arial" w:hAnsi="Arial"/>
          <w:sz w:val="16"/>
          <w:szCs w:val="16"/>
          <w:color w:val="auto"/>
        </w:rPr>
        <w:t>, (iii)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65" w:lineRule="exact"/>
        <w:rPr>
          <w:sz w:val="20"/>
          <w:szCs w:val="20"/>
          <w:color w:val="auto"/>
        </w:rPr>
      </w:pPr>
    </w:p>
    <w:p>
      <w:pPr>
        <w:ind w:right="20" w:firstLine="441"/>
        <w:spacing w:after="0" w:line="313" w:lineRule="auto"/>
        <w:rPr>
          <w:sz w:val="20"/>
          <w:szCs w:val="20"/>
          <w:color w:val="auto"/>
        </w:rPr>
      </w:pPr>
      <w:r>
        <w:rPr>
          <w:rFonts w:ascii="Arial" w:cs="Arial" w:eastAsia="Arial" w:hAnsi="Arial"/>
          <w:sz w:val="17"/>
          <w:szCs w:val="17"/>
          <w:b w:val="1"/>
          <w:bCs w:val="1"/>
          <w:color w:val="auto"/>
        </w:rPr>
        <w:t xml:space="preserve">9.10 Collateral and Guaranty Matters. </w:t>
      </w:r>
      <w:r>
        <w:rPr>
          <w:rFonts w:ascii="Arial" w:cs="Arial" w:eastAsia="Arial" w:hAnsi="Arial"/>
          <w:sz w:val="17"/>
          <w:szCs w:val="17"/>
          <w:color w:val="auto"/>
        </w:rPr>
        <w:t>Each of the Lenders (including in its capacities as a potential Cash Management Bank, a potential Hedge</w:t>
      </w:r>
      <w:r>
        <w:rPr>
          <w:rFonts w:ascii="Arial" w:cs="Arial" w:eastAsia="Arial" w:hAnsi="Arial"/>
          <w:sz w:val="17"/>
          <w:szCs w:val="17"/>
          <w:b w:val="1"/>
          <w:bCs w:val="1"/>
          <w:color w:val="auto"/>
        </w:rPr>
        <w:t xml:space="preserve"> </w:t>
      </w:r>
      <w:r>
        <w:rPr>
          <w:rFonts w:ascii="Arial" w:cs="Arial" w:eastAsia="Arial" w:hAnsi="Arial"/>
          <w:sz w:val="17"/>
          <w:szCs w:val="17"/>
          <w:color w:val="auto"/>
        </w:rPr>
        <w:t>Bank and a potential PSLOC Bank) and each L/C Issuer irrevocably authorize the Administrative Agent at its option and in its discretion,</w:t>
      </w:r>
    </w:p>
    <w:p>
      <w:pPr>
        <w:spacing w:after="0" w:line="34" w:lineRule="exact"/>
        <w:rPr>
          <w:sz w:val="20"/>
          <w:szCs w:val="20"/>
          <w:color w:val="auto"/>
        </w:rPr>
      </w:pPr>
    </w:p>
    <w:p>
      <w:pPr>
        <w:ind w:right="40" w:firstLine="444"/>
        <w:spacing w:after="0" w:line="270" w:lineRule="auto"/>
        <w:tabs>
          <w:tab w:leader="none" w:pos="68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 xml:space="preserve">to release any Lien on any property granted to or held by the Administrative Agent under any Loan Document (i) upon termination of the Aggregate Commitments and payment in full of all Obligations (other than (x) contingent indemnification obligations and (y) obligations and liabilities under Secured Cash Management Agreements, Secured Hedge Agreements and Secured Permitted Standalone Letters of Credit as to which arrangements reasonably satisfactory to the applicable Cash Management Bank, Hedge Bank or PSLOC Bank shall have been made) and the expiration or termination of all Letters of Credit and Secured Permitted Standalone Letters of Credit (other than Letters of Credit or Secured Permitted Standalone Letters of Credit as to which other arrangements with respect thereto reasonably satisfactory to the Administrative Agent and each L/C Issuer or the applicable PSLOC Bank, as applicable, shall have been made), (ii) that is sold or otherwise Disposed of or to be sold or otherwise Disposed of as part of or in connection with any sale or other Disposition permitted hereunder or under any other Loan Document to a Person that is not a Loan Party, (iii) that no longer constitutes Collateral or is no longer required to secure the Obligations or (iv) subject to </w:t>
      </w:r>
      <w:r>
        <w:rPr>
          <w:rFonts w:ascii="Arial" w:cs="Arial" w:eastAsia="Arial" w:hAnsi="Arial"/>
          <w:sz w:val="17"/>
          <w:szCs w:val="17"/>
          <w:u w:val="single" w:color="auto"/>
          <w:color w:val="auto"/>
        </w:rPr>
        <w:t>Section 10.01</w:t>
      </w:r>
      <w:r>
        <w:rPr>
          <w:rFonts w:ascii="Arial" w:cs="Arial" w:eastAsia="Arial" w:hAnsi="Arial"/>
          <w:sz w:val="17"/>
          <w:szCs w:val="17"/>
          <w:color w:val="auto"/>
        </w:rPr>
        <w:t>, if approved, authorized or ratified in writing by the Required Lenders;</w:t>
      </w:r>
    </w:p>
    <w:p>
      <w:pPr>
        <w:spacing w:after="0" w:line="69" w:lineRule="exact"/>
        <w:rPr>
          <w:rFonts w:ascii="Arial" w:cs="Arial" w:eastAsia="Arial" w:hAnsi="Arial"/>
          <w:sz w:val="17"/>
          <w:szCs w:val="17"/>
          <w:color w:val="auto"/>
        </w:rPr>
      </w:pPr>
    </w:p>
    <w:p>
      <w:pPr>
        <w:ind w:right="220" w:firstLine="444"/>
        <w:spacing w:after="0" w:line="277" w:lineRule="auto"/>
        <w:tabs>
          <w:tab w:leader="none" w:pos="69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8"/>
          <w:szCs w:val="18"/>
          <w:u w:val="single" w:color="auto"/>
          <w:color w:val="auto"/>
        </w:rPr>
        <w:t>Section 7.01(i)</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right="80" w:firstLine="444"/>
        <w:spacing w:after="0" w:line="264" w:lineRule="auto"/>
        <w:tabs>
          <w:tab w:leader="none" w:pos="68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release any Subsidiary Guarantor from its obligations under the Loan Documents to which it is a party if such Person ceases to be a Restricted Subsidiary or is no longer required to be a Subsidiary Guarantor, in each case, as a result of a transaction permitted hereunder or as otherwise permitted hereunder.</w:t>
      </w:r>
    </w:p>
    <w:p>
      <w:pPr>
        <w:spacing w:after="0" w:line="181" w:lineRule="exact"/>
        <w:rPr>
          <w:sz w:val="20"/>
          <w:szCs w:val="20"/>
          <w:color w:val="auto"/>
        </w:rPr>
      </w:pPr>
    </w:p>
    <w:p>
      <w:pPr>
        <w:ind w:right="460" w:firstLine="441"/>
        <w:spacing w:after="0" w:line="264"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Subsidiary Guarantor from its obligations under the Subsidiary Guaranty to which it is a party pursuant to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20"/>
          </w:cols>
          <w:pgMar w:left="440" w:top="274" w:right="439" w:bottom="1440" w:gutter="0" w:footer="0" w:header="0"/>
        </w:sectPr>
      </w:pPr>
    </w:p>
    <w:bookmarkStart w:id="124" w:name="page125"/>
    <w:bookmarkEnd w:id="124"/>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83"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b w:val="1"/>
          <w:bCs w:val="1"/>
          <w:color w:val="auto"/>
        </w:rPr>
        <w:t xml:space="preserve">9.11 Secured Cash Management Agreements, Secured Hedge Agreements and Secured Permitted Standalone Letters of Credit. </w:t>
      </w:r>
      <w:r>
        <w:rPr>
          <w:rFonts w:ascii="Arial" w:cs="Arial" w:eastAsia="Arial" w:hAnsi="Arial"/>
          <w:sz w:val="17"/>
          <w:szCs w:val="17"/>
          <w:color w:val="auto"/>
        </w:rPr>
        <w:t>No Cash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Management Bank, Hedge Bank or PSLOC Bank that obtains the benefit of the provisions of </w:t>
      </w:r>
      <w:r>
        <w:rPr>
          <w:rFonts w:ascii="Arial" w:cs="Arial" w:eastAsia="Arial" w:hAnsi="Arial"/>
          <w:sz w:val="17"/>
          <w:szCs w:val="17"/>
          <w:u w:val="single" w:color="auto"/>
          <w:color w:val="auto"/>
        </w:rPr>
        <w:t>Section 8.03</w:t>
      </w:r>
      <w:r>
        <w:rPr>
          <w:rFonts w:ascii="Arial" w:cs="Arial" w:eastAsia="Arial" w:hAnsi="Arial"/>
          <w:sz w:val="17"/>
          <w:szCs w:val="17"/>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any Guaranty or any Collateral Document) other than in its capacity as a Lender and, in such case, only to the extent expressly provided in the Loan Documents. Notwithstanding any other provision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to the contrary, the Administrative Agent shall not be required to verify the payment of, or that other reasonably satisfactory arrangements have been made with respect to, Obligations arising under Secured Cash Management Agreements, Secured Hedge Agreements and Secured Permitted Standalone Letters of Credit unless the Administrative Agent has received written notice of such Obligations, together with such supporting documentation as the Administrative Agent may request, from the applicable Cash Management Bank, Hedge Bank or PSLOC Bank, as the case may be.</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9.12 Certain ERISA Matters.</w:t>
      </w:r>
    </w:p>
    <w:p>
      <w:pPr>
        <w:spacing w:after="0" w:line="121" w:lineRule="exact"/>
        <w:rPr>
          <w:sz w:val="20"/>
          <w:szCs w:val="20"/>
          <w:color w:val="auto"/>
        </w:rPr>
      </w:pPr>
    </w:p>
    <w:p>
      <w:pPr>
        <w:jc w:val="both"/>
        <w:ind w:right="200" w:firstLine="444"/>
        <w:spacing w:after="0" w:line="259" w:lineRule="auto"/>
        <w:tabs>
          <w:tab w:leader="none" w:pos="68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 and their respective Affiliates, and not, for the avoidance of doubt, to or for the benefit of the Company or any other Loan Party, that at least one of the following is and will be true:</w:t>
      </w:r>
    </w:p>
    <w:p>
      <w:pPr>
        <w:spacing w:after="0" w:line="78" w:lineRule="exact"/>
        <w:rPr>
          <w:rFonts w:ascii="Arial" w:cs="Arial" w:eastAsia="Arial" w:hAnsi="Arial"/>
          <w:sz w:val="18"/>
          <w:szCs w:val="18"/>
          <w:color w:val="auto"/>
        </w:rPr>
      </w:pPr>
    </w:p>
    <w:p>
      <w:pPr>
        <w:ind w:left="440" w:firstLine="428"/>
        <w:spacing w:after="0" w:line="264" w:lineRule="auto"/>
        <w:tabs>
          <w:tab w:leader="none" w:pos="1078" w:val="left"/>
        </w:tabs>
        <w:numPr>
          <w:ilvl w:val="1"/>
          <w:numId w:val="186"/>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73" w:lineRule="exact"/>
        <w:rPr>
          <w:rFonts w:ascii="Arial" w:cs="Arial" w:eastAsia="Arial" w:hAnsi="Arial"/>
          <w:sz w:val="18"/>
          <w:szCs w:val="18"/>
          <w:color w:val="auto"/>
        </w:rPr>
      </w:pPr>
    </w:p>
    <w:p>
      <w:pPr>
        <w:ind w:left="440" w:right="180" w:firstLine="428"/>
        <w:spacing w:after="0" w:line="273" w:lineRule="auto"/>
        <w:tabs>
          <w:tab w:leader="none" w:pos="1128" w:val="left"/>
        </w:tabs>
        <w:numPr>
          <w:ilvl w:val="1"/>
          <w:numId w:val="186"/>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70" w:lineRule="exact"/>
        <w:rPr>
          <w:rFonts w:ascii="Arial" w:cs="Arial" w:eastAsia="Arial" w:hAnsi="Arial"/>
          <w:sz w:val="17"/>
          <w:szCs w:val="17"/>
          <w:color w:val="auto"/>
        </w:rPr>
      </w:pPr>
    </w:p>
    <w:p>
      <w:pPr>
        <w:ind w:left="440" w:right="240" w:firstLine="428"/>
        <w:spacing w:after="0" w:line="302" w:lineRule="auto"/>
        <w:tabs>
          <w:tab w:leader="none" w:pos="1178"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0"/>
          </w:cols>
          <w:pgMar w:left="440" w:top="274" w:right="459" w:bottom="1440" w:gutter="0" w:footer="0" w:header="0"/>
        </w:sectPr>
      </w:pPr>
    </w:p>
    <w:bookmarkStart w:id="125" w:name="page126"/>
    <w:bookmarkEnd w:id="125"/>
    <w:p>
      <w:pPr>
        <w:jc w:val="both"/>
        <w:ind w:left="440"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73" w:lineRule="exact"/>
        <w:rPr>
          <w:sz w:val="20"/>
          <w:szCs w:val="20"/>
          <w:color w:val="auto"/>
        </w:rPr>
      </w:pPr>
    </w:p>
    <w:p>
      <w:pPr>
        <w:ind w:left="440" w:right="180" w:firstLine="428"/>
        <w:spacing w:after="0" w:line="277" w:lineRule="auto"/>
        <w:tabs>
          <w:tab w:leader="none" w:pos="1168" w:val="left"/>
        </w:tabs>
        <w:numPr>
          <w:ilvl w:val="2"/>
          <w:numId w:val="187"/>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62" w:lineRule="exact"/>
        <w:rPr>
          <w:rFonts w:ascii="Arial" w:cs="Arial" w:eastAsia="Arial" w:hAnsi="Arial"/>
          <w:sz w:val="18"/>
          <w:szCs w:val="18"/>
          <w:color w:val="auto"/>
        </w:rPr>
      </w:pPr>
    </w:p>
    <w:p>
      <w:pPr>
        <w:ind w:firstLine="444"/>
        <w:spacing w:after="0" w:line="291" w:lineRule="auto"/>
        <w:tabs>
          <w:tab w:leader="none" w:pos="696" w:val="left"/>
        </w:tabs>
        <w:numPr>
          <w:ilvl w:val="1"/>
          <w:numId w:val="188"/>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right="20" w:firstLine="4"/>
        <w:spacing w:after="0" w:line="252" w:lineRule="auto"/>
        <w:tabs>
          <w:tab w:leader="none" w:pos="25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right="80" w:firstLine="441"/>
        <w:spacing w:after="0" w:line="277" w:lineRule="auto"/>
        <w:rPr>
          <w:sz w:val="20"/>
          <w:szCs w:val="20"/>
          <w:color w:val="auto"/>
        </w:rPr>
      </w:pPr>
      <w:r>
        <w:rPr>
          <w:rFonts w:ascii="Arial" w:cs="Arial" w:eastAsia="Arial" w:hAnsi="Arial"/>
          <w:sz w:val="17"/>
          <w:szCs w:val="17"/>
          <w:b w:val="1"/>
          <w:bCs w:val="1"/>
          <w:color w:val="auto"/>
        </w:rPr>
        <w:t xml:space="preserve">10.01 Amendments, Etc. </w:t>
      </w:r>
      <w:r>
        <w:rPr>
          <w:rFonts w:ascii="Arial" w:cs="Arial" w:eastAsia="Arial" w:hAnsi="Arial"/>
          <w:sz w:val="17"/>
          <w:szCs w:val="17"/>
          <w:color w:val="auto"/>
        </w:rPr>
        <w:t>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3.03(c)</w:t>
      </w:r>
      <w:r>
        <w:rPr>
          <w:rFonts w:ascii="Arial" w:cs="Arial" w:eastAsia="Arial" w:hAnsi="Arial"/>
          <w:sz w:val="17"/>
          <w:szCs w:val="17"/>
          <w:color w:val="auto"/>
        </w:rPr>
        <w:t>, no amendment or waiver of any provision of this Agreement or any other Loan Document,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no consent to any departure by the Company or any other Loan Party therefrom, shall be effective unless in writing signed by the Required Lenders (or the Administrative Agent acting with the authorization of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amendment, waiver or consent shall:</w:t>
      </w:r>
    </w:p>
    <w:p>
      <w:pPr>
        <w:spacing w:after="0" w:line="64" w:lineRule="exact"/>
        <w:rPr>
          <w:sz w:val="20"/>
          <w:szCs w:val="20"/>
          <w:color w:val="auto"/>
        </w:rPr>
      </w:pPr>
    </w:p>
    <w:p>
      <w:pPr>
        <w:ind w:left="680" w:hanging="236"/>
        <w:spacing w:after="0"/>
        <w:tabs>
          <w:tab w:leader="none" w:pos="6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waive any condition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without the written consent of each Lender;</w:t>
      </w:r>
    </w:p>
    <w:p>
      <w:pPr>
        <w:spacing w:after="0" w:line="117" w:lineRule="exact"/>
        <w:rPr>
          <w:rFonts w:ascii="Arial" w:cs="Arial" w:eastAsia="Arial" w:hAnsi="Arial"/>
          <w:sz w:val="18"/>
          <w:szCs w:val="18"/>
          <w:color w:val="auto"/>
        </w:rPr>
      </w:pPr>
    </w:p>
    <w:p>
      <w:pPr>
        <w:ind w:right="140" w:firstLine="444"/>
        <w:spacing w:after="0" w:line="308" w:lineRule="auto"/>
        <w:tabs>
          <w:tab w:leader="none" w:pos="696" w:val="left"/>
        </w:tabs>
        <w:numPr>
          <w:ilvl w:val="0"/>
          <w:numId w:val="190"/>
        </w:numPr>
        <w:rPr>
          <w:rFonts w:ascii="Arial" w:cs="Arial" w:eastAsia="Arial" w:hAnsi="Arial"/>
          <w:sz w:val="17"/>
          <w:szCs w:val="17"/>
          <w:color w:val="auto"/>
        </w:rPr>
      </w:pPr>
      <w:r>
        <w:rPr>
          <w:rFonts w:ascii="Arial" w:cs="Arial" w:eastAsia="Arial" w:hAnsi="Arial"/>
          <w:sz w:val="17"/>
          <w:szCs w:val="17"/>
          <w:color w:val="auto"/>
        </w:rPr>
        <w:t xml:space="preserve">without limiting the generality of clause (a) above, waive any condition set forth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as to any Credit Extension under a particular Facility without the written consent of the Required Revolving Credit Lenders or the Required Term Loan Lenders, as the case may be;</w:t>
      </w:r>
    </w:p>
    <w:p>
      <w:pPr>
        <w:spacing w:after="0" w:line="38" w:lineRule="exact"/>
        <w:rPr>
          <w:rFonts w:ascii="Arial" w:cs="Arial" w:eastAsia="Arial" w:hAnsi="Arial"/>
          <w:sz w:val="17"/>
          <w:szCs w:val="17"/>
          <w:color w:val="auto"/>
        </w:rPr>
      </w:pPr>
    </w:p>
    <w:p>
      <w:pPr>
        <w:ind w:right="380" w:firstLine="444"/>
        <w:spacing w:after="0" w:line="277" w:lineRule="auto"/>
        <w:tabs>
          <w:tab w:leader="none" w:pos="68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extend or increase any Commitment of any Lender (or reinstate any Commitment terminated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without the written consent of such Lender;</w:t>
      </w:r>
    </w:p>
    <w:p>
      <w:pPr>
        <w:spacing w:after="0" w:line="62" w:lineRule="exact"/>
        <w:rPr>
          <w:rFonts w:ascii="Arial" w:cs="Arial" w:eastAsia="Arial" w:hAnsi="Arial"/>
          <w:sz w:val="18"/>
          <w:szCs w:val="18"/>
          <w:color w:val="auto"/>
        </w:rPr>
      </w:pPr>
    </w:p>
    <w:p>
      <w:pPr>
        <w:jc w:val="both"/>
        <w:ind w:right="300" w:firstLine="444"/>
        <w:spacing w:after="0" w:line="264" w:lineRule="auto"/>
        <w:tabs>
          <w:tab w:leader="none" w:pos="69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postpone any date fixed by this Agreement or any other Loan Document for any payment (excluding mandatory prepayments) of principal, interest, fees or other amounts due to the Lenders (or any of them) hereunder or under any other Loan Document without the written consent of each Lender directly affected thereby;</w:t>
      </w:r>
    </w:p>
    <w:p>
      <w:pPr>
        <w:spacing w:after="0" w:line="73" w:lineRule="exact"/>
        <w:rPr>
          <w:rFonts w:ascii="Arial" w:cs="Arial" w:eastAsia="Arial" w:hAnsi="Arial"/>
          <w:sz w:val="18"/>
          <w:szCs w:val="18"/>
          <w:color w:val="auto"/>
        </w:rPr>
      </w:pPr>
    </w:p>
    <w:p>
      <w:pPr>
        <w:ind w:right="160" w:firstLine="444"/>
        <w:spacing w:after="0" w:line="264" w:lineRule="auto"/>
        <w:tabs>
          <w:tab w:leader="none" w:pos="68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L/C Borrowing, or (subject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of the second proviso to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any interest, fees or other amounts payable hereunder or under any other Loan Document without the written consent of each Lender directly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only the consent of the Required Lenders shall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20"/>
          </w:cols>
          <w:pgMar w:left="440" w:top="274" w:right="439" w:bottom="1440" w:gutter="0" w:footer="0" w:header="0"/>
        </w:sectPr>
      </w:pPr>
    </w:p>
    <w:bookmarkStart w:id="126" w:name="page127"/>
    <w:bookmarkEnd w:id="126"/>
    <w:p>
      <w:pPr>
        <w:jc w:val="both"/>
        <w:ind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necessary (i) to amend the definition of “Default Rate” or to waive any obligation of any Borrower to pay interest or Letter of Credit Fees at the Default Rate or (ii) to amend any financial covenant hereunder (or any defined term used therein) even if the effect of such amendment would be to reduce the rate of interest on any Loan or L/C Borrowing or to reduce any fee payable hereunder;</w:t>
      </w:r>
    </w:p>
    <w:p>
      <w:pPr>
        <w:spacing w:after="0" w:line="73" w:lineRule="exact"/>
        <w:rPr>
          <w:sz w:val="20"/>
          <w:szCs w:val="20"/>
          <w:color w:val="auto"/>
        </w:rPr>
      </w:pPr>
    </w:p>
    <w:p>
      <w:pPr>
        <w:ind w:right="380" w:firstLine="444"/>
        <w:spacing w:after="0" w:line="277" w:lineRule="auto"/>
        <w:tabs>
          <w:tab w:leader="none" w:pos="66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in a manner that would alter the pro rata sharing of payments required thereby or the order of application of payments required thereby without the written consent of each Lender adversely and directly affected thereby;</w:t>
      </w:r>
    </w:p>
    <w:p>
      <w:pPr>
        <w:spacing w:after="0" w:line="62" w:lineRule="exact"/>
        <w:rPr>
          <w:rFonts w:ascii="Arial" w:cs="Arial" w:eastAsia="Arial" w:hAnsi="Arial"/>
          <w:sz w:val="18"/>
          <w:szCs w:val="18"/>
          <w:color w:val="auto"/>
        </w:rPr>
      </w:pPr>
    </w:p>
    <w:p>
      <w:pPr>
        <w:ind w:right="600" w:firstLine="444"/>
        <w:spacing w:after="0" w:line="277" w:lineRule="auto"/>
        <w:tabs>
          <w:tab w:leader="none" w:pos="69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in any manner that materially and adversely affects the Lenders under a Facility without the written consent of the Required Facility Lenders under such Facility;</w:t>
      </w:r>
    </w:p>
    <w:p>
      <w:pPr>
        <w:spacing w:after="0" w:line="62" w:lineRule="exact"/>
        <w:rPr>
          <w:rFonts w:ascii="Arial" w:cs="Arial" w:eastAsia="Arial" w:hAnsi="Arial"/>
          <w:sz w:val="18"/>
          <w:szCs w:val="18"/>
          <w:color w:val="auto"/>
        </w:rPr>
      </w:pPr>
    </w:p>
    <w:p>
      <w:pPr>
        <w:ind w:right="180" w:firstLine="444"/>
        <w:spacing w:after="0" w:line="257" w:lineRule="auto"/>
        <w:tabs>
          <w:tab w:leader="none" w:pos="69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change (i) any provision of this Section or the definition of “Required Lenders” or any other provision hereof specifying the number or percentage of Lenders required to amend, waive or otherwise modify any rights hereunder or make any determination or grant any consent hereunder (other than as provided in </w:t>
      </w:r>
      <w:r>
        <w:rPr>
          <w:rFonts w:ascii="Arial" w:cs="Arial" w:eastAsia="Arial" w:hAnsi="Arial"/>
          <w:sz w:val="18"/>
          <w:szCs w:val="18"/>
          <w:u w:val="single" w:color="auto"/>
          <w:color w:val="auto"/>
        </w:rPr>
        <w:t>subclause (ii)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clause (h)</w:t>
      </w:r>
      <w:r>
        <w:rPr>
          <w:rFonts w:ascii="Arial" w:cs="Arial" w:eastAsia="Arial" w:hAnsi="Arial"/>
          <w:sz w:val="18"/>
          <w:szCs w:val="18"/>
          <w:color w:val="auto"/>
        </w:rPr>
        <w:t>), without the written consent of each Lender or (ii) the definition of “Required Facility Lenders” as it relates to a Facility (or the constituent definition therein relating to such Facility) without the written consent of each Lender under such Facility;</w:t>
      </w:r>
    </w:p>
    <w:p>
      <w:pPr>
        <w:spacing w:after="0" w:line="80" w:lineRule="exact"/>
        <w:rPr>
          <w:rFonts w:ascii="Arial" w:cs="Arial" w:eastAsia="Arial" w:hAnsi="Arial"/>
          <w:sz w:val="18"/>
          <w:szCs w:val="18"/>
          <w:color w:val="auto"/>
        </w:rPr>
      </w:pPr>
    </w:p>
    <w:p>
      <w:pPr>
        <w:ind w:right="80" w:firstLine="444"/>
        <w:spacing w:after="0" w:line="277" w:lineRule="auto"/>
        <w:tabs>
          <w:tab w:leader="none" w:pos="65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amend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of the definition of “Alternative Currency”, in either case, as it relates to the Revolving Credit Facility, without the written consent of each Revolving Credit Lender;</w:t>
      </w:r>
    </w:p>
    <w:p>
      <w:pPr>
        <w:spacing w:after="0" w:line="62" w:lineRule="exact"/>
        <w:rPr>
          <w:rFonts w:ascii="Arial" w:cs="Arial" w:eastAsia="Arial" w:hAnsi="Arial"/>
          <w:sz w:val="18"/>
          <w:szCs w:val="18"/>
          <w:color w:val="auto"/>
        </w:rPr>
      </w:pPr>
    </w:p>
    <w:p>
      <w:pPr>
        <w:ind w:left="660" w:hanging="216"/>
        <w:spacing w:after="0"/>
        <w:tabs>
          <w:tab w:leader="none" w:pos="66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release all or substantially all of the Collateral in any transaction or series of related transactions, without the written consent of each Lender;</w:t>
      </w:r>
    </w:p>
    <w:p>
      <w:pPr>
        <w:spacing w:after="0" w:line="140" w:lineRule="exact"/>
        <w:rPr>
          <w:rFonts w:ascii="Arial" w:cs="Arial" w:eastAsia="Arial" w:hAnsi="Arial"/>
          <w:sz w:val="16"/>
          <w:szCs w:val="16"/>
          <w:color w:val="auto"/>
        </w:rPr>
      </w:pPr>
    </w:p>
    <w:p>
      <w:pPr>
        <w:ind w:right="80" w:firstLine="444"/>
        <w:spacing w:after="0" w:line="264" w:lineRule="auto"/>
        <w:tabs>
          <w:tab w:leader="none" w:pos="69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release (i) the Company from the Company Guaranty without the written consent of each Lender, or (ii) all or substantially all of the value of the Subsidiary Guaranties without the written consent of each Lender, except to the extent the release of any Subsidiary Guarantor is permitted pursuant to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which case such release may be made by the Administrative Agent acting alone);</w:t>
      </w:r>
    </w:p>
    <w:p>
      <w:pPr>
        <w:spacing w:after="0" w:line="73" w:lineRule="exact"/>
        <w:rPr>
          <w:rFonts w:ascii="Arial" w:cs="Arial" w:eastAsia="Arial" w:hAnsi="Arial"/>
          <w:sz w:val="18"/>
          <w:szCs w:val="18"/>
          <w:color w:val="auto"/>
        </w:rPr>
      </w:pPr>
    </w:p>
    <w:p>
      <w:pPr>
        <w:ind w:right="120" w:firstLine="444"/>
        <w:spacing w:after="0" w:line="277" w:lineRule="auto"/>
        <w:tabs>
          <w:tab w:leader="none" w:pos="65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amend </w:t>
      </w:r>
      <w:r>
        <w:rPr>
          <w:rFonts w:ascii="Arial" w:cs="Arial" w:eastAsia="Arial" w:hAnsi="Arial"/>
          <w:sz w:val="18"/>
          <w:szCs w:val="18"/>
          <w:u w:val="single" w:color="auto"/>
          <w:color w:val="auto"/>
        </w:rPr>
        <w:t>Section 2.14(d)</w:t>
      </w:r>
      <w:r>
        <w:rPr>
          <w:rFonts w:ascii="Arial" w:cs="Arial" w:eastAsia="Arial" w:hAnsi="Arial"/>
          <w:sz w:val="18"/>
          <w:szCs w:val="18"/>
          <w:color w:val="auto"/>
        </w:rPr>
        <w:t xml:space="preserve"> as it relates to the termination of a Designated Borrower’s status as such under a particular Facility, without the written consent of each Lender under such Facility; or</w:t>
      </w:r>
    </w:p>
    <w:p>
      <w:pPr>
        <w:spacing w:after="0" w:line="62" w:lineRule="exact"/>
        <w:rPr>
          <w:rFonts w:ascii="Arial" w:cs="Arial" w:eastAsia="Arial" w:hAnsi="Arial"/>
          <w:sz w:val="18"/>
          <w:szCs w:val="18"/>
          <w:color w:val="auto"/>
        </w:rPr>
      </w:pPr>
    </w:p>
    <w:p>
      <w:pPr>
        <w:ind w:right="380" w:firstLine="444"/>
        <w:spacing w:after="0" w:line="277" w:lineRule="auto"/>
        <w:tabs>
          <w:tab w:leader="none" w:pos="74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 Facility to assign any of its rights or obligations hereunder without the written consent of the Required Facility Lenders under such Facility;</w:t>
      </w:r>
    </w:p>
    <w:p>
      <w:pPr>
        <w:spacing w:after="0" w:line="17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 no amendment, waiver or consent shall, unless in writing and signed by such L/C Issuer in addition to the Lenders required above, affect the rights or duties of any L/C Issuer under this Agreement or any Issuer Document relating to any Letter of Credit issued or to be issued by it (including, without limitation, any amendment, waiver or consent that would change </w:t>
      </w:r>
      <w:r>
        <w:rPr>
          <w:rFonts w:ascii="Arial" w:cs="Arial" w:eastAsia="Arial" w:hAnsi="Arial"/>
          <w:sz w:val="16"/>
          <w:szCs w:val="16"/>
          <w:u w:val="single" w:color="auto"/>
          <w:color w:val="auto"/>
        </w:rPr>
        <w:t>Section 1.09</w:t>
      </w:r>
      <w:r>
        <w:rPr>
          <w:rFonts w:ascii="Arial" w:cs="Arial" w:eastAsia="Arial" w:hAnsi="Arial"/>
          <w:sz w:val="16"/>
          <w:szCs w:val="16"/>
          <w:color w:val="auto"/>
        </w:rPr>
        <w:t xml:space="preserve"> or the definition of Alternative Currency, in either case, as it relates to the Revolving Credit Facility);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the Fee Letters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20"/>
          </w:cols>
          <w:pgMar w:left="440" w:top="274" w:right="439" w:bottom="1440" w:gutter="0" w:footer="0" w:header="0"/>
        </w:sectPr>
      </w:pPr>
    </w:p>
    <w:bookmarkStart w:id="127" w:name="page128"/>
    <w:bookmarkEnd w:id="127"/>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consent of the applicable Lenders other than Defaulting Lenders), except that (x) no Commitment of any Defaulting Lender may be increased or extended without the consent of such Lender and (y) any waiver, amendment or modification requiring the consent of all Lenders or each affected Lender or all Lenders or each affected Lender under a Facility that by its terms affects any Defaulting Lender disproportionately adversely relative to other affected Lenders shall require the consent of such Defaulting Lender.</w:t>
      </w:r>
    </w:p>
    <w:p>
      <w:pPr>
        <w:spacing w:after="0" w:line="187" w:lineRule="exact"/>
        <w:rPr>
          <w:sz w:val="20"/>
          <w:szCs w:val="20"/>
          <w:color w:val="auto"/>
        </w:rPr>
      </w:pPr>
    </w:p>
    <w:p>
      <w:pPr>
        <w:ind w:right="160" w:firstLine="441"/>
        <w:spacing w:after="0" w:line="257" w:lineRule="auto"/>
        <w:rPr>
          <w:sz w:val="20"/>
          <w:szCs w:val="20"/>
          <w:color w:val="auto"/>
        </w:rPr>
      </w:pPr>
      <w:r>
        <w:rPr>
          <w:rFonts w:ascii="Arial" w:cs="Arial" w:eastAsia="Arial" w:hAnsi="Arial"/>
          <w:sz w:val="18"/>
          <w:szCs w:val="18"/>
          <w:color w:val="auto"/>
        </w:rPr>
        <w:t>Notwithstanding any provision herein to the contrary,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10.02 Notices; Effectiveness; Electronic Communication.</w:t>
      </w:r>
    </w:p>
    <w:p>
      <w:pPr>
        <w:spacing w:after="0" w:line="121" w:lineRule="exact"/>
        <w:rPr>
          <w:sz w:val="20"/>
          <w:szCs w:val="20"/>
          <w:color w:val="auto"/>
        </w:rPr>
      </w:pPr>
    </w:p>
    <w:p>
      <w:pPr>
        <w:jc w:val="both"/>
        <w:ind w:right="580" w:firstLine="444"/>
        <w:spacing w:after="0" w:line="302" w:lineRule="auto"/>
        <w:tabs>
          <w:tab w:leader="none" w:pos="685" w:val="left"/>
        </w:tabs>
        <w:numPr>
          <w:ilvl w:val="0"/>
          <w:numId w:val="192"/>
        </w:numPr>
        <w:rPr>
          <w:rFonts w:ascii="Arial" w:cs="Arial" w:eastAsia="Arial" w:hAnsi="Arial"/>
          <w:sz w:val="16"/>
          <w:szCs w:val="16"/>
          <w:color w:val="auto"/>
        </w:rPr>
      </w:pPr>
      <w:r>
        <w:rPr>
          <w:rFonts w:ascii="Arial" w:cs="Arial" w:eastAsia="Arial" w:hAnsi="Arial"/>
          <w:sz w:val="16"/>
          <w:szCs w:val="16"/>
          <w:u w:val="single" w:color="auto"/>
          <w:color w:val="auto"/>
        </w:rPr>
        <w:t>Notices Generally</w:t>
      </w:r>
      <w:r>
        <w:rPr>
          <w:rFonts w:ascii="Arial" w:cs="Arial" w:eastAsia="Arial" w:hAnsi="Arial"/>
          <w:sz w:val="16"/>
          <w:szCs w:val="16"/>
          <w:color w:val="auto"/>
        </w:rPr>
        <w:t xml:space="preserve">. Except in the case of notices and other communications expressly permitted to be given by telephone (and except as provided in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46" w:lineRule="exact"/>
        <w:rPr>
          <w:rFonts w:ascii="Arial" w:cs="Arial" w:eastAsia="Arial" w:hAnsi="Arial"/>
          <w:sz w:val="16"/>
          <w:szCs w:val="16"/>
          <w:color w:val="auto"/>
        </w:rPr>
      </w:pPr>
    </w:p>
    <w:p>
      <w:pPr>
        <w:ind w:left="440" w:right="560" w:firstLine="428"/>
        <w:spacing w:after="0" w:line="308" w:lineRule="auto"/>
        <w:tabs>
          <w:tab w:leader="none" w:pos="1078" w:val="left"/>
        </w:tabs>
        <w:numPr>
          <w:ilvl w:val="1"/>
          <w:numId w:val="192"/>
        </w:numPr>
        <w:rPr>
          <w:rFonts w:ascii="Arial" w:cs="Arial" w:eastAsia="Arial" w:hAnsi="Arial"/>
          <w:sz w:val="17"/>
          <w:szCs w:val="17"/>
          <w:color w:val="auto"/>
        </w:rPr>
      </w:pPr>
      <w:r>
        <w:rPr>
          <w:rFonts w:ascii="Arial" w:cs="Arial" w:eastAsia="Arial" w:hAnsi="Arial"/>
          <w:sz w:val="17"/>
          <w:szCs w:val="17"/>
          <w:color w:val="auto"/>
        </w:rPr>
        <w:t xml:space="preserve">if to the Company, the Administrative Agent or Bank of America, in its capacity as an L/C Issuer or the Swing Line Lender, to the address, facsimile number, electronic mail address or telephone number specified for such Person on </w:t>
      </w:r>
      <w:r>
        <w:rPr>
          <w:rFonts w:ascii="Arial" w:cs="Arial" w:eastAsia="Arial" w:hAnsi="Arial"/>
          <w:sz w:val="17"/>
          <w:szCs w:val="17"/>
          <w:u w:val="single" w:color="auto"/>
          <w:color w:val="auto"/>
        </w:rPr>
        <w:t>Schedule 10.02</w:t>
      </w:r>
      <w:r>
        <w:rPr>
          <w:rFonts w:ascii="Arial" w:cs="Arial" w:eastAsia="Arial" w:hAnsi="Arial"/>
          <w:sz w:val="17"/>
          <w:szCs w:val="17"/>
          <w:color w:val="auto"/>
        </w:rPr>
        <w:t>; and</w:t>
      </w:r>
    </w:p>
    <w:p>
      <w:pPr>
        <w:spacing w:after="0" w:line="38" w:lineRule="exact"/>
        <w:rPr>
          <w:rFonts w:ascii="Arial" w:cs="Arial" w:eastAsia="Arial" w:hAnsi="Arial"/>
          <w:sz w:val="17"/>
          <w:szCs w:val="17"/>
          <w:color w:val="auto"/>
        </w:rPr>
      </w:pPr>
    </w:p>
    <w:p>
      <w:pPr>
        <w:jc w:val="both"/>
        <w:ind w:left="440" w:right="500" w:firstLine="428"/>
        <w:spacing w:after="0" w:line="312" w:lineRule="auto"/>
        <w:tabs>
          <w:tab w:leader="none" w:pos="1128" w:val="left"/>
        </w:tabs>
        <w:numPr>
          <w:ilvl w:val="1"/>
          <w:numId w:val="192"/>
        </w:numPr>
        <w:rPr>
          <w:rFonts w:ascii="Arial" w:cs="Arial" w:eastAsia="Arial" w:hAnsi="Arial"/>
          <w:sz w:val="16"/>
          <w:szCs w:val="16"/>
          <w:color w:val="auto"/>
        </w:rPr>
      </w:pPr>
      <w:r>
        <w:rPr>
          <w:rFonts w:ascii="Arial" w:cs="Arial" w:eastAsia="Arial" w:hAnsi="Arial"/>
          <w:sz w:val="16"/>
          <w:szCs w:val="16"/>
          <w:color w:val="auto"/>
        </w:rPr>
        <w:t>if to any other Lender or L/C Issuer,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Company).</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subsection (b)</w:t>
      </w:r>
      <w:r>
        <w:rPr>
          <w:rFonts w:ascii="Arial" w:cs="Arial" w:eastAsia="Arial" w:hAnsi="Arial"/>
          <w:sz w:val="18"/>
          <w:szCs w:val="18"/>
          <w:color w:val="auto"/>
        </w:rPr>
        <w:t>.</w:t>
      </w:r>
    </w:p>
    <w:p>
      <w:pPr>
        <w:spacing w:after="0" w:line="80" w:lineRule="exact"/>
        <w:rPr>
          <w:sz w:val="20"/>
          <w:szCs w:val="20"/>
          <w:color w:val="auto"/>
        </w:rPr>
      </w:pPr>
    </w:p>
    <w:p>
      <w:pPr>
        <w:ind w:firstLine="444"/>
        <w:spacing w:after="0" w:line="255" w:lineRule="auto"/>
        <w:tabs>
          <w:tab w:leader="none" w:pos="695" w:val="left"/>
        </w:tabs>
        <w:numPr>
          <w:ilvl w:val="0"/>
          <w:numId w:val="193"/>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Lenders and the L/C Issuers hereunder may be delivered or furnished by electronic communication (including e-mail, FpML messaging and Internet or intranet websites) pursuant to procedures approved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notices to any Lender or any L/C Issuer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or such L/C Issuer, as applicable, has notified the Administrative Agent that it is incapable of receiving notices under such Article by electronic communication. The Administrative Agent, the Swing Line Lender, any L/C Issuer or the Company may each, in its discretion, agree to accept notices and other communications to it hereunder by electronic communications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20"/>
          </w:cols>
          <w:pgMar w:left="440" w:top="274" w:right="439" w:bottom="1440" w:gutter="0" w:footer="0" w:header="0"/>
        </w:sectPr>
      </w:pPr>
    </w:p>
    <w:bookmarkStart w:id="128" w:name="page129"/>
    <w:bookmarkEnd w:id="128"/>
    <w:p>
      <w:pPr>
        <w:ind w:right="100" w:firstLine="441"/>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of notification that such notice or communication is available and identifying the website address therefor; provided 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70" w:lineRule="exact"/>
        <w:rPr>
          <w:sz w:val="20"/>
          <w:szCs w:val="20"/>
          <w:color w:val="auto"/>
        </w:rPr>
      </w:pPr>
    </w:p>
    <w:p>
      <w:pPr>
        <w:ind w:firstLine="444"/>
        <w:spacing w:after="0" w:line="253" w:lineRule="auto"/>
        <w:tabs>
          <w:tab w:leader="none" w:pos="685"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8"/>
          <w:szCs w:val="18"/>
          <w:u w:val="single" w:color="auto"/>
          <w:color w:val="auto"/>
        </w:rPr>
        <w:t>Agent Parties</w:t>
      </w:r>
      <w:r>
        <w:rPr>
          <w:rFonts w:ascii="Arial" w:cs="Arial" w:eastAsia="Arial" w:hAnsi="Arial"/>
          <w:sz w:val="18"/>
          <w:szCs w:val="18"/>
          <w:color w:val="auto"/>
        </w:rPr>
        <w:t>”) have any liability to any Borrower, any other Loan Party, any Lender, any L/C Issuer or any other Person for losses, claims, damages, liabilities or expenses of any kind (whether in tort, contract or otherwise) arising out of any Borrower’s, any other Loan Party’s or the Administrative Agent’s transmission of Borrower Materials or notices through the Platform, any other electronic platform or electronic messaging service or through the Internet.</w:t>
      </w:r>
    </w:p>
    <w:p>
      <w:pPr>
        <w:spacing w:after="0" w:line="86" w:lineRule="exact"/>
        <w:rPr>
          <w:rFonts w:ascii="Arial" w:cs="Arial" w:eastAsia="Arial" w:hAnsi="Arial"/>
          <w:sz w:val="18"/>
          <w:szCs w:val="18"/>
          <w:color w:val="auto"/>
        </w:rPr>
      </w:pPr>
    </w:p>
    <w:p>
      <w:pPr>
        <w:ind w:right="20" w:firstLine="444"/>
        <w:spacing w:after="0" w:line="287" w:lineRule="auto"/>
        <w:tabs>
          <w:tab w:leader="none" w:pos="695" w:val="left"/>
        </w:tabs>
        <w:numPr>
          <w:ilvl w:val="0"/>
          <w:numId w:val="194"/>
        </w:numPr>
        <w:rPr>
          <w:rFonts w:ascii="Arial" w:cs="Arial" w:eastAsia="Arial" w:hAnsi="Arial"/>
          <w:sz w:val="16"/>
          <w:szCs w:val="16"/>
          <w:color w:val="auto"/>
        </w:rPr>
      </w:pPr>
      <w:r>
        <w:rPr>
          <w:rFonts w:ascii="Arial" w:cs="Arial" w:eastAsia="Arial" w:hAnsi="Arial"/>
          <w:sz w:val="16"/>
          <w:szCs w:val="16"/>
          <w:u w:val="single" w:color="auto"/>
          <w:color w:val="auto"/>
        </w:rPr>
        <w:t>Change of Address, Etc</w:t>
      </w:r>
      <w:r>
        <w:rPr>
          <w:rFonts w:ascii="Arial" w:cs="Arial" w:eastAsia="Arial" w:hAnsi="Arial"/>
          <w:sz w:val="16"/>
          <w:szCs w:val="16"/>
          <w:color w:val="auto"/>
        </w:rPr>
        <w:t>. Each of the Borrowers, the Administrative Agent, the L/C Issuers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the Company, the Administrative Agent, the L/C Issuers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or its securities for purposes of United States Federal or state securities laws.</w:t>
      </w:r>
    </w:p>
    <w:p>
      <w:pPr>
        <w:spacing w:after="0" w:line="64" w:lineRule="exact"/>
        <w:rPr>
          <w:rFonts w:ascii="Arial" w:cs="Arial" w:eastAsia="Arial" w:hAnsi="Arial"/>
          <w:sz w:val="16"/>
          <w:szCs w:val="16"/>
          <w:color w:val="auto"/>
        </w:rPr>
      </w:pPr>
    </w:p>
    <w:p>
      <w:pPr>
        <w:ind w:firstLine="444"/>
        <w:spacing w:after="0" w:line="276" w:lineRule="auto"/>
        <w:tabs>
          <w:tab w:leader="none" w:pos="685"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L/C Issuers and Lenders</w:t>
      </w:r>
      <w:r>
        <w:rPr>
          <w:rFonts w:ascii="Arial" w:cs="Arial" w:eastAsia="Arial" w:hAnsi="Arial"/>
          <w:sz w:val="17"/>
          <w:szCs w:val="17"/>
          <w:color w:val="auto"/>
        </w:rPr>
        <w:t>. The Administrative Agent, the L/C Issuers and the Lenders shall be entitled to rely and act upon any notices (including telephonic or electronic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The Company shall indemnify the Administrative Agent, each L/C Issuer, each Lender and the Related Parties of each of</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0"/>
          </w:cols>
          <w:pgMar w:left="440" w:top="274" w:right="459" w:bottom="1440" w:gutter="0" w:footer="0" w:header="0"/>
        </w:sectPr>
      </w:pPr>
    </w:p>
    <w:bookmarkStart w:id="129" w:name="page130"/>
    <w:bookmarkEnd w:id="129"/>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them from all losses, costs, liabilities and reasonable and documented out-of-pocket expenses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spacing w:after="0" w:line="162" w:lineRule="exact"/>
        <w:rPr>
          <w:sz w:val="20"/>
          <w:szCs w:val="20"/>
          <w:color w:val="auto"/>
        </w:rPr>
      </w:pPr>
    </w:p>
    <w:p>
      <w:pPr>
        <w:ind w:right="60" w:firstLine="441"/>
        <w:spacing w:after="0" w:line="277" w:lineRule="auto"/>
        <w:rPr>
          <w:sz w:val="20"/>
          <w:szCs w:val="20"/>
          <w:color w:val="auto"/>
        </w:rPr>
      </w:pPr>
      <w:r>
        <w:rPr>
          <w:rFonts w:ascii="Arial" w:cs="Arial" w:eastAsia="Arial" w:hAnsi="Arial"/>
          <w:sz w:val="17"/>
          <w:szCs w:val="17"/>
          <w:b w:val="1"/>
          <w:bCs w:val="1"/>
          <w:color w:val="auto"/>
        </w:rPr>
        <w:t xml:space="preserve">10.03 No Waiver; Cumulative Remedies; Enforcement. </w:t>
      </w:r>
      <w:r>
        <w:rPr>
          <w:rFonts w:ascii="Arial" w:cs="Arial" w:eastAsia="Arial" w:hAnsi="Arial"/>
          <w:sz w:val="17"/>
          <w:szCs w:val="17"/>
          <w:color w:val="auto"/>
        </w:rPr>
        <w:t>No failure by any Lender, any L/C Issuer or the Administrative Agent to exercise, and</w:t>
      </w:r>
      <w:r>
        <w:rPr>
          <w:rFonts w:ascii="Arial" w:cs="Arial" w:eastAsia="Arial" w:hAnsi="Arial"/>
          <w:sz w:val="17"/>
          <w:szCs w:val="17"/>
          <w:b w:val="1"/>
          <w:bCs w:val="1"/>
          <w:color w:val="auto"/>
        </w:rPr>
        <w:t xml:space="preserve"> </w:t>
      </w:r>
      <w:r>
        <w:rPr>
          <w:rFonts w:ascii="Arial" w:cs="Arial" w:eastAsia="Arial" w:hAnsi="Arial"/>
          <w:sz w:val="17"/>
          <w:szCs w:val="17"/>
          <w:color w:val="auto"/>
        </w:rPr>
        <w:t>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72"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for the benefit of all the Lenders and the L/C Issuers;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or the Swing Line Lender from exercising the rights and remedies that inure to its benefit (solely in its capacity as an L/C Issuer or Swing Line Lender, as the case may be) hereunder and under the other Loan Documents, (c) any Lender from exercising setoff rights in accordance with </w:t>
      </w:r>
      <w:r>
        <w:rPr>
          <w:rFonts w:ascii="Arial" w:cs="Arial" w:eastAsia="Arial" w:hAnsi="Arial"/>
          <w:sz w:val="17"/>
          <w:szCs w:val="17"/>
          <w:u w:val="single" w:color="auto"/>
          <w:color w:val="auto"/>
        </w:rPr>
        <w:t>Section 10.08</w:t>
      </w:r>
      <w:r>
        <w:rPr>
          <w:rFonts w:ascii="Arial" w:cs="Arial" w:eastAsia="Arial" w:hAnsi="Arial"/>
          <w:sz w:val="17"/>
          <w:szCs w:val="17"/>
          <w:color w:val="auto"/>
        </w:rPr>
        <w:t xml:space="preserve"> (subject to the terms of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7"/>
          <w:szCs w:val="17"/>
          <w:u w:val="single" w:color="auto"/>
          <w:color w:val="auto"/>
        </w:rPr>
        <w:t>Section 8.02</w:t>
      </w:r>
      <w:r>
        <w:rPr>
          <w:rFonts w:ascii="Arial" w:cs="Arial" w:eastAsia="Arial" w:hAnsi="Arial"/>
          <w:sz w:val="17"/>
          <w:szCs w:val="17"/>
          <w:color w:val="auto"/>
        </w:rPr>
        <w:t xml:space="preserve"> and (ii) in addition to the matters set forth in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the preceding proviso and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any Lender may, with the consent of the Required Lenders, enforce any rights and remedies available to it and as authorized by the Required Lenders.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10.04 Expenses; Indemnity; Damage Waiver.</w:t>
      </w:r>
    </w:p>
    <w:p>
      <w:pPr>
        <w:spacing w:after="0" w:line="121" w:lineRule="exact"/>
        <w:rPr>
          <w:sz w:val="20"/>
          <w:szCs w:val="20"/>
          <w:color w:val="auto"/>
        </w:rPr>
      </w:pPr>
    </w:p>
    <w:p>
      <w:pPr>
        <w:ind w:right="40" w:firstLine="444"/>
        <w:spacing w:after="0" w:line="287" w:lineRule="auto"/>
        <w:tabs>
          <w:tab w:leader="none" w:pos="685"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Costs and Expenses</w:t>
      </w:r>
      <w:r>
        <w:rPr>
          <w:rFonts w:ascii="Arial" w:cs="Arial" w:eastAsia="Arial" w:hAnsi="Arial"/>
          <w:sz w:val="16"/>
          <w:szCs w:val="16"/>
          <w:color w:val="auto"/>
        </w:rPr>
        <w:t>. The Company shall pay (i) all reasonable and documented out-of-pocket expenses incurred by the Administrative Agent and its Affiliates (including the reasonable and documented fees, disbursements and other charges of one counsel for the Administrative Agent and the Arranger, taken as a whole, and, if reasonably necessary, of one local counsel and one regulatory counsel in any relevant jurisdiction for the Administrative Agent and the Arranger,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L/C Issuer in connection with the issuance, amendment, renewal or extension of any Letter of Credit or any demand for payment thereunder and (iii) all documented out-of-pocket expenses incurred by the Administrative Agent, any Lender or any L/C Issuer (including the documented fees, disbursements and other charges of one counsel for the Administrative Agent, the Lenders and the L/C Issuers, taken as a whole, and, if reasonably necessary, of one local counsel and one applicable regulatory counsel in each relevant jurisdiction for the Administrative Agent, the Lenders and each L/C Issuer, taken as a whole, and, solely in the case of a conflict of interest, one additional counsel to all such affected Persons similarly situated, taken as a whole), in connection with the enforcement or protection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20"/>
          </w:cols>
          <w:pgMar w:left="440" w:top="274" w:right="439" w:bottom="1440" w:gutter="0" w:footer="0" w:header="0"/>
        </w:sectPr>
      </w:pPr>
    </w:p>
    <w:bookmarkStart w:id="130" w:name="page131"/>
    <w:bookmarkEnd w:id="130"/>
    <w:p>
      <w:pPr>
        <w:jc w:val="both"/>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its rights (A) in connection with this Agreement and the other Loan Documents, including its rights under this Section, or (B) in connection with the Loans made or Letters of Credit issued hereunder, including all such documented out-of-pocket expenses incurred during any workout, restructuring or negotiations in respect of such Loans or Letters of Credit.</w:t>
      </w:r>
    </w:p>
    <w:p>
      <w:pPr>
        <w:spacing w:after="0" w:line="73" w:lineRule="exact"/>
        <w:rPr>
          <w:sz w:val="20"/>
          <w:szCs w:val="20"/>
          <w:color w:val="auto"/>
        </w:rPr>
      </w:pPr>
    </w:p>
    <w:p>
      <w:pPr>
        <w:ind w:firstLine="444"/>
        <w:spacing w:after="0" w:line="267" w:lineRule="auto"/>
        <w:tabs>
          <w:tab w:leader="none" w:pos="695" w:val="left"/>
        </w:tabs>
        <w:numPr>
          <w:ilvl w:val="1"/>
          <w:numId w:val="196"/>
        </w:numPr>
        <w:rPr>
          <w:rFonts w:ascii="Arial" w:cs="Arial" w:eastAsia="Arial" w:hAnsi="Arial"/>
          <w:sz w:val="17"/>
          <w:szCs w:val="17"/>
          <w:color w:val="auto"/>
        </w:rPr>
      </w:pPr>
      <w:r>
        <w:rPr>
          <w:rFonts w:ascii="Arial" w:cs="Arial" w:eastAsia="Arial" w:hAnsi="Arial"/>
          <w:sz w:val="17"/>
          <w:szCs w:val="17"/>
          <w:u w:val="single" w:color="auto"/>
          <w:color w:val="auto"/>
        </w:rPr>
        <w:t>Indemnification by the Company</w:t>
      </w:r>
      <w:r>
        <w:rPr>
          <w:rFonts w:ascii="Arial" w:cs="Arial" w:eastAsia="Arial" w:hAnsi="Arial"/>
          <w:sz w:val="17"/>
          <w:szCs w:val="17"/>
          <w:color w:val="auto"/>
        </w:rPr>
        <w:t>. The Company shall indemnify the Administrative Agent (and any sub-agent thereof), each Lender and each L/C Issuer,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and hold each Indemnitee harmless from, any and all losses, claims, damages, liabilities and related expenses (including the reasonable and documented out-of-pocket fees, disbursements and other charges of one counsel to the Indemnitees, taken as a whole, and, if reasonably necessary, of one local counsel and one applicable regulatory counsel in each relevant jurisdiction to all such Indemnitees, taken as a whole, and, solely in the case of a conflict of interest, one additional counsel to all affected Indemnitees similarly situated, taken as a whole), incurred by any Indemnitee or asserted against any Indemnitee by any third party or by any Borrower or any other Loan Party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(ii) any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Company or any other Loan Party against an Indemnitee for breach in bad faith of such Indemnitee’s obligations hereunder or under any other Loan Document, if the Company or such other Loan Party has obtained a final and nonappealable judgment in its favor on such claim as determined by a court of competent jurisdiction. Without limiting the provisions of </w:t>
      </w:r>
      <w:r>
        <w:rPr>
          <w:rFonts w:ascii="Arial" w:cs="Arial" w:eastAsia="Arial" w:hAnsi="Arial"/>
          <w:sz w:val="17"/>
          <w:szCs w:val="17"/>
          <w:u w:val="single" w:color="auto"/>
          <w:color w:val="auto"/>
        </w:rPr>
        <w:t>Section 3.01(c)</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10.04(b)</w:t>
      </w:r>
      <w:r>
        <w:rPr>
          <w:rFonts w:ascii="Arial" w:cs="Arial" w:eastAsia="Arial" w:hAnsi="Arial"/>
          <w:sz w:val="17"/>
          <w:szCs w:val="17"/>
          <w:color w:val="auto"/>
        </w:rPr>
        <w:t xml:space="preserve"> shall not apply with respect to Taxes other than any Taxes that represent losses, claims, damages, etc. arising from any non-Tax claim.</w:t>
      </w:r>
    </w:p>
    <w:p>
      <w:pPr>
        <w:spacing w:after="0" w:line="76" w:lineRule="exact"/>
        <w:rPr>
          <w:rFonts w:ascii="Arial" w:cs="Arial" w:eastAsia="Arial" w:hAnsi="Arial"/>
          <w:sz w:val="17"/>
          <w:szCs w:val="17"/>
          <w:color w:val="auto"/>
        </w:rPr>
      </w:pPr>
    </w:p>
    <w:p>
      <w:pPr>
        <w:ind w:left="680" w:hanging="236"/>
        <w:spacing w:after="0"/>
        <w:tabs>
          <w:tab w:leader="none" w:pos="680" w:val="left"/>
        </w:tabs>
        <w:numPr>
          <w:ilvl w:val="1"/>
          <w:numId w:val="196"/>
        </w:numPr>
        <w:rPr>
          <w:rFonts w:ascii="Arial" w:cs="Arial" w:eastAsia="Arial" w:hAnsi="Arial"/>
          <w:sz w:val="16"/>
          <w:szCs w:val="16"/>
          <w:color w:val="auto"/>
        </w:rPr>
      </w:pPr>
      <w:r>
        <w:rPr>
          <w:rFonts w:ascii="Arial" w:cs="Arial" w:eastAsia="Arial" w:hAnsi="Arial"/>
          <w:sz w:val="16"/>
          <w:szCs w:val="16"/>
          <w:u w:val="single" w:color="auto"/>
          <w:color w:val="auto"/>
        </w:rPr>
        <w:t>Reimbursement by Lenders</w:t>
      </w:r>
      <w:r>
        <w:rPr>
          <w:rFonts w:ascii="Arial" w:cs="Arial" w:eastAsia="Arial" w:hAnsi="Arial"/>
          <w:sz w:val="16"/>
          <w:szCs w:val="16"/>
          <w:color w:val="auto"/>
        </w:rPr>
        <w:t xml:space="preserve">. To the extent that the Company for any reason fails to indefeasibly pay any amount required under </w:t>
      </w:r>
      <w:r>
        <w:rPr>
          <w:rFonts w:ascii="Arial" w:cs="Arial" w:eastAsia="Arial" w:hAnsi="Arial"/>
          <w:sz w:val="16"/>
          <w:szCs w:val="16"/>
          <w:u w:val="single" w:color="auto"/>
          <w:color w:val="auto"/>
        </w:rPr>
        <w:t>subsection</w:t>
      </w:r>
    </w:p>
    <w:p>
      <w:pPr>
        <w:spacing w:after="0" w:line="46" w:lineRule="exact"/>
        <w:rPr>
          <w:rFonts w:ascii="Arial" w:cs="Arial" w:eastAsia="Arial" w:hAnsi="Arial"/>
          <w:sz w:val="16"/>
          <w:szCs w:val="16"/>
          <w:color w:val="auto"/>
        </w:rPr>
      </w:pPr>
    </w:p>
    <w:p>
      <w:pPr>
        <w:ind w:right="60" w:firstLine="4"/>
        <w:spacing w:after="0" w:line="252" w:lineRule="auto"/>
        <w:tabs>
          <w:tab w:leader="none" w:pos="245" w:val="left"/>
        </w:tabs>
        <w:numPr>
          <w:ilvl w:val="0"/>
          <w:numId w:val="197"/>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to be paid by it to the Administrative Agent (or any sub-agent thereof), any L/C Issuer, the Swing Line Lender or any Related Party of any of the foregoing, each Lender severally agrees to pay to the Administrative Agent (or any such sub-agent), such L/C Issuer, the Swing Line Lender or such Related Party, as the case may be, such Lender’s pro rata share (determined as of the time that the applicable unreimbursed expense or indemnity payment is sought based on each Lender’s share of the aggregate Total Credit Exposures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any such sub-agent),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20"/>
          </w:cols>
          <w:pgMar w:left="440" w:top="274" w:right="439" w:bottom="1440" w:gutter="0" w:footer="0" w:header="0"/>
        </w:sectPr>
      </w:pPr>
    </w:p>
    <w:bookmarkStart w:id="131" w:name="page132"/>
    <w:bookmarkEnd w:id="131"/>
    <w:p>
      <w:pPr>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w:t>
      </w:r>
      <w:r>
        <w:rPr>
          <w:rFonts w:ascii="Arial" w:cs="Arial" w:eastAsia="Arial" w:hAnsi="Arial"/>
          <w:sz w:val="18"/>
          <w:szCs w:val="18"/>
          <w:u w:val="single" w:color="auto"/>
          <w:color w:val="auto"/>
        </w:rPr>
        <w:t>subsection (c)</w:t>
      </w:r>
      <w:r>
        <w:rPr>
          <w:rFonts w:ascii="Arial" w:cs="Arial" w:eastAsia="Arial" w:hAnsi="Arial"/>
          <w:sz w:val="18"/>
          <w:szCs w:val="18"/>
          <w:color w:val="auto"/>
        </w:rPr>
        <w:t xml:space="preserve"> are subject to the provisions of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73" w:lineRule="exact"/>
        <w:rPr>
          <w:sz w:val="20"/>
          <w:szCs w:val="20"/>
          <w:color w:val="auto"/>
        </w:rPr>
      </w:pPr>
    </w:p>
    <w:p>
      <w:pPr>
        <w:ind w:right="40" w:firstLine="444"/>
        <w:spacing w:after="0" w:line="270" w:lineRule="auto"/>
        <w:tabs>
          <w:tab w:leader="none" w:pos="695"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xml:space="preserve"> To the fullest extent permitted by applicable law, no Borrower shall assert, and each Borrower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73" w:lineRule="exact"/>
        <w:rPr>
          <w:rFonts w:ascii="Arial" w:cs="Arial" w:eastAsia="Arial" w:hAnsi="Arial"/>
          <w:sz w:val="17"/>
          <w:szCs w:val="17"/>
          <w:color w:val="auto"/>
        </w:rPr>
      </w:pPr>
    </w:p>
    <w:p>
      <w:pPr>
        <w:ind w:left="680" w:hanging="236"/>
        <w:spacing w:after="0"/>
        <w:tabs>
          <w:tab w:leader="none" w:pos="680"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shall be payable not later than ten Business Days after demand therefor.</w:t>
      </w:r>
    </w:p>
    <w:p>
      <w:pPr>
        <w:spacing w:after="0" w:line="117" w:lineRule="exact"/>
        <w:rPr>
          <w:rFonts w:ascii="Arial" w:cs="Arial" w:eastAsia="Arial" w:hAnsi="Arial"/>
          <w:sz w:val="18"/>
          <w:szCs w:val="18"/>
          <w:color w:val="auto"/>
        </w:rPr>
      </w:pPr>
    </w:p>
    <w:p>
      <w:pPr>
        <w:jc w:val="both"/>
        <w:ind w:right="200" w:firstLine="444"/>
        <w:spacing w:after="0" w:line="264" w:lineRule="auto"/>
        <w:tabs>
          <w:tab w:leader="none" w:pos="665"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Section and the indemnity provisions of </w:t>
      </w:r>
      <w:r>
        <w:rPr>
          <w:rFonts w:ascii="Arial" w:cs="Arial" w:eastAsia="Arial" w:hAnsi="Arial"/>
          <w:sz w:val="18"/>
          <w:szCs w:val="18"/>
          <w:u w:val="single" w:color="auto"/>
          <w:color w:val="auto"/>
        </w:rPr>
        <w:t>Section 10.02(e)</w:t>
      </w:r>
      <w:r>
        <w:rPr>
          <w:rFonts w:ascii="Arial" w:cs="Arial" w:eastAsia="Arial" w:hAnsi="Arial"/>
          <w:sz w:val="18"/>
          <w:szCs w:val="18"/>
          <w:color w:val="auto"/>
        </w:rPr>
        <w:t xml:space="preserve"> shall survive the resignation of the Administrative Agent, any L/C Issuer and the Swing Line Lender, the replacement of any Lender, the termination of the Aggregate Commitments and the repayment, satisfaction or discharge of all the other Obligations.</w:t>
      </w:r>
    </w:p>
    <w:p>
      <w:pPr>
        <w:spacing w:after="0" w:line="177"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b w:val="1"/>
          <w:bCs w:val="1"/>
          <w:color w:val="auto"/>
        </w:rPr>
        <w:t xml:space="preserve">10.05 Payments Set Aside. </w:t>
      </w:r>
      <w:r>
        <w:rPr>
          <w:rFonts w:ascii="Arial" w:cs="Arial" w:eastAsia="Arial" w:hAnsi="Arial"/>
          <w:sz w:val="17"/>
          <w:szCs w:val="17"/>
          <w:color w:val="auto"/>
        </w:rPr>
        <w:t>To the extent that any payment by or on behalf of any Borrower is made to the Administrative Agent, any L/C Issuer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interest thereon from the date of such demand to the date such payment is made at a rate per annum equal to the applicable Overnight Rate from time to time in effect, in the applicable currency of such recovery or payment. The obligations of the Lenders and the L/C Issuers under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of the preceding sentence shall survive the payment in full of the Obligations and the termination of this Agreement.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10.06 Successors and Assigns.</w:t>
      </w:r>
    </w:p>
    <w:p>
      <w:pPr>
        <w:spacing w:after="0" w:line="121" w:lineRule="exact"/>
        <w:rPr>
          <w:sz w:val="20"/>
          <w:szCs w:val="20"/>
          <w:color w:val="auto"/>
        </w:rPr>
      </w:pPr>
    </w:p>
    <w:p>
      <w:pPr>
        <w:ind w:firstLine="444"/>
        <w:spacing w:after="0" w:line="257" w:lineRule="auto"/>
        <w:tabs>
          <w:tab w:leader="none" w:pos="685"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Successors and Assigns Generally</w:t>
      </w:r>
      <w:r>
        <w:rPr>
          <w:rFonts w:ascii="Arial" w:cs="Arial" w:eastAsia="Arial" w:hAnsi="Arial"/>
          <w:sz w:val="18"/>
          <w:szCs w:val="18"/>
          <w:color w:val="auto"/>
        </w:rPr>
        <w:t xml:space="preserve">.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(ii) by way of participation in accordance with the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20"/>
          </w:cols>
          <w:pgMar w:left="440" w:top="274" w:right="439" w:bottom="1440" w:gutter="0" w:footer="0" w:header="0"/>
        </w:sectPr>
      </w:pPr>
    </w:p>
    <w:bookmarkStart w:id="132" w:name="page133"/>
    <w:bookmarkEnd w:id="132"/>
    <w:p>
      <w:pPr>
        <w:ind w:right="18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provisions of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 or (iii) by way of pledge or assignment of a security interest subject to the restrictions of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6"/>
          <w:szCs w:val="16"/>
          <w:u w:val="single" w:color="auto"/>
          <w:color w:val="auto"/>
        </w:rPr>
        <w:t>subsection (d)</w:t>
      </w:r>
      <w:r>
        <w:rPr>
          <w:rFonts w:ascii="Arial" w:cs="Arial" w:eastAsia="Arial" w:hAnsi="Arial"/>
          <w:sz w:val="16"/>
          <w:szCs w:val="16"/>
          <w:color w:val="auto"/>
        </w:rPr>
        <w:t xml:space="preserve"> of this Section and, to the extent expressly contemplated hereby, the Related Parties of each of the Administrative Agent, the L/C Issuers and the Lenders) any legal or equitable right, remedy or claim under or by reason of this Agreement.</w:t>
      </w:r>
    </w:p>
    <w:p>
      <w:pPr>
        <w:spacing w:after="0" w:line="50" w:lineRule="exact"/>
        <w:rPr>
          <w:sz w:val="20"/>
          <w:szCs w:val="20"/>
          <w:color w:val="auto"/>
        </w:rPr>
      </w:pPr>
    </w:p>
    <w:p>
      <w:pPr>
        <w:ind w:right="160" w:firstLine="444"/>
        <w:spacing w:after="0" w:line="259" w:lineRule="auto"/>
        <w:tabs>
          <w:tab w:leader="none" w:pos="695"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Assignments by Lenders</w:t>
      </w:r>
      <w:r>
        <w:rPr>
          <w:rFonts w:ascii="Arial" w:cs="Arial" w:eastAsia="Arial" w:hAnsi="Arial"/>
          <w:sz w:val="18"/>
          <w:szCs w:val="18"/>
          <w:color w:val="auto"/>
        </w:rPr>
        <w:t xml:space="preserve">. Any Lender may at any time assign to one or more assignees all or a portion of its rights and obligations under this Agreement (including all or a portion of its Commitment(s) and the Loans (including for purposes of this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participations in L/C Obligations and in Swing Line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each case with respect to any Facility) any such assignment shall be subject to the following conditions:</w:t>
      </w:r>
    </w:p>
    <w:p>
      <w:pPr>
        <w:spacing w:after="0" w:line="78" w:lineRule="exact"/>
        <w:rPr>
          <w:rFonts w:ascii="Arial" w:cs="Arial" w:eastAsia="Arial" w:hAnsi="Arial"/>
          <w:sz w:val="18"/>
          <w:szCs w:val="18"/>
          <w:color w:val="auto"/>
        </w:rPr>
      </w:pPr>
    </w:p>
    <w:p>
      <w:pPr>
        <w:ind w:left="1080" w:hanging="212"/>
        <w:spacing w:after="0"/>
        <w:tabs>
          <w:tab w:leader="none" w:pos="1080"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80" w:firstLine="411"/>
        <w:spacing w:after="0" w:line="257" w:lineRule="auto"/>
        <w:tabs>
          <w:tab w:leader="none" w:pos="1580" w:val="left"/>
        </w:tabs>
        <w:numPr>
          <w:ilvl w:val="2"/>
          <w:numId w:val="200"/>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80" w:lineRule="exact"/>
        <w:rPr>
          <w:rFonts w:ascii="Arial" w:cs="Arial" w:eastAsia="Arial" w:hAnsi="Arial"/>
          <w:sz w:val="18"/>
          <w:szCs w:val="18"/>
          <w:color w:val="auto"/>
        </w:rPr>
      </w:pPr>
    </w:p>
    <w:p>
      <w:pPr>
        <w:ind w:left="880" w:firstLine="411"/>
        <w:spacing w:after="0" w:line="291" w:lineRule="auto"/>
        <w:tabs>
          <w:tab w:leader="none" w:pos="1570" w:val="left"/>
        </w:tabs>
        <w:numPr>
          <w:ilvl w:val="2"/>
          <w:numId w:val="200"/>
        </w:numPr>
        <w:rPr>
          <w:rFonts w:ascii="Arial" w:cs="Arial" w:eastAsia="Arial" w:hAnsi="Arial"/>
          <w:sz w:val="16"/>
          <w:szCs w:val="16"/>
          <w:color w:val="auto"/>
        </w:rPr>
      </w:pPr>
      <w:r>
        <w:rPr>
          <w:rFonts w:ascii="Arial" w:cs="Arial" w:eastAsia="Arial" w:hAnsi="Arial"/>
          <w:sz w:val="16"/>
          <w:szCs w:val="16"/>
          <w:color w:val="auto"/>
        </w:rPr>
        <w:t xml:space="preserve">in any case not described in </w:t>
      </w:r>
      <w:r>
        <w:rPr>
          <w:rFonts w:ascii="Arial" w:cs="Arial" w:eastAsia="Arial" w:hAnsi="Arial"/>
          <w:sz w:val="16"/>
          <w:szCs w:val="16"/>
          <w:u w:val="single" w:color="auto"/>
          <w:color w:val="auto"/>
        </w:rPr>
        <w:t>subsection (b)(i)(A)</w:t>
      </w:r>
      <w:r>
        <w:rPr>
          <w:rFonts w:ascii="Arial" w:cs="Arial" w:eastAsia="Arial" w:hAnsi="Arial"/>
          <w:sz w:val="16"/>
          <w:szCs w:val="16"/>
          <w:color w:val="auto"/>
        </w:rPr>
        <w:t xml:space="preserve"> of this Section, the aggregate amount of the applicable Commitment (which for this purpose includes Loans outstanding 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Credit Facility, or $1,000,000, in the case of any assignment in respect of the Term Loan Facility, unless each of the Administrative Agent and, so long as no Event of Default has occurred and is continuing, the Company otherwise consents (each such consent not to be unreasonably withheld or delayed).</w:t>
      </w:r>
    </w:p>
    <w:p>
      <w:pPr>
        <w:spacing w:after="0" w:line="59" w:lineRule="exact"/>
        <w:rPr>
          <w:rFonts w:ascii="Arial" w:cs="Arial" w:eastAsia="Arial" w:hAnsi="Arial"/>
          <w:sz w:val="16"/>
          <w:szCs w:val="16"/>
          <w:color w:val="auto"/>
        </w:rPr>
      </w:pPr>
    </w:p>
    <w:p>
      <w:pPr>
        <w:ind w:left="440" w:right="180" w:firstLine="428"/>
        <w:spacing w:after="0" w:line="264" w:lineRule="auto"/>
        <w:tabs>
          <w:tab w:leader="none" w:pos="1128"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xml:space="preserve">. Each partial assignment shall be made as an assignment of a proportionate part of all the assigning Lender’s rights and obligations under this Agreement with respect to the Loans or the Commitment assigned, except that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not apply to the Swing Line Lender’s rights and obligations in respect of Swing Line Loans.</w:t>
      </w:r>
    </w:p>
    <w:p>
      <w:pPr>
        <w:spacing w:after="0" w:line="73" w:lineRule="exact"/>
        <w:rPr>
          <w:rFonts w:ascii="Arial" w:cs="Arial" w:eastAsia="Arial" w:hAnsi="Arial"/>
          <w:sz w:val="18"/>
          <w:szCs w:val="18"/>
          <w:color w:val="auto"/>
        </w:rPr>
      </w:pPr>
    </w:p>
    <w:p>
      <w:pPr>
        <w:ind w:left="440" w:right="20" w:firstLine="428"/>
        <w:spacing w:after="0" w:line="277" w:lineRule="auto"/>
        <w:tabs>
          <w:tab w:leader="none" w:pos="1178" w:val="left"/>
        </w:tabs>
        <w:numPr>
          <w:ilvl w:val="1"/>
          <w:numId w:val="200"/>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62" w:lineRule="exact"/>
        <w:rPr>
          <w:rFonts w:ascii="Arial" w:cs="Arial" w:eastAsia="Arial" w:hAnsi="Arial"/>
          <w:sz w:val="18"/>
          <w:szCs w:val="18"/>
          <w:color w:val="auto"/>
        </w:rPr>
      </w:pPr>
    </w:p>
    <w:p>
      <w:pPr>
        <w:ind w:left="880" w:right="200" w:firstLine="411"/>
        <w:spacing w:after="0" w:line="279" w:lineRule="auto"/>
        <w:tabs>
          <w:tab w:leader="none" w:pos="1580" w:val="left"/>
        </w:tabs>
        <w:numPr>
          <w:ilvl w:val="2"/>
          <w:numId w:val="200"/>
        </w:numPr>
        <w:rPr>
          <w:rFonts w:ascii="Arial" w:cs="Arial" w:eastAsia="Arial" w:hAnsi="Arial"/>
          <w:sz w:val="17"/>
          <w:szCs w:val="17"/>
          <w:color w:val="auto"/>
        </w:rPr>
      </w:pPr>
      <w:r>
        <w:rPr>
          <w:rFonts w:ascii="Arial" w:cs="Arial" w:eastAsia="Arial" w:hAnsi="Arial"/>
          <w:sz w:val="17"/>
          <w:szCs w:val="17"/>
          <w:color w:val="auto"/>
        </w:rPr>
        <w:t xml:space="preserve">the consent of the Company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be deemed to have consented to any such assignment unless it shall object thereto by written notice to the Administrative Agent within five (5) Business Days after having received notice thereof;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00"/>
          </w:cols>
          <w:pgMar w:left="440" w:top="274" w:right="459" w:bottom="1440" w:gutter="0" w:footer="0" w:header="0"/>
        </w:sectPr>
      </w:pPr>
    </w:p>
    <w:bookmarkStart w:id="133" w:name="page134"/>
    <w:bookmarkEnd w:id="133"/>
    <w:p>
      <w:pPr>
        <w:ind w:left="440" w:right="20" w:firstLine="411"/>
        <w:spacing w:after="0" w:line="279" w:lineRule="auto"/>
        <w:tabs>
          <w:tab w:leader="none" w:pos="1130" w:val="left"/>
        </w:tabs>
        <w:numPr>
          <w:ilvl w:val="1"/>
          <w:numId w:val="2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consent of the Administrative Agent (such consent not to be unreasonably withheld or delayed) shall be required for assignments in respect of (i) any unfunded Term Loan Commitment or any Revolving Credit Commitment if such assignment is to a Person that is not a Lender with a Commitment in respect of the applicable Facility, an Affiliate of such a Lender or an Approved Fund with respect to such a Lender or (ii) any Term Loan to a Person that is not a Lender, an Affiliate of a Lender or an Approved Fund; and</w:t>
      </w:r>
    </w:p>
    <w:p>
      <w:pPr>
        <w:spacing w:after="0" w:line="63" w:lineRule="exact"/>
        <w:rPr>
          <w:rFonts w:ascii="Arial" w:cs="Arial" w:eastAsia="Arial" w:hAnsi="Arial"/>
          <w:sz w:val="17"/>
          <w:szCs w:val="17"/>
          <w:color w:val="auto"/>
        </w:rPr>
      </w:pPr>
    </w:p>
    <w:p>
      <w:pPr>
        <w:ind w:left="1140" w:hanging="289"/>
        <w:spacing w:after="0"/>
        <w:tabs>
          <w:tab w:leader="none" w:pos="1140"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consent of each L/C Issuer and the Swing Line Lender shall be required for any assignment in respect of the Revolving Credit</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Facility.</w:t>
      </w:r>
    </w:p>
    <w:p>
      <w:pPr>
        <w:spacing w:after="0" w:line="102" w:lineRule="exact"/>
        <w:rPr>
          <w:rFonts w:ascii="Arial" w:cs="Arial" w:eastAsia="Arial" w:hAnsi="Arial"/>
          <w:sz w:val="16"/>
          <w:szCs w:val="16"/>
          <w:color w:val="auto"/>
        </w:rPr>
      </w:pPr>
    </w:p>
    <w:p>
      <w:pPr>
        <w:ind w:right="20" w:firstLine="428"/>
        <w:spacing w:after="0" w:line="259" w:lineRule="auto"/>
        <w:tabs>
          <w:tab w:leader="none" w:pos="728"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78" w:lineRule="exact"/>
        <w:rPr>
          <w:rFonts w:ascii="Arial" w:cs="Arial" w:eastAsia="Arial" w:hAnsi="Arial"/>
          <w:sz w:val="18"/>
          <w:szCs w:val="18"/>
          <w:color w:val="auto"/>
        </w:rPr>
      </w:pPr>
    </w:p>
    <w:p>
      <w:pPr>
        <w:ind w:firstLine="428"/>
        <w:spacing w:after="0" w:line="259" w:lineRule="auto"/>
        <w:tabs>
          <w:tab w:leader="none" w:pos="678"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(A) to the Company or any of the Company’s Affiliates or Subsidiaries,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 (or to a holding company, investment vehicle or trust for, or owned and operated by or for the primary benefit of a natural Person).</w:t>
      </w:r>
    </w:p>
    <w:p>
      <w:pPr>
        <w:spacing w:after="0" w:line="78" w:lineRule="exact"/>
        <w:rPr>
          <w:rFonts w:ascii="Arial" w:cs="Arial" w:eastAsia="Arial" w:hAnsi="Arial"/>
          <w:sz w:val="18"/>
          <w:szCs w:val="18"/>
          <w:color w:val="auto"/>
        </w:rPr>
      </w:pPr>
    </w:p>
    <w:p>
      <w:pPr>
        <w:ind w:right="80" w:firstLine="428"/>
        <w:spacing w:after="0" w:line="287" w:lineRule="auto"/>
        <w:tabs>
          <w:tab w:leader="none" w:pos="728"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Certain Additional Payments</w:t>
      </w:r>
      <w:r>
        <w:rPr>
          <w:rFonts w:ascii="Arial" w:cs="Arial" w:eastAsia="Arial" w:hAnsi="Arial"/>
          <w:sz w:val="16"/>
          <w:szCs w:val="16"/>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64" w:lineRule="exact"/>
        <w:rPr>
          <w:rFonts w:ascii="Arial" w:cs="Arial" w:eastAsia="Arial" w:hAnsi="Arial"/>
          <w:sz w:val="16"/>
          <w:szCs w:val="16"/>
          <w:color w:val="auto"/>
        </w:rPr>
      </w:pPr>
    </w:p>
    <w:p>
      <w:pPr>
        <w:ind w:right="80" w:firstLine="428"/>
        <w:spacing w:after="0" w:line="308" w:lineRule="auto"/>
        <w:tabs>
          <w:tab w:leader="none" w:pos="778"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Assignee is not a Competitor</w:t>
      </w:r>
      <w:r>
        <w:rPr>
          <w:rFonts w:ascii="Arial" w:cs="Arial" w:eastAsia="Arial" w:hAnsi="Arial"/>
          <w:sz w:val="17"/>
          <w:szCs w:val="17"/>
          <w:color w:val="auto"/>
        </w:rPr>
        <w:t>. Unless an Event of Default has occurred and is continuing (in which case this clause (vii) shall not apply to such assignment), each assignee represents and warrants to the Company that such assignee is not a Competitor.</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0580"/>
          </w:cols>
          <w:pgMar w:left="880" w:top="274" w:right="439" w:bottom="1440" w:gutter="0" w:footer="0" w:header="0"/>
        </w:sectPr>
      </w:pPr>
    </w:p>
    <w:bookmarkStart w:id="134" w:name="page135"/>
    <w:bookmarkEnd w:id="134"/>
    <w:p>
      <w:pPr>
        <w:ind w:right="1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Subject to acceptance and recording thereof by the Administrative Agent pursuant to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10.04</w:t>
      </w:r>
      <w:r>
        <w:rPr>
          <w:rFonts w:ascii="Arial" w:cs="Arial" w:eastAsia="Arial" w:hAnsi="Arial"/>
          <w:sz w:val="17"/>
          <w:szCs w:val="17"/>
          <w:color w:val="auto"/>
        </w:rPr>
        <w:t xml:space="preserve"> with respect to facts and circumstances occurring prior to the effective date of such assignment (subject to the requirements and limitations set forth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Section.</w:t>
      </w:r>
    </w:p>
    <w:p>
      <w:pPr>
        <w:spacing w:after="0" w:line="72" w:lineRule="exact"/>
        <w:rPr>
          <w:sz w:val="20"/>
          <w:szCs w:val="20"/>
          <w:color w:val="auto"/>
        </w:rPr>
      </w:pPr>
    </w:p>
    <w:p>
      <w:pPr>
        <w:ind w:right="40" w:firstLine="444"/>
        <w:spacing w:after="0" w:line="291" w:lineRule="auto"/>
        <w:tabs>
          <w:tab w:leader="none" w:pos="685"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an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of (and stated interest on) the Loans and L/C Obligations owing to, each Lender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absent manifest error, and the Borrowers, the Administrative Agent and the Lenders shall treat each Person whose name is recorded in the Register pursuant to the terms hereof as a Lender hereunder for all purposes of this Agreement. The Register shall be available for inspection by each of the Borrowers and any Lender, at any reasonable time and from time to time upon reasonable prior notice.</w:t>
      </w:r>
    </w:p>
    <w:p>
      <w:pPr>
        <w:spacing w:after="0" w:line="59" w:lineRule="exact"/>
        <w:rPr>
          <w:rFonts w:ascii="Arial" w:cs="Arial" w:eastAsia="Arial" w:hAnsi="Arial"/>
          <w:sz w:val="16"/>
          <w:szCs w:val="16"/>
          <w:color w:val="auto"/>
        </w:rPr>
      </w:pPr>
    </w:p>
    <w:p>
      <w:pPr>
        <w:ind w:firstLine="444"/>
        <w:spacing w:after="0" w:line="270" w:lineRule="auto"/>
        <w:tabs>
          <w:tab w:leader="none" w:pos="695" w:val="left"/>
        </w:tabs>
        <w:numPr>
          <w:ilvl w:val="0"/>
          <w:numId w:val="203"/>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any Borrower or the Administrative Agent, sell participations to any Person (other than a natural Person, or a holding company, investment vehicle or trust for, or owned and operated for the primary benefit of a natural Person, a Defaulting Lender or the Company or any of the Company’s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Commitment(s) and/or the Loans (including such Lender’s participations in L/C Obligations and/or Swing Line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7"/>
          <w:szCs w:val="17"/>
          <w:u w:val="single" w:color="auto"/>
          <w:color w:val="auto"/>
        </w:rPr>
        <w:t>Section 10.04(c)</w:t>
      </w:r>
      <w:r>
        <w:rPr>
          <w:rFonts w:ascii="Arial" w:cs="Arial" w:eastAsia="Arial" w:hAnsi="Arial"/>
          <w:sz w:val="17"/>
          <w:szCs w:val="17"/>
          <w:color w:val="auto"/>
        </w:rPr>
        <w:t xml:space="preserve"> without regard to the existence of any participation.</w:t>
      </w:r>
    </w:p>
    <w:p>
      <w:pPr>
        <w:spacing w:after="0" w:line="182"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that affects such Participant. Each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(subject to the requirements and limitations set forth therein) to the same extent as if it were a Lender and had acquired its interest by assignment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(it being understood that the documentation required under </w:t>
      </w:r>
      <w:r>
        <w:rPr>
          <w:rFonts w:ascii="Arial" w:cs="Arial" w:eastAsia="Arial" w:hAnsi="Arial"/>
          <w:sz w:val="18"/>
          <w:szCs w:val="18"/>
          <w:u w:val="single" w:color="auto"/>
          <w:color w:val="auto"/>
        </w:rPr>
        <w:t>Section 3.01(e)</w:t>
      </w:r>
      <w:r>
        <w:rPr>
          <w:rFonts w:ascii="Arial" w:cs="Arial" w:eastAsia="Arial" w:hAnsi="Arial"/>
          <w:sz w:val="18"/>
          <w:szCs w:val="18"/>
          <w:color w:val="auto"/>
        </w:rPr>
        <w:t xml:space="preserve"> shall be delivered to the Lender who sells the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20"/>
          </w:cols>
          <w:pgMar w:left="440" w:top="274" w:right="439" w:bottom="1440" w:gutter="0" w:footer="0" w:header="0"/>
        </w:sectPr>
      </w:pPr>
    </w:p>
    <w:bookmarkStart w:id="135" w:name="page136"/>
    <w:bookmarkEnd w:id="13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participation) to the same extent as if it were a Lender and had acquired its interest by assignment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 agrees to be subject to the provisions of </w:t>
      </w:r>
      <w:r>
        <w:rPr>
          <w:rFonts w:ascii="Arial" w:cs="Arial" w:eastAsia="Arial" w:hAnsi="Arial"/>
          <w:sz w:val="16"/>
          <w:szCs w:val="16"/>
          <w:u w:val="single" w:color="auto"/>
          <w:color w:val="auto"/>
        </w:rPr>
        <w:t>Sections 3.06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10.13</w:t>
      </w:r>
      <w:r>
        <w:rPr>
          <w:rFonts w:ascii="Arial" w:cs="Arial" w:eastAsia="Arial" w:hAnsi="Arial"/>
          <w:sz w:val="16"/>
          <w:szCs w:val="16"/>
          <w:color w:val="auto"/>
        </w:rPr>
        <w:t xml:space="preserve"> as if it were an assignee under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 and (B) shall not be entitled to receive any greater payment under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Arial" w:cs="Arial" w:eastAsia="Arial" w:hAnsi="Arial"/>
          <w:sz w:val="16"/>
          <w:szCs w:val="16"/>
          <w:u w:val="single" w:color="auto"/>
          <w:color w:val="auto"/>
        </w:rPr>
        <w:t>Section 3.06</w:t>
      </w:r>
      <w:r>
        <w:rPr>
          <w:rFonts w:ascii="Arial" w:cs="Arial" w:eastAsia="Arial" w:hAnsi="Arial"/>
          <w:sz w:val="16"/>
          <w:szCs w:val="16"/>
          <w:color w:val="auto"/>
        </w:rPr>
        <w:t xml:space="preserve"> with respect to any Participant. To the extent permitted by law, each Participant also shall be entitled to the benefits of </w:t>
      </w:r>
      <w:r>
        <w:rPr>
          <w:rFonts w:ascii="Arial" w:cs="Arial" w:eastAsia="Arial" w:hAnsi="Arial"/>
          <w:sz w:val="16"/>
          <w:szCs w:val="16"/>
          <w:u w:val="single" w:color="auto"/>
          <w:color w:val="auto"/>
        </w:rPr>
        <w:t>Section 10.08</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agrees to be subject to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as though it were a Lender. Each Lender that sells a participation shall, acting solely for this purpose as a non-fiduciary agent of the Company, maintain a register on which it enters the name and address of each Participant and the principal amounts of (and stated interest on) each Participant’s interest in the Loans or other obligations under the Loan Documents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67" w:lineRule="exact"/>
        <w:rPr>
          <w:sz w:val="20"/>
          <w:szCs w:val="20"/>
          <w:color w:val="auto"/>
        </w:rPr>
      </w:pPr>
    </w:p>
    <w:p>
      <w:pPr>
        <w:ind w:right="100" w:firstLine="444"/>
        <w:spacing w:after="0" w:line="259" w:lineRule="auto"/>
        <w:tabs>
          <w:tab w:leader="none" w:pos="685"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Note(s),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78" w:lineRule="exact"/>
        <w:rPr>
          <w:rFonts w:ascii="Arial" w:cs="Arial" w:eastAsia="Arial" w:hAnsi="Arial"/>
          <w:sz w:val="18"/>
          <w:szCs w:val="18"/>
          <w:color w:val="auto"/>
        </w:rPr>
      </w:pPr>
    </w:p>
    <w:p>
      <w:pPr>
        <w:ind w:right="20" w:firstLine="444"/>
        <w:spacing w:after="0" w:line="286" w:lineRule="auto"/>
        <w:tabs>
          <w:tab w:leader="none" w:pos="665"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Resignation as an L/C Issuer or Swing Line Lender after Assignment</w:t>
      </w:r>
      <w:r>
        <w:rPr>
          <w:rFonts w:ascii="Arial" w:cs="Arial" w:eastAsia="Arial" w:hAnsi="Arial"/>
          <w:sz w:val="16"/>
          <w:szCs w:val="16"/>
          <w:color w:val="auto"/>
        </w:rPr>
        <w:t xml:space="preserve">. Notwithstanding anything to the contrary contained herein, (i) if at any time Bank of America assigns all of its Revolving Credit Commitment and Revolving Credit Loans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above, Bank of America may, (A) upon 30 days’ notice to the Company and the Revolving Credit Lenders, resign as an L/C Issuer and/or (B) upon 30 days’ notice to the Company, resign as Swing Line Lender, and (ii) if at any time any other Lender acting as an L/C Issuer assigns all of its Revolving Credit Commitment and Revolving Credit Loans pursuant to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above, such Lender may, upon 30 days’ notice to the Company and the Revolving Credit Lenders, resign as an L/C Issuer. In the event of any such resignation as an L/C Issuer or Swing Line Lender, the Company shall be entitled to appoint from among the Lenders a successor L/C Issuer or Swing Line Lender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failure by the Company to appoint any such successor shall affect the resignation of Bank of America as an L/C Issuer or Swing Line Lender, as the case may be, or any other Lender as an L/C Issuer. If Bank of America or any other Lender resigns as an L/C Issuer, it shall retain all the rights, powers, privileges and duties of an L/C Issuer hereunder with respect to all Letters of Credit outstanding and issued by it as of the effective date of its resignation as an L/C Issuer and all L/C Obligations with respect thereto (including the right to require the Lenders to make Base Rate Revolving Credit Loans or fund risk participations in Unreimbursed Amounts pursuant to </w:t>
      </w:r>
      <w:r>
        <w:rPr>
          <w:rFonts w:ascii="Arial" w:cs="Arial" w:eastAsia="Arial" w:hAnsi="Arial"/>
          <w:sz w:val="16"/>
          <w:szCs w:val="16"/>
          <w:u w:val="single" w:color="auto"/>
          <w:color w:val="auto"/>
        </w:rPr>
        <w:t>Section 2.03(c)</w:t>
      </w:r>
      <w:r>
        <w:rPr>
          <w:rFonts w:ascii="Arial" w:cs="Arial" w:eastAsia="Arial" w:hAnsi="Arial"/>
          <w:sz w:val="16"/>
          <w:szCs w:val="16"/>
          <w:color w:val="auto"/>
        </w:rPr>
        <w:t>).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Revolving Credit Loans or fund risk participations in outstanding Swing Line Loans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20"/>
          </w:cols>
          <w:pgMar w:left="440" w:top="274" w:right="439" w:bottom="1440" w:gutter="0" w:footer="0" w:header="0"/>
        </w:sectPr>
      </w:pPr>
    </w:p>
    <w:bookmarkStart w:id="136" w:name="page137"/>
    <w:bookmarkEnd w:id="136"/>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pursuant to </w:t>
      </w:r>
      <w:r>
        <w:rPr>
          <w:rFonts w:ascii="Arial" w:cs="Arial" w:eastAsia="Arial" w:hAnsi="Arial"/>
          <w:sz w:val="17"/>
          <w:szCs w:val="17"/>
          <w:u w:val="single" w:color="auto"/>
          <w:color w:val="auto"/>
        </w:rPr>
        <w:t>Section 2.04(c)</w:t>
      </w:r>
      <w:r>
        <w:rPr>
          <w:rFonts w:ascii="Arial" w:cs="Arial" w:eastAsia="Arial" w:hAnsi="Arial"/>
          <w:sz w:val="17"/>
          <w:szCs w:val="17"/>
          <w:color w:val="auto"/>
        </w:rPr>
        <w:t>. Upon the appointment of a successor L/C Issuer and/or Swing Line Lender, (a) such successor shall succeed to and become vested with all of the rights, powers, privileges and duties of the retiring L/C Issuer or Swing Line Lender, as the case may be, and (b) the successor L/C Issuer shall issue letters of credit in substitution for the Letters of Credit, if any, outstanding at the time of such succession or make other arrangements reasonably satisfactory to Bank of America or such other retiring L/C Issuer, as the case may be, to effectively assume the obligations of Bank of America or such other retiring L/C Issuer, as the case may be, with respect to such Letters of Credit issued by it.</w:t>
      </w:r>
    </w:p>
    <w:p>
      <w:pPr>
        <w:spacing w:after="0" w:line="169"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b w:val="1"/>
          <w:bCs w:val="1"/>
          <w:color w:val="auto"/>
        </w:rPr>
        <w:t xml:space="preserve">10.07 Treatment of Certain Information; Confidentiality. </w:t>
      </w:r>
      <w:r>
        <w:rPr>
          <w:rFonts w:ascii="Arial" w:cs="Arial" w:eastAsia="Arial" w:hAnsi="Arial"/>
          <w:sz w:val="16"/>
          <w:szCs w:val="16"/>
          <w:color w:val="auto"/>
        </w:rPr>
        <w:t>Each of the Administrative Agent, the Lenders and the L/C Issuers agree to maintain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confidentiality of the Information (as defined below), except that Information may be disclosed (a) to its Affiliates, its auditors and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 a Lender pursuant to </w:t>
      </w:r>
      <w:r>
        <w:rPr>
          <w:rFonts w:ascii="Arial" w:cs="Arial" w:eastAsia="Arial" w:hAnsi="Arial"/>
          <w:sz w:val="16"/>
          <w:szCs w:val="16"/>
          <w:u w:val="single" w:color="auto"/>
          <w:color w:val="auto"/>
        </w:rPr>
        <w:t>Section 2.15(c)</w:t>
      </w:r>
      <w:r>
        <w:rPr>
          <w:rFonts w:ascii="Arial" w:cs="Arial" w:eastAsia="Arial" w:hAnsi="Arial"/>
          <w:sz w:val="16"/>
          <w:szCs w:val="16"/>
          <w:color w:val="auto"/>
        </w:rPr>
        <w:t xml:space="preserve"> or (ii) any actual or prospective party (or its Related Parties) to any swap, derivative or other transaction under which payments are to be made by reference to a Borrower and its obligations, this Agreement or payments hereunder, (g) on a confidential basis to (i) any rating agency in connection with rating the Company or its Subsidiaries or the credit facilities provided hereunder or (ii) the CUSIP Service Bureau or any similar agency in connection with the application, issuance, publishing and monitoring of CUSIP numbers or other market identifiers with respect to the credit facilities provided hereunder, (h) with the consent of the Company or (i) to the extent such Information (x) becomes publicly available other than as a result of a breach of this Section, (y) becomes available to the Administrative Agent, any Lender, any L/C Issuer or any of their respective Affiliates on a nonconfidential basis from a source other than the Company or (z) is independently discovered or developed by a party hereto without utilizing any Information received from the Company or violating the terms of this Section.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72"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For purposes of this Section,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Company or any Subsidiary relating to the Company or any Subsidiary or any of their respective businesses, other than any such information that is available to the Administrative Agent, any Lender or any L/C Issuer on a nonconfidential basis prior to disclosure by the Company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Company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9"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Each of the Administrative Agent, the Lenders and the L/C Issuers acknowledge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980"/>
          </w:cols>
          <w:pgMar w:left="440" w:top="274" w:right="479" w:bottom="1440" w:gutter="0" w:footer="0" w:header="0"/>
        </w:sectPr>
      </w:pPr>
    </w:p>
    <w:bookmarkStart w:id="137" w:name="page138"/>
    <w:bookmarkEnd w:id="137"/>
    <w:p>
      <w:pPr>
        <w:ind w:right="74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Loan Parties consent to the publication by the Administrative Agent or any Lender of customary advertising material relating to the transactions contemplated hereby using the name, product photographs, logo or trademark of the Loan Parties.</w:t>
      </w:r>
    </w:p>
    <w:p>
      <w:pPr>
        <w:spacing w:after="0" w:line="166"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b w:val="1"/>
          <w:bCs w:val="1"/>
          <w:color w:val="auto"/>
        </w:rPr>
        <w:t xml:space="preserve">10.08 Right of Setoff. </w:t>
      </w:r>
      <w:r>
        <w:rPr>
          <w:rFonts w:ascii="Arial" w:cs="Arial" w:eastAsia="Arial" w:hAnsi="Arial"/>
          <w:sz w:val="16"/>
          <w:szCs w:val="16"/>
          <w:color w:val="auto"/>
        </w:rPr>
        <w:t>If an Event of Default shall have occurred and be continuing, each Lender, each L/C Issuer and each of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Affiliates is hereby authorized at any time and from time to time, to the fullest extent permitted by applicable law, to set-off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any Borrower against any and all of the obligations of such Borrower now or hereafter existing under this Agreement or any other Loan Document to such Lender or such L/C Issuer or their respective Affiliates, irrespective of whether or not such Lender, such L/C Issuer or such Affiliate shall have made any demand under this Agreement or any other Loan Document and although such obligations of such Borrower are owed to a branch, office or Affiliate of such Lender or such L/C Issuer different from the branch,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65"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b w:val="1"/>
          <w:bCs w:val="1"/>
          <w:color w:val="auto"/>
        </w:rPr>
        <w:t xml:space="preserve">10.09 Interest Rate Limitation. </w:t>
      </w:r>
      <w:r>
        <w:rPr>
          <w:rFonts w:ascii="Arial" w:cs="Arial" w:eastAsia="Arial" w:hAnsi="Arial"/>
          <w:sz w:val="16"/>
          <w:szCs w:val="16"/>
          <w:color w:val="auto"/>
        </w:rPr>
        <w:t>Notwithstanding anything to the contrary contained in any Loan Document, the interest paid or agreed to be paid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Loan Documents shall not exceed the maximum rate of non-usurious interest permitted by applicable Law (the “</w:t>
      </w:r>
      <w:r>
        <w:rPr>
          <w:rFonts w:ascii="Arial" w:cs="Arial" w:eastAsia="Arial" w:hAnsi="Arial"/>
          <w:sz w:val="16"/>
          <w:szCs w:val="16"/>
          <w:u w:val="single" w:color="auto"/>
          <w:color w:val="auto"/>
        </w:rPr>
        <w:t>Maximum Rate</w:t>
      </w:r>
      <w:r>
        <w:rPr>
          <w:rFonts w:ascii="Arial" w:cs="Arial" w:eastAsia="Arial" w:hAnsi="Arial"/>
          <w:sz w:val="16"/>
          <w:szCs w:val="16"/>
          <w:color w:val="auto"/>
        </w:rPr>
        <w:t>”).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w:t>
      </w:r>
    </w:p>
    <w:p>
      <w:pPr>
        <w:spacing w:after="0" w:line="2" w:lineRule="exact"/>
        <w:rPr>
          <w:sz w:val="20"/>
          <w:szCs w:val="20"/>
          <w:color w:val="auto"/>
        </w:rPr>
      </w:pPr>
    </w:p>
    <w:p>
      <w:pPr>
        <w:ind w:right="80" w:firstLine="4"/>
        <w:spacing w:after="0" w:line="255" w:lineRule="auto"/>
        <w:tabs>
          <w:tab w:leader="none" w:pos="24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6"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b w:val="1"/>
          <w:bCs w:val="1"/>
          <w:color w:val="auto"/>
        </w:rPr>
        <w:t xml:space="preserve">10.10 Counterparts; Integration; Effectiveness. </w:t>
      </w:r>
      <w:r>
        <w:rPr>
          <w:rFonts w:ascii="Arial" w:cs="Arial" w:eastAsia="Arial" w:hAnsi="Arial"/>
          <w:sz w:val="18"/>
          <w:szCs w:val="18"/>
          <w:color w:val="auto"/>
        </w:rPr>
        <w:t>This Agreement and the other Loan Documents may be executed in counterparts (and by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auto"/>
        </w:rPr>
        <w:t>Section 4.01</w:t>
      </w:r>
      <w:r>
        <w:rPr>
          <w:rFonts w:ascii="Arial" w:cs="Arial" w:eastAsia="Arial" w:hAnsi="Arial"/>
          <w:sz w:val="18"/>
          <w:szCs w:val="18"/>
          <w:color w:val="auto"/>
        </w:rPr>
        <w:t>, this Agreement and the other Loan Documents shall become effective when it shall have been executed by the Administrative Agent and when the Administrative Agent shall have received counterparts hereof that, when taken together, bear the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0980"/>
          </w:cols>
          <w:pgMar w:left="440" w:top="274" w:right="479" w:bottom="1440" w:gutter="0" w:footer="0" w:header="0"/>
        </w:sectPr>
      </w:pPr>
    </w:p>
    <w:bookmarkStart w:id="138" w:name="page139"/>
    <w:bookmarkEnd w:id="138"/>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signatures of each of the other parties hereto. Delivery of an executed counterpart of a signature page of this Agreement and any other Loan Document by facsimile or other electronic imaging means (e.g., “pdf” or “tif”) shall be effective as delivery of a manually executed counterpart of this Agreement and the other Loan Documents.</w:t>
      </w:r>
    </w:p>
    <w:p>
      <w:pPr>
        <w:spacing w:after="0" w:line="177" w:lineRule="exact"/>
        <w:rPr>
          <w:sz w:val="20"/>
          <w:szCs w:val="20"/>
          <w:color w:val="auto"/>
        </w:rPr>
      </w:pPr>
    </w:p>
    <w:p>
      <w:pPr>
        <w:ind w:firstLine="441"/>
        <w:spacing w:after="0" w:line="274" w:lineRule="auto"/>
        <w:rPr>
          <w:sz w:val="20"/>
          <w:szCs w:val="20"/>
          <w:color w:val="auto"/>
        </w:rPr>
      </w:pPr>
      <w:r>
        <w:rPr>
          <w:rFonts w:ascii="Arial" w:cs="Arial" w:eastAsia="Arial" w:hAnsi="Arial"/>
          <w:sz w:val="17"/>
          <w:szCs w:val="17"/>
          <w:b w:val="1"/>
          <w:bCs w:val="1"/>
          <w:color w:val="auto"/>
        </w:rPr>
        <w:t xml:space="preserve">10.11 Survival of Representations and Warranties. </w:t>
      </w:r>
      <w:r>
        <w:rPr>
          <w:rFonts w:ascii="Arial" w:cs="Arial" w:eastAsia="Arial" w:hAnsi="Arial"/>
          <w:sz w:val="17"/>
          <w:szCs w:val="17"/>
          <w:color w:val="auto"/>
        </w:rPr>
        <w:t>All representations and warranties made hereunder and in any other Loan Document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74"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b w:val="1"/>
          <w:bCs w:val="1"/>
          <w:color w:val="auto"/>
        </w:rPr>
        <w:t xml:space="preserve">10.12 Severability. </w:t>
      </w:r>
      <w:r>
        <w:rPr>
          <w:rFonts w:ascii="Arial" w:cs="Arial" w:eastAsia="Arial" w:hAnsi="Arial"/>
          <w:sz w:val="16"/>
          <w:szCs w:val="16"/>
          <w:color w:val="auto"/>
        </w:rPr>
        <w:t>If any provision of this Agreement or the other Loan Documents is held to be illegal, invalid or unenforceable, (a) the legality,</w:t>
      </w:r>
      <w:r>
        <w:rPr>
          <w:rFonts w:ascii="Arial" w:cs="Arial" w:eastAsia="Arial" w:hAnsi="Arial"/>
          <w:sz w:val="16"/>
          <w:szCs w:val="16"/>
          <w:b w:val="1"/>
          <w:bCs w:val="1"/>
          <w:color w:val="auto"/>
        </w:rPr>
        <w:t xml:space="preserve"> </w:t>
      </w:r>
      <w:r>
        <w:rPr>
          <w:rFonts w:ascii="Arial" w:cs="Arial" w:eastAsia="Arial" w:hAnsi="Arial"/>
          <w:sz w:val="16"/>
          <w:szCs w:val="16"/>
          <w:color w:val="auto"/>
        </w:rPr>
        <w:t>validity and enforceability of the remaining provisions of this Agreement and the other Loan Documents shall not be affected or impaired thereby and</w:t>
      </w:r>
    </w:p>
    <w:p>
      <w:pPr>
        <w:spacing w:after="0" w:line="1" w:lineRule="exact"/>
        <w:rPr>
          <w:sz w:val="20"/>
          <w:szCs w:val="20"/>
          <w:color w:val="auto"/>
        </w:rPr>
      </w:pPr>
    </w:p>
    <w:p>
      <w:pPr>
        <w:ind w:right="180" w:firstLine="4"/>
        <w:spacing w:after="0" w:line="252" w:lineRule="auto"/>
        <w:tabs>
          <w:tab w:leader="none" w:pos="255"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10.12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spacing w:after="0" w:line="190" w:lineRule="exact"/>
        <w:rPr>
          <w:sz w:val="20"/>
          <w:szCs w:val="20"/>
          <w:color w:val="auto"/>
        </w:rPr>
      </w:pPr>
    </w:p>
    <w:p>
      <w:pPr>
        <w:ind w:right="80" w:firstLine="441"/>
        <w:spacing w:after="0" w:line="256" w:lineRule="auto"/>
        <w:rPr>
          <w:sz w:val="20"/>
          <w:szCs w:val="20"/>
          <w:color w:val="auto"/>
        </w:rPr>
      </w:pPr>
      <w:r>
        <w:rPr>
          <w:rFonts w:ascii="Arial" w:cs="Arial" w:eastAsia="Arial" w:hAnsi="Arial"/>
          <w:sz w:val="18"/>
          <w:szCs w:val="18"/>
          <w:b w:val="1"/>
          <w:bCs w:val="1"/>
          <w:color w:val="auto"/>
        </w:rPr>
        <w:t xml:space="preserve">10.13 Replacement of Lenders. </w:t>
      </w:r>
      <w:r>
        <w:rPr>
          <w:rFonts w:ascii="Arial" w:cs="Arial" w:eastAsia="Arial" w:hAnsi="Arial"/>
          <w:sz w:val="18"/>
          <w:szCs w:val="18"/>
          <w:color w:val="auto"/>
        </w:rPr>
        <w:t>If the Company is entitled to replace a Lender pursuant to 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3.06</w:t>
      </w:r>
      <w:r>
        <w:rPr>
          <w:rFonts w:ascii="Arial" w:cs="Arial" w:eastAsia="Arial" w:hAnsi="Arial"/>
          <w:sz w:val="18"/>
          <w:szCs w:val="18"/>
          <w:color w:val="auto"/>
        </w:rPr>
        <w:t>, or if any Lender is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Defaulting Lender or a Non-Consenting Lender,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all of its interests, rights (other than its existing rights to payments pursuant to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4" w:lineRule="exact"/>
        <w:rPr>
          <w:sz w:val="20"/>
          <w:szCs w:val="20"/>
          <w:color w:val="auto"/>
        </w:rPr>
      </w:pPr>
    </w:p>
    <w:p>
      <w:pPr>
        <w:ind w:right="260" w:firstLine="444"/>
        <w:spacing w:after="0" w:line="277" w:lineRule="auto"/>
        <w:tabs>
          <w:tab w:leader="none" w:pos="68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the Company shall have paid (or caused a Designated Borrower to pay) to the Administrative Agent the assignment fee (if any) specified in </w:t>
      </w:r>
      <w:r>
        <w:rPr>
          <w:rFonts w:ascii="Arial" w:cs="Arial" w:eastAsia="Arial" w:hAnsi="Arial"/>
          <w:sz w:val="18"/>
          <w:szCs w:val="18"/>
          <w:u w:val="single" w:color="auto"/>
          <w:color w:val="auto"/>
        </w:rPr>
        <w:t>Section 10.06(b)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280" w:firstLine="444"/>
        <w:spacing w:after="0" w:line="259" w:lineRule="auto"/>
        <w:tabs>
          <w:tab w:leader="none" w:pos="69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8"/>
          <w:szCs w:val="18"/>
          <w:u w:val="single" w:color="auto"/>
          <w:color w:val="auto"/>
        </w:rPr>
        <w:t>Section 3.05</w:t>
      </w:r>
      <w:r>
        <w:rPr>
          <w:rFonts w:ascii="Arial" w:cs="Arial" w:eastAsia="Arial" w:hAnsi="Arial"/>
          <w:sz w:val="18"/>
          <w:szCs w:val="18"/>
          <w:color w:val="auto"/>
        </w:rPr>
        <w:t>) from the assignee (to the extent of such outstanding principal and accrued interest and fees) or the Company or applicable Designated Borrower (in the case of all other amounts);</w:t>
      </w:r>
    </w:p>
    <w:p>
      <w:pPr>
        <w:spacing w:after="0" w:line="78" w:lineRule="exact"/>
        <w:rPr>
          <w:rFonts w:ascii="Arial" w:cs="Arial" w:eastAsia="Arial" w:hAnsi="Arial"/>
          <w:sz w:val="18"/>
          <w:szCs w:val="18"/>
          <w:color w:val="auto"/>
        </w:rPr>
      </w:pPr>
    </w:p>
    <w:p>
      <w:pPr>
        <w:ind w:right="220" w:firstLine="444"/>
        <w:spacing w:after="0" w:line="277" w:lineRule="auto"/>
        <w:tabs>
          <w:tab w:leader="none" w:pos="68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 xml:space="preserve">in the case of any such assignment resulting from a claim for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payments required to be made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such assignment will result in a reduction in such compensation or payments thereafter;</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0"/>
          </w:cols>
          <w:pgMar w:left="440" w:top="274" w:right="459" w:bottom="1440" w:gutter="0" w:footer="0" w:header="0"/>
        </w:sectPr>
      </w:pPr>
    </w:p>
    <w:bookmarkStart w:id="139" w:name="page140"/>
    <w:bookmarkEnd w:id="139"/>
    <w:p>
      <w:pPr>
        <w:ind w:right="160" w:firstLine="444"/>
        <w:spacing w:after="0" w:line="277" w:lineRule="auto"/>
        <w:tabs>
          <w:tab w:leader="none" w:pos="685"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an assignment resulting from a Lender becoming a Non-Consenting Lender, the applicable assignee shall have consented to the applicable amendment, waiver or consent.</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Company to require such assignment and delegation cease to apply.</w:t>
      </w:r>
    </w:p>
    <w:p>
      <w:pPr>
        <w:spacing w:after="0" w:line="170" w:lineRule="exact"/>
        <w:rPr>
          <w:sz w:val="20"/>
          <w:szCs w:val="20"/>
          <w:color w:val="auto"/>
        </w:rPr>
      </w:pPr>
    </w:p>
    <w:p>
      <w:pPr>
        <w:ind w:right="220" w:firstLine="441"/>
        <w:spacing w:after="0" w:line="255" w:lineRule="auto"/>
        <w:rPr>
          <w:sz w:val="20"/>
          <w:szCs w:val="20"/>
          <w:color w:val="auto"/>
        </w:rPr>
      </w:pPr>
      <w:r>
        <w:rPr>
          <w:rFonts w:ascii="Arial" w:cs="Arial" w:eastAsia="Arial" w:hAnsi="Arial"/>
          <w:sz w:val="18"/>
          <w:szCs w:val="18"/>
          <w:color w:val="auto"/>
        </w:rPr>
        <w:t xml:space="preserve">Each party hereto agrees that (x) an assignment required pursuant to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may be effected pursuant to an Assignment and Assumption executed by the Company, the Administrative Agent and the assignee and (y) the Lender required to make such assignment need not be a party thereto in order for such assignment to be effective and shall be deemed to have consented to an be bound by the terms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such documents shall be without recourse to or warranty by the parties thereto.</w:t>
      </w:r>
    </w:p>
    <w:p>
      <w:pPr>
        <w:spacing w:after="0" w:line="19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10.13</w:t>
      </w:r>
      <w:r>
        <w:rPr>
          <w:rFonts w:ascii="Arial" w:cs="Arial" w:eastAsia="Arial" w:hAnsi="Arial"/>
          <w:sz w:val="18"/>
          <w:szCs w:val="18"/>
          <w:color w:val="auto"/>
        </w:rPr>
        <w:t xml:space="preserve"> to the contrary, (i) any Lender that acts as an L/C Issuer may not be replaced hereunder at any time it has any Letter of Credit outstanding hereunder unless arrangements satisfactory to such Lender (including the furnishing of a backstop standby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(ii) the Lender that acts as the Administrative Agent may not be replaced hereunder except in accordance with the terms of </w:t>
      </w:r>
      <w:r>
        <w:rPr>
          <w:rFonts w:ascii="Arial" w:cs="Arial" w:eastAsia="Arial" w:hAnsi="Arial"/>
          <w:sz w:val="18"/>
          <w:szCs w:val="18"/>
          <w:u w:val="single" w:color="auto"/>
          <w:color w:val="auto"/>
        </w:rPr>
        <w:t>Section 9.06</w:t>
      </w:r>
      <w:r>
        <w:rPr>
          <w:rFonts w:ascii="Arial" w:cs="Arial" w:eastAsia="Arial" w:hAnsi="Arial"/>
          <w:sz w:val="18"/>
          <w:szCs w:val="18"/>
          <w:color w:val="auto"/>
        </w:rPr>
        <w: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10.14 Governing Law; Jurisdiction; Etc.</w:t>
      </w:r>
    </w:p>
    <w:p>
      <w:pPr>
        <w:spacing w:after="0" w:line="121" w:lineRule="exact"/>
        <w:rPr>
          <w:sz w:val="20"/>
          <w:szCs w:val="20"/>
          <w:color w:val="auto"/>
        </w:rPr>
      </w:pPr>
    </w:p>
    <w:p>
      <w:pPr>
        <w:ind w:right="40" w:firstLine="444"/>
        <w:spacing w:after="0" w:line="257" w:lineRule="auto"/>
        <w:tabs>
          <w:tab w:leader="none" w:pos="685"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80" w:lineRule="exact"/>
        <w:rPr>
          <w:rFonts w:ascii="Arial" w:cs="Arial" w:eastAsia="Arial" w:hAnsi="Arial"/>
          <w:sz w:val="18"/>
          <w:szCs w:val="18"/>
          <w:color w:val="auto"/>
        </w:rPr>
      </w:pPr>
    </w:p>
    <w:p>
      <w:pPr>
        <w:ind w:firstLine="444"/>
        <w:spacing w:after="0" w:line="269" w:lineRule="auto"/>
        <w:tabs>
          <w:tab w:leader="none" w:pos="695"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EXCEPT TO THE EXTENT MANDATED BY APPLICABLE LAW OR RULES OF PROCEDURE, EACH BORROWER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20"/>
          </w:cols>
          <w:pgMar w:left="440" w:top="274" w:right="439" w:bottom="1440" w:gutter="0" w:footer="0" w:header="0"/>
        </w:sectPr>
      </w:pPr>
    </w:p>
    <w:bookmarkStart w:id="140" w:name="page141"/>
    <w:bookmarkEnd w:id="14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ANY BORROWER OR ITS PROPERTIES IN THE COURTS OF ANY JURISDICTION.</w:t>
      </w:r>
    </w:p>
    <w:p>
      <w:pPr>
        <w:spacing w:after="0" w:line="80" w:lineRule="exact"/>
        <w:rPr>
          <w:sz w:val="20"/>
          <w:szCs w:val="20"/>
          <w:color w:val="auto"/>
        </w:rPr>
      </w:pPr>
    </w:p>
    <w:p>
      <w:pPr>
        <w:ind w:right="40" w:firstLine="444"/>
        <w:spacing w:after="0" w:line="255" w:lineRule="auto"/>
        <w:tabs>
          <w:tab w:leader="none" w:pos="685"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WAIVER OF VENUE</w:t>
      </w:r>
      <w:r>
        <w:rPr>
          <w:rFonts w:ascii="Arial" w:cs="Arial" w:eastAsia="Arial" w:hAnsi="Arial"/>
          <w:sz w:val="18"/>
          <w:szCs w:val="18"/>
          <w:color w:val="auto"/>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85" w:lineRule="exact"/>
        <w:rPr>
          <w:rFonts w:ascii="Arial" w:cs="Arial" w:eastAsia="Arial" w:hAnsi="Arial"/>
          <w:sz w:val="18"/>
          <w:szCs w:val="18"/>
          <w:color w:val="auto"/>
        </w:rPr>
      </w:pPr>
    </w:p>
    <w:p>
      <w:pPr>
        <w:ind w:right="100" w:firstLine="444"/>
        <w:spacing w:after="0" w:line="264" w:lineRule="auto"/>
        <w:tabs>
          <w:tab w:leader="none" w:pos="695"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10.02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77"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b w:val="1"/>
          <w:bCs w:val="1"/>
          <w:color w:val="auto"/>
        </w:rPr>
        <w:t xml:space="preserve">10.15 Waiver of Jury Trial. </w:t>
      </w:r>
      <w:r>
        <w:rPr>
          <w:rFonts w:ascii="Arial" w:cs="Arial" w:eastAsia="Arial" w:hAnsi="Arial"/>
          <w:sz w:val="17"/>
          <w:szCs w:val="17"/>
          <w:color w:val="auto"/>
        </w:rPr>
        <w:t>EACH PARTY HERETO HEREBY IRREVOCABLY WAIVES, TO THE FULLEST EXTENT PERMITTED BY</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w:t>
      </w:r>
    </w:p>
    <w:p>
      <w:pPr>
        <w:spacing w:after="0" w:line="3" w:lineRule="exact"/>
        <w:rPr>
          <w:sz w:val="20"/>
          <w:szCs w:val="20"/>
          <w:color w:val="auto"/>
        </w:rPr>
      </w:pPr>
    </w:p>
    <w:p>
      <w:pPr>
        <w:ind w:right="60" w:firstLine="4"/>
        <w:spacing w:after="0" w:line="253" w:lineRule="auto"/>
        <w:tabs>
          <w:tab w:leader="none" w:pos="29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8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b w:val="1"/>
          <w:bCs w:val="1"/>
          <w:color w:val="auto"/>
        </w:rPr>
        <w:t xml:space="preserve">10.16 No Advisory or Fiduciary Responsibility. </w:t>
      </w:r>
      <w:r>
        <w:rPr>
          <w:rFonts w:ascii="Arial" w:cs="Arial" w:eastAsia="Arial" w:hAnsi="Arial"/>
          <w:sz w:val="17"/>
          <w:szCs w:val="17"/>
          <w:color w:val="auto"/>
        </w:rPr>
        <w:t>In connection with all aspects of each transaction contemplated hereby (including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any amendment, waiver or other modification hereof or of any other Loan Document), each Borrower acknowledges and agrees, and acknowledges its Affiliates’ understanding, that: (i) (A) the arranging and other services regarding this Agreement provided by the Administrative Agent, the Arranger and the Lenders are arm’s-length commercial transactions between such Borrower and its Affiliates, on the one hand, and the Administrative Agent, the Arranger and the Lenders, on the other hand, (B) such Borrower has consulted its own legal, accounting, regulatory and tax advisors to the extent it has deemed appropriate, and (C) such Borrower is capable of evaluating, and understands and accepts, the terms, risks and conditions of the transactions contemplated hereby and by the other Loan Documents; (ii) (A) each of the Administrative Agent, the Arranger and the Lenders is and has been acting solely as a principal and, except as expressly agreed in writing by the relevant parties, has not been, is not, and will not be acting as an advisor, agent or fiduciary for such Borrower or any of its Affiliates or any other Person and (B) neither the Administrative Agent, the Arranger nor any Lender has any obligation to such Borrower or any of its Affiliates with respect to the transactions contemplated hereby except those obligations expressly set forth herein and in the other Loan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00"/>
          </w:cols>
          <w:pgMar w:left="440" w:top="274" w:right="459" w:bottom="1440" w:gutter="0" w:footer="0" w:header="0"/>
        </w:sectPr>
      </w:pPr>
    </w:p>
    <w:bookmarkStart w:id="141" w:name="page142"/>
    <w:bookmarkEnd w:id="141"/>
    <w:p>
      <w:pPr>
        <w:ind w:right="10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Documents; and (iii) the Administrative Agent, the Arranger and the Lenders and their respective Affiliates may be engaged in a broad range of transactions that involve interests that differ from those of such Borrower and its Affiliates, and neither the Administrative Agent, the Arranger nor any Lender has any obligation to disclose any of such interests to any Borrower or any of their respective Affiliates. To the fullest extent permitted by law, each of the Borrowers hereby waives and releases any claims that it may have against the Administrative Agent, the Arranger or any Lender with respect to any breach or alleged breach of agency or fiduciary duty in connection with any aspect of any transaction contemplated hereby.</w:t>
      </w:r>
    </w:p>
    <w:p>
      <w:pPr>
        <w:spacing w:after="0" w:line="154"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b w:val="1"/>
          <w:bCs w:val="1"/>
          <w:color w:val="auto"/>
        </w:rPr>
        <w:t xml:space="preserve">10.17 Electronic Execution of Assignments and Certain Other Documents. </w:t>
      </w:r>
      <w:r>
        <w:rPr>
          <w:rFonts w:ascii="Arial" w:cs="Arial" w:eastAsia="Arial" w:hAnsi="Arial"/>
          <w:sz w:val="17"/>
          <w:szCs w:val="17"/>
          <w:color w:val="auto"/>
        </w:rPr>
        <w:t>The words “execute,” “execution,” “signed,” “signature,”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words of like import in or related to any document to be signed in connection with this Agreement and the transactions contemplated hereby (including without limitation Assignment and Assumptions, amendments or other modifications, Loan Notices, Swing Line Loan Notices,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neither the Administrative Agent, any L/C Issuer nor any Lender is under any obligation to agree to accept electronic signatures in any form or in any format unless expressly agreed to by the Administrative Agent, such L/C Issuer or such Lender pursuant to procedures approved by it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without limiting the foregoing, upon the request of any party, any electronic signature shall be promptly followed by such manually executed counterpart.</w:t>
      </w:r>
    </w:p>
    <w:p>
      <w:pPr>
        <w:spacing w:after="0" w:line="180"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b w:val="1"/>
          <w:bCs w:val="1"/>
          <w:color w:val="auto"/>
        </w:rPr>
        <w:t xml:space="preserve">10.18 USA PATRIOT Act. </w:t>
      </w:r>
      <w:r>
        <w:rPr>
          <w:rFonts w:ascii="Arial" w:cs="Arial" w:eastAsia="Arial" w:hAnsi="Arial"/>
          <w:sz w:val="17"/>
          <w:szCs w:val="17"/>
          <w:color w:val="auto"/>
        </w:rPr>
        <w:t>Each Lender that is subject to the Act (as hereinafter defined) and the Administrative Agent (for itself and not on</w:t>
      </w:r>
      <w:r>
        <w:rPr>
          <w:rFonts w:ascii="Arial" w:cs="Arial" w:eastAsia="Arial" w:hAnsi="Arial"/>
          <w:sz w:val="17"/>
          <w:szCs w:val="17"/>
          <w:b w:val="1"/>
          <w:bCs w:val="1"/>
          <w:color w:val="auto"/>
        </w:rPr>
        <w:t xml:space="preserve"> </w:t>
      </w:r>
      <w:r>
        <w:rPr>
          <w:rFonts w:ascii="Arial" w:cs="Arial" w:eastAsia="Arial" w:hAnsi="Arial"/>
          <w:sz w:val="17"/>
          <w:szCs w:val="17"/>
          <w:color w:val="auto"/>
        </w:rPr>
        <w:t>behalf of any Lender) hereby notifies the Borrowers that pursuant to the requirements of the USA PATRIOT Act (Title III of Pub. L. 107-56 (signed into law October 26, 2001)) (the “</w:t>
      </w:r>
      <w:r>
        <w:rPr>
          <w:rFonts w:ascii="Arial" w:cs="Arial" w:eastAsia="Arial" w:hAnsi="Arial"/>
          <w:sz w:val="17"/>
          <w:szCs w:val="17"/>
          <w:u w:val="single" w:color="auto"/>
          <w:color w:val="auto"/>
        </w:rPr>
        <w:t>Act</w:t>
      </w:r>
      <w:r>
        <w:rPr>
          <w:rFonts w:ascii="Arial" w:cs="Arial" w:eastAsia="Arial" w:hAnsi="Arial"/>
          <w:sz w:val="17"/>
          <w:szCs w:val="17"/>
          <w:color w:val="auto"/>
        </w:rPr>
        <w: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Act. Each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72"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b w:val="1"/>
          <w:bCs w:val="1"/>
          <w:color w:val="auto"/>
        </w:rPr>
        <w:t xml:space="preserve">10.19 Keepwell. </w:t>
      </w:r>
      <w:r>
        <w:rPr>
          <w:rFonts w:ascii="Arial" w:cs="Arial" w:eastAsia="Arial" w:hAnsi="Arial"/>
          <w:sz w:val="17"/>
          <w:szCs w:val="17"/>
          <w:color w:val="auto"/>
        </w:rPr>
        <w:t>The Company hereby absolutely, unconditionally and irrevocably undertakes to provide such funds or other support to 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Subsidiary Guarantor as may be needed by such Subsidiary Guarantor from time to time to honor all of its obligations under the Subsidiary Guaranty to which it is a party and the other Loan Documents to which it is a party in respect of Swap Obligations that would, in absence of the agreement in this </w:t>
      </w:r>
      <w:r>
        <w:rPr>
          <w:rFonts w:ascii="Arial" w:cs="Arial" w:eastAsia="Arial" w:hAnsi="Arial"/>
          <w:sz w:val="17"/>
          <w:szCs w:val="17"/>
          <w:u w:val="single" w:color="auto"/>
          <w:color w:val="auto"/>
        </w:rPr>
        <w:t>Section 10.19</w:t>
      </w:r>
      <w:r>
        <w:rPr>
          <w:rFonts w:ascii="Arial" w:cs="Arial" w:eastAsia="Arial" w:hAnsi="Arial"/>
          <w:sz w:val="17"/>
          <w:szCs w:val="17"/>
          <w:color w:val="auto"/>
        </w:rPr>
        <w:t xml:space="preserve">, otherwise constitute Excluded Swap Obligations (but, in each case, only up to the maximum amount of such liability that can be hereby incurred without rendering the Company’s obligations and undertakings under this </w:t>
      </w:r>
      <w:r>
        <w:rPr>
          <w:rFonts w:ascii="Arial" w:cs="Arial" w:eastAsia="Arial" w:hAnsi="Arial"/>
          <w:sz w:val="17"/>
          <w:szCs w:val="17"/>
          <w:u w:val="single" w:color="auto"/>
          <w:color w:val="auto"/>
        </w:rPr>
        <w:t>Section 10.19</w:t>
      </w:r>
      <w:r>
        <w:rPr>
          <w:rFonts w:ascii="Arial" w:cs="Arial" w:eastAsia="Arial" w:hAnsi="Arial"/>
          <w:sz w:val="17"/>
          <w:szCs w:val="17"/>
          <w:color w:val="auto"/>
        </w:rPr>
        <w:t xml:space="preserve"> voidable under applicable law relating to fraudulent conveyance or fraudulent transfer, and not for any greater amount). The obligations and undertakings of the Company under this </w:t>
      </w:r>
      <w:r>
        <w:rPr>
          <w:rFonts w:ascii="Arial" w:cs="Arial" w:eastAsia="Arial" w:hAnsi="Arial"/>
          <w:sz w:val="17"/>
          <w:szCs w:val="17"/>
          <w:u w:val="single" w:color="auto"/>
          <w:color w:val="auto"/>
        </w:rPr>
        <w:t>Section 10.19</w:t>
      </w:r>
      <w:r>
        <w:rPr>
          <w:rFonts w:ascii="Arial" w:cs="Arial" w:eastAsia="Arial" w:hAnsi="Arial"/>
          <w:sz w:val="17"/>
          <w:szCs w:val="17"/>
          <w:color w:val="auto"/>
        </w:rPr>
        <w:t xml:space="preserve"> shall remain in full force and effect until the Obligations have been indefeasibly paid and performed in full. The Company intends this </w:t>
      </w:r>
      <w:r>
        <w:rPr>
          <w:rFonts w:ascii="Arial" w:cs="Arial" w:eastAsia="Arial" w:hAnsi="Arial"/>
          <w:sz w:val="17"/>
          <w:szCs w:val="17"/>
          <w:u w:val="single" w:color="auto"/>
          <w:color w:val="auto"/>
        </w:rPr>
        <w:t>Section 10.19</w:t>
      </w:r>
      <w:r>
        <w:rPr>
          <w:rFonts w:ascii="Arial" w:cs="Arial" w:eastAsia="Arial" w:hAnsi="Arial"/>
          <w:sz w:val="17"/>
          <w:szCs w:val="17"/>
          <w:color w:val="auto"/>
        </w:rPr>
        <w:t xml:space="preserve"> to constitute, and this </w:t>
      </w:r>
      <w:r>
        <w:rPr>
          <w:rFonts w:ascii="Arial" w:cs="Arial" w:eastAsia="Arial" w:hAnsi="Arial"/>
          <w:sz w:val="17"/>
          <w:szCs w:val="17"/>
          <w:u w:val="single" w:color="auto"/>
          <w:color w:val="auto"/>
        </w:rPr>
        <w:t>Section 10.19</w:t>
      </w:r>
      <w:r>
        <w:rPr>
          <w:rFonts w:ascii="Arial" w:cs="Arial" w:eastAsia="Arial" w:hAnsi="Arial"/>
          <w:sz w:val="17"/>
          <w:szCs w:val="17"/>
          <w:color w:val="auto"/>
        </w:rPr>
        <w:t xml:space="preserve"> shall be deemed to constitute, a guarantee of the obligations of, and a “keepwell, support, or other agreement” for the benefit of, each Subsidiary Guarantor for all purposes of the Commodity Exchange Act.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00"/>
          </w:cols>
          <w:pgMar w:left="440" w:top="274" w:right="459" w:bottom="1440" w:gutter="0" w:footer="0" w:header="0"/>
        </w:sectPr>
      </w:pPr>
    </w:p>
    <w:bookmarkStart w:id="142" w:name="page143"/>
    <w:bookmarkEnd w:id="142"/>
    <w:p>
      <w:pPr>
        <w:ind w:right="20" w:firstLine="441"/>
        <w:spacing w:after="0" w:line="286"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10.20 Judgment Currency. </w:t>
      </w:r>
      <w:r>
        <w:rPr>
          <w:rFonts w:ascii="Arial" w:cs="Arial" w:eastAsia="Arial" w:hAnsi="Arial"/>
          <w:sz w:val="16"/>
          <w:szCs w:val="16"/>
          <w:color w:val="auto"/>
        </w:rPr>
        <w:t>If, for the purposes of obtaining judgment in any court, it is necessary to convert a sum due hereunder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each Borrower in respect of any such sum due from it to the Administrative Agent, any Lender or any L/C Issuer hereunder or under the other Loan Documents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the Administrative Agent, such Lender or such L/C Issuer, as the case may be, of any sum adjudged to be so due in the Judgment Currency, the Administrative Agent, such Lender or such L/C Issuer, as the case may be, may in accordance with normal banking procedures purchase the Agreement Currency with the Judgment Currency. If the amount of the Agreement Currency so purchased is less than the sum originally due to the Administrative Agent, any Lender or any L/C Issuer from any Borrower in the Agreement Currency, such Borrower agrees, as a separate obligation and notwithstanding any such judgment, to indemnify the Administrative Agent, such Lender or such L/C Issuer, as the case may be, against such loss. If the amount of the Agreement Currency so purchased is greater than the sum originally due to the Administrative Agent, any Lender or any L/C Issuer in such currency, the Administrative Agent, such Lender or such L/C Issuer, as the case may be, agrees to return the amount of any excess to such Borrower (or to any other Person who may be entitled thereto under applicable law).</w:t>
      </w:r>
    </w:p>
    <w:p>
      <w:pPr>
        <w:spacing w:after="0" w:line="172"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b w:val="1"/>
          <w:bCs w:val="1"/>
          <w:color w:val="auto"/>
        </w:rPr>
        <w:t xml:space="preserve">10.21 Amendment and Restatement; No Novation. </w:t>
      </w:r>
      <w:r>
        <w:rPr>
          <w:rFonts w:ascii="Arial" w:cs="Arial" w:eastAsia="Arial" w:hAnsi="Arial"/>
          <w:sz w:val="16"/>
          <w:szCs w:val="16"/>
          <w:color w:val="auto"/>
        </w:rPr>
        <w:t>This Agreement constitutes an amendment and restatement of the Existing Credit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effective from and after the Closing Date. The execution and delivery of this Agreement shall not constitute a novation of any indebtedness or other obligations owing to the Lenders or the Administrative Agent under the Existing Credit Agreement based on facts or events occurring or existing prior to the execution and delivery of this Agreement. On the Closing Date, the credit facilities described in the Existing Credit Agreement, shall be amended, supplemented, modified and restated in their entirety by the facilities described herein, and all loans and other obligations of the Borrowers outstanding as of such date under the Existing Credit Agreement, shall be deemed to be loans and obligations outstanding under the corresponding facilities described herein, without any further action by any Person, except that the Administrative Agent shall make such transfers of funds as are necessary in order that the outstanding balance of such Loans, together with any Loans funded on the Closing Date, reflect the respective Applicable Percentages of the Lenders hereunder and the Borrowers agree to pay any amounts required pursuant to </w:t>
      </w:r>
      <w:r>
        <w:rPr>
          <w:rFonts w:ascii="Arial" w:cs="Arial" w:eastAsia="Arial" w:hAnsi="Arial"/>
          <w:sz w:val="16"/>
          <w:szCs w:val="16"/>
          <w:u w:val="single" w:color="auto"/>
          <w:color w:val="auto"/>
        </w:rPr>
        <w:t>Section 3.05</w:t>
      </w:r>
      <w:r>
        <w:rPr>
          <w:rFonts w:ascii="Arial" w:cs="Arial" w:eastAsia="Arial" w:hAnsi="Arial"/>
          <w:sz w:val="16"/>
          <w:szCs w:val="16"/>
          <w:color w:val="auto"/>
        </w:rPr>
        <w:t xml:space="preserve"> in connection with such transfers as if all Loans under the Existing Credit Agreement were repaid on the Closing Date, to the extent not waived by the applicable Lenders.</w:t>
      </w:r>
    </w:p>
    <w:p>
      <w:pPr>
        <w:spacing w:after="0" w:line="161" w:lineRule="exact"/>
        <w:rPr>
          <w:sz w:val="20"/>
          <w:szCs w:val="20"/>
          <w:color w:val="auto"/>
        </w:rPr>
      </w:pPr>
    </w:p>
    <w:p>
      <w:pPr>
        <w:ind w:right="260" w:firstLine="441"/>
        <w:spacing w:after="0" w:line="298" w:lineRule="auto"/>
        <w:rPr>
          <w:sz w:val="20"/>
          <w:szCs w:val="20"/>
          <w:color w:val="auto"/>
        </w:rPr>
      </w:pPr>
      <w:r>
        <w:rPr>
          <w:rFonts w:ascii="Arial" w:cs="Arial" w:eastAsia="Arial" w:hAnsi="Arial"/>
          <w:sz w:val="16"/>
          <w:szCs w:val="16"/>
          <w:b w:val="1"/>
          <w:bCs w:val="1"/>
          <w:color w:val="auto"/>
        </w:rPr>
        <w:t xml:space="preserve">10.22 Acknowledgment and Consent to Bail-In of EEA Financial Institutions. </w:t>
      </w:r>
      <w:r>
        <w:rPr>
          <w:rFonts w:ascii="Arial" w:cs="Arial" w:eastAsia="Arial" w:hAnsi="Arial"/>
          <w:sz w:val="16"/>
          <w:szCs w:val="16"/>
          <w:color w:val="auto"/>
        </w:rPr>
        <w:t>Solely to the extent any Lender or L/C Issuer that is an EEA</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50" w:lineRule="exact"/>
        <w:rPr>
          <w:sz w:val="20"/>
          <w:szCs w:val="20"/>
          <w:color w:val="auto"/>
        </w:rPr>
      </w:pPr>
    </w:p>
    <w:p>
      <w:pPr>
        <w:ind w:right="280" w:firstLine="444"/>
        <w:spacing w:after="0" w:line="277" w:lineRule="auto"/>
        <w:tabs>
          <w:tab w:leader="none" w:pos="685"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or L/C Issuer that is an EEA Financial Institution; and</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0"/>
          </w:cols>
          <w:pgMar w:left="440" w:top="270" w:right="459" w:bottom="1440" w:gutter="0" w:footer="0" w:header="0"/>
        </w:sectPr>
      </w:pPr>
    </w:p>
    <w:bookmarkStart w:id="143" w:name="page144"/>
    <w:bookmarkEnd w:id="143"/>
    <w:p>
      <w:pPr>
        <w:ind w:left="1080" w:hanging="212"/>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reduction in full or in part or cancellation of any such liability;</w:t>
      </w:r>
    </w:p>
    <w:p>
      <w:pPr>
        <w:spacing w:after="0" w:line="117" w:lineRule="exact"/>
        <w:rPr>
          <w:rFonts w:ascii="Arial" w:cs="Arial" w:eastAsia="Arial" w:hAnsi="Arial"/>
          <w:sz w:val="18"/>
          <w:szCs w:val="18"/>
          <w:color w:val="auto"/>
        </w:rPr>
      </w:pPr>
    </w:p>
    <w:p>
      <w:pPr>
        <w:ind w:left="440" w:right="400" w:firstLine="428"/>
        <w:spacing w:after="0" w:line="312" w:lineRule="auto"/>
        <w:tabs>
          <w:tab w:leader="none" w:pos="1128"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38" w:lineRule="exact"/>
        <w:rPr>
          <w:rFonts w:ascii="Arial" w:cs="Arial" w:eastAsia="Arial" w:hAnsi="Arial"/>
          <w:sz w:val="16"/>
          <w:szCs w:val="16"/>
          <w:color w:val="auto"/>
        </w:rPr>
      </w:pPr>
    </w:p>
    <w:p>
      <w:pPr>
        <w:ind w:left="440" w:right="520" w:firstLine="428"/>
        <w:spacing w:after="0" w:line="277" w:lineRule="auto"/>
        <w:tabs>
          <w:tab w:leader="none" w:pos="1178"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66"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b w:val="1"/>
          <w:bCs w:val="1"/>
          <w:color w:val="auto"/>
        </w:rPr>
        <w:t xml:space="preserve">10.23 Acknowledgement Regarding Any Supported QFCs. </w:t>
      </w:r>
      <w:r>
        <w:rPr>
          <w:rFonts w:ascii="Arial" w:cs="Arial" w:eastAsia="Arial" w:hAnsi="Arial"/>
          <w:sz w:val="17"/>
          <w:szCs w:val="17"/>
          <w:color w:val="auto"/>
        </w:rPr>
        <w:t>To the extent that the Loan Documents provide support, through a guarantee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for any Swap Contract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68" w:lineRule="exact"/>
        <w:rPr>
          <w:sz w:val="20"/>
          <w:szCs w:val="20"/>
          <w:color w:val="auto"/>
        </w:rPr>
      </w:pPr>
    </w:p>
    <w:p>
      <w:pPr>
        <w:ind w:left="440" w:right="40" w:firstLine="428"/>
        <w:spacing w:after="0" w:line="269" w:lineRule="auto"/>
        <w:tabs>
          <w:tab w:leader="none" w:pos="1108" w:val="left"/>
        </w:tabs>
        <w:numPr>
          <w:ilvl w:val="0"/>
          <w:numId w:val="214"/>
        </w:numPr>
        <w:rPr>
          <w:rFonts w:ascii="Arial" w:cs="Arial" w:eastAsia="Arial" w:hAnsi="Arial"/>
          <w:sz w:val="17"/>
          <w:szCs w:val="17"/>
          <w:color w:val="auto"/>
        </w:rPr>
      </w:pPr>
      <w:r>
        <w:rPr>
          <w:rFonts w:ascii="Arial" w:cs="Arial" w:eastAsia="Arial" w:hAnsi="Arial"/>
          <w:sz w:val="17"/>
          <w:szCs w:val="17"/>
          <w:color w:val="auto"/>
        </w:rPr>
        <w:t>In the event a Covered Entity that is party to a Supported QFC (each, a “</w:t>
      </w:r>
      <w:r>
        <w:rPr>
          <w:rFonts w:ascii="Arial" w:cs="Arial" w:eastAsia="Arial" w:hAnsi="Arial"/>
          <w:sz w:val="17"/>
          <w:szCs w:val="17"/>
          <w:u w:val="single" w:color="auto"/>
          <w:color w:val="auto"/>
        </w:rPr>
        <w:t>Covered Party</w:t>
      </w:r>
      <w:r>
        <w:rPr>
          <w:rFonts w:ascii="Arial" w:cs="Arial" w:eastAsia="Arial" w:hAnsi="Arial"/>
          <w:sz w:val="17"/>
          <w:szCs w:val="17"/>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71" w:lineRule="exact"/>
        <w:rPr>
          <w:rFonts w:ascii="Arial" w:cs="Arial" w:eastAsia="Arial" w:hAnsi="Arial"/>
          <w:sz w:val="17"/>
          <w:szCs w:val="17"/>
          <w:color w:val="auto"/>
        </w:rPr>
      </w:pPr>
    </w:p>
    <w:p>
      <w:pPr>
        <w:ind w:left="1120" w:hanging="252"/>
        <w:spacing w:after="0"/>
        <w:tabs>
          <w:tab w:leader="none" w:pos="11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As used in this </w:t>
      </w:r>
      <w:r>
        <w:rPr>
          <w:rFonts w:ascii="Arial" w:cs="Arial" w:eastAsia="Arial" w:hAnsi="Arial"/>
          <w:sz w:val="18"/>
          <w:szCs w:val="18"/>
          <w:u w:val="single" w:color="auto"/>
          <w:color w:val="auto"/>
        </w:rPr>
        <w:t>Section 10.23</w:t>
      </w:r>
      <w:r>
        <w:rPr>
          <w:rFonts w:ascii="Arial" w:cs="Arial" w:eastAsia="Arial" w:hAnsi="Arial"/>
          <w:sz w:val="18"/>
          <w:szCs w:val="18"/>
          <w:color w:val="auto"/>
        </w:rPr>
        <w:t>, the following terms have the following meanings:</w:t>
      </w:r>
    </w:p>
    <w:p>
      <w:pPr>
        <w:spacing w:after="0" w:line="117" w:lineRule="exact"/>
        <w:rPr>
          <w:sz w:val="20"/>
          <w:szCs w:val="20"/>
          <w:color w:val="auto"/>
        </w:rPr>
      </w:pPr>
    </w:p>
    <w:p>
      <w:pPr>
        <w:ind w:left="44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BHC Act Affiliate</w:t>
      </w:r>
      <w:r>
        <w:rPr>
          <w:rFonts w:ascii="Arial" w:cs="Arial" w:eastAsia="Arial" w:hAnsi="Arial"/>
          <w:sz w:val="18"/>
          <w:szCs w:val="18"/>
          <w:color w:val="auto"/>
        </w:rPr>
        <w:t>” of a party means an “affiliate” (as such term is defined under, and interpreted in accordance with, 12 U.S.C. 1841(k)) of such party.</w:t>
      </w:r>
    </w:p>
    <w:p>
      <w:pPr>
        <w:spacing w:after="0" w:line="62"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Covered Entity</w:t>
      </w:r>
      <w:r>
        <w:rPr>
          <w:rFonts w:ascii="Arial" w:cs="Arial" w:eastAsia="Arial" w:hAnsi="Arial"/>
          <w:sz w:val="16"/>
          <w:szCs w:val="16"/>
          <w:color w:val="auto"/>
        </w:rPr>
        <w:t>” means any of the following: (i) a “covered entity” as that term is defined in, and interpreted in accordance with, 12 C.F.R.</w:t>
      </w:r>
    </w:p>
    <w:p>
      <w:pPr>
        <w:spacing w:after="0" w:line="46" w:lineRule="exact"/>
        <w:rPr>
          <w:sz w:val="20"/>
          <w:szCs w:val="20"/>
          <w:color w:val="auto"/>
        </w:rPr>
      </w:pPr>
    </w:p>
    <w:p>
      <w:pPr>
        <w:ind w:left="440" w:right="280" w:firstLine="4"/>
        <w:spacing w:after="0" w:line="261" w:lineRule="auto"/>
        <w:tabs>
          <w:tab w:leader="none" w:pos="57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252.82(b); (ii) a “covered bank” as that term is defined in, and interpreted in accordance with, 12 C.F.R. § 47.3(b); or (iii) a “covered FSI” as that term is defined in, and interpreted in accordance with, 12 C.F.R. § 382.2(b).</w:t>
      </w:r>
    </w:p>
    <w:p>
      <w:pPr>
        <w:spacing w:after="0" w:line="76" w:lineRule="exact"/>
        <w:rPr>
          <w:sz w:val="20"/>
          <w:szCs w:val="20"/>
          <w:color w:val="auto"/>
        </w:rPr>
      </w:pPr>
    </w:p>
    <w:p>
      <w:pPr>
        <w:ind w:left="440" w:right="60" w:firstLine="42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20"/>
          </w:cols>
          <w:pgMar w:left="440" w:top="274" w:right="439" w:bottom="1440" w:gutter="0" w:footer="0" w:header="0"/>
        </w:sectPr>
      </w:pPr>
    </w:p>
    <w:bookmarkStart w:id="144" w:name="page145"/>
    <w:bookmarkEnd w:id="144"/>
    <w:p>
      <w:pPr>
        <w:ind w:left="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“qualified financial contract” in, and shall be interpreted in accordance with, 12 U.S.C. 5390(c)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(8)(D).</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560"/>
          </w:cols>
          <w:pgMar w:left="880" w:top="274" w:right="459" w:bottom="1440" w:gutter="0" w:footer="0" w:header="0"/>
        </w:sectPr>
      </w:pPr>
    </w:p>
    <w:bookmarkStart w:id="145" w:name="page146"/>
    <w:bookmarkEnd w:id="145"/>
    <w:p>
      <w:pPr>
        <w:ind w:firstLine="441"/>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WITNESS WHEREOF, </w:t>
      </w:r>
      <w:r>
        <w:rPr>
          <w:rFonts w:ascii="Arial" w:cs="Arial" w:eastAsia="Arial" w:hAnsi="Arial"/>
          <w:sz w:val="18"/>
          <w:szCs w:val="18"/>
          <w:color w:val="auto"/>
        </w:rPr>
        <w:t>the parties hereto have caused this Second Amended and Restated Credit Agreement to be duly executed as of the date</w:t>
      </w:r>
      <w:r>
        <w:rPr>
          <w:rFonts w:ascii="Arial" w:cs="Arial" w:eastAsia="Arial" w:hAnsi="Arial"/>
          <w:sz w:val="18"/>
          <w:szCs w:val="18"/>
          <w:i w:val="1"/>
          <w:iCs w:val="1"/>
          <w:color w:val="auto"/>
        </w:rPr>
        <w:t xml:space="preserve"> </w:t>
      </w:r>
      <w:r>
        <w:rPr>
          <w:rFonts w:ascii="Arial" w:cs="Arial" w:eastAsia="Arial" w:hAnsi="Arial"/>
          <w:sz w:val="18"/>
          <w:szCs w:val="18"/>
          <w:color w:val="auto"/>
        </w:rPr>
        <w:t>first above written.</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CECO ENVIRONMENTAL CORP.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Eckl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-130810</wp:posOffset>
            </wp:positionV>
            <wp:extent cx="261556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 Chief Financial Officer</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CECO Environmental Corp.</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Second Amended and Restated Credit Agreement</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900"/>
          </w:cols>
          <w:pgMar w:left="440" w:top="274" w:right="559" w:bottom="1440" w:gutter="0" w:footer="0" w:header="0"/>
        </w:sectPr>
      </w:pPr>
    </w:p>
    <w:bookmarkStart w:id="146" w:name="page147"/>
    <w:bookmarkEnd w:id="146"/>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BANK OF AMERICA, N.A., </w:t>
      </w:r>
      <w:r>
        <w:rPr>
          <w:rFonts w:ascii="Arial" w:cs="Arial" w:eastAsia="Arial" w:hAnsi="Arial"/>
          <w:sz w:val="17"/>
          <w:szCs w:val="17"/>
          <w:color w:val="auto"/>
        </w:rPr>
        <w:t>as</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Kyle D. Harding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Kyle D. Harding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Assistant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CECO Environmental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0" w:right="1440" w:bottom="1440" w:gutter="0" w:footer="0" w:header="0"/>
        </w:sectPr>
      </w:pPr>
    </w:p>
    <w:bookmarkStart w:id="147" w:name="page148"/>
    <w:bookmarkEnd w:id="147"/>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BANK OF AMERICA, N.A., </w:t>
      </w:r>
      <w:r>
        <w:rPr>
          <w:rFonts w:ascii="Arial" w:cs="Arial" w:eastAsia="Arial" w:hAnsi="Arial"/>
          <w:sz w:val="17"/>
          <w:szCs w:val="17"/>
          <w:color w:val="auto"/>
        </w:rPr>
        <w:t>as a Lender, an L/C Issuer</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 Swing Line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M. Quarles, Jr.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M. Quarles,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CECO Environmental Corp.</w:t>
      </w:r>
    </w:p>
    <w:p>
      <w:pPr>
        <w:spacing w:after="0" w:line="23" w:lineRule="exact"/>
        <w:rPr>
          <w:sz w:val="20"/>
          <w:szCs w:val="20"/>
          <w:color w:val="auto"/>
        </w:rPr>
      </w:pPr>
    </w:p>
    <w:p>
      <w:pPr>
        <w:jc w:val="center"/>
        <w:ind w:right="760"/>
        <w:spacing w:after="0"/>
        <w:rPr>
          <w:sz w:val="20"/>
          <w:szCs w:val="20"/>
          <w:color w:val="auto"/>
        </w:rPr>
      </w:pPr>
      <w:r>
        <w:rPr>
          <w:rFonts w:ascii="Arial" w:cs="Arial" w:eastAsia="Arial" w:hAnsi="Arial"/>
          <w:sz w:val="16"/>
          <w:szCs w:val="16"/>
          <w:color w:val="auto"/>
        </w:rPr>
        <w:t>Second Amended and Restated Credit Agreement</w:t>
      </w:r>
    </w:p>
    <w:p>
      <w:pPr>
        <w:spacing w:after="0" w:line="32" w:lineRule="exact"/>
        <w:rPr>
          <w:sz w:val="20"/>
          <w:szCs w:val="20"/>
          <w:color w:val="auto"/>
        </w:rPr>
      </w:pPr>
    </w:p>
    <w:p>
      <w:pPr>
        <w:jc w:val="center"/>
        <w:ind w:right="76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780"/>
          </w:cols>
          <w:pgMar w:left="1440" w:top="270" w:right="679" w:bottom="1440" w:gutter="0" w:footer="0" w:header="0"/>
        </w:sectPr>
      </w:pPr>
    </w:p>
    <w:bookmarkStart w:id="148" w:name="page149"/>
    <w:bookmarkEnd w:id="14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CITIZENS BANK, N.A.</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Dale R. Carr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Dale R. Carr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jc w:val="right"/>
        <w:ind w:right="1419"/>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CECO Environmental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0" w:right="1440" w:bottom="1440" w:gutter="0" w:footer="0" w:header="0"/>
        </w:sectPr>
      </w:pPr>
    </w:p>
    <w:bookmarkStart w:id="149" w:name="page150"/>
    <w:bookmarkEnd w:id="14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Torres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Torres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jc w:val="right"/>
        <w:ind w:right="1419"/>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CECO Environmental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0" w:right="1440" w:bottom="1440" w:gutter="0" w:footer="0" w:header="0"/>
        </w:sectPr>
      </w:pPr>
    </w:p>
    <w:bookmarkStart w:id="150" w:name="page151"/>
    <w:bookmarkEnd w:id="150"/>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FIFTH THIRD BANK</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R. Gray</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John R. Gray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Assistant Vice President</w:t>
            </w:r>
          </w:p>
        </w:tc>
      </w:tr>
    </w:tbl>
    <w:p>
      <w:pPr>
        <w:spacing w:after="0" w:line="134"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CECO Environmental Corp.</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Second Amended and Restated Credit Agreement</w:t>
      </w:r>
    </w:p>
    <w:p>
      <w:pPr>
        <w:spacing w:after="0" w:line="3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40"/>
          </w:cols>
          <w:pgMar w:left="1440" w:top="270" w:right="419" w:bottom="1440" w:gutter="0" w:footer="0" w:header="0"/>
        </w:sectPr>
      </w:pPr>
    </w:p>
    <w:bookmarkStart w:id="151" w:name="page152"/>
    <w:bookmarkEnd w:id="15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BMO HARRIS BANK, N.A.</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John Armstrong</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3880" w:type="dxa"/>
            <w:vAlign w:val="bottom"/>
          </w:tcPr>
          <w:p>
            <w:pPr>
              <w:ind w:left="40"/>
              <w:spacing w:after="0" w:line="195" w:lineRule="exact"/>
              <w:rPr>
                <w:sz w:val="20"/>
                <w:szCs w:val="20"/>
                <w:color w:val="auto"/>
              </w:rPr>
            </w:pPr>
            <w:r>
              <w:rPr>
                <w:rFonts w:ascii="Arial" w:cs="Arial" w:eastAsia="Arial" w:hAnsi="Arial"/>
                <w:sz w:val="18"/>
                <w:szCs w:val="18"/>
                <w:color w:val="auto"/>
              </w:rPr>
              <w:t>John Armstrong</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40"/>
              <w:spacing w:after="0"/>
              <w:rPr>
                <w:sz w:val="20"/>
                <w:szCs w:val="20"/>
                <w:color w:val="auto"/>
              </w:rPr>
            </w:pPr>
            <w:r>
              <w:rPr>
                <w:rFonts w:ascii="Arial" w:cs="Arial" w:eastAsia="Arial" w:hAnsi="Arial"/>
                <w:sz w:val="18"/>
                <w:szCs w:val="18"/>
                <w:color w:val="auto"/>
              </w:rPr>
              <w:t>Managing Director</w:t>
            </w:r>
          </w:p>
        </w:tc>
      </w:tr>
    </w:tbl>
    <w:p>
      <w:pPr>
        <w:spacing w:after="0" w:line="134"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CECO Environmental Corp.</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6"/>
          <w:szCs w:val="16"/>
          <w:color w:val="auto"/>
        </w:rPr>
        <w:t>Second Amended and Restated Credit Agreement</w:t>
      </w:r>
    </w:p>
    <w:p>
      <w:pPr>
        <w:spacing w:after="0" w:line="3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10040"/>
          </w:cols>
          <w:pgMar w:left="1440" w:top="270" w:right="419" w:bottom="1440" w:gutter="0" w:footer="0" w:header="0"/>
        </w:sectPr>
      </w:pPr>
    </w:p>
    <w:bookmarkStart w:id="152" w:name="page153"/>
    <w:bookmarkEnd w:id="152"/>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PNC BANK, NATIONAL ASSOCIATION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 Ruining Nguyen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 Ruining Nguyen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Senior Vice 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CECO Environmental Corp.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Second Amended and Restated Credit Agreement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ectPr>
          <w:pgSz w:w="11900" w:h="16838" w:orient="portrait"/>
          <w:cols w:equalWidth="0" w:num="1">
            <w:col w:w="9019"/>
          </w:cols>
          <w:pgMar w:left="1440" w:top="270" w:right="1440" w:bottom="1440" w:gutter="0" w:footer="0" w:header="0"/>
        </w:sectPr>
      </w:pPr>
    </w:p>
    <w:bookmarkStart w:id="153" w:name="page154"/>
    <w:bookmarkEnd w:id="153"/>
    <w:p>
      <w:pPr>
        <w:ind w:left="562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HSBC BANK USA, NATIONAL ASSOCIATION</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Nicholas Renna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Nicholas Renna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-130810</wp:posOffset>
            </wp:positionV>
            <wp:extent cx="261556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Title: Senior Corporate Banking Manager</w:t>
      </w:r>
    </w:p>
    <w:p>
      <w:pPr>
        <w:spacing w:after="0" w:line="14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CECO Environmental Corp.</w:t>
      </w:r>
    </w:p>
    <w:p>
      <w:pPr>
        <w:spacing w:after="0" w:line="23"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Second Amended and Restated Credit Agreement</w:t>
      </w:r>
    </w:p>
    <w:p>
      <w:pPr>
        <w:spacing w:after="0" w:line="3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Signature Page</w:t>
      </w:r>
    </w:p>
    <w:sectPr>
      <w:pgSz w:w="11900" w:h="16838" w:orient="portrait"/>
      <w:cols w:equalWidth="0" w:num="1">
        <w:col w:w="9420"/>
      </w:cols>
      <w:pgMar w:left="1440" w:top="270"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88F1A34"/>
    <w:multiLevelType w:val="hybridMultilevel"/>
    <w:lvl w:ilvl="0">
      <w:lvlJc w:val="left"/>
      <w:lvlText w:val="☐"/>
      <w:numFmt w:val="bullet"/>
      <w:start w:val="1"/>
    </w:lvl>
  </w:abstractNum>
  <w:abstractNum w:abstractNumId="1">
    <w:nsid w:val="2A155DBC"/>
    <w:multiLevelType w:val="hybridMultilevel"/>
    <w:lvl w:ilvl="0">
      <w:lvlJc w:val="left"/>
      <w:lvlText w:val="(%1)"/>
      <w:numFmt w:val="decimal"/>
      <w:start w:val="2"/>
    </w:lvl>
  </w:abstractNum>
  <w:abstractNum w:abstractNumId="2">
    <w:nsid w:val="1D9F6E5F"/>
    <w:multiLevelType w:val="hybridMultilevel"/>
    <w:lvl w:ilvl="0">
      <w:lvlJc w:val="left"/>
      <w:lvlText w:val="*"/>
      <w:numFmt w:val="bullet"/>
      <w:start w:val="1"/>
    </w:lvl>
  </w:abstractNum>
  <w:abstractNum w:abstractNumId="3">
    <w:nsid w:val="97E1B4E"/>
    <w:multiLevelType w:val="hybridMultilevel"/>
    <w:lvl w:ilvl="0">
      <w:lvlJc w:val="left"/>
      <w:lvlText w:val="A"/>
      <w:numFmt w:val="bullet"/>
      <w:start w:val="1"/>
    </w:lvl>
  </w:abstractNum>
  <w:abstractNum w:abstractNumId="4">
    <w:nsid w:val="51088277"/>
    <w:multiLevelType w:val="hybridMultilevel"/>
    <w:lvl w:ilvl="0">
      <w:lvlJc w:val="left"/>
      <w:lvlText w:val="B"/>
      <w:numFmt w:val="bullet"/>
      <w:start w:val="1"/>
    </w:lvl>
  </w:abstractNum>
  <w:abstractNum w:abstractNumId="5">
    <w:nsid w:val="1CA0C5FA"/>
    <w:multiLevelType w:val="hybridMultilevel"/>
    <w:lvl w:ilvl="0">
      <w:lvlJc w:val="left"/>
      <w:lvlText w:val="D"/>
      <w:numFmt w:val="bullet"/>
      <w:start w:val="1"/>
    </w:lvl>
  </w:abstractNum>
  <w:abstractNum w:abstractNumId="6">
    <w:nsid w:val="53584BCB"/>
    <w:multiLevelType w:val="hybridMultilevel"/>
    <w:lvl w:ilvl="0">
      <w:lvlJc w:val="left"/>
      <w:lvlText w:val="E"/>
      <w:numFmt w:val="bullet"/>
      <w:start w:val="1"/>
    </w:lvl>
  </w:abstractNum>
  <w:abstractNum w:abstractNumId="7">
    <w:nsid w:val="415E286C"/>
    <w:multiLevelType w:val="hybridMultilevel"/>
    <w:lvl w:ilvl="0">
      <w:lvlJc w:val="left"/>
      <w:lvlText w:val="F"/>
      <w:numFmt w:val="bullet"/>
      <w:start w:val="1"/>
    </w:lvl>
  </w:abstractNum>
  <w:abstractNum w:abstractNumId="8">
    <w:nsid w:val="7C58FD05"/>
    <w:multiLevelType w:val="hybridMultilevel"/>
    <w:lvl w:ilvl="0">
      <w:lvlJc w:val="left"/>
      <w:lvlText w:val="G"/>
      <w:numFmt w:val="bullet"/>
      <w:start w:val="1"/>
    </w:lvl>
  </w:abstractNum>
  <w:abstractNum w:abstractNumId="9">
    <w:nsid w:val="23D86AAC"/>
    <w:multiLevelType w:val="hybridMultilevel"/>
    <w:lvl w:ilvl="0">
      <w:lvlJc w:val="left"/>
      <w:lvlText w:val="H"/>
      <w:numFmt w:val="bullet"/>
      <w:start w:val="1"/>
    </w:lvl>
  </w:abstractNum>
  <w:abstractNum w:abstractNumId="10">
    <w:nsid w:val="45E6D486"/>
    <w:multiLevelType w:val="hybridMultilevel"/>
    <w:lvl w:ilvl="0">
      <w:lvlJc w:val="left"/>
      <w:lvlText w:val="I"/>
      <w:numFmt w:val="bullet"/>
      <w:start w:val="1"/>
    </w:lvl>
  </w:abstractNum>
  <w:abstractNum w:abstractNumId="11">
    <w:nsid w:val="5C10FE21"/>
    <w:multiLevelType w:val="hybridMultilevel"/>
    <w:lvl w:ilvl="0">
      <w:lvlJc w:val="left"/>
      <w:lvlText w:val="J"/>
      <w:numFmt w:val="bullet"/>
      <w:start w:val="1"/>
    </w:lvl>
  </w:abstractNum>
  <w:abstractNum w:abstractNumId="12">
    <w:nsid w:val="E7FFA2B"/>
    <w:multiLevelType w:val="hybridMultilevel"/>
    <w:lvl w:ilvl="0">
      <w:lvlJc w:val="left"/>
      <w:lvlText w:val="(%1)"/>
      <w:numFmt w:val="lowerLetter"/>
      <w:start w:val="1"/>
    </w:lvl>
  </w:abstractNum>
  <w:abstractNum w:abstractNumId="13">
    <w:nsid w:val="3C5991AA"/>
    <w:multiLevelType w:val="hybridMultilevel"/>
    <w:lvl w:ilvl="0">
      <w:lvlJc w:val="left"/>
      <w:lvlText w:val="(%1)"/>
      <w:numFmt w:val="lowerLetter"/>
      <w:start w:val="3"/>
    </w:lvl>
  </w:abstractNum>
  <w:abstractNum w:abstractNumId="14">
    <w:nsid w:val="4BD8591A"/>
    <w:multiLevelType w:val="hybridMultilevel"/>
    <w:lvl w:ilvl="0">
      <w:lvlJc w:val="left"/>
      <w:lvlText w:val="%1"/>
      <w:numFmt w:val="lowerLetter"/>
      <w:start w:val="1"/>
    </w:lvl>
    <w:lvl w:ilvl="1">
      <w:lvlJc w:val="left"/>
      <w:lvlText w:val="(%2)"/>
      <w:numFmt w:val="lowerLetter"/>
      <w:start w:val="1"/>
    </w:lvl>
  </w:abstractNum>
  <w:abstractNum w:abstractNumId="15">
    <w:nsid w:val="78DF6A55"/>
    <w:multiLevelType w:val="hybridMultilevel"/>
    <w:lvl w:ilvl="0">
      <w:lvlJc w:val="left"/>
      <w:lvlText w:val="(%1)"/>
      <w:numFmt w:val="lowerLetter"/>
      <w:start w:val="35"/>
    </w:lvl>
    <w:lvl w:ilvl="1">
      <w:lvlJc w:val="left"/>
      <w:lvlText w:val="(%2)"/>
      <w:numFmt w:val="lowerLetter"/>
      <w:start w:val="3"/>
    </w:lvl>
  </w:abstractNum>
  <w:abstractNum w:abstractNumId="16">
    <w:nsid w:val="39B7AAA2"/>
    <w:multiLevelType w:val="hybridMultilevel"/>
    <w:lvl w:ilvl="0">
      <w:lvlJc w:val="left"/>
      <w:lvlText w:val="(%1)"/>
      <w:numFmt w:val="lowerLetter"/>
      <w:start w:val="1"/>
    </w:lvl>
  </w:abstractNum>
  <w:abstractNum w:abstractNumId="17">
    <w:nsid w:val="2B0D8DBE"/>
    <w:multiLevelType w:val="hybridMultilevel"/>
    <w:lvl w:ilvl="0">
      <w:lvlJc w:val="left"/>
      <w:lvlText w:val="(%1)"/>
      <w:numFmt w:val="lowerLetter"/>
      <w:start w:val="1"/>
    </w:lvl>
    <w:lvl w:ilvl="1">
      <w:lvlJc w:val="left"/>
      <w:lvlText w:val="(%2)"/>
      <w:numFmt w:val="lowerLetter"/>
      <w:start w:val="9"/>
    </w:lvl>
  </w:abstractNum>
  <w:abstractNum w:abstractNumId="18">
    <w:nsid w:val="6C80EC70"/>
    <w:multiLevelType w:val="hybridMultilevel"/>
    <w:lvl w:ilvl="0">
      <w:lvlJc w:val="left"/>
      <w:lvlText w:val="(%1)"/>
      <w:numFmt w:val="lowerRoman"/>
      <w:start w:val="2"/>
    </w:lvl>
  </w:abstractNum>
  <w:abstractNum w:abstractNumId="19">
    <w:nsid w:val="379E21B5"/>
    <w:multiLevelType w:val="hybridMultilevel"/>
    <w:lvl w:ilvl="0">
      <w:lvlJc w:val="left"/>
      <w:lvlText w:val="(%1)"/>
      <w:numFmt w:val="lowerLetter"/>
      <w:start w:val="3"/>
    </w:lvl>
    <w:lvl w:ilvl="1">
      <w:lvlJc w:val="left"/>
      <w:lvlText w:val="(%2)"/>
      <w:numFmt w:val="lowerRoman"/>
      <w:start w:val="1"/>
    </w:lvl>
  </w:abstractNum>
  <w:abstractNum w:abstractNumId="20">
    <w:nsid w:val="69E373"/>
    <w:multiLevelType w:val="hybridMultilevel"/>
    <w:lvl w:ilvl="0">
      <w:lvlJc w:val="left"/>
      <w:lvlText w:val="(%1)"/>
      <w:numFmt w:val="lowerLetter"/>
      <w:start w:val="1"/>
    </w:lvl>
  </w:abstractNum>
  <w:abstractNum w:abstractNumId="21">
    <w:nsid w:val="2C27173B"/>
    <w:multiLevelType w:val="hybridMultilevel"/>
    <w:lvl w:ilvl="0">
      <w:lvlJc w:val="left"/>
      <w:lvlText w:val="(%1)"/>
      <w:numFmt w:val="lowerRoman"/>
      <w:start w:val="2"/>
    </w:lvl>
  </w:abstractNum>
  <w:abstractNum w:abstractNumId="22">
    <w:nsid w:val="4C9B0904"/>
    <w:multiLevelType w:val="hybridMultilevel"/>
    <w:lvl w:ilvl="0">
      <w:lvlJc w:val="left"/>
      <w:lvlText w:val="(%1)"/>
      <w:numFmt w:val="lowerLetter"/>
      <w:start w:val="2"/>
    </w:lvl>
  </w:abstractNum>
  <w:abstractNum w:abstractNumId="23">
    <w:nsid w:val="6AA7B75C"/>
    <w:multiLevelType w:val="hybridMultilevel"/>
    <w:lvl w:ilvl="0">
      <w:lvlJc w:val="left"/>
      <w:lvlText w:val="(%1)"/>
      <w:numFmt w:val="lowerRoman"/>
      <w:start w:val="2"/>
    </w:lvl>
  </w:abstractNum>
  <w:abstractNum w:abstractNumId="24">
    <w:nsid w:val="1DF029D3"/>
    <w:multiLevelType w:val="hybridMultilevel"/>
    <w:lvl w:ilvl="0">
      <w:lvlJc w:val="left"/>
      <w:lvlText w:val="(%1)"/>
      <w:numFmt w:val="lowerLetter"/>
      <w:start w:val="2"/>
    </w:lvl>
  </w:abstractNum>
  <w:abstractNum w:abstractNumId="25">
    <w:nsid w:val="5675FF36"/>
    <w:multiLevelType w:val="hybridMultilevel"/>
    <w:lvl w:ilvl="0">
      <w:lvlJc w:val="left"/>
      <w:lvlText w:val="(%1)"/>
      <w:numFmt w:val="lowerLetter"/>
      <w:start w:val="1"/>
    </w:lvl>
    <w:lvl w:ilvl="1">
      <w:lvlJc w:val="left"/>
      <w:lvlText w:val="(%2)"/>
      <w:numFmt w:val="lowerRoman"/>
      <w:start w:val="1"/>
    </w:lvl>
  </w:abstractNum>
  <w:abstractNum w:abstractNumId="26">
    <w:nsid w:val="3DD15094"/>
    <w:multiLevelType w:val="hybridMultilevel"/>
    <w:lvl w:ilvl="0">
      <w:lvlJc w:val="left"/>
      <w:lvlText w:val="(%1)"/>
      <w:numFmt w:val="lowerLetter"/>
      <w:start w:val="2"/>
    </w:lvl>
  </w:abstractNum>
  <w:abstractNum w:abstractNumId="27">
    <w:nsid w:val="3DB012B3"/>
    <w:multiLevelType w:val="hybridMultilevel"/>
    <w:lvl w:ilvl="0">
      <w:lvlJc w:val="left"/>
      <w:lvlText w:val="(%1)"/>
      <w:numFmt w:val="lowerLetter"/>
      <w:start w:val="2"/>
    </w:lvl>
  </w:abstractNum>
  <w:abstractNum w:abstractNumId="28">
    <w:nsid w:val="2708C9AF"/>
    <w:multiLevelType w:val="hybridMultilevel"/>
    <w:lvl w:ilvl="0">
      <w:lvlJc w:val="left"/>
      <w:lvlText w:val="(%1)"/>
      <w:numFmt w:val="lowerLetter"/>
      <w:start w:val="2"/>
    </w:lvl>
  </w:abstractNum>
  <w:abstractNum w:abstractNumId="29">
    <w:nsid w:val="5B25ACE2"/>
    <w:multiLevelType w:val="hybridMultilevel"/>
    <w:lvl w:ilvl="0">
      <w:lvlJc w:val="left"/>
      <w:lvlText w:val="%1"/>
      <w:numFmt w:val="lowerLetter"/>
      <w:start w:val="1"/>
    </w:lvl>
    <w:lvl w:ilvl="1">
      <w:lvlJc w:val="left"/>
      <w:lvlText w:val="(%2)"/>
      <w:numFmt w:val="lowerLetter"/>
      <w:start w:val="1"/>
    </w:lvl>
  </w:abstractNum>
  <w:abstractNum w:abstractNumId="30">
    <w:nsid w:val="175DFCF0"/>
    <w:multiLevelType w:val="hybridMultilevel"/>
    <w:lvl w:ilvl="0">
      <w:lvlJc w:val="left"/>
      <w:lvlText w:val="(%1)"/>
      <w:numFmt w:val="lowerLetter"/>
      <w:start w:val="35"/>
    </w:lvl>
    <w:lvl w:ilvl="1">
      <w:lvlJc w:val="left"/>
      <w:lvlText w:val="(%2)"/>
      <w:numFmt w:val="lowerLetter"/>
      <w:start w:val="5"/>
    </w:lvl>
  </w:abstractNum>
  <w:abstractNum w:abstractNumId="31">
    <w:nsid w:val="4F97E3E4"/>
    <w:multiLevelType w:val="hybridMultilevel"/>
    <w:lvl w:ilvl="0">
      <w:lvlJc w:val="left"/>
      <w:lvlText w:val="(%1)"/>
      <w:numFmt w:val="lowerLetter"/>
      <w:start w:val="1"/>
    </w:lvl>
  </w:abstractNum>
  <w:abstractNum w:abstractNumId="32">
    <w:nsid w:val="53B0A9E"/>
    <w:multiLevelType w:val="hybridMultilevel"/>
    <w:lvl w:ilvl="0">
      <w:lvlJc w:val="left"/>
      <w:lvlText w:val="%1"/>
      <w:numFmt w:val="upperLetter"/>
      <w:start w:val="1"/>
    </w:lvl>
    <w:lvl w:ilvl="1">
      <w:lvlJc w:val="left"/>
      <w:lvlText w:val="(%2)"/>
      <w:numFmt w:val="lowerLetter"/>
      <w:start w:val="1"/>
    </w:lvl>
  </w:abstractNum>
  <w:abstractNum w:abstractNumId="33">
    <w:nsid w:val="34FD6B4F"/>
    <w:multiLevelType w:val="hybridMultilevel"/>
    <w:lvl w:ilvl="0">
      <w:lvlJc w:val="left"/>
      <w:lvlText w:val="(%1)"/>
      <w:numFmt w:val="upperLetter"/>
      <w:start w:val="3"/>
    </w:lvl>
    <w:lvl w:ilvl="1">
      <w:lvlJc w:val="left"/>
      <w:lvlText w:val="(%2)"/>
      <w:numFmt w:val="lowerLetter"/>
      <w:start w:val="2"/>
    </w:lvl>
  </w:abstractNum>
  <w:abstractNum w:abstractNumId="34">
    <w:nsid w:val="5915FF32"/>
    <w:multiLevelType w:val="hybridMultilevel"/>
    <w:lvl w:ilvl="0">
      <w:lvlJc w:val="left"/>
      <w:lvlText w:val="(%1)"/>
      <w:numFmt w:val="lowerLetter"/>
      <w:start w:val="2"/>
    </w:lvl>
  </w:abstractNum>
  <w:abstractNum w:abstractNumId="35">
    <w:nsid w:val="56438D15"/>
    <w:multiLevelType w:val="hybridMultilevel"/>
    <w:lvl w:ilvl="0">
      <w:lvlJc w:val="left"/>
      <w:lvlText w:val="(%1)"/>
      <w:numFmt w:val="lowerLetter"/>
      <w:start w:val="1"/>
    </w:lvl>
  </w:abstractNum>
  <w:abstractNum w:abstractNumId="36">
    <w:nsid w:val="519E3149"/>
    <w:multiLevelType w:val="hybridMultilevel"/>
    <w:lvl w:ilvl="0">
      <w:lvlJc w:val="left"/>
      <w:lvlText w:val="(%1)"/>
      <w:numFmt w:val="lowerRoman"/>
      <w:start w:val="4"/>
    </w:lvl>
  </w:abstractNum>
  <w:abstractNum w:abstractNumId="37">
    <w:nsid w:val="2C6E4AFD"/>
    <w:multiLevelType w:val="hybridMultilevel"/>
    <w:lvl w:ilvl="0">
      <w:lvlJc w:val="left"/>
      <w:lvlText w:val="(%1)"/>
      <w:numFmt w:val="lowerLetter"/>
      <w:start w:val="2"/>
    </w:lvl>
  </w:abstractNum>
  <w:abstractNum w:abstractNumId="38">
    <w:nsid w:val="17A1B582"/>
    <w:multiLevelType w:val="hybridMultilevel"/>
    <w:lvl w:ilvl="0">
      <w:lvlJc w:val="left"/>
      <w:lvlText w:val="(%1)"/>
      <w:numFmt w:val="lowerLetter"/>
      <w:start w:val="1"/>
    </w:lvl>
  </w:abstractNum>
  <w:abstractNum w:abstractNumId="39">
    <w:nsid w:val="4DF72E4E"/>
    <w:multiLevelType w:val="hybridMultilevel"/>
    <w:lvl w:ilvl="0">
      <w:lvlJc w:val="left"/>
      <w:lvlText w:val="(%1)"/>
      <w:numFmt w:val="lowerLetter"/>
      <w:start w:val="3"/>
    </w:lvl>
  </w:abstractNum>
  <w:abstractNum w:abstractNumId="40">
    <w:nsid w:val="5046B5A9"/>
    <w:multiLevelType w:val="hybridMultilevel"/>
    <w:lvl w:ilvl="0">
      <w:lvlJc w:val="left"/>
      <w:lvlText w:val="(%1)"/>
      <w:numFmt w:val="lowerLetter"/>
      <w:start w:val="1"/>
    </w:lvl>
  </w:abstractNum>
  <w:abstractNum w:abstractNumId="41">
    <w:nsid w:val="5D888A08"/>
    <w:multiLevelType w:val="hybridMultilevel"/>
    <w:lvl w:ilvl="0">
      <w:lvlJc w:val="left"/>
      <w:lvlText w:val="(%1)"/>
      <w:numFmt w:val="lowerLetter"/>
      <w:start w:val="2"/>
    </w:lvl>
  </w:abstractNum>
  <w:abstractNum w:abstractNumId="42">
    <w:nsid w:val="2A082C70"/>
    <w:multiLevelType w:val="hybridMultilevel"/>
    <w:lvl w:ilvl="0">
      <w:lvlJc w:val="left"/>
      <w:lvlText w:val="(%1)"/>
      <w:numFmt w:val="lowerLetter"/>
      <w:start w:val="1"/>
    </w:lvl>
    <w:lvl w:ilvl="1">
      <w:lvlJc w:val="left"/>
      <w:lvlText w:val="(%2)"/>
      <w:numFmt w:val="lowerRoman"/>
      <w:start w:val="1"/>
    </w:lvl>
  </w:abstractNum>
  <w:abstractNum w:abstractNumId="43">
    <w:nsid w:val="5EC6AFD4"/>
    <w:multiLevelType w:val="hybridMultilevel"/>
    <w:lvl w:ilvl="0">
      <w:lvlJc w:val="left"/>
      <w:lvlText w:val="(%1)"/>
      <w:numFmt w:val="lowerLetter"/>
      <w:start w:val="1"/>
    </w:lvl>
  </w:abstractNum>
  <w:abstractNum w:abstractNumId="44">
    <w:nsid w:val="19E21BB2"/>
    <w:multiLevelType w:val="hybridMultilevel"/>
    <w:lvl w:ilvl="0">
      <w:lvlJc w:val="left"/>
      <w:lvlText w:val="(%1)"/>
      <w:numFmt w:val="lowerLetter"/>
      <w:start w:val="1"/>
    </w:lvl>
  </w:abstractNum>
  <w:abstractNum w:abstractNumId="45">
    <w:nsid w:val="75E0858A"/>
    <w:multiLevelType w:val="hybridMultilevel"/>
    <w:lvl w:ilvl="0">
      <w:lvlJc w:val="left"/>
      <w:lvlText w:val="(%1)"/>
      <w:numFmt w:val="lowerLetter"/>
      <w:start w:val="2"/>
    </w:lvl>
  </w:abstractNum>
  <w:abstractNum w:abstractNumId="46">
    <w:nsid w:val="57A61A29"/>
    <w:multiLevelType w:val="hybridMultilevel"/>
    <w:lvl w:ilvl="0">
      <w:lvlJc w:val="left"/>
      <w:lvlText w:val="(%1)"/>
      <w:numFmt w:val="lowerLetter"/>
      <w:start w:val="1"/>
    </w:lvl>
  </w:abstractNum>
  <w:abstractNum w:abstractNumId="47">
    <w:nsid w:val="5399C654"/>
    <w:multiLevelType w:val="hybridMultilevel"/>
    <w:lvl w:ilvl="0">
      <w:lvlJc w:val="left"/>
      <w:lvlText w:val="(%1)"/>
      <w:numFmt w:val="lowerLetter"/>
      <w:start w:val="1"/>
    </w:lvl>
  </w:abstractNum>
  <w:abstractNum w:abstractNumId="48">
    <w:nsid w:val="20EE1348"/>
    <w:multiLevelType w:val="hybridMultilevel"/>
    <w:lvl w:ilvl="0">
      <w:lvlJc w:val="left"/>
      <w:lvlText w:val="%1"/>
      <w:numFmt w:val="upperLetter"/>
      <w:start w:val="1"/>
    </w:lvl>
    <w:lvl w:ilvl="1">
      <w:lvlJc w:val="left"/>
      <w:lvlText w:val="(%2)"/>
      <w:numFmt w:val="lowerLetter"/>
      <w:start w:val="1"/>
    </w:lvl>
  </w:abstractNum>
  <w:abstractNum w:abstractNumId="49">
    <w:nsid w:val="4427069A"/>
    <w:multiLevelType w:val="hybridMultilevel"/>
    <w:lvl w:ilvl="0">
      <w:lvlJc w:val="left"/>
      <w:lvlText w:val="(%1)"/>
      <w:numFmt w:val="upperLetter"/>
      <w:start w:val="2"/>
    </w:lvl>
    <w:lvl w:ilvl="1">
      <w:lvlJc w:val="left"/>
      <w:lvlText w:val="%2"/>
      <w:numFmt w:val="lowerLetter"/>
      <w:start w:val="1"/>
    </w:lvl>
  </w:abstractNum>
  <w:abstractNum w:abstractNumId="50">
    <w:nsid w:val="B37E80A"/>
    <w:multiLevelType w:val="hybridMultilevel"/>
    <w:lvl w:ilvl="0">
      <w:lvlJc w:val="left"/>
      <w:lvlText w:val="(%1)"/>
      <w:numFmt w:val="lowerLetter"/>
      <w:start w:val="2"/>
    </w:lvl>
  </w:abstractNum>
  <w:abstractNum w:abstractNumId="51">
    <w:nsid w:val="2157F6BC"/>
    <w:multiLevelType w:val="hybridMultilevel"/>
    <w:lvl w:ilvl="0">
      <w:lvlJc w:val="left"/>
      <w:lvlText w:val="(%1)"/>
      <w:numFmt w:val="lowerLetter"/>
      <w:start w:val="3"/>
    </w:lvl>
  </w:abstractNum>
  <w:abstractNum w:abstractNumId="52">
    <w:nsid w:val="704E1DD5"/>
    <w:multiLevelType w:val="hybridMultilevel"/>
    <w:lvl w:ilvl="0">
      <w:lvlJc w:val="left"/>
      <w:lvlText w:val="(%1)"/>
      <w:numFmt w:val="lowerLetter"/>
      <w:start w:val="1"/>
    </w:lvl>
    <w:lvl w:ilvl="1">
      <w:lvlJc w:val="left"/>
      <w:lvlText w:val="(%2)"/>
      <w:numFmt w:val="lowerLetter"/>
      <w:start w:val="9"/>
    </w:lvl>
  </w:abstractNum>
  <w:abstractNum w:abstractNumId="53">
    <w:nsid w:val="57D2F10E"/>
    <w:multiLevelType w:val="hybridMultilevel"/>
    <w:lvl w:ilvl="0">
      <w:lvlJc w:val="left"/>
      <w:lvlText w:val="(%1)"/>
      <w:numFmt w:val="lowerRoman"/>
      <w:start w:val="2"/>
    </w:lvl>
    <w:lvl w:ilvl="1">
      <w:lvlJc w:val="left"/>
      <w:lvlText w:val="(%2)"/>
      <w:numFmt w:val="upperLetter"/>
      <w:start w:val="1"/>
    </w:lvl>
  </w:abstractNum>
  <w:abstractNum w:abstractNumId="54">
    <w:nsid w:val="BFFAE1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7"/>
    </w:lvl>
  </w:abstractNum>
  <w:abstractNum w:abstractNumId="55">
    <w:nsid w:val="E3E47A8"/>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56">
    <w:nsid w:val="2E48F04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7">
    <w:nsid w:val="49D0FEAC"/>
    <w:multiLevelType w:val="hybridMultilevel"/>
    <w:lvl w:ilvl="0">
      <w:lvlJc w:val="left"/>
      <w:lvlText w:val="(%1)"/>
      <w:numFmt w:val="lowerRoman"/>
      <w:start w:val="2"/>
    </w:lvl>
  </w:abstractNum>
  <w:abstractNum w:abstractNumId="58">
    <w:nsid w:val="4BEE5A5B"/>
    <w:multiLevelType w:val="hybridMultilevel"/>
    <w:lvl w:ilvl="0">
      <w:lvlJc w:val="left"/>
      <w:lvlText w:val="(%1)"/>
      <w:numFmt w:val="lowerLetter"/>
      <w:start w:val="3"/>
    </w:lvl>
    <w:lvl w:ilvl="1">
      <w:lvlJc w:val="left"/>
      <w:lvlText w:val="(%2)"/>
      <w:numFmt w:val="lowerRoman"/>
      <w:start w:val="1"/>
    </w:lvl>
  </w:abstractNum>
  <w:abstractNum w:abstractNumId="59">
    <w:nsid w:val="5551B9F3"/>
    <w:multiLevelType w:val="hybridMultilevel"/>
    <w:lvl w:ilvl="0">
      <w:lvlJc w:val="left"/>
      <w:lvlText w:val="%1"/>
      <w:numFmt w:val="lowerRoman"/>
      <w:start w:val="1"/>
    </w:lvl>
    <w:lvl w:ilvl="1">
      <w:lvlJc w:val="left"/>
      <w:lvlText w:val="(%2)"/>
      <w:numFmt w:val="lowerRoman"/>
      <w:start w:val="3"/>
    </w:lvl>
  </w:abstractNum>
  <w:abstractNum w:abstractNumId="60">
    <w:nsid w:val="24F6AB8E"/>
    <w:multiLevelType w:val="hybridMultilevel"/>
    <w:lvl w:ilvl="0">
      <w:lvlJc w:val="left"/>
      <w:lvlText w:val="(%1)"/>
      <w:numFmt w:val="lowerRoman"/>
      <w:start w:val="6"/>
    </w:lvl>
    <w:lvl w:ilvl="1">
      <w:lvlJc w:val="left"/>
      <w:lvlText w:val="%2"/>
      <w:numFmt w:val="lowerRoman"/>
      <w:start w:val="1"/>
    </w:lvl>
  </w:abstractNum>
  <w:abstractNum w:abstractNumId="61">
    <w:nsid w:val="634C574C"/>
    <w:multiLevelType w:val="hybridMultilevel"/>
    <w:lvl w:ilvl="0">
      <w:lvlJc w:val="left"/>
      <w:lvlText w:val="(%1)"/>
      <w:numFmt w:val="lowerLetter"/>
      <w:start w:val="4"/>
    </w:lvl>
    <w:lvl w:ilvl="1">
      <w:lvlJc w:val="left"/>
      <w:lvlText w:val="(%2)"/>
      <w:numFmt w:val="lowerRoman"/>
      <w:start w:val="1"/>
    </w:lvl>
  </w:abstractNum>
  <w:abstractNum w:abstractNumId="62">
    <w:nsid w:val="24E99DD7"/>
    <w:multiLevelType w:val="hybridMultilevel"/>
    <w:lvl w:ilvl="0">
      <w:lvlJc w:val="left"/>
      <w:lvlText w:val="(%1)"/>
      <w:numFmt w:val="lowerRoman"/>
      <w:start w:val="7"/>
    </w:lvl>
  </w:abstractNum>
  <w:abstractNum w:abstractNumId="63">
    <w:nsid w:val="2A31B62D"/>
    <w:multiLevelType w:val="hybridMultilevel"/>
    <w:lvl w:ilvl="0">
      <w:lvlJc w:val="left"/>
      <w:lvlText w:val="(%1)"/>
      <w:numFmt w:val="lowerLetter"/>
      <w:start w:val="6"/>
    </w:lvl>
  </w:abstractNum>
  <w:abstractNum w:abstractNumId="64">
    <w:nsid w:val="1849C29B"/>
    <w:multiLevelType w:val="hybridMultilevel"/>
    <w:lvl w:ilvl="0">
      <w:lvlJc w:val="left"/>
      <w:lvlText w:val="(%1)"/>
      <w:numFmt w:val="lowerLetter"/>
      <w:start w:val="7"/>
    </w:lvl>
  </w:abstractNum>
  <w:abstractNum w:abstractNumId="65">
    <w:nsid w:val="7DFF9D09"/>
    <w:multiLevelType w:val="hybridMultilevel"/>
    <w:lvl w:ilvl="0">
      <w:lvlJc w:val="left"/>
      <w:lvlText w:val="(%1)"/>
      <w:numFmt w:val="lowerLetter"/>
      <w:start w:val="10"/>
    </w:lvl>
  </w:abstractNum>
  <w:abstractNum w:abstractNumId="66">
    <w:nsid w:val="754342"/>
    <w:multiLevelType w:val="hybridMultilevel"/>
    <w:lvl w:ilvl="0">
      <w:lvlJc w:val="left"/>
      <w:lvlText w:val="(%1)"/>
      <w:numFmt w:val="lowerLetter"/>
      <w:start w:val="1"/>
    </w:lvl>
  </w:abstractNum>
  <w:abstractNum w:abstractNumId="67">
    <w:nsid w:val="69E7F3E5"/>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68">
    <w:nsid w:val="2A6DE806"/>
    <w:multiLevelType w:val="hybridMultilevel"/>
    <w:lvl w:ilvl="0">
      <w:lvlJc w:val="left"/>
      <w:lvlText w:val="%1"/>
      <w:numFmt w:val="lowerLetter"/>
      <w:start w:val="1"/>
    </w:lvl>
    <w:lvl w:ilvl="1">
      <w:lvlJc w:val="left"/>
      <w:lvlText w:val="(%2)"/>
      <w:numFmt w:val="lowerRoman"/>
      <w:start w:val="2"/>
    </w:lvl>
  </w:abstractNum>
  <w:abstractNum w:abstractNumId="69">
    <w:nsid w:val="1816F8C4"/>
    <w:multiLevelType w:val="hybridMultilevel"/>
    <w:lvl w:ilvl="0">
      <w:lvlJc w:val="left"/>
      <w:lvlText w:val="(%1)"/>
      <w:numFmt w:val="lowerLetter"/>
      <w:start w:val="4"/>
    </w:lvl>
    <w:lvl w:ilvl="1">
      <w:lvlJc w:val="left"/>
      <w:lvlText w:val="(%2)"/>
      <w:numFmt w:val="lowerRoman"/>
      <w:start w:val="1"/>
    </w:lvl>
  </w:abstractNum>
  <w:abstractNum w:abstractNumId="70">
    <w:nsid w:val="37DF2233"/>
    <w:multiLevelType w:val="hybridMultilevel"/>
    <w:lvl w:ilvl="0">
      <w:lvlJc w:val="left"/>
      <w:lvlText w:val="%1"/>
      <w:numFmt w:val="lowerLetter"/>
      <w:start w:val="1"/>
    </w:lvl>
    <w:lvl w:ilvl="1">
      <w:lvlJc w:val="left"/>
      <w:lvlText w:val="(%2)"/>
      <w:numFmt w:val="lowerLetter"/>
      <w:start w:val="35"/>
    </w:lvl>
  </w:abstractNum>
  <w:abstractNum w:abstractNumId="71">
    <w:nsid w:val="7AB49DAF"/>
    <w:multiLevelType w:val="hybridMultilevel"/>
    <w:lvl w:ilvl="0">
      <w:lvlJc w:val="left"/>
      <w:lvlText w:val="(%1)"/>
      <w:numFmt w:val="lowerLetter"/>
      <w:start w:val="5"/>
    </w:lvl>
    <w:lvl w:ilvl="1">
      <w:lvlJc w:val="left"/>
      <w:lvlText w:val="%2"/>
      <w:numFmt w:val="lowerLetter"/>
      <w:start w:val="1"/>
    </w:lvl>
  </w:abstractNum>
  <w:abstractNum w:abstractNumId="72">
    <w:nsid w:val="759F82CD"/>
    <w:multiLevelType w:val="hybridMultilevel"/>
    <w:lvl w:ilvl="0">
      <w:lvlJc w:val="left"/>
      <w:lvlText w:val="(%1)"/>
      <w:numFmt w:val="lowerLetter"/>
      <w:start w:val="1"/>
    </w:lvl>
    <w:lvl w:ilvl="1">
      <w:lvlJc w:val="left"/>
      <w:lvlText w:val="(%2)"/>
      <w:numFmt w:val="lowerLetter"/>
      <w:start w:val="9"/>
    </w:lvl>
  </w:abstractNum>
  <w:abstractNum w:abstractNumId="73">
    <w:nsid w:val="61E74EA3"/>
    <w:multiLevelType w:val="hybridMultilevel"/>
    <w:lvl w:ilvl="0">
      <w:lvlJc w:val="left"/>
      <w:lvlText w:val="%1"/>
      <w:numFmt w:val="lowerLetter"/>
      <w:start w:val="1"/>
    </w:lvl>
    <w:lvl w:ilvl="1">
      <w:lvlJc w:val="left"/>
      <w:lvlText w:val="(%2)"/>
      <w:numFmt w:val="lowerLetter"/>
      <w:start w:val="35"/>
    </w:lvl>
  </w:abstractNum>
  <w:abstractNum w:abstractNumId="74">
    <w:nsid w:val="597B4D84"/>
    <w:multiLevelType w:val="hybridMultilevel"/>
    <w:lvl w:ilvl="0">
      <w:lvlJc w:val="left"/>
      <w:lvlText w:val="(%1)"/>
      <w:numFmt w:val="lowerLetter"/>
      <w:start w:val="2"/>
    </w:lvl>
    <w:lvl w:ilvl="1">
      <w:lvlJc w:val="left"/>
      <w:lvlText w:val="(%2)"/>
      <w:numFmt w:val="lowerLetter"/>
      <w:start w:val="9"/>
    </w:lvl>
  </w:abstractNum>
  <w:abstractNum w:abstractNumId="75">
    <w:nsid w:val="F819E7F"/>
    <w:multiLevelType w:val="hybridMultilevel"/>
    <w:lvl w:ilvl="0">
      <w:lvlJc w:val="left"/>
      <w:lvlText w:val="(%1)"/>
      <w:numFmt w:val="lowerRoman"/>
      <w:start w:val="2"/>
    </w:lvl>
  </w:abstractNum>
  <w:abstractNum w:abstractNumId="76">
    <w:nsid w:val="57C7D42D"/>
    <w:multiLevelType w:val="hybridMultilevel"/>
    <w:lvl w:ilvl="0">
      <w:lvlJc w:val="left"/>
      <w:lvlText w:val="(%1)"/>
      <w:numFmt w:val="lowerRoman"/>
      <w:start w:val="3"/>
    </w:lvl>
    <w:lvl w:ilvl="1">
      <w:lvlJc w:val="left"/>
      <w:lvlText w:val="(%2)"/>
      <w:numFmt w:val="upperLetter"/>
      <w:start w:val="1"/>
    </w:lvl>
  </w:abstractNum>
  <w:abstractNum w:abstractNumId="77">
    <w:nsid w:val="312167AD"/>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78">
    <w:nsid w:val="631B64D4"/>
    <w:multiLevelType w:val="hybridMultilevel"/>
    <w:lvl w:ilvl="0">
      <w:lvlJc w:val="left"/>
      <w:lvlText w:val="%1"/>
      <w:numFmt w:val="lowerRoman"/>
      <w:start w:val="1"/>
    </w:lvl>
    <w:lvl w:ilvl="1">
      <w:lvlJc w:val="left"/>
      <w:lvlText w:val="(%2)"/>
      <w:numFmt w:val="lowerRoman"/>
      <w:start w:val="6"/>
    </w:lvl>
    <w:lvl w:ilvl="2">
      <w:lvlJc w:val="left"/>
      <w:lvlText w:val="%3"/>
      <w:numFmt w:val="upperLetter"/>
      <w:start w:val="1"/>
    </w:lvl>
  </w:abstractNum>
  <w:abstractNum w:abstractNumId="79">
    <w:nsid w:val="78B5E776"/>
    <w:multiLevelType w:val="hybridMultilevel"/>
    <w:lvl w:ilvl="0">
      <w:lvlJc w:val="left"/>
      <w:lvlText w:val="(%1)"/>
      <w:numFmt w:val="lowerRoman"/>
      <w:start w:val="3"/>
    </w:lvl>
    <w:lvl w:ilvl="1">
      <w:lvlJc w:val="left"/>
      <w:lvlText w:val="%2"/>
      <w:numFmt w:val="lowerRoman"/>
      <w:start w:val="1"/>
    </w:lvl>
    <w:lvl w:ilvl="2">
      <w:lvlJc w:val="left"/>
      <w:lvlText w:val="%3"/>
      <w:numFmt w:val="upperLetter"/>
      <w:start w:val="1"/>
    </w:lvl>
  </w:abstractNum>
  <w:abstractNum w:abstractNumId="80">
    <w:nsid w:val="75486E47"/>
    <w:multiLevelType w:val="hybridMultilevel"/>
    <w:lvl w:ilvl="0">
      <w:lvlJc w:val="left"/>
      <w:lvlText w:val="(%1)"/>
      <w:numFmt w:val="lowerRoman"/>
      <w:start w:val="3"/>
    </w:lvl>
    <w:lvl w:ilvl="1">
      <w:lvlJc w:val="left"/>
      <w:lvlText w:val="%2"/>
      <w:numFmt w:val="lowerRoman"/>
      <w:start w:val="1"/>
    </w:lvl>
    <w:lvl w:ilvl="2">
      <w:lvlJc w:val="left"/>
      <w:lvlText w:val="%3"/>
      <w:numFmt w:val="upperLetter"/>
      <w:start w:val="1"/>
    </w:lvl>
  </w:abstractNum>
  <w:abstractNum w:abstractNumId="81">
    <w:nsid w:val="6E534CDE"/>
    <w:multiLevelType w:val="hybridMultilevel"/>
    <w:lvl w:ilvl="0">
      <w:lvlJc w:val="left"/>
      <w:lvlText w:val="(%1)"/>
      <w:numFmt w:val="lowerLetter"/>
      <w:start w:val="1"/>
    </w:lvl>
  </w:abstractNum>
  <w:abstractNum w:abstractNumId="82">
    <w:nsid w:val="1A0DDE32"/>
    <w:multiLevelType w:val="hybridMultilevel"/>
    <w:lvl w:ilvl="0">
      <w:lvlJc w:val="left"/>
      <w:lvlText w:val="(%1)"/>
      <w:numFmt w:val="lowerLetter"/>
      <w:start w:val="2"/>
    </w:lvl>
  </w:abstractNum>
  <w:abstractNum w:abstractNumId="83">
    <w:nsid w:val="65968C1C"/>
    <w:multiLevelType w:val="hybridMultilevel"/>
    <w:lvl w:ilvl="0">
      <w:lvlJc w:val="left"/>
      <w:lvlText w:val="(%1)"/>
      <w:numFmt w:val="lowerLetter"/>
      <w:start w:val="1"/>
    </w:lvl>
  </w:abstractNum>
  <w:abstractNum w:abstractNumId="84">
    <w:nsid w:val="46263DEC"/>
    <w:multiLevelType w:val="hybridMultilevel"/>
    <w:lvl w:ilvl="0">
      <w:lvlJc w:val="left"/>
      <w:lvlText w:val="(%1)"/>
      <w:numFmt w:val="lowerLetter"/>
      <w:start w:val="1"/>
    </w:lvl>
  </w:abstractNum>
  <w:abstractNum w:abstractNumId="85">
    <w:nsid w:val="260D8C4A"/>
    <w:multiLevelType w:val="hybridMultilevel"/>
    <w:lvl w:ilvl="0">
      <w:lvlJc w:val="left"/>
      <w:lvlText w:val="(%1)"/>
      <w:numFmt w:val="lowerLetter"/>
      <w:start w:val="2"/>
    </w:lvl>
    <w:lvl w:ilvl="1">
      <w:lvlJc w:val="left"/>
      <w:lvlText w:val="(%2)"/>
      <w:numFmt w:val="lowerRoman"/>
      <w:start w:val="2"/>
    </w:lvl>
  </w:abstractNum>
  <w:abstractNum w:abstractNumId="86">
    <w:nsid w:val="73D4D3C4"/>
    <w:multiLevelType w:val="hybridMultilevel"/>
    <w:lvl w:ilvl="0">
      <w:lvlJc w:val="left"/>
      <w:lvlText w:val="(%1)"/>
      <w:numFmt w:val="lowerLetter"/>
      <w:start w:val="1"/>
    </w:lvl>
  </w:abstractNum>
  <w:abstractNum w:abstractNumId="87">
    <w:nsid w:val="746F2E30"/>
    <w:multiLevelType w:val="hybridMultilevel"/>
    <w:lvl w:ilvl="0">
      <w:lvlJc w:val="left"/>
      <w:lvlText w:val="(%1)"/>
      <w:numFmt w:val="lowerLetter"/>
      <w:start w:val="2"/>
    </w:lvl>
  </w:abstractNum>
  <w:abstractNum w:abstractNumId="88">
    <w:nsid w:val="6FDE8AF6"/>
    <w:multiLevelType w:val="hybridMultilevel"/>
    <w:lvl w:ilvl="0">
      <w:lvlJc w:val="left"/>
      <w:lvlText w:val="(%1)"/>
      <w:numFmt w:val="lowerRoman"/>
      <w:start w:val="2"/>
    </w:lvl>
  </w:abstractNum>
  <w:abstractNum w:abstractNumId="89">
    <w:nsid w:val="3FC32E20"/>
    <w:multiLevelType w:val="hybridMultilevel"/>
    <w:lvl w:ilvl="0">
      <w:lvlJc w:val="left"/>
      <w:lvlText w:val="(%1)"/>
      <w:numFmt w:val="lowerLetter"/>
      <w:start w:val="1"/>
    </w:lvl>
  </w:abstractNum>
  <w:abstractNum w:abstractNumId="90">
    <w:nsid w:val="49C0E823"/>
    <w:multiLevelType w:val="hybridMultilevel"/>
    <w:lvl w:ilvl="0">
      <w:lvlJc w:val="left"/>
      <w:lvlText w:val="(%1)"/>
      <w:numFmt w:val="lowerLetter"/>
      <w:start w:val="1"/>
    </w:lvl>
  </w:abstractNum>
  <w:abstractNum w:abstractNumId="91">
    <w:nsid w:val="14D53685"/>
    <w:multiLevelType w:val="hybridMultilevel"/>
    <w:lvl w:ilvl="0">
      <w:lvlJc w:val="left"/>
      <w:lvlText w:val="(%1)"/>
      <w:numFmt w:val="lowerLetter"/>
      <w:start w:val="2"/>
    </w:lvl>
  </w:abstractNum>
  <w:abstractNum w:abstractNumId="92">
    <w:nsid w:val="230F856C"/>
    <w:multiLevelType w:val="hybridMultilevel"/>
    <w:lvl w:ilvl="0">
      <w:lvlJc w:val="left"/>
      <w:lvlText w:val="(%1)"/>
      <w:numFmt w:val="lowerLetter"/>
      <w:start w:val="2"/>
    </w:lvl>
  </w:abstractNum>
  <w:abstractNum w:abstractNumId="93">
    <w:nsid w:val="6EAA85FB"/>
    <w:multiLevelType w:val="hybridMultilevel"/>
    <w:lvl w:ilvl="0">
      <w:lvlJc w:val="left"/>
      <w:lvlText w:val="(%1)"/>
      <w:numFmt w:val="lowerRoman"/>
      <w:start w:val="2"/>
    </w:lvl>
  </w:abstractNum>
  <w:abstractNum w:abstractNumId="94">
    <w:nsid w:val="3F06ECB2"/>
    <w:multiLevelType w:val="hybridMultilevel"/>
    <w:lvl w:ilvl="0">
      <w:lvlJc w:val="left"/>
      <w:lvlText w:val="(%1)"/>
      <w:numFmt w:val="lowerLetter"/>
      <w:start w:val="3"/>
    </w:lvl>
  </w:abstractNum>
  <w:abstractNum w:abstractNumId="95">
    <w:nsid w:val="3B594807"/>
    <w:multiLevelType w:val="hybridMultilevel"/>
    <w:lvl w:ilvl="0">
      <w:lvlJc w:val="left"/>
      <w:lvlText w:val="(%1)"/>
      <w:numFmt w:val="upperLetter"/>
      <w:start w:val="1"/>
    </w:lvl>
    <w:lvl w:ilvl="1">
      <w:lvlJc w:val="left"/>
      <w:lvlText w:val="(%2)"/>
      <w:numFmt w:val="lowerRoman"/>
      <w:start w:val="1"/>
    </w:lvl>
  </w:abstractNum>
  <w:abstractNum w:abstractNumId="96">
    <w:nsid w:val="6CAA2304"/>
    <w:multiLevelType w:val="hybridMultilevel"/>
    <w:lvl w:ilvl="0">
      <w:lvlJc w:val="left"/>
      <w:lvlText w:val="(%1)"/>
      <w:numFmt w:val="lowerLetter"/>
      <w:start w:val="1"/>
    </w:lvl>
  </w:abstractNum>
  <w:abstractNum w:abstractNumId="97">
    <w:nsid w:val="3F7C2FF4"/>
    <w:multiLevelType w:val="hybridMultilevel"/>
    <w:lvl w:ilvl="0">
      <w:lvlJc w:val="left"/>
      <w:lvlText w:val="%1"/>
      <w:numFmt w:val="lowerLetter"/>
      <w:start w:val="1"/>
    </w:lvl>
    <w:lvl w:ilvl="1">
      <w:lvlJc w:val="left"/>
      <w:lvlText w:val="(%2)"/>
      <w:numFmt w:val="lowerLetter"/>
      <w:start w:val="2"/>
    </w:lvl>
  </w:abstractNum>
  <w:abstractNum w:abstractNumId="98">
    <w:nsid w:val="25413BEC"/>
    <w:multiLevelType w:val="hybridMultilevel"/>
    <w:lvl w:ilvl="0">
      <w:lvlJc w:val="left"/>
      <w:lvlText w:val="(%1)"/>
      <w:numFmt w:val="lowerLetter"/>
      <w:start w:val="35"/>
    </w:lvl>
    <w:lvl w:ilvl="1">
      <w:lvlJc w:val="left"/>
      <w:lvlText w:val="%2"/>
      <w:numFmt w:val="lowerLetter"/>
      <w:start w:val="1"/>
    </w:lvl>
  </w:abstractNum>
  <w:abstractNum w:abstractNumId="99">
    <w:nsid w:val="17180B0B"/>
    <w:multiLevelType w:val="hybridMultilevel"/>
    <w:lvl w:ilvl="0">
      <w:lvlJc w:val="left"/>
      <w:lvlText w:val="(%1)"/>
      <w:numFmt w:val="lowerLetter"/>
      <w:start w:val="4"/>
    </w:lvl>
  </w:abstractNum>
  <w:abstractNum w:abstractNumId="100">
    <w:nsid w:val="579328B9"/>
    <w:multiLevelType w:val="hybridMultilevel"/>
    <w:lvl w:ilvl="0">
      <w:lvlJc w:val="left"/>
      <w:lvlText w:val="%1"/>
      <w:numFmt w:val="lowerLetter"/>
      <w:start w:val="1"/>
    </w:lvl>
    <w:lvl w:ilvl="1">
      <w:lvlJc w:val="left"/>
      <w:lvlText w:val="(%2)"/>
      <w:numFmt w:val="lowerLetter"/>
      <w:start w:val="1"/>
    </w:lvl>
  </w:abstractNum>
  <w:abstractNum w:abstractNumId="101">
    <w:nsid w:val="5D205E20"/>
    <w:multiLevelType w:val="hybridMultilevel"/>
    <w:lvl w:ilvl="0">
      <w:lvlJc w:val="left"/>
      <w:lvlText w:val="(%1)"/>
      <w:numFmt w:val="lowerLetter"/>
      <w:start w:val="61"/>
    </w:lvl>
    <w:lvl w:ilvl="1">
      <w:lvlJc w:val="left"/>
      <w:lvlText w:val="(%2)"/>
      <w:numFmt w:val="lowerLetter"/>
      <w:start w:val="3"/>
    </w:lvl>
  </w:abstractNum>
  <w:abstractNum w:abstractNumId="102">
    <w:nsid w:val="11CCA8BA"/>
    <w:multiLevelType w:val="hybridMultilevel"/>
    <w:lvl w:ilvl="0">
      <w:lvlJc w:val="left"/>
      <w:lvlText w:val="(%1)"/>
      <w:numFmt w:val="lowerLetter"/>
      <w:start w:val="4"/>
    </w:lvl>
    <w:lvl w:ilvl="1">
      <w:lvlJc w:val="left"/>
      <w:lvlText w:val="(%2)"/>
      <w:numFmt w:val="lowerRoman"/>
      <w:start w:val="1"/>
    </w:lvl>
  </w:abstractNum>
  <w:abstractNum w:abstractNumId="103">
    <w:nsid w:val="4D32AB86"/>
    <w:multiLevelType w:val="hybridMultilevel"/>
    <w:lvl w:ilvl="0">
      <w:lvlJc w:val="left"/>
      <w:lvlText w:val="%1"/>
      <w:numFmt w:val="lowerLetter"/>
      <w:start w:val="1"/>
    </w:lvl>
    <w:lvl w:ilvl="1">
      <w:lvlJc w:val="left"/>
      <w:lvlText w:val="(%2)"/>
      <w:numFmt w:val="lowerRoman"/>
      <w:start w:val="4"/>
    </w:lvl>
  </w:abstractNum>
  <w:abstractNum w:abstractNumId="104">
    <w:nsid w:val="3F07ACC3"/>
    <w:multiLevelType w:val="hybridMultilevel"/>
    <w:lvl w:ilvl="0">
      <w:lvlJc w:val="left"/>
      <w:lvlText w:val="(%1)"/>
      <w:numFmt w:val="lowerLetter"/>
      <w:start w:val="7"/>
    </w:lvl>
    <w:lvl w:ilvl="1">
      <w:lvlJc w:val="left"/>
      <w:lvlText w:val="%2"/>
      <w:numFmt w:val="lowerRoman"/>
      <w:start w:val="1"/>
    </w:lvl>
  </w:abstractNum>
  <w:abstractNum w:abstractNumId="105">
    <w:nsid w:val="6B47F63E"/>
    <w:multiLevelType w:val="hybridMultilevel"/>
    <w:lvl w:ilvl="0">
      <w:lvlJc w:val="left"/>
      <w:lvlText w:val="(%1)"/>
      <w:numFmt w:val="lowerLetter"/>
      <w:start w:val="1"/>
    </w:lvl>
  </w:abstractNum>
  <w:abstractNum w:abstractNumId="106">
    <w:nsid w:val="5CB44A05"/>
    <w:multiLevelType w:val="hybridMultilevel"/>
    <w:lvl w:ilvl="0">
      <w:lvlJc w:val="left"/>
      <w:lvlText w:val="(%1)"/>
      <w:numFmt w:val="lowerLetter"/>
      <w:start w:val="2"/>
    </w:lvl>
  </w:abstractNum>
  <w:abstractNum w:abstractNumId="107">
    <w:nsid w:val="16CF80F1"/>
    <w:multiLevelType w:val="hybridMultilevel"/>
    <w:lvl w:ilvl="0">
      <w:lvlJc w:val="left"/>
      <w:lvlText w:val="(%1)"/>
      <w:numFmt w:val="lowerLetter"/>
      <w:start w:val="1"/>
    </w:lvl>
    <w:lvl w:ilvl="1">
      <w:lvlJc w:val="left"/>
      <w:lvlText w:val="(%2)"/>
      <w:numFmt w:val="lowerRoman"/>
      <w:start w:val="1"/>
    </w:lvl>
  </w:abstractNum>
  <w:abstractNum w:abstractNumId="108">
    <w:nsid w:val="1C695DEC"/>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109">
    <w:nsid w:val="3FCFAED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0">
    <w:nsid w:val="F856867"/>
    <w:multiLevelType w:val="hybridMultilevel"/>
    <w:lvl w:ilvl="0">
      <w:lvlJc w:val="left"/>
      <w:lvlText w:val="%1"/>
      <w:numFmt w:val="lowerLetter"/>
      <w:start w:val="1"/>
    </w:lvl>
    <w:lvl w:ilvl="1">
      <w:lvlJc w:val="left"/>
      <w:lvlText w:val="(%2)"/>
      <w:numFmt w:val="lowerLetter"/>
      <w:start w:val="3"/>
    </w:lvl>
  </w:abstractNum>
  <w:abstractNum w:abstractNumId="111">
    <w:nsid w:val="11B1CC33"/>
    <w:multiLevelType w:val="hybridMultilevel"/>
    <w:lvl w:ilvl="0">
      <w:lvlJc w:val="left"/>
      <w:lvlText w:val="(%1)"/>
      <w:numFmt w:val="lowerLetter"/>
      <w:start w:val="35"/>
    </w:lvl>
    <w:lvl w:ilvl="1">
      <w:lvlJc w:val="left"/>
      <w:lvlText w:val="%2"/>
      <w:numFmt w:val="lowerLetter"/>
      <w:start w:val="1"/>
    </w:lvl>
  </w:abstractNum>
  <w:abstractNum w:abstractNumId="112">
    <w:nsid w:val="2E22FBB7"/>
    <w:multiLevelType w:val="hybridMultilevel"/>
    <w:lvl w:ilvl="0">
      <w:lvlJc w:val="left"/>
      <w:lvlText w:val="%1"/>
      <w:numFmt w:val="lowerLetter"/>
      <w:start w:val="1"/>
    </w:lvl>
    <w:lvl w:ilvl="1">
      <w:lvlJc w:val="left"/>
      <w:lvlText w:val="(%2)"/>
      <w:numFmt w:val="lowerLetter"/>
      <w:start w:val="1"/>
    </w:lvl>
  </w:abstractNum>
  <w:abstractNum w:abstractNumId="113">
    <w:nsid w:val="29934699"/>
    <w:multiLevelType w:val="hybridMultilevel"/>
    <w:lvl w:ilvl="0">
      <w:lvlJc w:val="left"/>
      <w:lvlText w:val="(%1)"/>
      <w:numFmt w:val="lowerLetter"/>
      <w:start w:val="9"/>
    </w:lvl>
    <w:lvl w:ilvl="1">
      <w:lvlJc w:val="left"/>
      <w:lvlText w:val="%2"/>
      <w:numFmt w:val="lowerLetter"/>
      <w:start w:val="1"/>
    </w:lvl>
  </w:abstractNum>
  <w:abstractNum w:abstractNumId="114">
    <w:nsid w:val="77485850"/>
    <w:multiLevelType w:val="hybridMultilevel"/>
    <w:lvl w:ilvl="0">
      <w:lvlJc w:val="left"/>
      <w:lvlText w:val="(%1)"/>
      <w:numFmt w:val="lowerLetter"/>
      <w:start w:val="3"/>
    </w:lvl>
  </w:abstractNum>
  <w:abstractNum w:abstractNumId="115">
    <w:nsid w:val="744939A3"/>
    <w:multiLevelType w:val="hybridMultilevel"/>
    <w:lvl w:ilvl="0">
      <w:lvlJc w:val="left"/>
      <w:lvlText w:val="(%1)"/>
      <w:numFmt w:val="lowerLetter"/>
      <w:start w:val="1"/>
    </w:lvl>
    <w:lvl w:ilvl="1">
      <w:lvlJc w:val="left"/>
      <w:lvlText w:val="(%2)"/>
      <w:numFmt w:val="lowerRoman"/>
      <w:start w:val="1"/>
    </w:lvl>
  </w:abstractNum>
  <w:abstractNum w:abstractNumId="116">
    <w:nsid w:val="4FA0D2E3"/>
    <w:multiLevelType w:val="hybridMultilevel"/>
    <w:lvl w:ilvl="0">
      <w:lvlJc w:val="left"/>
      <w:lvlText w:val="(%1)"/>
      <w:numFmt w:val="lowerLetter"/>
      <w:start w:val="2"/>
    </w:lvl>
    <w:lvl w:ilvl="1">
      <w:lvlJc w:val="left"/>
      <w:lvlText w:val="(%2)"/>
      <w:numFmt w:val="lowerRoman"/>
      <w:start w:val="1"/>
    </w:lvl>
  </w:abstractNum>
  <w:abstractNum w:abstractNumId="117">
    <w:nsid w:val="6B1D2C1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4)"/>
      <w:numFmt w:val="lowerLetter"/>
      <w:start w:val="24"/>
    </w:lvl>
    <w:lvl w:ilvl="4">
      <w:lvlJc w:val="left"/>
      <w:lvlText w:val="(%5)"/>
      <w:numFmt w:val="upperLetter"/>
      <w:start w:val="9"/>
    </w:lvl>
  </w:abstractNum>
  <w:abstractNum w:abstractNumId="118">
    <w:nsid w:val="68B867D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lowerLetter"/>
      <w:start w:val="1"/>
    </w:lvl>
    <w:lvl w:ilvl="4">
      <w:lvlJc w:val="left"/>
      <w:lvlText w:val="(%5)"/>
      <w:numFmt w:val="upperLetter"/>
      <w:start w:val="35"/>
    </w:lvl>
  </w:abstractNum>
  <w:abstractNum w:abstractNumId="119">
    <w:nsid w:val="3F7F5DD9"/>
    <w:multiLevelType w:val="hybridMultilevel"/>
    <w:lvl w:ilvl="0">
      <w:lvlJc w:val="left"/>
      <w:lvlText w:val="%1"/>
      <w:numFmt w:val="upperLetter"/>
      <w:start w:val="1"/>
    </w:lvl>
    <w:lvl w:ilvl="1">
      <w:lvlJc w:val="left"/>
      <w:lvlText w:val="(%2)"/>
      <w:numFmt w:val="upperLetter"/>
      <w:start w:val="61"/>
    </w:lvl>
  </w:abstractNum>
  <w:abstractNum w:abstractNumId="120">
    <w:nsid w:val="2AE05A34"/>
    <w:multiLevelType w:val="hybridMultilevel"/>
    <w:lvl w:ilvl="0">
      <w:lvlJc w:val="left"/>
      <w:lvlText w:val="(%1)"/>
      <w:numFmt w:val="upperLetter"/>
      <w:start w:val="2"/>
    </w:lvl>
    <w:lvl w:ilvl="1">
      <w:lvlJc w:val="left"/>
      <w:lvlText w:val="%2"/>
      <w:numFmt w:val="upperLetter"/>
      <w:start w:val="1"/>
    </w:lvl>
  </w:abstractNum>
  <w:abstractNum w:abstractNumId="121">
    <w:nsid w:val="32794FF7"/>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3"/>
    </w:lvl>
  </w:abstractNum>
  <w:abstractNum w:abstractNumId="122">
    <w:nsid w:val="5454945E"/>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23">
    <w:nsid w:val="4DEFDFA0"/>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124">
    <w:nsid w:val="2123D5F2"/>
    <w:multiLevelType w:val="hybridMultilevel"/>
    <w:lvl w:ilvl="0">
      <w:lvlJc w:val="left"/>
      <w:lvlText w:val="(%1)"/>
      <w:numFmt w:val="lowerLetter"/>
      <w:start w:val="7"/>
    </w:lvl>
  </w:abstractNum>
  <w:abstractNum w:abstractNumId="125">
    <w:nsid w:val="135B811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26">
    <w:nsid w:val="94927A8"/>
    <w:multiLevelType w:val="hybridMultilevel"/>
    <w:lvl w:ilvl="0">
      <w:lvlJc w:val="left"/>
      <w:lvlText w:val="(%1)"/>
      <w:numFmt w:val="lowerLetter"/>
      <w:start w:val="9"/>
    </w:lvl>
    <w:lvl w:ilvl="1">
      <w:lvlJc w:val="left"/>
      <w:lvlText w:val="(%2)"/>
      <w:numFmt w:val="lowerLetter"/>
      <w:start w:val="2"/>
    </w:lvl>
    <w:lvl w:ilvl="2">
      <w:lvlJc w:val="left"/>
      <w:lvlText w:val="(%3)"/>
      <w:numFmt w:val="lowerLetter"/>
      <w:start w:val="9"/>
    </w:lvl>
  </w:abstractNum>
  <w:abstractNum w:abstractNumId="127">
    <w:nsid w:val="DCDF8F6"/>
    <w:multiLevelType w:val="hybridMultilevel"/>
    <w:lvl w:ilvl="0">
      <w:lvlJc w:val="left"/>
      <w:lvlText w:val="(%1)"/>
      <w:numFmt w:val="lowerRoman"/>
      <w:start w:val="2"/>
    </w:lvl>
  </w:abstractNum>
  <w:abstractNum w:abstractNumId="128">
    <w:nsid w:val="52D7B105"/>
    <w:multiLevelType w:val="hybridMultilevel"/>
    <w:lvl w:ilvl="0">
      <w:lvlJc w:val="left"/>
      <w:lvlText w:val="(%1)"/>
      <w:numFmt w:val="lowerLetter"/>
      <w:start w:val="1"/>
    </w:lvl>
    <w:lvl w:ilvl="1">
      <w:lvlJc w:val="left"/>
      <w:lvlText w:val="(%2)"/>
      <w:numFmt w:val="lowerRoman"/>
      <w:start w:val="1"/>
    </w:lvl>
  </w:abstractNum>
  <w:abstractNum w:abstractNumId="129">
    <w:nsid w:val="2E8A6394"/>
    <w:multiLevelType w:val="hybridMultilevel"/>
    <w:lvl w:ilvl="0">
      <w:lvlJc w:val="left"/>
      <w:lvlText w:val="(%1)"/>
      <w:numFmt w:val="lowerLetter"/>
      <w:start w:val="2"/>
    </w:lvl>
  </w:abstractNum>
  <w:abstractNum w:abstractNumId="130">
    <w:nsid w:val="24E60401"/>
    <w:multiLevelType w:val="hybridMultilevel"/>
    <w:lvl w:ilvl="0">
      <w:lvlJc w:val="left"/>
      <w:lvlText w:val="%1"/>
      <w:numFmt w:val="lowerLetter"/>
      <w:start w:val="1"/>
    </w:lvl>
    <w:lvl w:ilvl="1">
      <w:lvlJc w:val="left"/>
      <w:lvlText w:val="(%2)"/>
      <w:numFmt w:val="lowerLetter"/>
      <w:start w:val="4"/>
    </w:lvl>
  </w:abstractNum>
  <w:abstractNum w:abstractNumId="131">
    <w:nsid w:val="2A6AD9BE"/>
    <w:multiLevelType w:val="hybridMultilevel"/>
    <w:lvl w:ilvl="0">
      <w:lvlJc w:val="left"/>
      <w:lvlText w:val="(%1)"/>
      <w:numFmt w:val="lowerLetter"/>
      <w:start w:val="35"/>
    </w:lvl>
    <w:lvl w:ilvl="1">
      <w:lvlJc w:val="left"/>
      <w:lvlText w:val="%2"/>
      <w:numFmt w:val="lowerLetter"/>
      <w:start w:val="1"/>
    </w:lvl>
  </w:abstractNum>
  <w:abstractNum w:abstractNumId="132">
    <w:nsid w:val="BAAC1B4"/>
    <w:multiLevelType w:val="hybridMultilevel"/>
    <w:lvl w:ilvl="0">
      <w:lvlJc w:val="left"/>
      <w:lvlText w:val="(%1)"/>
      <w:numFmt w:val="lowerLetter"/>
      <w:start w:val="1"/>
    </w:lvl>
  </w:abstractNum>
  <w:abstractNum w:abstractNumId="133">
    <w:nsid w:val="36B2ACBC"/>
    <w:multiLevelType w:val="hybridMultilevel"/>
    <w:lvl w:ilvl="0">
      <w:lvlJc w:val="left"/>
      <w:lvlText w:val="(%1)"/>
      <w:numFmt w:val="lowerLetter"/>
      <w:start w:val="1"/>
    </w:lvl>
  </w:abstractNum>
  <w:abstractNum w:abstractNumId="134">
    <w:nsid w:val="779D8544"/>
    <w:multiLevelType w:val="hybridMultilevel"/>
    <w:lvl w:ilvl="0">
      <w:lvlJc w:val="left"/>
      <w:lvlText w:val="(%1)"/>
      <w:numFmt w:val="lowerLetter"/>
      <w:start w:val="1"/>
    </w:lvl>
    <w:lvl w:ilvl="1">
      <w:lvlJc w:val="left"/>
      <w:lvlText w:val="(%2)"/>
      <w:numFmt w:val="lowerRoman"/>
      <w:start w:val="1"/>
    </w:lvl>
  </w:abstractNum>
  <w:abstractNum w:abstractNumId="135">
    <w:nsid w:val="4AB26E78"/>
    <w:multiLevelType w:val="hybridMultilevel"/>
    <w:lvl w:ilvl="0">
      <w:lvlJc w:val="left"/>
      <w:lvlText w:val="%1"/>
      <w:numFmt w:val="lowerLetter"/>
      <w:start w:val="1"/>
    </w:lvl>
    <w:lvl w:ilvl="1">
      <w:lvlJc w:val="left"/>
      <w:lvlText w:val="(%2)"/>
      <w:numFmt w:val="lowerRoman"/>
      <w:start w:val="8"/>
    </w:lvl>
  </w:abstractNum>
  <w:abstractNum w:abstractNumId="136">
    <w:nsid w:val="21FAA2FA"/>
    <w:multiLevelType w:val="hybridMultilevel"/>
    <w:lvl w:ilvl="0">
      <w:lvlJc w:val="left"/>
      <w:lvlText w:val="%1"/>
      <w:numFmt w:val="lowerLetter"/>
      <w:start w:val="1"/>
    </w:lvl>
    <w:lvl w:ilvl="1">
      <w:lvlJc w:val="left"/>
      <w:lvlText w:val="(%2)"/>
      <w:numFmt w:val="lowerRoman"/>
      <w:start w:val="11"/>
    </w:lvl>
  </w:abstractNum>
  <w:abstractNum w:abstractNumId="137">
    <w:nsid w:val="5451CF49"/>
    <w:multiLevelType w:val="hybridMultilevel"/>
    <w:lvl w:ilvl="0">
      <w:lvlJc w:val="left"/>
      <w:lvlText w:val="(%1)"/>
      <w:numFmt w:val="lowerLetter"/>
      <w:start w:val="2"/>
    </w:lvl>
    <w:lvl w:ilvl="1">
      <w:lvlJc w:val="left"/>
      <w:lvlText w:val="%2"/>
      <w:numFmt w:val="lowerRoman"/>
      <w:start w:val="1"/>
    </w:lvl>
  </w:abstractNum>
  <w:abstractNum w:abstractNumId="138">
    <w:nsid w:val="6181EF69"/>
    <w:multiLevelType w:val="hybridMultilevel"/>
    <w:lvl w:ilvl="0">
      <w:lvlJc w:val="left"/>
      <w:lvlText w:val="(%1)"/>
      <w:numFmt w:val="lowerLetter"/>
      <w:start w:val="1"/>
    </w:lvl>
  </w:abstractNum>
  <w:abstractNum w:abstractNumId="139">
    <w:nsid w:val="3E6400E6"/>
    <w:multiLevelType w:val="hybridMultilevel"/>
    <w:lvl w:ilvl="0">
      <w:lvlJc w:val="left"/>
      <w:lvlText w:val="(%1)"/>
      <w:numFmt w:val="lowerRoman"/>
      <w:start w:val="2"/>
    </w:lvl>
  </w:abstractNum>
  <w:abstractNum w:abstractNumId="140">
    <w:nsid w:val="14217E23"/>
    <w:multiLevelType w:val="hybridMultilevel"/>
    <w:lvl w:ilvl="0">
      <w:lvlJc w:val="left"/>
      <w:lvlText w:val="(%1)"/>
      <w:numFmt w:val="lowerLetter"/>
      <w:start w:val="1"/>
    </w:lvl>
  </w:abstractNum>
  <w:abstractNum w:abstractNumId="141">
    <w:nsid w:val="710757D0"/>
    <w:multiLevelType w:val="hybridMultilevel"/>
    <w:lvl w:ilvl="0">
      <w:lvlJc w:val="left"/>
      <w:lvlText w:val="(%1)"/>
      <w:numFmt w:val="lowerLetter"/>
      <w:start w:val="1"/>
    </w:lvl>
  </w:abstractNum>
  <w:abstractNum w:abstractNumId="142">
    <w:nsid w:val="5015CD1A"/>
    <w:multiLevelType w:val="hybridMultilevel"/>
    <w:lvl w:ilvl="0">
      <w:lvlJc w:val="left"/>
      <w:lvlText w:val="(%1)"/>
      <w:numFmt w:val="lowerLetter"/>
      <w:start w:val="4"/>
    </w:lvl>
    <w:lvl w:ilvl="1">
      <w:lvlJc w:val="left"/>
      <w:lvlText w:val="(%2)"/>
      <w:numFmt w:val="lowerRoman"/>
      <w:start w:val="1"/>
    </w:lvl>
  </w:abstractNum>
  <w:abstractNum w:abstractNumId="143">
    <w:nsid w:val="424479DA"/>
    <w:multiLevelType w:val="hybridMultilevel"/>
    <w:lvl w:ilvl="0">
      <w:lvlJc w:val="left"/>
      <w:lvlText w:val="(%1)"/>
      <w:numFmt w:val="lowerLetter"/>
      <w:start w:val="1"/>
    </w:lvl>
  </w:abstractNum>
  <w:abstractNum w:abstractNumId="144">
    <w:nsid w:val="1A9A9E69"/>
    <w:multiLevelType w:val="hybridMultilevel"/>
    <w:lvl w:ilvl="0">
      <w:lvlJc w:val="left"/>
      <w:lvlText w:val="(%1)"/>
      <w:numFmt w:val="lowerLetter"/>
      <w:start w:val="1"/>
    </w:lvl>
  </w:abstractNum>
  <w:abstractNum w:abstractNumId="145">
    <w:nsid w:val="475E256A"/>
    <w:multiLevelType w:val="hybridMultilevel"/>
    <w:lvl w:ilvl="0">
      <w:lvlJc w:val="left"/>
      <w:lvlText w:val="(%1)"/>
      <w:numFmt w:val="lowerLetter"/>
      <w:start w:val="4"/>
    </w:lvl>
  </w:abstractNum>
  <w:abstractNum w:abstractNumId="146">
    <w:nsid w:val="368DB37E"/>
    <w:multiLevelType w:val="hybridMultilevel"/>
    <w:lvl w:ilvl="0">
      <w:lvlJc w:val="left"/>
      <w:lvlText w:val="(%1)"/>
      <w:numFmt w:val="lowerLetter"/>
      <w:start w:val="1"/>
    </w:lvl>
  </w:abstractNum>
  <w:abstractNum w:abstractNumId="147">
    <w:nsid w:val="6A3B714C"/>
    <w:multiLevelType w:val="hybridMultilevel"/>
    <w:lvl w:ilvl="0">
      <w:lvlJc w:val="left"/>
      <w:lvlText w:val="(%1)"/>
      <w:numFmt w:val="lowerLetter"/>
      <w:start w:val="1"/>
    </w:lvl>
  </w:abstractNum>
  <w:abstractNum w:abstractNumId="148">
    <w:nsid w:val="327B517E"/>
    <w:multiLevelType w:val="hybridMultilevel"/>
    <w:lvl w:ilvl="0">
      <w:lvlJc w:val="left"/>
      <w:lvlText w:val="(%1)"/>
      <w:numFmt w:val="lowerLetter"/>
      <w:start w:val="1"/>
    </w:lvl>
  </w:abstractNum>
  <w:abstractNum w:abstractNumId="149">
    <w:nsid w:val="1F461B51"/>
    <w:multiLevelType w:val="hybridMultilevel"/>
    <w:lvl w:ilvl="0">
      <w:lvlJc w:val="left"/>
      <w:lvlText w:val="%1"/>
      <w:numFmt w:val="lowerLetter"/>
      <w:start w:val="1"/>
    </w:lvl>
    <w:lvl w:ilvl="1">
      <w:lvlJc w:val="left"/>
      <w:lvlText w:val="(%2)"/>
      <w:numFmt w:val="lowerLetter"/>
      <w:start w:val="1"/>
    </w:lvl>
  </w:abstractNum>
  <w:abstractNum w:abstractNumId="150">
    <w:nsid w:val="29BACF25"/>
    <w:multiLevelType w:val="hybridMultilevel"/>
    <w:lvl w:ilvl="0">
      <w:lvlJc w:val="left"/>
      <w:lvlText w:val="(%1)"/>
      <w:numFmt w:val="lowerLetter"/>
      <w:start w:val="9"/>
    </w:lvl>
    <w:lvl w:ilvl="1">
      <w:lvlJc w:val="left"/>
      <w:lvlText w:val="(%2)"/>
      <w:numFmt w:val="lowerLetter"/>
      <w:start w:val="3"/>
    </w:lvl>
  </w:abstractNum>
  <w:abstractNum w:abstractNumId="151">
    <w:nsid w:val="5D5BABB3"/>
    <w:multiLevelType w:val="hybridMultilevel"/>
    <w:lvl w:ilvl="0">
      <w:lvlJc w:val="left"/>
      <w:lvlText w:val="(%1)"/>
      <w:numFmt w:val="lowerLetter"/>
      <w:start w:val="1"/>
    </w:lvl>
  </w:abstractNum>
  <w:abstractNum w:abstractNumId="152">
    <w:nsid w:val="51BF6B48"/>
    <w:multiLevelType w:val="hybridMultilevel"/>
    <w:lvl w:ilvl="0">
      <w:lvlJc w:val="left"/>
      <w:lvlText w:val="(%1)"/>
      <w:numFmt w:val="lowerLetter"/>
      <w:start w:val="1"/>
    </w:lvl>
    <w:lvl w:ilvl="1">
      <w:lvlJc w:val="left"/>
      <w:lvlText w:val="(%2)"/>
      <w:numFmt w:val="lowerRoman"/>
      <w:start w:val="1"/>
    </w:lvl>
  </w:abstractNum>
  <w:abstractNum w:abstractNumId="153">
    <w:nsid w:val="7E0F638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154">
    <w:nsid w:val="2B4B8B5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55">
    <w:nsid w:val="72E3413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56">
    <w:nsid w:val="116AE494"/>
    <w:multiLevelType w:val="hybridMultilevel"/>
    <w:lvl w:ilvl="0">
      <w:lvlJc w:val="left"/>
      <w:lvlText w:val="(%1)"/>
      <w:numFmt w:val="lowerLetter"/>
      <w:start w:val="3"/>
    </w:lvl>
  </w:abstractNum>
  <w:abstractNum w:abstractNumId="157">
    <w:nsid w:val="3494B2FB"/>
    <w:multiLevelType w:val="hybridMultilevel"/>
    <w:lvl w:ilvl="0">
      <w:lvlJc w:val="left"/>
      <w:lvlText w:val="(%1)"/>
      <w:numFmt w:val="lowerRoman"/>
      <w:start w:val="1"/>
    </w:lvl>
  </w:abstractNum>
  <w:abstractNum w:abstractNumId="158">
    <w:nsid w:val="B13A31"/>
    <w:multiLevelType w:val="hybridMultilevel"/>
    <w:lvl w:ilvl="0">
      <w:lvlJc w:val="left"/>
      <w:lvlText w:val="%1"/>
      <w:numFmt w:val="lowerLetter"/>
      <w:start w:val="1"/>
    </w:lvl>
    <w:lvl w:ilvl="1">
      <w:lvlJc w:val="left"/>
      <w:lvlText w:val="(%2)"/>
      <w:numFmt w:val="lowerLetter"/>
      <w:start w:val="2"/>
    </w:lvl>
  </w:abstractNum>
  <w:abstractNum w:abstractNumId="159">
    <w:nsid w:val="64429599"/>
    <w:multiLevelType w:val="hybridMultilevel"/>
    <w:lvl w:ilvl="0">
      <w:lvlJc w:val="left"/>
      <w:lvlText w:val="(%1)"/>
      <w:numFmt w:val="lowerLetter"/>
      <w:start w:val="35"/>
    </w:lvl>
    <w:lvl w:ilvl="1">
      <w:lvlJc w:val="left"/>
      <w:lvlText w:val="(%2)"/>
      <w:numFmt w:val="lowerLetter"/>
      <w:start w:val="4"/>
    </w:lvl>
  </w:abstractNum>
  <w:abstractNum w:abstractNumId="160">
    <w:nsid w:val="631F1690"/>
    <w:multiLevelType w:val="hybridMultilevel"/>
    <w:lvl w:ilvl="0">
      <w:lvlJc w:val="left"/>
      <w:lvlText w:val="(%1)"/>
      <w:numFmt w:val="lowerLetter"/>
      <w:start w:val="1"/>
    </w:lvl>
    <w:lvl w:ilvl="1">
      <w:lvlJc w:val="left"/>
      <w:lvlText w:val="(%2)"/>
      <w:numFmt w:val="lowerRoman"/>
      <w:start w:val="1"/>
    </w:lvl>
  </w:abstractNum>
  <w:abstractNum w:abstractNumId="161">
    <w:nsid w:val="25973E32"/>
    <w:multiLevelType w:val="hybridMultilevel"/>
    <w:lvl w:ilvl="0">
      <w:lvlJc w:val="left"/>
      <w:lvlText w:val="(%1)"/>
      <w:numFmt w:val="lowerLetter"/>
      <w:start w:val="8"/>
    </w:lvl>
  </w:abstractNum>
  <w:abstractNum w:abstractNumId="162">
    <w:nsid w:val="EAD6F57"/>
    <w:multiLevelType w:val="hybridMultilevel"/>
    <w:lvl w:ilvl="0">
      <w:lvlJc w:val="left"/>
      <w:lvlText w:val="%1"/>
      <w:numFmt w:val="lowerLetter"/>
      <w:start w:val="1"/>
    </w:lvl>
    <w:lvl w:ilvl="1">
      <w:lvlJc w:val="left"/>
      <w:lvlText w:val="(%2)"/>
      <w:numFmt w:val="lowerLetter"/>
      <w:start w:val="1"/>
    </w:lvl>
  </w:abstractNum>
  <w:abstractNum w:abstractNumId="163">
    <w:nsid w:val="6EC9D844"/>
    <w:multiLevelType w:val="hybridMultilevel"/>
    <w:lvl w:ilvl="0">
      <w:lvlJc w:val="left"/>
      <w:lvlText w:val="(%1)"/>
      <w:numFmt w:val="lowerLetter"/>
      <w:start w:val="9"/>
    </w:lvl>
    <w:lvl w:ilvl="1">
      <w:lvlJc w:val="left"/>
      <w:lvlText w:val="(%2)"/>
      <w:numFmt w:val="lowerLetter"/>
      <w:start w:val="5"/>
    </w:lvl>
  </w:abstractNum>
  <w:abstractNum w:abstractNumId="164">
    <w:nsid w:val="5C49EAEE"/>
    <w:multiLevelType w:val="hybridMultilevel"/>
    <w:lvl w:ilvl="0">
      <w:lvlJc w:val="left"/>
      <w:lvlText w:val="(%1)"/>
      <w:numFmt w:val="lowerLetter"/>
      <w:start w:val="6"/>
    </w:lvl>
  </w:abstractNum>
  <w:abstractNum w:abstractNumId="165">
    <w:nsid w:val="64AF49B"/>
    <w:multiLevelType w:val="hybridMultilevel"/>
    <w:lvl w:ilvl="0">
      <w:lvlJc w:val="left"/>
      <w:lvlText w:val="(%1)"/>
      <w:numFmt w:val="lowerLetter"/>
      <w:start w:val="1"/>
    </w:lvl>
  </w:abstractNum>
  <w:abstractNum w:abstractNumId="166">
    <w:nsid w:val="397C46BC"/>
    <w:multiLevelType w:val="hybridMultilevel"/>
    <w:lvl w:ilvl="0">
      <w:lvlJc w:val="left"/>
      <w:lvlText w:val="%1"/>
      <w:numFmt w:val="lowerLetter"/>
      <w:start w:val="1"/>
    </w:lvl>
    <w:lvl w:ilvl="1">
      <w:lvlJc w:val="left"/>
      <w:lvlText w:val="(%2)"/>
      <w:numFmt w:val="lowerLetter"/>
      <w:start w:val="2"/>
    </w:lvl>
  </w:abstractNum>
  <w:abstractNum w:abstractNumId="167">
    <w:nsid w:val="7E448DE9"/>
    <w:multiLevelType w:val="hybridMultilevel"/>
    <w:lvl w:ilvl="0">
      <w:lvlJc w:val="left"/>
      <w:lvlText w:val="(%1)"/>
      <w:numFmt w:val="lowerLetter"/>
      <w:start w:val="9"/>
    </w:lvl>
    <w:lvl w:ilvl="1">
      <w:lvlJc w:val="left"/>
      <w:lvlText w:val="%2"/>
      <w:numFmt w:val="lowerLetter"/>
      <w:start w:val="1"/>
    </w:lvl>
  </w:abstractNum>
  <w:abstractNum w:abstractNumId="168">
    <w:nsid w:val="5A9CC3E5"/>
    <w:multiLevelType w:val="hybridMultilevel"/>
    <w:lvl w:ilvl="0">
      <w:lvlJc w:val="left"/>
      <w:lvlText w:val="(%1)"/>
      <w:numFmt w:val="lowerLetter"/>
      <w:start w:val="1"/>
    </w:lvl>
  </w:abstractNum>
  <w:abstractNum w:abstractNumId="169">
    <w:nsid w:val="1AFE3625"/>
    <w:multiLevelType w:val="hybridMultilevel"/>
    <w:lvl w:ilvl="0">
      <w:lvlJc w:val="left"/>
      <w:lvlText w:val="(%1)"/>
      <w:numFmt w:val="lowerLetter"/>
      <w:start w:val="1"/>
    </w:lvl>
  </w:abstractNum>
  <w:abstractNum w:abstractNumId="170">
    <w:nsid w:val="3CA88ECF"/>
    <w:multiLevelType w:val="hybridMultilevel"/>
    <w:lvl w:ilvl="0">
      <w:lvlJc w:val="left"/>
      <w:lvlText w:val="%1"/>
      <w:numFmt w:val="upperLetter"/>
      <w:start w:val="1"/>
    </w:lvl>
    <w:lvl w:ilvl="1">
      <w:lvlJc w:val="left"/>
      <w:lvlText w:val="(%2)"/>
      <w:numFmt w:val="lowerLetter"/>
      <w:start w:val="1"/>
    </w:lvl>
  </w:abstractNum>
  <w:abstractNum w:abstractNumId="171">
    <w:nsid w:val="6EBE4208"/>
    <w:multiLevelType w:val="hybridMultilevel"/>
    <w:lvl w:ilvl="0">
      <w:lvlJc w:val="left"/>
      <w:lvlText w:val="(%1)"/>
      <w:numFmt w:val="upperLetter"/>
      <w:start w:val="8"/>
    </w:lvl>
    <w:lvl w:ilvl="1">
      <w:lvlJc w:val="left"/>
      <w:lvlText w:val="(%2)"/>
      <w:numFmt w:val="lowerLetter"/>
      <w:start w:val="2"/>
    </w:lvl>
  </w:abstractNum>
  <w:abstractNum w:abstractNumId="172">
    <w:nsid w:val="C058DF5"/>
    <w:multiLevelType w:val="hybridMultilevel"/>
    <w:lvl w:ilvl="0">
      <w:lvlJc w:val="left"/>
      <w:lvlText w:val="(%1)"/>
      <w:numFmt w:val="lowerLetter"/>
      <w:start w:val="1"/>
    </w:lvl>
  </w:abstractNum>
  <w:abstractNum w:abstractNumId="173">
    <w:nsid w:val="CBE5BE9"/>
    <w:multiLevelType w:val="hybridMultilevel"/>
    <w:lvl w:ilvl="0">
      <w:lvlJc w:val="left"/>
      <w:lvlText w:val="(%1)"/>
      <w:numFmt w:val="lowerLetter"/>
      <w:start w:val="1"/>
    </w:lvl>
  </w:abstractNum>
  <w:abstractNum w:abstractNumId="174">
    <w:nsid w:val="3102BBE2"/>
    <w:multiLevelType w:val="hybridMultilevel"/>
    <w:lvl w:ilvl="0">
      <w:lvlJc w:val="left"/>
      <w:lvlText w:val="(%1)"/>
      <w:numFmt w:val="lowerLetter"/>
      <w:start w:val="1"/>
    </w:lvl>
  </w:abstractNum>
  <w:abstractNum w:abstractNumId="175">
    <w:nsid w:val="26A02C5E"/>
    <w:multiLevelType w:val="hybridMultilevel"/>
    <w:lvl w:ilvl="0">
      <w:lvlJc w:val="left"/>
      <w:lvlText w:val="(%1)"/>
      <w:numFmt w:val="lowerLetter"/>
      <w:start w:val="2"/>
    </w:lvl>
  </w:abstractNum>
  <w:abstractNum w:abstractNumId="176">
    <w:nsid w:val="541C8153"/>
    <w:multiLevelType w:val="hybridMultilevel"/>
    <w:lvl w:ilvl="0">
      <w:lvlJc w:val="left"/>
      <w:lvlText w:val="(%1)"/>
      <w:numFmt w:val="lowerLetter"/>
      <w:start w:val="8"/>
    </w:lvl>
  </w:abstractNum>
  <w:abstractNum w:abstractNumId="177">
    <w:nsid w:val="67906F60"/>
    <w:multiLevelType w:val="hybridMultilevel"/>
    <w:lvl w:ilvl="0">
      <w:lvlJc w:val="left"/>
      <w:lvlText w:val="(%1)"/>
      <w:numFmt w:val="lowerLetter"/>
      <w:start w:val="1"/>
    </w:lvl>
  </w:abstractNum>
  <w:abstractNum w:abstractNumId="178">
    <w:nsid w:val="10DB9DAA"/>
    <w:multiLevelType w:val="hybridMultilevel"/>
    <w:lvl w:ilvl="0">
      <w:lvlJc w:val="left"/>
      <w:lvlText w:val="(%1)"/>
      <w:numFmt w:val="lowerLetter"/>
      <w:start w:val="4"/>
    </w:lvl>
  </w:abstractNum>
  <w:abstractNum w:abstractNumId="179">
    <w:nsid w:val="697D2D2"/>
    <w:multiLevelType w:val="hybridMultilevel"/>
    <w:lvl w:ilvl="0">
      <w:lvlJc w:val="left"/>
      <w:lvlText w:val="(%1)"/>
      <w:numFmt w:val="lowerLetter"/>
      <w:start w:val="1"/>
    </w:lvl>
  </w:abstractNum>
  <w:abstractNum w:abstractNumId="180">
    <w:nsid w:val="6D68AB2"/>
    <w:multiLevelType w:val="hybridMultilevel"/>
    <w:lvl w:ilvl="0">
      <w:lvlJc w:val="left"/>
      <w:lvlText w:val="(%1)"/>
      <w:numFmt w:val="lowerLetter"/>
      <w:start w:val="1"/>
    </w:lvl>
    <w:lvl w:ilvl="1">
      <w:lvlJc w:val="left"/>
      <w:lvlText w:val="(%2)"/>
      <w:numFmt w:val="lowerRoman"/>
      <w:start w:val="1"/>
    </w:lvl>
  </w:abstractNum>
  <w:abstractNum w:abstractNumId="181">
    <w:nsid w:val="3A966CD0"/>
    <w:multiLevelType w:val="hybridMultilevel"/>
    <w:lvl w:ilvl="0">
      <w:lvlJc w:val="left"/>
      <w:lvlText w:val="(%1)"/>
      <w:numFmt w:val="lowerLetter"/>
      <w:start w:val="1"/>
    </w:lvl>
  </w:abstractNum>
  <w:abstractNum w:abstractNumId="182">
    <w:nsid w:val="63F37E85"/>
    <w:multiLevelType w:val="hybridMultilevel"/>
    <w:lvl w:ilvl="0">
      <w:lvlJc w:val="left"/>
      <w:lvlText w:val="(%1)"/>
      <w:numFmt w:val="lowerLetter"/>
      <w:start w:val="1"/>
    </w:lvl>
  </w:abstractNum>
  <w:abstractNum w:abstractNumId="183">
    <w:nsid w:val="5895F5FA"/>
    <w:multiLevelType w:val="hybridMultilevel"/>
    <w:lvl w:ilvl="0">
      <w:lvlJc w:val="left"/>
      <w:lvlText w:val="(%1)"/>
      <w:numFmt w:val="lowerLetter"/>
      <w:start w:val="1"/>
    </w:lvl>
  </w:abstractNum>
  <w:abstractNum w:abstractNumId="184">
    <w:nsid w:val="38A5D054"/>
    <w:multiLevelType w:val="hybridMultilevel"/>
    <w:lvl w:ilvl="0">
      <w:lvlJc w:val="left"/>
      <w:lvlText w:val="(%1)"/>
      <w:numFmt w:val="lowerLetter"/>
      <w:start w:val="1"/>
    </w:lvl>
  </w:abstractNum>
  <w:abstractNum w:abstractNumId="185">
    <w:nsid w:val="F3F09D8"/>
    <w:multiLevelType w:val="hybridMultilevel"/>
    <w:lvl w:ilvl="0">
      <w:lvlJc w:val="left"/>
      <w:lvlText w:val="(%1)"/>
      <w:numFmt w:val="lowerLetter"/>
      <w:start w:val="1"/>
    </w:lvl>
    <w:lvl w:ilvl="1">
      <w:lvlJc w:val="left"/>
      <w:lvlText w:val="(%2)"/>
      <w:numFmt w:val="lowerRoman"/>
      <w:start w:val="1"/>
    </w:lvl>
  </w:abstractNum>
  <w:abstractNum w:abstractNumId="186">
    <w:nsid w:val="4B793735"/>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87">
    <w:nsid w:val="4A10B4E8"/>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88">
    <w:nsid w:val="43D3BCD4"/>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189">
    <w:nsid w:val="4C2A7166"/>
    <w:multiLevelType w:val="hybridMultilevel"/>
    <w:lvl w:ilvl="0">
      <w:lvlJc w:val="left"/>
      <w:lvlText w:val="(%1)"/>
      <w:numFmt w:val="lowerLetter"/>
      <w:start w:val="1"/>
    </w:lvl>
  </w:abstractNum>
  <w:abstractNum w:abstractNumId="190">
    <w:nsid w:val="2E534A82"/>
    <w:multiLevelType w:val="hybridMultilevel"/>
    <w:lvl w:ilvl="0">
      <w:lvlJc w:val="left"/>
      <w:lvlText w:val="(%1)"/>
      <w:numFmt w:val="lowerLetter"/>
      <w:start w:val="6"/>
    </w:lvl>
  </w:abstractNum>
  <w:abstractNum w:abstractNumId="191">
    <w:nsid w:val="26F2D364"/>
    <w:multiLevelType w:val="hybridMultilevel"/>
    <w:lvl w:ilvl="0">
      <w:lvlJc w:val="left"/>
      <w:lvlText w:val="(%1)"/>
      <w:numFmt w:val="lowerLetter"/>
      <w:start w:val="1"/>
    </w:lvl>
    <w:lvl w:ilvl="1">
      <w:lvlJc w:val="left"/>
      <w:lvlText w:val="(%2)"/>
      <w:numFmt w:val="lowerRoman"/>
      <w:start w:val="1"/>
    </w:lvl>
  </w:abstractNum>
  <w:abstractNum w:abstractNumId="192">
    <w:nsid w:val="71C1AF98"/>
    <w:multiLevelType w:val="hybridMultilevel"/>
    <w:lvl w:ilvl="0">
      <w:lvlJc w:val="left"/>
      <w:lvlText w:val="(%1)"/>
      <w:numFmt w:val="lowerLetter"/>
      <w:start w:val="2"/>
    </w:lvl>
  </w:abstractNum>
  <w:abstractNum w:abstractNumId="193">
    <w:nsid w:val="3D00B9D9"/>
    <w:multiLevelType w:val="hybridMultilevel"/>
    <w:lvl w:ilvl="0">
      <w:lvlJc w:val="left"/>
      <w:lvlText w:val="(%1)"/>
      <w:numFmt w:val="lowerLetter"/>
      <w:start w:val="3"/>
    </w:lvl>
  </w:abstractNum>
  <w:abstractNum w:abstractNumId="194">
    <w:nsid w:val="15BCABA8"/>
    <w:multiLevelType w:val="hybridMultilevel"/>
    <w:lvl w:ilvl="0">
      <w:lvlJc w:val="left"/>
      <w:lvlText w:val="(%1)"/>
      <w:numFmt w:val="lowerLetter"/>
      <w:start w:val="1"/>
    </w:lvl>
  </w:abstractNum>
  <w:abstractNum w:abstractNumId="195">
    <w:nsid w:val="4E0B9A87"/>
    <w:multiLevelType w:val="hybridMultilevel"/>
    <w:lvl w:ilvl="0">
      <w:lvlJc w:val="left"/>
      <w:lvlText w:val="%1"/>
      <w:numFmt w:val="lowerLetter"/>
      <w:start w:val="1"/>
    </w:lvl>
    <w:lvl w:ilvl="1">
      <w:lvlJc w:val="left"/>
      <w:lvlText w:val="(%2)"/>
      <w:numFmt w:val="lowerLetter"/>
      <w:start w:val="2"/>
    </w:lvl>
  </w:abstractNum>
  <w:abstractNum w:abstractNumId="196">
    <w:nsid w:val="434BAE75"/>
    <w:multiLevelType w:val="hybridMultilevel"/>
    <w:lvl w:ilvl="0">
      <w:lvlJc w:val="left"/>
      <w:lvlText w:val="(%1)"/>
      <w:numFmt w:val="lowerLetter"/>
      <w:start w:val="1"/>
    </w:lvl>
    <w:lvl w:ilvl="1">
      <w:lvlJc w:val="left"/>
      <w:lvlText w:val="%2"/>
      <w:numFmt w:val="lowerLetter"/>
      <w:start w:val="1"/>
    </w:lvl>
  </w:abstractNum>
  <w:abstractNum w:abstractNumId="197">
    <w:nsid w:val="4F38F265"/>
    <w:multiLevelType w:val="hybridMultilevel"/>
    <w:lvl w:ilvl="0">
      <w:lvlJc w:val="left"/>
      <w:lvlText w:val="(%1)"/>
      <w:numFmt w:val="lowerLetter"/>
      <w:start w:val="4"/>
    </w:lvl>
  </w:abstractNum>
  <w:abstractNum w:abstractNumId="198">
    <w:nsid w:val="4C502870"/>
    <w:multiLevelType w:val="hybridMultilevel"/>
    <w:lvl w:ilvl="0">
      <w:lvlJc w:val="left"/>
      <w:lvlText w:val="(%1)"/>
      <w:numFmt w:val="lowerLetter"/>
      <w:start w:val="1"/>
    </w:lvl>
  </w:abstractNum>
  <w:abstractNum w:abstractNumId="199">
    <w:nsid w:val="1DE8725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00">
    <w:nsid w:val="6A37288A"/>
    <w:multiLevelType w:val="hybridMultilevel"/>
    <w:lvl w:ilvl="0">
      <w:lvlJc w:val="left"/>
      <w:lvlText w:val="%1"/>
      <w:numFmt w:val="lowerRoman"/>
      <w:start w:val="1"/>
    </w:lvl>
    <w:lvl w:ilvl="1">
      <w:lvlJc w:val="left"/>
      <w:lvlText w:val="(%2)"/>
      <w:numFmt w:val="upperLetter"/>
      <w:start w:val="2"/>
    </w:lvl>
  </w:abstractNum>
  <w:abstractNum w:abstractNumId="201">
    <w:nsid w:val="8F8B73F"/>
    <w:multiLevelType w:val="hybridMultilevel"/>
    <w:lvl w:ilvl="0">
      <w:lvlJc w:val="left"/>
      <w:lvlText w:val="(%1)"/>
      <w:numFmt w:val="lowerRoman"/>
      <w:start w:val="4"/>
    </w:lvl>
    <w:lvl w:ilvl="1">
      <w:lvlJc w:val="left"/>
      <w:lvlText w:val="%2"/>
      <w:numFmt w:val="upperLetter"/>
      <w:start w:val="1"/>
    </w:lvl>
  </w:abstractNum>
  <w:abstractNum w:abstractNumId="202">
    <w:nsid w:val="CA6B462"/>
    <w:multiLevelType w:val="hybridMultilevel"/>
    <w:lvl w:ilvl="0">
      <w:lvlJc w:val="left"/>
      <w:lvlText w:val="(%1)"/>
      <w:numFmt w:val="lowerLetter"/>
      <w:start w:val="3"/>
    </w:lvl>
  </w:abstractNum>
  <w:abstractNum w:abstractNumId="203">
    <w:nsid w:val="763CB680"/>
    <w:multiLevelType w:val="hybridMultilevel"/>
    <w:lvl w:ilvl="0">
      <w:lvlJc w:val="left"/>
      <w:lvlText w:val="(%1)"/>
      <w:numFmt w:val="lowerLetter"/>
      <w:start w:val="5"/>
    </w:lvl>
  </w:abstractNum>
  <w:abstractNum w:abstractNumId="204">
    <w:nsid w:val="15B71329"/>
    <w:multiLevelType w:val="hybridMultilevel"/>
    <w:lvl w:ilvl="0">
      <w:lvlJc w:val="left"/>
      <w:lvlText w:val="(%1)"/>
      <w:numFmt w:val="lowerLetter"/>
      <w:start w:val="1"/>
    </w:lvl>
  </w:abstractNum>
  <w:abstractNum w:abstractNumId="205">
    <w:nsid w:val="3DA97044"/>
    <w:multiLevelType w:val="hybridMultilevel"/>
    <w:lvl w:ilvl="0">
      <w:lvlJc w:val="left"/>
      <w:lvlText w:val="(%1)"/>
      <w:numFmt w:val="lowerLetter"/>
      <w:start w:val="2"/>
    </w:lvl>
  </w:abstractNum>
  <w:abstractNum w:abstractNumId="206">
    <w:nsid w:val="1CDCE2DE"/>
    <w:multiLevelType w:val="hybridMultilevel"/>
    <w:lvl w:ilvl="0">
      <w:lvlJc w:val="left"/>
      <w:lvlText w:val="(%1)"/>
      <w:numFmt w:val="lowerLetter"/>
      <w:start w:val="1"/>
    </w:lvl>
  </w:abstractNum>
  <w:abstractNum w:abstractNumId="207">
    <w:nsid w:val="69D3947C"/>
    <w:multiLevelType w:val="hybridMultilevel"/>
    <w:lvl w:ilvl="0">
      <w:lvlJc w:val="left"/>
      <w:lvlText w:val="(%1)"/>
      <w:numFmt w:val="lowerLetter"/>
      <w:start w:val="5"/>
    </w:lvl>
  </w:abstractNum>
  <w:abstractNum w:abstractNumId="208">
    <w:nsid w:val="2539DFA5"/>
    <w:multiLevelType w:val="hybridMultilevel"/>
    <w:lvl w:ilvl="0">
      <w:lvlJc w:val="left"/>
      <w:lvlText w:val="(%1)"/>
      <w:numFmt w:val="lowerLetter"/>
      <w:start w:val="1"/>
    </w:lvl>
  </w:abstractNum>
  <w:abstractNum w:abstractNumId="209">
    <w:nsid w:val="2DB88089"/>
    <w:multiLevelType w:val="hybridMultilevel"/>
    <w:lvl w:ilvl="0">
      <w:lvlJc w:val="left"/>
      <w:lvlText w:val="(%1)"/>
      <w:numFmt w:val="lowerLetter"/>
      <w:start w:val="3"/>
    </w:lvl>
  </w:abstractNum>
  <w:abstractNum w:abstractNumId="210">
    <w:nsid w:val="706B674E"/>
    <w:multiLevelType w:val="hybridMultilevel"/>
    <w:lvl w:ilvl="0">
      <w:lvlJc w:val="left"/>
      <w:lvlText w:val="(%1)"/>
      <w:numFmt w:val="upperLetter"/>
      <w:start w:val="1"/>
    </w:lvl>
  </w:abstractNum>
  <w:abstractNum w:abstractNumId="211">
    <w:nsid w:val="2C106A57"/>
    <w:multiLevelType w:val="hybridMultilevel"/>
    <w:lvl w:ilvl="0">
      <w:lvlJc w:val="left"/>
      <w:lvlText w:val="(%1)"/>
      <w:numFmt w:val="lowerLetter"/>
      <w:start w:val="1"/>
    </w:lvl>
  </w:abstractNum>
  <w:abstractNum w:abstractNumId="212">
    <w:nsid w:val="684EED59"/>
    <w:multiLevelType w:val="hybridMultilevel"/>
    <w:lvl w:ilvl="0">
      <w:lvlJc w:val="left"/>
      <w:lvlText w:val="(%1)"/>
      <w:numFmt w:val="lowerRoman"/>
      <w:start w:val="1"/>
    </w:lvl>
  </w:abstractNum>
  <w:abstractNum w:abstractNumId="213">
    <w:nsid w:val="545EE5D3"/>
    <w:multiLevelType w:val="hybridMultilevel"/>
    <w:lvl w:ilvl="0">
      <w:lvlJc w:val="left"/>
      <w:lvlText w:val="(%1)"/>
      <w:numFmt w:val="lowerLetter"/>
      <w:start w:val="1"/>
    </w:lvl>
  </w:abstractNum>
  <w:abstractNum w:abstractNumId="214">
    <w:nsid w:val="4A6605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2019-12-01T17:59:34Z</dcterms:created>
  <dcterms:modified xsi:type="dcterms:W3CDTF">2019-12-01T17:59:34Z</dcterms:modified>
</cp:coreProperties>
</file>