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4992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992370"/>
                    </a:xfrm>
                    <a:prstGeom prst="rect">
                      <a:avLst/>
                    </a:prstGeom>
                    <a:noFill/>
                  </pic:spPr>
                </pic:pic>
              </a:graphicData>
            </a:graphic>
          </wp:anchor>
        </w:drawing>
      </w:r>
    </w:p>
    <w:p>
      <w:pPr>
        <w:spacing w:after="0" w:line="1249"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Watkins-Asiyanbi Joycelynn</w:t>
        </w:r>
      </w:hyperlink>
    </w:p>
    <w:p>
      <w:pPr>
        <w:spacing w:after="0" w:line="29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080" w:type="dxa"/>
            <w:vAlign w:val="bottom"/>
          </w:tcPr>
          <w:p>
            <w:pPr>
              <w:ind w:left="160"/>
              <w:spacing w:after="0"/>
              <w:rPr>
                <w:sz w:val="20"/>
                <w:szCs w:val="20"/>
                <w:color w:val="auto"/>
              </w:rPr>
            </w:pPr>
            <w:r>
              <w:rPr>
                <w:rFonts w:ascii="Arial" w:cs="Arial" w:eastAsia="Arial" w:hAnsi="Arial"/>
                <w:sz w:val="13"/>
                <w:szCs w:val="13"/>
                <w:color w:val="auto"/>
              </w:rPr>
              <w:t>(First)</w:t>
            </w:r>
          </w:p>
        </w:tc>
        <w:tc>
          <w:tcPr>
            <w:tcW w:w="1500" w:type="dxa"/>
            <w:vAlign w:val="bottom"/>
          </w:tcPr>
          <w:p>
            <w:pPr>
              <w:ind w:left="30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5080 SPECTRUM DRIVE</w:t>
            </w:r>
          </w:p>
        </w:tc>
        <w:tc>
          <w:tcPr>
            <w:tcW w:w="150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SUITE 800E</w:t>
            </w:r>
          </w:p>
        </w:tc>
        <w:tc>
          <w:tcPr>
            <w:tcW w:w="10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26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ADDISON</w:t>
            </w:r>
          </w:p>
        </w:tc>
        <w:tc>
          <w:tcPr>
            <w:tcW w:w="10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TX</w:t>
            </w:r>
          </w:p>
        </w:tc>
        <w:tc>
          <w:tcPr>
            <w:tcW w:w="15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75001</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160"/>
              <w:spacing w:after="0"/>
              <w:rPr>
                <w:sz w:val="20"/>
                <w:szCs w:val="20"/>
                <w:color w:val="auto"/>
              </w:rPr>
            </w:pPr>
            <w:r>
              <w:rPr>
                <w:rFonts w:ascii="Arial" w:cs="Arial" w:eastAsia="Arial" w:hAnsi="Arial"/>
                <w:sz w:val="13"/>
                <w:szCs w:val="13"/>
                <w:color w:val="auto"/>
              </w:rPr>
              <w:t>(State)</w:t>
            </w:r>
          </w:p>
        </w:tc>
        <w:tc>
          <w:tcPr>
            <w:tcW w:w="1500" w:type="dxa"/>
            <w:vAlign w:val="bottom"/>
          </w:tcPr>
          <w:p>
            <w:pPr>
              <w:ind w:left="3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80" w:type="dxa"/>
            <w:vAlign w:val="bottom"/>
            <w:gridSpan w:val="3"/>
          </w:tcPr>
          <w:p>
            <w:pPr>
              <w:spacing w:after="0" w:line="208"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CECO ENVIRONMENTAL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CECO</w:t>
            </w:r>
          </w:p>
        </w:tc>
        <w:tc>
          <w:tcPr>
            <w:tcW w:w="21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vMerge w:val="restart"/>
          </w:tcPr>
          <w:p>
            <w:pPr>
              <w:spacing w:after="0"/>
              <w:rPr>
                <w:sz w:val="12"/>
                <w:szCs w:val="12"/>
                <w:color w:val="auto"/>
              </w:rPr>
            </w:pPr>
          </w:p>
        </w:tc>
        <w:tc>
          <w:tcPr>
            <w:tcW w:w="14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21"/>
                <w:szCs w:val="21"/>
                <w:color w:val="auto"/>
              </w:rPr>
              <w:t>]</w:t>
            </w:r>
          </w:p>
        </w:tc>
        <w:tc>
          <w:tcPr>
            <w:tcW w:w="2860" w:type="dxa"/>
            <w:vAlign w:val="bottom"/>
            <w:tcBorders>
              <w:top w:val="single" w:sz="8" w:color="0000EE"/>
            </w:tcBorders>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4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160" w:type="dxa"/>
            <w:vAlign w:val="bottom"/>
          </w:tcPr>
          <w:p>
            <w:pPr>
              <w:ind w:left="4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6"/>
        </w:trPr>
        <w:tc>
          <w:tcPr>
            <w:tcW w:w="6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2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8"/>
        </w:trPr>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vMerge w:val="continue"/>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86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tcPr>
          <w:p>
            <w:pPr>
              <w:ind w:left="400"/>
              <w:spacing w:after="0"/>
              <w:rPr>
                <w:sz w:val="20"/>
                <w:szCs w:val="20"/>
                <w:color w:val="auto"/>
              </w:rPr>
            </w:pPr>
            <w:r>
              <w:rPr>
                <w:rFonts w:ascii="Arial" w:cs="Arial" w:eastAsia="Arial" w:hAnsi="Arial"/>
                <w:sz w:val="13"/>
                <w:szCs w:val="13"/>
                <w:color w:val="auto"/>
              </w:rPr>
              <w:t>below)</w:t>
            </w:r>
          </w:p>
        </w:tc>
        <w:tc>
          <w:tcPr>
            <w:tcW w:w="1160" w:type="dxa"/>
            <w:vAlign w:val="bottom"/>
          </w:tcPr>
          <w:p>
            <w:pPr>
              <w:ind w:left="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3"/>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940" w:type="dxa"/>
            <w:vAlign w:val="bottom"/>
          </w:tcPr>
          <w:p>
            <w:pPr>
              <w:ind w:left="1000"/>
              <w:spacing w:after="0" w:line="183" w:lineRule="exact"/>
              <w:rPr>
                <w:sz w:val="20"/>
                <w:szCs w:val="20"/>
                <w:color w:val="auto"/>
              </w:rPr>
            </w:pPr>
            <w:r>
              <w:rPr>
                <w:rFonts w:ascii="Times New Roman" w:cs="Times New Roman" w:eastAsia="Times New Roman" w:hAnsi="Times New Roman"/>
                <w:sz w:val="17"/>
                <w:szCs w:val="17"/>
                <w:color w:val="0000FF"/>
                <w:w w:val="98"/>
              </w:rPr>
              <w:t>See Remarks.</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0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06/27/2025</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86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64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3"/>
                <w:szCs w:val="13"/>
                <w:color w:val="auto"/>
              </w:rPr>
            </w:pPr>
          </w:p>
        </w:tc>
        <w:tc>
          <w:tcPr>
            <w:tcW w:w="17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60" w:type="dxa"/>
            <w:vAlign w:val="bottom"/>
          </w:tcPr>
          <w:p>
            <w:pPr>
              <w:ind w:left="240"/>
              <w:spacing w:after="0" w:line="130"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06/27/2025</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1,554</w:t>
            </w:r>
          </w:p>
        </w:tc>
        <w:tc>
          <w:tcPr>
            <w:tcW w:w="5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29.6</w:t>
            </w:r>
          </w:p>
        </w:tc>
        <w:tc>
          <w:tcPr>
            <w:tcW w:w="132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73,178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0" w:type="dxa"/>
            <w:vAlign w:val="bottom"/>
            <w:gridSpan w:val="12"/>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6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82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2"/>
              </w:rPr>
              <w:t>Exercisable</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32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41,341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40"/>
              <w:spacing w:after="0" w:line="130" w:lineRule="exact"/>
              <w:rPr>
                <w:sz w:val="20"/>
                <w:szCs w:val="20"/>
                <w:color w:val="auto"/>
              </w:rPr>
            </w:pPr>
            <w:r>
              <w:rPr>
                <w:rFonts w:ascii="Times New Roman" w:cs="Times New Roman" w:eastAsia="Times New Roman" w:hAnsi="Times New Roman"/>
                <w:sz w:val="13"/>
                <w:szCs w:val="13"/>
                <w:color w:val="0000FF"/>
              </w:rPr>
              <w:t>41,341</w:t>
            </w:r>
          </w:p>
        </w:tc>
        <w:tc>
          <w:tcPr>
            <w:tcW w:w="26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withheld for net settlement to cover the tax liability for the vesting of restricted stock units.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performance-based restricted stock units. Each restricted stock unit represents a contingent right to receive one share of the Company's stock.</w:t>
      </w:r>
    </w:p>
    <w:p>
      <w:pPr>
        <w:spacing w:after="0" w:line="45" w:lineRule="exact"/>
        <w:rPr>
          <w:rFonts w:ascii="Times New Roman" w:cs="Times New Roman" w:eastAsia="Times New Roman" w:hAnsi="Times New Roman"/>
          <w:sz w:val="13"/>
          <w:szCs w:val="13"/>
          <w:color w:val="008000"/>
        </w:rPr>
      </w:pPr>
    </w:p>
    <w:p>
      <w:pPr>
        <w:ind w:left="40" w:right="22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of restricted stock units to the Company's common stock will occur on July 5, 2027 assuming the reporting person is still employed by the Company and if the shares of the Company's common stock have achieved certain stock price targets over the course of the performance period.</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Title: Chief Administrative and Legal Officer</w:t>
      </w:r>
    </w:p>
    <w:p>
      <w:pPr>
        <w:spacing w:after="0" w:line="5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Joycelynn Watkins-</w:t>
            </w: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06/30/2025</w:t>
            </w:r>
          </w:p>
        </w:tc>
        <w:tc>
          <w:tcPr>
            <w:tcW w:w="0" w:type="dxa"/>
            <w:vAlign w:val="bottom"/>
          </w:tcPr>
          <w:p>
            <w:pPr>
              <w:spacing w:after="0"/>
              <w:rPr>
                <w:sz w:val="1"/>
                <w:szCs w:val="1"/>
                <w:color w:val="auto"/>
              </w:rPr>
            </w:pPr>
          </w:p>
        </w:tc>
      </w:tr>
      <w:tr>
        <w:trPr>
          <w:trHeight w:val="89"/>
        </w:trPr>
        <w:tc>
          <w:tcPr>
            <w:tcW w:w="1540" w:type="dxa"/>
            <w:vAlign w:val="bottom"/>
            <w:tcBorders>
              <w:top w:val="single" w:sz="8" w:color="auto"/>
              <w:bottom w:val="single" w:sz="8" w:color="auto"/>
            </w:tcBorders>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Asiyanbi</w:t>
            </w:r>
          </w:p>
        </w:tc>
        <w:tc>
          <w:tcPr>
            <w:tcW w:w="66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54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6806" TargetMode="External"/><Relationship Id="rId14"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2025-06-30T13:04:43Z</dcterms:created>
  <dcterms:modified xsi:type="dcterms:W3CDTF">2025-06-30T13:04:43Z</dcterms:modified>
</cp:coreProperties>
</file>