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2,324,024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2,432,470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2,432,470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hanging="407"/>
        <w:spacing w:after="0"/>
        <w:tabs>
          <w:tab w:leader="none" w:pos="13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CECO Environmental Corp</w:t>
      </w:r>
    </w:p>
    <w:p>
      <w:pPr>
        <w:spacing w:after="0" w:line="101" w:lineRule="exact"/>
        <w:rPr>
          <w:rFonts w:ascii="Arial" w:cs="Arial" w:eastAsia="Arial" w:hAnsi="Arial"/>
          <w:sz w:val="22"/>
          <w:szCs w:val="22"/>
          <w:b w:val="1"/>
          <w:bCs w:val="1"/>
          <w:color w:val="auto"/>
        </w:rPr>
      </w:pPr>
    </w:p>
    <w:p>
      <w:pPr>
        <w:ind w:left="1320" w:right="518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14651 Dallas Parkway, Suite 500, Dallas, TX 75254</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125141101</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22"/>
          <w:szCs w:val="22"/>
          <w:color w:val="auto"/>
        </w:rPr>
        <w:t>(a)  [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2,432,470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6.9%</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2,324,024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2,432,470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2021-02-12T15:17:11Z</dcterms:created>
  <dcterms:modified xsi:type="dcterms:W3CDTF">2021-02-12T15:17:11Z</dcterms:modified>
</cp:coreProperties>
</file>