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146685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90"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48"/>
        </w:trPr>
        <w:tc>
          <w:tcPr>
            <w:tcW w:w="3600" w:type="dxa"/>
            <w:vAlign w:val="bottom"/>
          </w:tcPr>
          <w:p>
            <w:pPr>
              <w:jc w:val="center"/>
              <w:ind w:right="186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9"/>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4"/>
        </w:trPr>
        <w:tc>
          <w:tcPr>
            <w:tcW w:w="36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21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8"/>
                <w:szCs w:val="18"/>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350" w:type="dxa"/>
        <w:tblCellMar>
          <w:top w:w="0" w:type="dxa"/>
          <w:left w:w="0" w:type="dxa"/>
          <w:bottom w:w="0" w:type="dxa"/>
          <w:right w:w="0" w:type="dxa"/>
        </w:tblCellMar>
      </w:tblPr>
      <w:tr>
        <w:trPr>
          <w:trHeight w:val="208"/>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CECO</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3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540"/>
        <w:spacing w:after="0" w:line="20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7"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November 7, 2022, CECO Environmental Corp. (the “Company”) issued a press release announcing its financial results for the three and nine months ended September 30, 2022. A copy of the press release is furnished as Exhibit 99.1 to this report and is incorporated herein by reference.</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5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Third Quarter 2022 Results</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1"/>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2022</w:t>
            </w:r>
          </w:p>
        </w:tc>
        <w:tc>
          <w:tcPr>
            <w:tcW w:w="70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CECO Environmental Corp.</w:t>
            </w:r>
          </w:p>
        </w:tc>
      </w:tr>
      <w:tr>
        <w:trPr>
          <w:trHeight w:val="621"/>
        </w:trPr>
        <w:tc>
          <w:tcPr>
            <w:tcW w:w="4240" w:type="dxa"/>
            <w:vAlign w:val="bottom"/>
          </w:tcPr>
          <w:p>
            <w:pPr>
              <w:spacing w:after="0"/>
              <w:rPr>
                <w:sz w:val="24"/>
                <w:szCs w:val="24"/>
                <w:color w:val="auto"/>
              </w:rPr>
            </w:pPr>
          </w:p>
        </w:tc>
        <w:tc>
          <w:tcPr>
            <w:tcW w:w="29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M. Gohr</w:t>
            </w:r>
          </w:p>
        </w:tc>
      </w:tr>
      <w:tr>
        <w:trPr>
          <w:trHeight w:val="176"/>
        </w:trPr>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r>
      <w:tr>
        <w:trPr>
          <w:trHeight w:val="398"/>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Gohr</w:t>
            </w:r>
          </w:p>
        </w:tc>
      </w:tr>
      <w:tr>
        <w:trPr>
          <w:trHeight w:val="405"/>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358"/>
        </w:trPr>
        <w:tc>
          <w:tcPr>
            <w:tcW w:w="42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CECO ENVIRONMENTAL REPORTS THIRD QUARTER 2022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Orders, Revenue and Income Growth; Updates to 2022 Outlook and Introduces 2023 Outlook</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DALLAS (Nov. 7, 2022) -- CECO Environmental Corp. (Nasdaq: CECO)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reported its financial results for the third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Quarter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$101.7 million, up 10 percent; Backlog of $277.7 million, up 27 percent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$108.4 million, up 36 percent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$1.9 million, up $3.1 million; non-GAAP net income of $7.1 million, up $6.6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$9.2 million, up 156 percent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increases full year financial outlook; Company introduces full year 2023 financial outlook</w:t>
      </w:r>
    </w:p>
    <w:p>
      <w:pPr>
        <w:spacing w:after="0" w:line="20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continue to deliver excellent results, highlighted by our third consecutive quarter with orders over $100 million and another quarter of very strong sales and income growth. In the quarter we also strengthened our industrial water position with the acquisition of South Korea-based DS21, and we repurchased more than $2 million of shares,” said CECO Chief Executive Officer, Todd Gleason.</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Third quarter operating income was $2.8 million, up $3.4 million when compared to an operating loss of $0.6 million in the third quarter 2021. On an adjusted basis, non-GAAP operating income was $7.3 million, up $5.5 million when compared to $1.8 million in the third quarter of 2021. Net income was $1.9 million in the quarter, up $3.1 million compared to a net loss of $1.2 million in the third quarter 2021. Non-GAAP net income was $7.1 million, up $6.6 million compared to $0.5 million in the third quarter 2021. Adjusted EBITDA was $9.2 million, up 156 percent compared to $3.6 million in the third quarter 2021. The Company repurchased $2.2 million of shares in the third quarter as part of the previously announced $20 million share repurchase program.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year-to-date results have been fantastic with orders growth of approximately 39 percent, backlog up 27 percent and revenue growth up more than 33 percent through three quarters. We expect that our near record backlog of approximately $278 million, coupled with the four strategic acquisitions we have completed in 2022, will support continued top-line and bottom-line growth and advanced leadership positions in our focus markets,” added Gleason.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Financial Outlook: Increases Full Year 2022 and Introduces Full Year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updated its expected full year 2022 guidance to reflect revenue to exceed $410 million, up over 25 percent year over year and its expected full year 2022 adjusted EBITDA to exceed $39 million, up more than 50 percent year over year.</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introduces its expected full year 2023 guidance of $450 to $475 million in revenue, up approximately 13 percent at the midpoint year over year and its expected full year adjusted EBITDA of between $45 and $48 million, up approximately 19 percent at the midpoint year over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 excellent position to maintain double digit top-line and bottom-line growth as we exit 2022 and enter 2023. We expect our ongoing investments in growth and operational excellence programs, coupled with our programmatic M&amp;A, will continue to transform CECO and yield sustainable results and shareholder value,”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440690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third quarter 2022 financial results. Please visit the Investor Relations portion of the website (www.cecoenviro.com) to listen to the call via webcast. The conference call may also be accessed by dialing 888-346-4547 (Toll-Free) within the U.S., or +1-412-317-5251 (Toll-Required) outside the U.S.</w:t>
      </w:r>
    </w:p>
    <w:p>
      <w:pPr>
        <w:spacing w:after="0" w:line="2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dialing 877-344-7529 (Toll-Free) within the U.S., or +1-412-317-0088 (Toll-Required) outside the U.S. and entering access code 9288150.</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34" w:lineRule="auto"/>
        <w:rPr>
          <w:sz w:val="20"/>
          <w:szCs w:val="20"/>
          <w:color w:val="auto"/>
        </w:rPr>
      </w:pPr>
      <w:r>
        <w:rPr>
          <w:rFonts w:ascii="Times New Roman" w:cs="Times New Roman" w:eastAsia="Times New Roman" w:hAnsi="Times New Roman"/>
          <w:sz w:val="18"/>
          <w:szCs w:val="18"/>
          <w:color w:val="auto"/>
        </w:rPr>
        <w:t>888-990-6670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or Gary Guyton</w:t>
      </w: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6"/>
                <w:szCs w:val="16"/>
                <w:color w:val="auto"/>
              </w:rPr>
            </w:pPr>
          </w:p>
        </w:tc>
        <w:tc>
          <w:tcPr>
            <w:tcW w:w="1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60" w:type="dxa"/>
            <w:vAlign w:val="bottom"/>
          </w:tcPr>
          <w:p>
            <w:pPr>
              <w:spacing w:after="0"/>
              <w:rPr>
                <w:sz w:val="17"/>
                <w:szCs w:val="17"/>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35,188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89,959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24,740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income taxes</w:t>
            </w: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222,694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from operating leases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182,365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 finite life, net</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 indefinite life</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486,229</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portion of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33,871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Note payable - current</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less current portion</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 liability, net</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9,153</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280,809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$.01 par value; 10,000 shares authorized, none issued</w:t>
            </w:r>
          </w:p>
        </w:tc>
        <w:tc>
          <w:tcPr>
            <w:tcW w:w="160" w:type="dxa"/>
            <w:vAlign w:val="bottom"/>
          </w:tcPr>
          <w:p>
            <w:pPr>
              <w:spacing w:after="0"/>
              <w:rPr>
                <w:sz w:val="17"/>
                <w:szCs w:val="17"/>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36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6"/>
                <w:szCs w:val="16"/>
                <w:color w:val="auto"/>
              </w:rPr>
              <w:t>Common stock, $.01 par value; 100,000,000 shares authorized, 34,329,751 and</w:t>
            </w:r>
          </w:p>
        </w:tc>
        <w:tc>
          <w:tcPr>
            <w:tcW w:w="16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6"/>
                <w:szCs w:val="16"/>
                <w:color w:val="auto"/>
              </w:rPr>
              <w:t>35,028,197 shares issued and outstanding at September 30, 2022 and</w:t>
            </w:r>
          </w:p>
        </w:tc>
        <w:tc>
          <w:tcPr>
            <w:tcW w:w="160" w:type="dxa"/>
            <w:vAlign w:val="bottom"/>
            <w:shd w:val="clear" w:color="auto" w:fill="CFF0FC"/>
          </w:tcPr>
          <w:p>
            <w:pPr>
              <w:spacing w:after="0"/>
              <w:rPr>
                <w:sz w:val="14"/>
                <w:szCs w:val="14"/>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160" w:type="dxa"/>
            <w:vAlign w:val="bottom"/>
            <w:shd w:val="clear" w:color="auto" w:fill="CFF0FC"/>
          </w:tcPr>
          <w:p>
            <w:pPr>
              <w:spacing w:after="0"/>
              <w:rPr>
                <w:sz w:val="18"/>
                <w:szCs w:val="18"/>
                <w:color w:val="auto"/>
              </w:rPr>
            </w:pPr>
          </w:p>
        </w:tc>
        <w:tc>
          <w:tcPr>
            <w:tcW w:w="16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249,248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loss</w:t>
            </w:r>
          </w:p>
        </w:tc>
        <w:tc>
          <w:tcPr>
            <w:tcW w:w="16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(27,595 )</w:t>
            </w:r>
          </w:p>
        </w:tc>
        <w:tc>
          <w:tcPr>
            <w:tcW w:w="14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(36,715 )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7"/>
                <w:szCs w:val="17"/>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(21,457 )</w:t>
            </w:r>
          </w:p>
        </w:tc>
        <w:tc>
          <w:tcPr>
            <w:tcW w:w="140" w:type="dxa"/>
            <w:vAlign w:val="bottom"/>
          </w:tcPr>
          <w:p>
            <w:pPr>
              <w:spacing w:after="0"/>
              <w:rPr>
                <w:sz w:val="17"/>
                <w:szCs w:val="17"/>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(12,070 )</w:t>
            </w: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CECO shareholders' equity</w:t>
            </w:r>
          </w:p>
        </w:tc>
        <w:tc>
          <w:tcPr>
            <w:tcW w:w="16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200,539</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205,420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205,957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486,229</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5"/>
        </w:trPr>
        <w:tc>
          <w:tcPr>
            <w:tcW w:w="7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-5322570</wp:posOffset>
            </wp:positionV>
            <wp:extent cx="685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-5322570</wp:posOffset>
            </wp:positionV>
            <wp:extent cx="6858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-4285615</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-3222625</wp:posOffset>
            </wp:positionV>
            <wp:extent cx="685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-2433955</wp:posOffset>
            </wp:positionV>
            <wp:extent cx="685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-908050</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74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108,414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79,979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306,225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230,551</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75,988</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57,254</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215,696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158,164</w:t>
            </w:r>
          </w:p>
        </w:tc>
        <w:tc>
          <w:tcPr>
            <w:tcW w:w="100" w:type="dxa"/>
            <w:vAlign w:val="bottom"/>
          </w:tcPr>
          <w:p>
            <w:pPr>
              <w:spacing w:after="0"/>
              <w:rPr>
                <w:sz w:val="17"/>
                <w:szCs w:val="17"/>
                <w:color w:val="auto"/>
              </w:rPr>
            </w:pPr>
          </w:p>
        </w:tc>
      </w:tr>
      <w:tr>
        <w:trPr>
          <w:trHeight w:val="19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32,426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90,529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72,387</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60,894</w:t>
            </w: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r>
      <w:tr>
        <w:trPr>
          <w:trHeight w:val="19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13,723</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(1,155 )</w:t>
            </w:r>
          </w:p>
        </w:tc>
      </w:tr>
      <w:tr>
        <w:trPr>
          <w:trHeight w:val="20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(1,569 )</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(722 )</w:t>
            </w: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(3,489 )</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(2,152 )</w:t>
            </w:r>
          </w:p>
        </w:tc>
      </w:tr>
      <w:tr>
        <w:trPr>
          <w:trHeight w:val="20"/>
        </w:trPr>
        <w:tc>
          <w:tcPr>
            <w:tcW w:w="5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(1,133 )</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tcPr>
          <w:p>
            <w:pPr>
              <w:spacing w:after="0"/>
              <w:rPr>
                <w:sz w:val="17"/>
                <w:szCs w:val="17"/>
                <w:color w:val="auto"/>
              </w:rPr>
            </w:pPr>
          </w:p>
        </w:tc>
      </w:tr>
      <w:tr>
        <w:trPr>
          <w:trHeight w:val="203"/>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(1,196 )</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7"/>
                <w:szCs w:val="17"/>
                <w:color w:val="auto"/>
              </w:rPr>
            </w:pPr>
          </w:p>
        </w:tc>
      </w:tr>
      <w:tr>
        <w:trPr>
          <w:trHeight w:val="203"/>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CECO Environmental Corp.</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2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(1,249 )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2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7"/>
                <w:szCs w:val="17"/>
                <w:color w:val="auto"/>
              </w:rPr>
            </w:pPr>
          </w:p>
        </w:tc>
      </w:tr>
      <w:tr>
        <w:trPr>
          <w:trHeight w:val="19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(0.04 )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34,455,657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35,472,298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34,791,129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35,463,279</w:t>
            </w:r>
          </w:p>
        </w:tc>
        <w:tc>
          <w:tcPr>
            <w:tcW w:w="100" w:type="dxa"/>
            <w:vAlign w:val="bottom"/>
            <w:shd w:val="clear" w:color="auto" w:fill="CFF0FC"/>
          </w:tcPr>
          <w:p>
            <w:pPr>
              <w:spacing w:after="0"/>
              <w:rPr>
                <w:sz w:val="17"/>
                <w:szCs w:val="17"/>
                <w:color w:val="auto"/>
              </w:rPr>
            </w:pPr>
          </w:p>
        </w:tc>
      </w:tr>
      <w:tr>
        <w:trPr>
          <w:trHeight w:val="210"/>
        </w:trPr>
        <w:tc>
          <w:tcPr>
            <w:tcW w:w="5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34,871,313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35,472,298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35,035,041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35,729,887</w:t>
            </w:r>
          </w:p>
        </w:tc>
        <w:tc>
          <w:tcPr>
            <w:tcW w:w="100" w:type="dxa"/>
            <w:vAlign w:val="bottom"/>
          </w:tcPr>
          <w:p>
            <w:pPr>
              <w:spacing w:after="0"/>
              <w:rPr>
                <w:sz w:val="18"/>
                <w:szCs w:val="18"/>
                <w:color w:val="auto"/>
              </w:rPr>
            </w:pPr>
          </w:p>
        </w:tc>
      </w:tr>
      <w:tr>
        <w:trPr>
          <w:trHeight w:val="310"/>
        </w:trPr>
        <w:tc>
          <w:tcPr>
            <w:tcW w:w="5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-1713865</wp:posOffset>
            </wp:positionV>
            <wp:extent cx="7747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-1713865</wp:posOffset>
            </wp:positionV>
            <wp:extent cx="7683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-1713865</wp:posOffset>
            </wp:positionV>
            <wp:extent cx="6858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-1447800</wp:posOffset>
            </wp:positionV>
            <wp:extent cx="774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-1447800</wp:posOffset>
            </wp:positionV>
            <wp:extent cx="7683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-1447800</wp:posOffset>
            </wp:positionV>
            <wp:extent cx="6858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-1182370</wp:posOffset>
            </wp:positionV>
            <wp:extent cx="7747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-1182370</wp:posOffset>
            </wp:positionV>
            <wp:extent cx="7683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-1182370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-624840</wp:posOffset>
            </wp:positionV>
            <wp:extent cx="303466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3466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gridSpan w:val="5"/>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26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Unrealized foreign currency loss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400" w:type="dxa"/>
            <w:vAlign w:val="bottom"/>
          </w:tcPr>
          <w:p>
            <w:pPr>
              <w:spacing w:after="0"/>
              <w:rPr>
                <w:sz w:val="17"/>
                <w:szCs w:val="17"/>
                <w:color w:val="auto"/>
              </w:rPr>
            </w:pPr>
          </w:p>
        </w:tc>
        <w:tc>
          <w:tcPr>
            <w:tcW w:w="16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Earnout payments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(1,007 )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(587 )</w:t>
            </w: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Bad debt expense</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(15,772 )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(7,502 )</w:t>
            </w: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(4,846 )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(5,091 )</w:t>
            </w: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(4,620 )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(2,172 )</w:t>
            </w: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(1,900 )</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17,648</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5,655</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(51 )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(2,538 )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(916 )</w:t>
            </w:r>
          </w:p>
        </w:tc>
      </w:tr>
      <w:tr>
        <w:trPr>
          <w:trHeight w:val="196"/>
        </w:trPr>
        <w:tc>
          <w:tcPr>
            <w:tcW w:w="7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19,696</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(2,367 )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(1,740 )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(44,900 )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(47,260 )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(1,207 )</w:t>
            </w:r>
          </w:p>
        </w:tc>
      </w:tr>
      <w:tr>
        <w:trPr>
          <w:trHeight w:val="19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(35,900 )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(36,900 )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long-term debt</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(2,294 )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(130 )</w:t>
            </w:r>
          </w:p>
        </w:tc>
        <w:tc>
          <w:tcPr>
            <w:tcW w:w="420" w:type="dxa"/>
            <w:vAlign w:val="bottom"/>
          </w:tcPr>
          <w:p>
            <w:pPr>
              <w:spacing w:after="0"/>
              <w:rPr>
                <w:sz w:val="17"/>
                <w:szCs w:val="17"/>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(444 )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(411 )</w:t>
            </w: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400" w:type="dxa"/>
            <w:vAlign w:val="bottom"/>
          </w:tcPr>
          <w:p>
            <w:pPr>
              <w:spacing w:after="0"/>
              <w:rPr>
                <w:sz w:val="17"/>
                <w:szCs w:val="17"/>
                <w:color w:val="auto"/>
              </w:rPr>
            </w:pPr>
          </w:p>
        </w:tc>
        <w:tc>
          <w:tcPr>
            <w:tcW w:w="16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(823 )</w:t>
            </w: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00" w:type="dxa"/>
            <w:vAlign w:val="bottom"/>
          </w:tcPr>
          <w:p>
            <w:pPr>
              <w:spacing w:after="0"/>
              <w:rPr>
                <w:sz w:val="17"/>
                <w:szCs w:val="17"/>
                <w:color w:val="auto"/>
              </w:rPr>
            </w:pP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(1,201 )</w:t>
            </w: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repurchase</w:t>
            </w: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(6,558 )</w:t>
            </w:r>
          </w:p>
        </w:tc>
        <w:tc>
          <w:tcPr>
            <w:tcW w:w="4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(3,745 )</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38,242</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(11,835 )</w:t>
            </w:r>
          </w:p>
        </w:tc>
      </w:tr>
      <w:tr>
        <w:trPr>
          <w:trHeight w:val="19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(6,459</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(3,345 )</w:t>
            </w:r>
          </w:p>
        </w:tc>
      </w:tr>
      <w:tr>
        <w:trPr>
          <w:trHeight w:val="20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36,214</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34,466</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4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703"/>
        </w:trPr>
        <w:tc>
          <w:tcPr>
            <w:tcW w:w="7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-3702685</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-3179445</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-1619250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-1344930</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-1079500</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-788035</wp:posOffset>
            </wp:positionV>
            <wp:extent cx="685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-496570</wp:posOffset>
            </wp:positionV>
            <wp:extent cx="137160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7"/>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 (loss) as reported in accordance with GAAP</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(0.6</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2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Operating margin in accordance with GAAP</w:t>
            </w:r>
          </w:p>
        </w:tc>
        <w:tc>
          <w:tcPr>
            <w:tcW w:w="10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2.6 %</w:t>
            </w:r>
          </w:p>
        </w:tc>
        <w:tc>
          <w:tcPr>
            <w:tcW w:w="11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(0.8 )%</w:t>
            </w:r>
          </w:p>
        </w:tc>
        <w:tc>
          <w:tcPr>
            <w:tcW w:w="9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4.5 %</w:t>
            </w:r>
          </w:p>
        </w:tc>
        <w:tc>
          <w:tcPr>
            <w:tcW w:w="30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r>
      <w:tr>
        <w:trPr>
          <w:trHeight w:val="203"/>
        </w:trPr>
        <w:tc>
          <w:tcPr>
            <w:tcW w:w="5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100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10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19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operating income</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502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Non-GAAP operating margin</w:t>
            </w:r>
          </w:p>
        </w:tc>
        <w:tc>
          <w:tcPr>
            <w:tcW w:w="10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6.7 %</w:t>
            </w:r>
          </w:p>
        </w:tc>
        <w:tc>
          <w:tcPr>
            <w:tcW w:w="1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9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7.7 %</w:t>
            </w:r>
          </w:p>
        </w:tc>
        <w:tc>
          <w:tcPr>
            <w:tcW w:w="3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5.0 %</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share data)</w:t>
            </w: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as reported in accordance with GAAP</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18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(0.1 )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(0.6 )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(2.1 )</w:t>
            </w:r>
          </w:p>
        </w:tc>
      </w:tr>
      <w:tr>
        <w:trPr>
          <w:trHeight w:val="196"/>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FF0FC"/>
            </w:tcBorders>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(0.1 )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(0.3 )</w:t>
            </w: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r>
      <w:tr>
        <w:trPr>
          <w:trHeight w:val="196"/>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(0.04 )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(0.04 )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net income per share:</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FF0FC"/>
          </w:tcPr>
          <w:p>
            <w:pPr>
              <w:spacing w:after="0"/>
              <w:rPr>
                <w:sz w:val="17"/>
                <w:szCs w:val="17"/>
                <w:color w:val="auto"/>
              </w:rPr>
            </w:pPr>
          </w:p>
        </w:tc>
      </w:tr>
      <w:tr>
        <w:trPr>
          <w:trHeight w:val="399"/>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7"/>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17"/>
                <w:szCs w:val="17"/>
                <w:color w:val="auto"/>
              </w:rPr>
            </w:pPr>
          </w:p>
        </w:tc>
      </w:tr>
      <w:tr>
        <w:trPr>
          <w:trHeight w:val="20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Earnout payments (within operating activities)</w:t>
            </w:r>
          </w:p>
        </w:tc>
        <w:tc>
          <w:tcPr>
            <w:tcW w:w="180" w:type="dxa"/>
            <w:vAlign w:val="bottom"/>
          </w:tcPr>
          <w:p>
            <w:pPr>
              <w:spacing w:after="0"/>
              <w:rPr>
                <w:sz w:val="17"/>
                <w:szCs w:val="17"/>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r>
      <w:tr>
        <w:trPr>
          <w:trHeight w:val="20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(0.7 )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04"/>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top w:val="single" w:sz="8" w:color="CFF0FC"/>
            </w:tcBorders>
          </w:tcPr>
          <w:p>
            <w:pPr>
              <w:spacing w:after="0"/>
              <w:rPr>
                <w:sz w:val="17"/>
                <w:szCs w:val="17"/>
                <w:color w:val="auto"/>
              </w:rPr>
            </w:pPr>
          </w:p>
        </w:tc>
      </w:tr>
      <w:tr>
        <w:trPr>
          <w:trHeight w:val="310"/>
        </w:trPr>
        <w:tc>
          <w:tcPr>
            <w:tcW w:w="5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-3213735</wp:posOffset>
            </wp:positionV>
            <wp:extent cx="7683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-3213735</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-3213735</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-350520</wp:posOffset>
            </wp:positionV>
            <wp:extent cx="7747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-350520</wp:posOffset>
            </wp:positionV>
            <wp:extent cx="685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-350520</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17" w:right="2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1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5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and adjusted EBITDA,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7"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66"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and adjusted EBITDA stated in the tables above are reconciled to the most directly comparable GAAP financial measures.</w:t>
      </w:r>
    </w:p>
    <w:p>
      <w:pPr>
        <w:spacing w:after="0" w:line="15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2021 and may be included in subsequently filed Quarterly Reports on Form 10-Q,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and the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2022-11-07T06:03:27Z</dcterms:created>
  <dcterms:modified xsi:type="dcterms:W3CDTF">2022-11-07T06:03:27Z</dcterms:modified>
</cp:coreProperties>
</file>