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k.htm"/>
        <w:bookmarkStart w:id="1" w:name="ksd10k"/>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U. S. 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HorizontalLine"/>
        <w:pBdr>
          <w:bottom w:val="single" w:sz="6" w:space="0" w:color="000000"/>
        </w:pBdr>
        <w:ind w:left="4133" w:right="4133"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100"/>
        <w:gridCol w:w="9698"/>
      </w:tblGrid>
      <w:tr>
        <w:trPr/>
        <w:tc>
          <w:tcPr>
            <w:tcW w:w="407"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Annual Report Pursuant to Section 13 or 15(d) of the Securities Exchange Act of 1934 for the fiscal year ended December 31, 2005 </w:t>
            </w:r>
          </w:p>
        </w:tc>
      </w:tr>
    </w:tbl>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101"/>
        <w:gridCol w:w="9696"/>
      </w:tblGrid>
      <w:tr>
        <w:trPr/>
        <w:tc>
          <w:tcPr>
            <w:tcW w:w="408" w:type="dxa"/>
            <w:tcBorders/>
            <w:shd w:fill="auto" w:val="clear"/>
          </w:tcPr>
          <w:p>
            <w:pPr>
              <w:pStyle w:val="TableContents"/>
              <w:spacing w:before="0" w:after="283"/>
              <w:jc w:val="left"/>
              <w:rPr>
                <w:color w:val="000000"/>
              </w:rPr>
            </w:pPr>
            <w:r>
              <w:rPr>
                <w:color w:val="000000"/>
              </w:rPr>
              <w:t>☐</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133" w:right="4133"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w:t>
              <w:br/>
              <w:t>of 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Ohio</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 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133" w:right="4133" w:hanging="0"/>
        <w:rPr/>
      </w:pPr>
      <w:r>
        <w:rPr/>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Securities registered under Section 12(b) of the Act:    None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Securities registered under Section 12(g) of the Act: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Common Stock, $0.01 par value per share </w:t>
      </w:r>
    </w:p>
    <w:p>
      <w:pPr>
        <w:pStyle w:val="TextBody"/>
        <w:spacing w:before="0" w:after="0"/>
        <w:jc w:val="center"/>
        <w:rPr>
          <w:rFonts w:ascii="Times New Roman" w:hAnsi="Times New Roman"/>
          <w:b/>
          <w:sz w:val="14"/>
        </w:rPr>
      </w:pPr>
      <w:r>
        <w:rPr>
          <w:rFonts w:ascii="Times New Roman" w:hAnsi="Times New Roman"/>
          <w:b/>
          <w:sz w:val="14"/>
        </w:rPr>
        <w:t xml:space="preserve">(Title of Class) </w:t>
      </w:r>
    </w:p>
    <w:p>
      <w:pPr>
        <w:pStyle w:val="TextBody"/>
        <w:spacing w:before="0" w:after="0"/>
        <w:rPr/>
      </w:pPr>
      <w:r>
        <w:rPr/>
        <w:t> </w:t>
      </w:r>
    </w:p>
    <w:p>
      <w:pPr>
        <w:pStyle w:val="HorizontalLine"/>
        <w:pBdr>
          <w:bottom w:val="single" w:sz="6" w:space="0" w:color="000000"/>
        </w:pBdr>
        <w:ind w:left="4133" w:right="4133"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if the registrant is a well-known seasoned issuer, as defined in Rule 405 of the Securities Act.  Yes    </w:t>
      </w:r>
      <w:r>
        <w:rPr>
          <w:color w:val="000000"/>
        </w:rPr>
        <w:t>☐</w:t>
      </w:r>
      <w:r>
        <w:rPr/>
        <w:t>    </w:t>
      </w:r>
      <w:r>
        <w:rPr>
          <w:rFonts w:ascii="Times New Roman" w:hAnsi="Times New Roman"/>
          <w:sz w:val="20"/>
        </w:rPr>
        <w:t xml:space="preserve">No    ☒ </w:t>
      </w:r>
    </w:p>
    <w:p>
      <w:pPr>
        <w:pStyle w:val="TextBody"/>
        <w:spacing w:before="0" w:after="0"/>
        <w:rPr/>
      </w:pPr>
      <w:r>
        <w:rPr/>
        <w:t> </w:t>
      </w:r>
    </w:p>
    <w:p>
      <w:pPr>
        <w:pStyle w:val="TextBody"/>
        <w:spacing w:before="0" w:after="0"/>
        <w:rPr/>
      </w:pPr>
      <w:r>
        <w:rPr>
          <w:rFonts w:ascii="Times New Roman" w:hAnsi="Times New Roman"/>
          <w:sz w:val="20"/>
        </w:rPr>
        <w:t>Indicate by check mark if the registrant is not required to file reports pursuant to Section 13 or Section 15(d) of the Act.  Yes    </w:t>
      </w:r>
      <w:r>
        <w:rPr>
          <w:color w:val="000000"/>
        </w:rPr>
        <w:t>☐</w:t>
      </w:r>
      <w:r>
        <w:rPr/>
        <w:t>    </w:t>
      </w:r>
      <w:r>
        <w:rPr>
          <w:rFonts w:ascii="Times New Roman" w:hAnsi="Times New Roman"/>
          <w:sz w:val="20"/>
        </w:rPr>
        <w:t xml:space="preserve">No  ☒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Yes    ☒    No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whether the Registrant is a large accelerated filer, an accelerated filer, or a non-accelerated filer (as defined in Rule 12b-2 of the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pPr>
            <w:r>
              <w:rPr>
                <w:rFonts w:ascii="Times New Roman" w:hAnsi="Times New Roman"/>
                <w:sz w:val="20"/>
              </w:rPr>
              <w:t>Large Accelerated Filer  </w:t>
            </w:r>
            <w:r>
              <w:rPr>
                <w:color w:val="000000"/>
              </w:rPr>
              <w:t>☐</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rFonts w:ascii="Times New Roman" w:hAnsi="Times New Roman"/>
                <w:sz w:val="20"/>
              </w:rPr>
              <w:t>Accelerated Filer  </w:t>
            </w:r>
            <w:r>
              <w:rPr>
                <w:color w:val="000000"/>
              </w:rPr>
              <w:t>☐</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  ☒</w:t>
            </w:r>
          </w:p>
        </w:tc>
      </w:tr>
    </w:tbl>
    <w:p>
      <w:pPr>
        <w:pStyle w:val="TextBody"/>
        <w:spacing w:before="0" w:after="0"/>
        <w:rPr/>
      </w:pPr>
      <w:r>
        <w:rPr/>
        <w:t> </w:t>
      </w:r>
    </w:p>
    <w:p>
      <w:pPr>
        <w:pStyle w:val="TextBody"/>
        <w:spacing w:before="0" w:after="0"/>
        <w:rPr/>
      </w:pPr>
      <w:r>
        <w:rPr>
          <w:rFonts w:ascii="Times New Roman" w:hAnsi="Times New Roman"/>
          <w:sz w:val="20"/>
        </w:rPr>
        <w:t>Indicate by check mark whether the Registrant is a shell company (as defined in Rule 12b-2 of the Exchange Act).  Yes    </w:t>
      </w:r>
      <w:r>
        <w:rPr>
          <w:color w:val="000000"/>
        </w:rPr>
        <w:t>☐</w:t>
      </w:r>
      <w:r>
        <w:rPr/>
        <w:t>    </w:t>
      </w:r>
      <w:r>
        <w:rPr>
          <w:rFonts w:ascii="Times New Roman" w:hAnsi="Times New Roman"/>
          <w:sz w:val="20"/>
        </w:rPr>
        <w:t xml:space="preserve">No    ☒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Aggregate market value of common stock held by non-affiliates of Registrant computed by reference to the price at which the common equity was last sold, or the average bid and asked price of such common equity, as of the last business day of Registrants most recently completed second fiscal quarter (June 30, 2005): $13,470,174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The number of shares outstanding of each of the issuers classes of common equity, as of the latest practical date: 11,188,680 shares of common stock, par value $0.01 per share, as of March 10</w:t>
      </w:r>
      <w:r>
        <w:rPr>
          <w:rFonts w:ascii="Times New Roman" w:hAnsi="Times New Roman"/>
          <w:i/>
          <w:sz w:val="20"/>
        </w:rPr>
        <w:t>,</w:t>
      </w:r>
      <w:r>
        <w:rPr>
          <w:rFonts w:ascii="Times New Roman" w:hAnsi="Times New Roman"/>
          <w:sz w:val="20"/>
        </w:rPr>
        <w:t xml:space="preserve">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Documents Incorporated by Reference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Portions of the definitive Proxy Statement to be delivered to shareholders in connection with the Annual Meeting of Shareholders to be held May 24, 2006 are incorporated by reference into Part III. The Exhibit Index incorporates several documents by reference as indicated therein.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FORM 10-K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4"/>
        <w:gridCol w:w="416"/>
        <w:gridCol w:w="8310"/>
        <w:gridCol w:w="233"/>
        <w:gridCol w:w="312"/>
      </w:tblGrid>
      <w:tr>
        <w:trPr/>
        <w:tc>
          <w:tcPr>
            <w:tcW w:w="93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831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Item</w:t>
            </w:r>
          </w:p>
          <w:p>
            <w:pPr>
              <w:pStyle w:val="HorizontalLine"/>
              <w:pBdr>
                <w:bottom w:val="single" w:sz="6" w:space="0" w:color="000000"/>
              </w:pBdr>
              <w:spacing w:before="0" w:after="283"/>
              <w:rPr/>
            </w:pPr>
            <w:r>
              <w:rPr/>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Page</w:t>
            </w:r>
          </w:p>
          <w:p>
            <w:pPr>
              <w:pStyle w:val="HorizontalLine"/>
              <w:pBdr>
                <w:bottom w:val="single" w:sz="6" w:space="0" w:color="000000"/>
              </w:pBdr>
              <w:spacing w:before="0" w:after="283"/>
              <w:rPr/>
            </w:pPr>
            <w:r>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
              <w:r>
                <w:rPr>
                  <w:rStyle w:val="InternetLink"/>
                  <w:rFonts w:ascii="Times New Roman" w:hAnsi="Times New Roman"/>
                  <w:sz w:val="20"/>
                </w:rPr>
                <w:t xml:space="preserve">Business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1A.</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2">
              <w:r>
                <w:rPr>
                  <w:rStyle w:val="InternetLink"/>
                  <w:rFonts w:ascii="Times New Roman" w:hAnsi="Times New Roman"/>
                  <w:sz w:val="20"/>
                </w:rPr>
                <w:t xml:space="preserve">Risk Factors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1B.</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3">
              <w:r>
                <w:rPr>
                  <w:rStyle w:val="InternetLink"/>
                  <w:rFonts w:ascii="Times New Roman" w:hAnsi="Times New Roman"/>
                  <w:sz w:val="20"/>
                </w:rPr>
                <w:t xml:space="preserve">Unresolved Staff Comments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4">
              <w:r>
                <w:rPr>
                  <w:rStyle w:val="InternetLink"/>
                  <w:rFonts w:ascii="Times New Roman" w:hAnsi="Times New Roman"/>
                  <w:sz w:val="20"/>
                </w:rPr>
                <w:t xml:space="preserve">Properties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5">
              <w:r>
                <w:rPr>
                  <w:rStyle w:val="InternetLink"/>
                  <w:rFonts w:ascii="Times New Roman" w:hAnsi="Times New Roman"/>
                  <w:sz w:val="20"/>
                </w:rPr>
                <w:t xml:space="preserve">Legal Proceedings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6">
              <w:r>
                <w:rPr>
                  <w:rStyle w:val="InternetLink"/>
                  <w:rFonts w:ascii="Times New Roman" w:hAnsi="Times New Roman"/>
                  <w:sz w:val="20"/>
                </w:rPr>
                <w:t xml:space="preserve">Submission of Matters to a Vote of Security Holders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7">
              <w:r>
                <w:rPr>
                  <w:rStyle w:val="InternetLink"/>
                  <w:rFonts w:ascii="Times New Roman" w:hAnsi="Times New Roman"/>
                  <w:sz w:val="20"/>
                </w:rPr>
                <w:t xml:space="preserve">Market for the Registrants Common Equity and Related Shareholder Matters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8">
              <w:r>
                <w:rPr>
                  <w:rStyle w:val="InternetLink"/>
                  <w:rFonts w:ascii="Times New Roman" w:hAnsi="Times New Roman"/>
                  <w:sz w:val="20"/>
                </w:rPr>
                <w:t xml:space="preserve">Selected Consolidated Financial Data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9">
              <w:r>
                <w:rPr>
                  <w:rStyle w:val="InternetLink"/>
                  <w:rFonts w:ascii="Times New Roman" w:hAnsi="Times New Roman"/>
                  <w:sz w:val="20"/>
                </w:rPr>
                <w:t>Managements Discussion and Analysis of Financial Condition and Results of Operations</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7A.</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0">
              <w:r>
                <w:rPr>
                  <w:rStyle w:val="InternetLink"/>
                  <w:rFonts w:ascii="Times New Roman" w:hAnsi="Times New Roman"/>
                  <w:sz w:val="20"/>
                </w:rPr>
                <w:t xml:space="preserve">Quantitative and Qualitative Disclosures about Market Risk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1">
              <w:r>
                <w:rPr>
                  <w:rStyle w:val="InternetLink"/>
                  <w:rFonts w:ascii="Times New Roman" w:hAnsi="Times New Roman"/>
                  <w:sz w:val="20"/>
                </w:rPr>
                <w:t xml:space="preserve">Financial Statements and Supplementary Data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2">
              <w:r>
                <w:rPr>
                  <w:rStyle w:val="InternetLink"/>
                  <w:rFonts w:ascii="Times New Roman" w:hAnsi="Times New Roman"/>
                  <w:sz w:val="20"/>
                </w:rPr>
                <w:t>Changes In and Disagreements with Accountants on Accounting and Financial Disclosure</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9A.</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3">
              <w:r>
                <w:rPr>
                  <w:rStyle w:val="InternetLink"/>
                  <w:rFonts w:ascii="Times New Roman" w:hAnsi="Times New Roman"/>
                  <w:sz w:val="20"/>
                </w:rPr>
                <w:t>Controls and Procedures</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9B.</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4">
              <w:r>
                <w:rPr>
                  <w:rStyle w:val="InternetLink"/>
                  <w:rFonts w:ascii="Times New Roman" w:hAnsi="Times New Roman"/>
                  <w:sz w:val="20"/>
                </w:rPr>
                <w:t>Other Information</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5">
              <w:r>
                <w:rPr>
                  <w:rStyle w:val="InternetLink"/>
                  <w:rFonts w:ascii="Times New Roman" w:hAnsi="Times New Roman"/>
                  <w:sz w:val="20"/>
                </w:rPr>
                <w:t>Directors and Executive Officers of the Registrant</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11.</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6">
              <w:r>
                <w:rPr>
                  <w:rStyle w:val="InternetLink"/>
                  <w:rFonts w:ascii="Times New Roman" w:hAnsi="Times New Roman"/>
                  <w:sz w:val="20"/>
                </w:rPr>
                <w:t>Executive Compensation</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12.</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7">
              <w:r>
                <w:rPr>
                  <w:rStyle w:val="InternetLink"/>
                  <w:rFonts w:ascii="Times New Roman" w:hAnsi="Times New Roman"/>
                  <w:sz w:val="20"/>
                </w:rPr>
                <w:t>Security Ownership of Certain Beneficial Owners and Management</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13.</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8">
              <w:r>
                <w:rPr>
                  <w:rStyle w:val="InternetLink"/>
                  <w:rFonts w:ascii="Times New Roman" w:hAnsi="Times New Roman"/>
                  <w:sz w:val="20"/>
                </w:rPr>
                <w:t>Certain Relationships and Related Transactions</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14.</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19">
              <w:r>
                <w:rPr>
                  <w:rStyle w:val="InternetLink"/>
                  <w:rFonts w:ascii="Times New Roman" w:hAnsi="Times New Roman"/>
                  <w:sz w:val="20"/>
                </w:rPr>
                <w:t>Principal Accountant Fees and Services</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r>
      <w:tr>
        <w:trPr>
          <w:trHeight w:val="120" w:hRule="atLeast"/>
        </w:trPr>
        <w:tc>
          <w:tcPr>
            <w:tcW w:w="934" w:type="dxa"/>
            <w:tcBorders/>
            <w:shd w:fill="auto" w:val="clear"/>
            <w:vAlign w:val="center"/>
          </w:tcPr>
          <w:p>
            <w:pPr>
              <w:pStyle w:val="TableContents"/>
              <w:spacing w:before="0" w:after="283"/>
              <w:rPr>
                <w:sz w:val="4"/>
                <w:szCs w:val="4"/>
              </w:rPr>
            </w:pPr>
            <w:r>
              <w:rPr>
                <w:sz w:val="4"/>
                <w:szCs w:val="4"/>
              </w:rPr>
            </w:r>
          </w:p>
        </w:tc>
        <w:tc>
          <w:tcPr>
            <w:tcW w:w="8726" w:type="dxa"/>
            <w:gridSpan w:val="2"/>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34" w:type="dxa"/>
            <w:tcBorders/>
            <w:shd w:fill="auto" w:val="clear"/>
          </w:tcPr>
          <w:p>
            <w:pPr>
              <w:pStyle w:val="TableContents"/>
              <w:spacing w:before="0" w:after="283"/>
              <w:rPr>
                <w:rFonts w:ascii="Times New Roman" w:hAnsi="Times New Roman"/>
                <w:sz w:val="20"/>
              </w:rPr>
            </w:pPr>
            <w:r>
              <w:rPr>
                <w:rFonts w:ascii="Times New Roman" w:hAnsi="Times New Roman"/>
                <w:sz w:val="20"/>
              </w:rPr>
              <w:t>Item 15.</w:t>
            </w:r>
          </w:p>
        </w:tc>
        <w:tc>
          <w:tcPr>
            <w:tcW w:w="416" w:type="dxa"/>
            <w:tcBorders/>
            <w:shd w:fill="auto" w:val="clear"/>
            <w:vAlign w:val="bottom"/>
          </w:tcPr>
          <w:p>
            <w:pPr>
              <w:pStyle w:val="TableContents"/>
              <w:spacing w:before="0" w:after="283"/>
              <w:rPr/>
            </w:pPr>
            <w:r>
              <w:rPr/>
              <w:t>  </w:t>
            </w:r>
          </w:p>
        </w:tc>
        <w:tc>
          <w:tcPr>
            <w:tcW w:w="8310" w:type="dxa"/>
            <w:tcBorders/>
            <w:shd w:fill="auto" w:val="clear"/>
            <w:vAlign w:val="bottom"/>
          </w:tcPr>
          <w:p>
            <w:pPr>
              <w:pStyle w:val="TableContents"/>
              <w:spacing w:before="0" w:after="283"/>
              <w:rPr/>
            </w:pPr>
            <w:hyperlink w:anchor="toc87693_20">
              <w:r>
                <w:rPr>
                  <w:rStyle w:val="InternetLink"/>
                  <w:rFonts w:ascii="Times New Roman" w:hAnsi="Times New Roman"/>
                  <w:sz w:val="20"/>
                </w:rPr>
                <w:t>Exhibits and Financial Statement Schedules</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r>
      <w:tr>
        <w:trPr>
          <w:trHeight w:val="120" w:hRule="atLeast"/>
        </w:trPr>
        <w:tc>
          <w:tcPr>
            <w:tcW w:w="9660" w:type="dxa"/>
            <w:gridSpan w:val="3"/>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r>
      <w:tr>
        <w:trPr/>
        <w:tc>
          <w:tcPr>
            <w:tcW w:w="9660" w:type="dxa"/>
            <w:gridSpan w:val="3"/>
            <w:tcBorders/>
            <w:shd w:fill="auto" w:val="clear"/>
          </w:tcPr>
          <w:p>
            <w:pPr>
              <w:pStyle w:val="TableContents"/>
              <w:spacing w:before="0" w:after="283"/>
              <w:rPr/>
            </w:pPr>
            <w:hyperlink w:anchor="toc87693_21">
              <w:r>
                <w:rPr>
                  <w:rStyle w:val="InternetLink"/>
                  <w:rFonts w:ascii="Times New Roman" w:hAnsi="Times New Roman"/>
                  <w:sz w:val="20"/>
                </w:rPr>
                <w:t xml:space="preserve">Signatures </w:t>
              </w:r>
            </w:hyperlink>
          </w:p>
        </w:tc>
        <w:tc>
          <w:tcPr>
            <w:tcW w:w="2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p>
      <w:pPr>
        <w:pStyle w:val="TextBody"/>
        <w:spacing w:before="0" w:after="0"/>
        <w:rPr>
          <w:rFonts w:ascii="Times New Roman" w:hAnsi="Times New Roman"/>
          <w:sz w:val="20"/>
        </w:rPr>
      </w:pPr>
      <w:bookmarkStart w:id="3" w:name="toc87693_1"/>
      <w:bookmarkEnd w:id="3"/>
      <w:r>
        <w:rPr>
          <w:rFonts w:ascii="Times New Roman" w:hAnsi="Times New Roman"/>
          <w:b/>
          <w:sz w:val="20"/>
        </w:rPr>
        <w:t>Item 1.    </w:t>
      </w:r>
      <w:r>
        <w:rPr>
          <w:rFonts w:ascii="Times New Roman" w:hAnsi="Times New Roman"/>
          <w:b/>
          <w:i/>
          <w:sz w:val="20"/>
        </w:rPr>
        <w:t xml:space="preserve">Business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General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(CECO) was incorporated in New York State in 1966 and reincorporated in Delaware in January 2002. We operate as a provider of air pollution control products and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Unless the context indicates otherwise, the terms Company, we, us, and our, as used herein refers to CECO Environmental Corp. (the Registrant) and its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market our products and services under the following trade names: Kirk &amp; Blum, kbd/Technic, CECO Filters, Busch International, CECO Abatement Systems, CECOaire, K&amp;B Duct and H.M. White.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of 1999, we acquired Kirk &amp; Blum, one of the largest sheet metal fabricators in the country. This major acquisition significantly changed our companys focus and capabilities. Since then we have also accomplished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Founded CECO Abatement in 2001. This company produces regenerative thermal oxidizers (RTOs) and has made itself into a significant force in the ethanol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Launched the KB Duct product line in 2001. This product continues to grow in sales year by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Founded CECOaire in 2004. This new company produces baghouses and has enabled us to win several major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Established CECO Filters India Pvt. Ltd. in 2004 to penetrate the Asian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Entered into a transition agreement in February 2006 with H.M. White, LLC and H.M. White Holdings of Detroit, Michigan to jointly participate in the acquisition of new business in the areas of industrial ventilation systems and sheet metal and paint finishing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Most importantly, we have successfully combined these individual businesses into a cohesive, integrated unit. Kirk &amp; Blum now produces the bulk of the other business units products and captures margin that used to go to outside vendors.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Products and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recognized as a leading provider in the air pollution control industry. We focus on engineering, designing, building, and installing systems that capture, clean and destroy airborne contaminants from industrial facilities as well as equipment that controls emissions from such facilities. We now market these turnkey pollution control services through all our companies with Kirk &amp; Blum providing project management. With a diversified base of more than 1,500 active customers, we provide services to a myriad of industries including aerospace, brick, cement, ceramics, metalworking, printing, paper, food, foundries, metal plating, woodworking, chemicals, glass, automotive, pharmaceuticals, and chemicals.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Increasingly stringent air quality standards and the need for improved industrial workplace environments are chief among the factors that drive our business. Some of the underlying federal legislation that affects air quality standards is the Clean Air Act of 1970 and the Occupational Safety and Health Act of 1970. The Environmental Protection Agency (EPA) and Occupational Safety and Health Administrative Agency (OSHA), as well as other state and local agencies, administer air quality standards. Industrial air quality has been improving through EPA mandated Maximum Achievable Control Technology (MACT) standards and OSHA established Threshold Limit Values (TLV) for more than 1,000 industrial contaminants. Bio-terrorism threats have also increased awareness for improved industrial workplace air quality. Any of these factors, individually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collectively, tend to cause increases in industrial capital spending that are not directly impacted by general economic conditions, expansion or capacity increases. Favorable conditions in the economy generally lead to plant expansions and the construction of new industrial sites. Economic expansion provides us with the potential to increase and accelerate levels of growth. However, in a weak economy customers tend to (a) lengthen the time from their initial inquiry to the purchase order or (b) defer purchases.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selling strategy is to provide a solutions-based approach for controlling industrial airborne contaminants by being a single source provider of industrial ventilation and air-pollution control products and services. We believe this provides a discernable competitive advantage. We execute this strategy by utilizing our portfolio of in-house technologies and those of third party equipment suppliers. Many of these have been long standing relationships. This enables us to leverage existing business with selective alliances of suppliers and application specific engineering expertise. We compete by providing competitive pricing with turnkey solutions.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Kirk &amp; Blum trade name we have four principal product lines. All have evolved from the original air pollution systems business (contracting, fabricating, parts and clamp-together duct systems). The largest line, with eight strategic locations throughout the Midwest and Southeast United States, is air pollution control systems and industrial ventilation. These systems, primarily sold on a turnkey basis, include oil mist collection, dust collection, industrial exhaust, chip collection, make-up air, as well as automotive spray booth systems, industrial and process piping, and other industrial sheet metal work. We provide a cost effective engineered solution to in-plant process problems in order to control airborne pollutants. Representative customers include General Electric, General Motors, Procter &amp; Gamble, Nissan, Honda, Toyota, Boeing, Lafarge, Corning, RR Donnelley, and Alcoa. North America is the principal market served. We have, at times, supplied equipment and engineering services in certain overseas markets. We have completed several major contracts in Mexico and recently obtained a large contract in China.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provide custom metal fabrication services at our Kirk &amp; Blum Cincinnati, Ohio and Lexington, Kentucky locations. These facilities are used to fabricate parts, subassemblies, and customized products for air pollution and non-air pollution applications from sheet, plate, and structurals and perform the majority of the fabrication for CECO Filters, Busch International, CECOaire and CECO Abatement. We have developed significant expertise in custom sheet metal fabrication. As a result, these facilities give us flexible production capacity to meet project schedules and cost targets in air pollution control projects while generating additional fabrication revenue in support of non-air pollution control industries. Kirk &amp; Blum is the custom fabricator of product components for many companies located in the Midwest choosing to outsource their manufacturing. Generally, we will market custom fabrication services under a long-term sales agreement. Representative customers include Siemens and General Electric.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market under the Kirk &amp; Blum trade name, component parts, for industrial air systems to contractors, distributors and dealers throughout the United States. In 2001, we started the K&amp;B Duct product line to provide a cost effective alternative to traditional duct. Primary users for this product line are those that generate dry particulate such as furniture manufacturers, metal fabricators, and any other users desiring flexibility in a duct system. Customers include end users, contractors, and dealers.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engineering and design services are also marketed under the kbd/Technic trade name to provide engineering services directly to customers related to air system testing and balancing, source emission testing, and industrial ventilation engineering. Representative customers include General Motors, Ford, Toyota, Quaker Oats, Nissan and Honda.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Fiber bed filter technology is marketed under the CECO Filters trade name directly to customers. The principal functions of the filters are (a) the removal of damaging mists and particles (e.g., in process operations that could cause downstream corrosion and damage to equipment), (b) the removal of pollutants, and (c) the recovery of valuable materials for reuse. The filters are also used to collect fine insoluble particulates. Major users are chemical and electronics industries, manufacturers of various acid, vegetable and animal based cooking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oils, textile products, alkalies, chlorine, papers, asphalt and pharmaceutical products. In February 2004, we established CECO Filters India Pvt. Ltd. in Chennai, India to market filtering equipment under the CECO Filters trade name to extend our penetration into Asia. </w:t>
      </w:r>
    </w:p>
    <w:p>
      <w:pPr>
        <w:pStyle w:val="TextBody"/>
        <w:spacing w:before="0" w:after="0"/>
        <w:rPr/>
      </w:pPr>
      <w:r>
        <w:rPr/>
        <w:t> </w:t>
      </w:r>
    </w:p>
    <w:p>
      <w:pPr>
        <w:pStyle w:val="TextBody"/>
        <w:spacing w:before="0" w:after="0"/>
        <w:rPr/>
      </w:pPr>
      <w:r>
        <w:rPr>
          <w:rFonts w:ascii="Times New Roman" w:hAnsi="Times New Roman"/>
          <w:sz w:val="20"/>
        </w:rPr>
        <w:t>We market under the Busch International trade name, custom engineered air handling systems used to control fume and oil mist emissions in the steel and aluminum industries. We also market a strip cooler under the JET</w:t>
      </w:r>
      <w:r>
        <w:rPr>
          <w:rFonts w:ascii="WINGDINGS" w:hAnsi="WINGDINGS"/>
          <w:color w:val="000000"/>
          <w:sz w:val="20"/>
        </w:rPr>
        <w:t>«</w:t>
      </w:r>
      <w:r>
        <w:rPr>
          <w:rFonts w:ascii="Times New Roman" w:hAnsi="Times New Roman"/>
          <w:sz w:val="20"/>
        </w:rPr>
        <w:t xml:space="preserve">STAR name. This equipment is globally marketed to the steel and aluminum industries. We recently obtained a large contract in China.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added the CECO Abatement Systems trade name in 2001 to extend our penetration into the thermal oxidation market. We market thermal oxidizers and regenerative thermal oxidizers that eliminate toxic emission fumes and volatile organic compounds from large-scale industrial processes. We have a major presence in the ethanol and solid waste disposal industries.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2005, we started CECOaire to increase our penetration into the dust control markets. We market baghouses that reduce dust particulates from industrial process airstreams. Prior to January 2005, CECOaire operated as part of CECO Filters.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February 2006, we entered into a transition agreement with H.M. White, LLC and H.M. White Holdings of Detroit, Michigan to jointly participate in the pursuit of new business in the areas of industrial ventilation systems and sheet metal and paint finishing construction. This combination of businesses allows us to access automotive markets, especially in Detroit, where we previously had no presence.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When we undertake large jobs, our working capital objective is to make these projects self-funding. We try to achieve this by (a) progress billing contracts, when possible, (b) utilizing extended payment terms from material suppliers, and (c) paying sub-contractors after payment from our customers, which is an industry practice. Our investment in net working capital is funded by cash flow from operations and by our revolving line of credit. Inventory remains relatively constant from year to year. Accordingly, changes in inventory do not constitute a significant part of our investment in working capital.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OTHER INFORMATION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Financing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financing for the Kirk &amp; Blum transaction was provided by a bank loan facility in the original amount of $25 million in term loans and a $10 million revolving credit facility. The bank loan facility was provided by PNC Bank, N.A., Fifth Third Bank and Bank One, N.A. (the Bank Facility). In connection with these loans, the banks providing the Bank Facility received a lien on substantially all of our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Facility was replaced with a new credit facility (the New Bank Facility) on December 29, 2005. The new credit agreement was entered into by CECO Environmental Corp., the CECO group of companies and Fifth Third Bank, an Ohio banking corporation (Fifth Third Bank). The New Bank Facility consists of a term loan in the amount of $3.1 million and a revolving loan of up to $13.0 million. The proceeds were used to refinance the Bank Facility and will be used for general corporate purposes. Terms of the credit agreement, which terminates January 31, 2007, include a three hundred basis point reduction in interest rates from the Bank Facility and longer amortization of the term debt and less restrictive loan covenants than the Bank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$5 million subordinated debt that was provided to us in connection with the Kirk &amp; Blum transaction in December 1999 included investments of $4 million by Can-Med Technology, Inc. d/b/a Green Diamond Oil Corp. (Green Diamond), $500,000 by ICS Trustee Services, Ltd. and $500,000 by Harvey Sandler. These investors were also issued warrants to purchase 1,000,000 shares of Common Stock in the aggregate (the Sub-debt Warrants) at a price of $2.25 per share, the fair market value of the shares at date of issuance. The Sub-debt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Warrants were exercised in December 2001. The fair value of the warrants was determined to be $1,847,000 at the date of issuance and the subordinated debt was discounted by such amount. The discount is being amortized as a component of interest expense over the life of the subordinated debt which coincided with the banks term loan maturity date of May 2006. The amortization of the discount was approximately $288,000 for each of the years ended December 31, 2005, 2004 and 2003. The effective annualized interest rate on the subordinated debt obligations is 17.75%, after taking into account the value of the warrants. ICS Trustee Services, Ltd. is not our affiliate. Harvey Sandler, by virtue of beneficially owning in excess of 10% of our common stock, is currently deemed an affiliate of ours. Green Diamond is owned 50.1% by Icarus Investment Corp., a corporation owned 50% by Phillip DeZwirek, the Chairman of the Board of Directors and Chief Executive Officer of the Company and a major stockholder, and 50% by Jason Louis DeZwirek, Phillip DeZwireks son, a director and Secretary of the Company and a major stockholder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promissory notes, which were issued to evidence the subordinated debt, provide that they accrue interest at the rate of 12% per annum, payable semi-annually. Payments of interest are subject to subordination agreements with the Fifth Third Bank under the New Bank Facility described above. In connection with the New Bank Facility, ICS Trustee Services, Ltd., Harvey Sandler, and Green Diamond agreed to extend the maturity date of the notes to April 1, 2007 from June 7, 2006 and to enter into new subordination agreements with Fifth Third Bank.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Equity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a $2,120,000 equity raise consisting of the sale of 706,668 shares of our common stock, at a price of $3.00 per share, and the issuance of warrants (Warrants) to purchase 353,334 shares of our common stock (collectively, with the 706,668 shares, the Investor Shares) at an initial exercise price of $3.60 per share, to a group of accredited investors (the Investors) led by Crestview Capital Fund, L.P., a Chicago-based private investment fund. We used these proceeds along with the proceeds received from the exercise of the Subdebt Warrants, to pay down the Bank Facility. As part of our contractual obligations to the Investors, we registered the Investor Shares on a Form S-1, which became effective on May 15, 2002. The shares underlying the Subdebt Warrants and the 14,000 shares underlying warrants that were issued as a finders fee in connection with the sale of shares to the Investors were also included in the Form S-1, for a total of 2,074,002 shares. On April 30, 2003 and May 2, 2003, we filed a Post-Effective Amendment on Form S-3 to Form S-1/A with respect to such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 re-register certain of such shares and to register additional shares, we have filed a Registration Statement on Form S-3, which we anticipate amending following the filing of this Form 10-K and requesting that it become effective shortly after the filing of this Form 10-K. Included in such Registration Statement are the shares that were issued upon exercise of the Subdebt Warrants, the shares underlying the Warrants, 1,000,000 shares held by Phillip DeZwirek (which were issued upon exercise of warrants), 25,000 share held by Jason DeZwirek (which were issued upon exercise of options), and the 14,000 shares underlying the warrants issued as a finders fee, for an aggregate of 2,392,334 shares of common stock. We do not receive any proceeds from the sale of these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6, 2006, Mr. Phillip DeZwirek elected to exercise warrants for 1,000,000 shares of common stock for an aggregate amount of $1,718,750 paid to us. Mr. Jason DeZwirek also exercised on such date options for 25,000 shares of common stock for an amount of $50,250 paid to us. Proceeds from these exercises were used by us to pay accrued interest on the Green Diamond subordinated notes, $1,531,792 of which interest was capitalized. Fifth Third Bank consented to this use of proceeds.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Asset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Due to our increased efficiencies and subsequent need for less space, we sold the property we owned in Conshohocken, Pennsylvania in May 2003 and entered into a lease for approximately half of the property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purchaser. The net proceeds from the sale of the property were used to reduce our outstanding debt. We recognized net savings, as it was cost effective to sell the property and lease back half of the space.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Customers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customer comprised 10% or more of our net revenues for 2005. We do not depend upon any one or few customers.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 our angle iron and sheet plate products from a variety of sources. When possible, we secure these materials from steel mills. Other materials are purchased from a variety of steel service centers. Steel prices have been volatile but we cover this through a surcharge on our standard products. On contract work, we cover the volatility by including the current price in our estimate.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 chemical grade fiberglass as needed from Johns Manville Corporation, which we believe is the only domestic supplier of such fiberglass. However, there are foreign suppliers of chemical grade fiberglass, and, based on current conditions, we believe that we could obtain such material from foreign suppliers on acceptable terms.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 good relationship with all our suppliers and do not anticipate any difficulty in continuing to receive such items on terms acceptable to us. To the extent that our current suppliers are unable or unwilling to continue to supply us with materials, we believe that we would be able to obtain such materials from other suppliers on acceptable terms.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represented by firm purchase orders from our customers was approximately $28.9 million and $20.7 million at the end of the fiscal years 2005 and 2004, respectively. 2004 backlog was completed in 2005. The 2005 backlog is expected to be completed in 2006.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Competition and Marketing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believe that there are no singly dominant companies in the industrial ventilation and air pollution control niche markets in which we participate. These markets are fragmented with numerous smaller and regional participants. As a result, competition varies widely by region and industry. However, sales of products and services under some of our trade names face competition with companies that have greater financial resources and that have more extensive marketing and advertising.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sell and market our products and services with our own direct workforce in conjunction with outside sales representatives in the U.S., Mexico, Canada, Asia, Europe and South America. We have direct employees in India.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Government Regulations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not been materially negatively impacted by existing government regulation, nor are we aware of any probable government regulation that would materially affect our operations. Our costs in complying with environmental laws have been negligible.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Research and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2005, 2004, and 2003, costs expended in research and development have not been significant. Such costs are generally included as factors in determining pricing.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Employees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had 444 full-time employees and 2 part-time employees as of December 31, 2005. The facilities acquired with the acquisition of Kirk &amp; Blum are unionized except for selling, administrative and operating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management personnel. None of our other employees are subject to a collective bargaining agreement. We consider our relationship with our employees to be satisfactory. In total, approximately 325 employees are represented by international or independent labor unions under various union contracts that expire from May 2006 to October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operations are largely dependent on Richard J. Blum and certain other key executives. The loss of Mr. Blum or any of our key executives could have a material adverse effect upon our operations. However, we believe our management team is deep and talented.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Intellectual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is no assurance that measurable revenues will accrue to us as a result of our patents or licenses.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purchased, among other assets, three patents from Busch Co. in 1997 that relate to the JET*STAR systems. JET*STAR systems constituted $1.5 million of revenues in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We hold a US patent for our N-SERT</w:t>
      </w:r>
      <w:r>
        <w:rPr>
          <w:rFonts w:ascii="Times New Roman" w:hAnsi="Times New Roman"/>
          <w:color w:val="000000"/>
          <w:position w:val="5"/>
          <w:sz w:val="11"/>
          <w:sz w:val="14"/>
        </w:rPr>
        <w:t>®</w:t>
      </w:r>
      <w:r>
        <w:rPr>
          <w:rFonts w:ascii="Times New Roman" w:hAnsi="Times New Roman"/>
          <w:sz w:val="20"/>
        </w:rPr>
        <w:t xml:space="preserve"> and X-SERT</w:t>
      </w:r>
      <w:r>
        <w:rPr>
          <w:rFonts w:ascii="Times New Roman" w:hAnsi="Times New Roman"/>
          <w:color w:val="000000"/>
          <w:position w:val="5"/>
          <w:sz w:val="11"/>
          <w:sz w:val="14"/>
        </w:rPr>
        <w:t>®</w:t>
      </w:r>
      <w:r>
        <w:rPr>
          <w:rFonts w:ascii="Times New Roman" w:hAnsi="Times New Roman"/>
          <w:sz w:val="20"/>
        </w:rPr>
        <w:t xml:space="preserve"> prefilters and for our Cantenary Grid scrubber. We also hold a US patent for a fluoropolymer fiber bed for a mist eliminator, a US patent for a fluted filter, and a US patent for a multiple in-duct filter system. Such patents combined do not have significant value to our overall performance.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Affiliated Stock Purchase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September 2002, the Registrant purchased 31,536,440 shares of CECO Filters, Inc. (Filters) in consideration for the cancellation of Filters debt of $3,044,423 owed to CECO Group, Inc. (Group) and $109,221 owed to Registrant. Registrant then immediately assigned such shares to Group. Group currently owns approximately 99% of the shares of Filters.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Financial Information about Geographic Areas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For 2005, 2004 and 2003, sales to customers outside the United States, including export sales, accounted for approximately 3%, 3% and 1%</w:t>
      </w:r>
      <w:r>
        <w:rPr>
          <w:rFonts w:ascii="Times New Roman" w:hAnsi="Times New Roman"/>
          <w:i/>
          <w:sz w:val="20"/>
        </w:rPr>
        <w:t>,</w:t>
      </w:r>
      <w:r>
        <w:rPr>
          <w:rFonts w:ascii="Times New Roman" w:hAnsi="Times New Roman"/>
          <w:sz w:val="20"/>
        </w:rPr>
        <w:t xml:space="preserve"> respectively, of consolidated net sales. The largest portion of these sales was destined for Canada. Generally, sales are denominated in U.S. dollars. We do not currently maintain significant long-lived assets outside the United States.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4" w:name="toc87693_2"/>
      <w:bookmarkEnd w:id="4"/>
      <w:r>
        <w:rPr>
          <w:rFonts w:ascii="Times New Roman" w:hAnsi="Times New Roman"/>
          <w:b/>
          <w:sz w:val="20"/>
        </w:rPr>
        <w:t>Item 1A.    </w:t>
      </w:r>
      <w:r>
        <w:rPr>
          <w:rFonts w:ascii="Times New Roman" w:hAnsi="Times New Roman"/>
          <w:b/>
          <w:i/>
          <w:sz w:val="20"/>
        </w:rPr>
        <w:t>Risk Factors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the other information in this Annual Report on Form 10-K, the factors listed below should be considered in evaluating our business and prospects. This Annual Report on Form 10-K contains a number of forward-looking statements that reflect our current views with respect to future events and financial performance. These forward-looking statements are subject to certain risks and uncertainties, including those discussed below and elsewhere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factors described below and not to place undue reliance on the forward-looking statements contained herein, which speak only as of the date of this Annual Report on Form 10-K. We assume no obligation to publicly update any forward-looking statements.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Operating at a Loss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incurred net losses for our past 5 fiscal years. There are no assurances that we will achieve or sustain profitability.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Competition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industries in which we compete are all highly competitive. We compete against a number of local, regional and national contractors and manufacturers in each of our business segments, many of which have been in existence longer than us and some of which have substantially greater financial resources than we do. We believe new entrants that are large corporations may be able to compete with the Company on the basis of price and as a result may have a material adverse affect on the results of our operations. In addition, there can be no assurance that other companies will not develop new or enhanced products that are either more effective than ours or would render our products non-competitive or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on Key Personnel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dependent on the experience of our management in the continuing development of its operations. The loss of the services of certain of these individuals, particularly Richard J. Blum, President of CECO, would have a material adverse effect on our business. Our future success will depend in part on our ability to attract and retain qualified personnel to manage our development and future growth. There can be no assurance that we will be successful in attracting and retaining such personnel. The failure to recruit additional key personnel could have a material adverse effect on our business, financial condition and results of operations.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Continued Control by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Annual Report on Form 10-K, management of the Company beneficially owns approximately 56% of the Companys outstanding common stock, assuming the exercise of currently exercisable warrants and options held by management. Our stockholders do not have the right to cumulative voting in the election of directors. Accordingly, present management will be in a position to exert control over our business and operations, including the election of our directors.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Upon Third-Party 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foreign suppliers. Failure by our third-party suppliers to meet our requirements could have a material adverse effect on us. There can be no assurance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Patents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hold various patents and licenses relating to certain of our products. There can be no assurance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There can be no assurance that we will be able to do so in a timely manner, upon acceptable terms and conditions, or at all. Failure to do any of the foregoing could have a material adverse effect upon our business. In addition, there can be no assurance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New Product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There can be no assurance that we will be successful in developing or acquiring such rights to products on a timely basis or that such products will adequately address the changing needs of the marketplace.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Technological and Regulatory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There can be no assurance that we will be able to achieve the technological advances that may be necessary for us to remain competitive or that certain of our products will not become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Leverage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leveraged. We currently have the New Bank Facility, which includes a term loan and line of credit, with Fifth Third Bank. The terms of such loan facility were entered into on December 29,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cash interest costs relate primarily to our revolving credit line and term loans; interest payments on the subordinated debt are permitted under the credit agreement if we remain in compliance with the loan covenants.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loans are secured by substantially all of our assets and our ability to borrow additional amounts on a secured basis would be limited. On December 31, 2004, the principal balance of the notes owed to Green Diamond was increased for the unpaid accrued interest. The principal balance for the $4.0 million subordinated note was increased by the accrued interest of $1.4 million to $5.4 million, and the principal balance for the $1.2 million subordinated note was increased by $0.1 million to $1.3 million and the maturity date was extended to January 1, 2007. On December 29, 2005, in connection with our New Bank Facility, the maturity date for these notes was extended to April 1, 2007. The remaining interest accrued on these subordinated notes was $730,230 at December 31, 2005 and $372,352 at December 31, 2004. Interest is charged on the revolving credit line at the banks prime rate plus 2 percentage points and on the term debt at prime plus 2.25 points. A 1% increase in the average interest rate would increase cash interest cost by approximately $60,000 if borrowings remain constant in 2006. There are no scheduled increases in the fixed or variable rates on the credit facility, however; an increase or decrease in the prime rate would cause the Companys future interest expense and cash flows to increase or decrease proportionately.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Common Stock Has Been Relatively Thinly Traded and We Cannot Predict the Extent to Which a Trading Market Will Develop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trades on the NASDAQ SmallCap Market. Our common stock is thinly traded compared to larger, more widely known companies. Thinly traded common stock can be more volatile than common stock trading in an active public market.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Future Sales by Our Stockholders May Adversely Affect Our Stock Price and Our Ability to Raise Funds in New Stock Offerings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2005, Phillip DeZwirek owned, in addition to other shares of common stock, warrants to purchase 2,250,000 shares of CECO common stock. We are obligated to register these shares upon demand. On January 6, 2006, Mr. Phillip DeZwirek elected to exercise warrants for 1,000,000 shares of common stock for an aggregate amount of $1,718,750 paid to us. We anticipate registering such 1,000,000 shares. If Mr. DeZwirek and/or his affiliates should decide to sell such shares or other shares they own, such sales may cause our stock price to decline. Such sales may also make it more difficult for us to sell equity securities or equity-related securities in the future at a time and price that our management deems acceptable or at all.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seasonal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fourth quarter of our fiscal year, which ends December 31, is typically our strongest quarter. This is due to a combination of factors: First, many of our customers attempt to complete major capital improvement projects before the end of the calendar year. Also, many customers shut down over the Christmas holidays to perform maintenance services on their facilities. These factors create increased demand for our products and services during this period.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Conversely, the first quarter of our calendar fiscal year is typically our weakest quarter. This is caused to some extent by winter weather constraints on outside construction activity but also by the seasonality of capital improvement projects as discussed relating to the fourth quarter.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International War and Possibility of Acts of Terrorism Could Adversely Impact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involvement of the United States in the conflict in the Middle East or elsewhere or a significant act of terrorism on U.S. soil or elsewhere could have an adverse impact on us by, among other things, disrupting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information or distribution systems, causing dramatic increases in fuel prices thereby increasing the costs of doing business, or impeding the flow of imports or domestic products to us.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There are inherent limitations in all control systems, and misstatements due to error or fraud may occur and not be detected.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While we continue to take action to ensure compliance with the disclosure controls and other requirements of the Sarbanes-Oxley Act of 2002 and the related Securities and Exchange Commission and NASDAQ Exchange rules,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Available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Internet website is www.cecoenviro.com. Our annual reports on Form 10-K, quarterly reports on Form 10-Q, current reports on Form 8-K, and all amendments to these reports are available, without charge, on the website as soon as reasonably practicable after we file these reports with the SEC. You can also obtain these reports, free of charge, by contacting Investor Relations, CECO Environmental, 3120 Forrer Street, Cincinnati, Ohio 45209. Phone: 1-800-606-2326. You can also obtain these reports and other information, free of charge, at www.sec.gov. You may also read and copy materials we file with the SEC at the SECs Public Reference Room at 100 F Street, N.E., Washington, D.C. 20549. Information on the operation of the Public Reference Room may be obtained by calling the SEC at 1-800-732-0330.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not including the information contained in our website as part of, or incorporating it by reference into, the Annual Report on Form 10-K. </w:t>
      </w:r>
    </w:p>
    <w:p>
      <w:pPr>
        <w:pStyle w:val="TextBody"/>
        <w:spacing w:before="0" w:after="0"/>
        <w:rPr/>
      </w:pPr>
      <w:r>
        <w:rPr/>
        <w:t> </w:t>
      </w:r>
    </w:p>
    <w:p>
      <w:pPr>
        <w:pStyle w:val="TextBody"/>
        <w:spacing w:before="0" w:after="0"/>
        <w:rPr>
          <w:rFonts w:ascii="Times New Roman" w:hAnsi="Times New Roman"/>
          <w:sz w:val="20"/>
        </w:rPr>
      </w:pPr>
      <w:bookmarkStart w:id="5" w:name="toc87693_3"/>
      <w:bookmarkEnd w:id="5"/>
      <w:r>
        <w:rPr>
          <w:rFonts w:ascii="Times New Roman" w:hAnsi="Times New Roman"/>
          <w:b/>
          <w:sz w:val="20"/>
        </w:rPr>
        <w:t>Item 1B.    </w:t>
      </w:r>
      <w:r>
        <w:rPr>
          <w:rFonts w:ascii="Times New Roman" w:hAnsi="Times New Roman"/>
          <w:b/>
          <w:i/>
          <w:sz w:val="20"/>
        </w:rPr>
        <w:t>Unresolved Staff Comments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rPr>
          <w:rFonts w:ascii="Times New Roman" w:hAnsi="Times New Roman"/>
          <w:sz w:val="20"/>
        </w:rPr>
      </w:pPr>
      <w:bookmarkStart w:id="6" w:name="toc87693_4"/>
      <w:bookmarkEnd w:id="6"/>
      <w:r>
        <w:rPr>
          <w:rFonts w:ascii="Times New Roman" w:hAnsi="Times New Roman"/>
          <w:b/>
          <w:sz w:val="20"/>
        </w:rPr>
        <w:t>Item 2.    </w:t>
      </w:r>
      <w:r>
        <w:rPr>
          <w:rFonts w:ascii="Times New Roman" w:hAnsi="Times New Roman"/>
          <w:b/>
          <w:i/>
          <w:sz w:val="20"/>
        </w:rPr>
        <w:t>Properties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principal operating offices are headquartered in Cincinnati, Ohio at a 236,178 square foot facility that we own.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an executive office in Toronto, Canada, at facilities maintained by affiliates of our Chief Executive Officer and Chairman of the Board and Secretary, who work at the Toronto office. We reimburse such affiliate $5,000 per month for the use of the space and other office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own a 33,000 square foot facility in Indianapolis, Indiana, a 35,000 square foot facility in Louisville, Kentucky and a 33,000 square foot facility in Lexington, Kentucky.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lease the following facilities: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3339"/>
        <w:gridCol w:w="313"/>
        <w:gridCol w:w="1019"/>
        <w:gridCol w:w="313"/>
        <w:gridCol w:w="125"/>
        <w:gridCol w:w="765"/>
        <w:gridCol w:w="313"/>
        <w:gridCol w:w="1466"/>
      </w:tblGrid>
      <w:tr>
        <w:trPr/>
        <w:tc>
          <w:tcPr>
            <w:tcW w:w="333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r>
      <w:tr>
        <w:trPr/>
        <w:tc>
          <w:tcPr>
            <w:tcW w:w="333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Location</w:t>
            </w:r>
          </w:p>
          <w:p>
            <w:pPr>
              <w:pStyle w:val="HorizontalLine"/>
              <w:pBdr>
                <w:bottom w:val="single" w:sz="6" w:space="0" w:color="000000"/>
              </w:pBdr>
              <w:spacing w:before="0" w:after="283"/>
              <w:rPr/>
            </w:pPr>
            <w:r>
              <w:rPr/>
            </w:r>
          </w:p>
        </w:tc>
        <w:tc>
          <w:tcPr>
            <w:tcW w:w="313"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Square Footage</w:t>
            </w:r>
          </w:p>
          <w:p>
            <w:pPr>
              <w:pStyle w:val="HorizontalLine"/>
              <w:pBdr>
                <w:bottom w:val="single" w:sz="6" w:space="0" w:color="000000"/>
              </w:pBdr>
              <w:spacing w:before="0" w:after="283"/>
              <w:rPr/>
            </w:pPr>
            <w:r>
              <w:rPr/>
            </w:r>
          </w:p>
        </w:tc>
        <w:tc>
          <w:tcPr>
            <w:tcW w:w="313"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 Rent</w:t>
            </w:r>
          </w:p>
          <w:p>
            <w:pPr>
              <w:pStyle w:val="HorizontalLine"/>
              <w:pBdr>
                <w:bottom w:val="single" w:sz="6" w:space="0" w:color="000000"/>
              </w:pBdr>
              <w:spacing w:before="0" w:after="283"/>
              <w:rPr/>
            </w:pPr>
            <w:r>
              <w:rPr/>
            </w:r>
          </w:p>
        </w:tc>
        <w:tc>
          <w:tcPr>
            <w:tcW w:w="313"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Expiration</w:t>
            </w:r>
          </w:p>
          <w:p>
            <w:pPr>
              <w:pStyle w:val="HorizontalLine"/>
              <w:pBdr>
                <w:bottom w:val="single" w:sz="6" w:space="0" w:color="000000"/>
              </w:pBdr>
              <w:spacing w:before="0" w:after="283"/>
              <w:rPr/>
            </w:pPr>
            <w:r>
              <w:rPr/>
            </w:r>
          </w:p>
        </w:tc>
      </w:tr>
      <w:tr>
        <w:trPr/>
        <w:tc>
          <w:tcPr>
            <w:tcW w:w="3339" w:type="dxa"/>
            <w:tcBorders/>
            <w:shd w:fill="CCEEFF" w:val="clear"/>
          </w:tcPr>
          <w:p>
            <w:pPr>
              <w:pStyle w:val="TableContents"/>
              <w:spacing w:before="0" w:after="283"/>
              <w:rPr>
                <w:rFonts w:ascii="Times New Roman" w:hAnsi="Times New Roman"/>
                <w:sz w:val="20"/>
              </w:rPr>
            </w:pPr>
            <w:r>
              <w:rPr>
                <w:rFonts w:ascii="Times New Roman" w:hAnsi="Times New Roman"/>
                <w:sz w:val="20"/>
              </w:rPr>
              <w:t>Columbia, Tennessee</w:t>
            </w:r>
          </w:p>
        </w:tc>
        <w:tc>
          <w:tcPr>
            <w:tcW w:w="313"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34,800</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127,020</w:t>
            </w:r>
          </w:p>
        </w:tc>
        <w:tc>
          <w:tcPr>
            <w:tcW w:w="313"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2010</w:t>
            </w:r>
          </w:p>
        </w:tc>
      </w:tr>
      <w:tr>
        <w:trPr/>
        <w:tc>
          <w:tcPr>
            <w:tcW w:w="3339" w:type="dxa"/>
            <w:tcBorders/>
            <w:shd w:fill="auto" w:val="clear"/>
          </w:tcPr>
          <w:p>
            <w:pPr>
              <w:pStyle w:val="TableContents"/>
              <w:spacing w:before="0" w:after="283"/>
              <w:rPr>
                <w:rFonts w:ascii="Times New Roman" w:hAnsi="Times New Roman"/>
                <w:sz w:val="20"/>
              </w:rPr>
            </w:pPr>
            <w:r>
              <w:rPr>
                <w:rFonts w:ascii="Times New Roman" w:hAnsi="Times New Roman"/>
                <w:sz w:val="20"/>
              </w:rPr>
              <w:t>Greensboro, North Carolina</w:t>
            </w:r>
          </w:p>
        </w:tc>
        <w:tc>
          <w:tcPr>
            <w:tcW w:w="313"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120,000</w:t>
            </w:r>
          </w:p>
        </w:tc>
        <w:tc>
          <w:tcPr>
            <w:tcW w:w="313"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2006</w:t>
            </w:r>
          </w:p>
        </w:tc>
      </w:tr>
      <w:tr>
        <w:trPr/>
        <w:tc>
          <w:tcPr>
            <w:tcW w:w="3339" w:type="dxa"/>
            <w:tcBorders/>
            <w:shd w:fill="CCEEFF" w:val="clear"/>
          </w:tcPr>
          <w:p>
            <w:pPr>
              <w:pStyle w:val="TableContents"/>
              <w:spacing w:before="0" w:after="283"/>
              <w:rPr>
                <w:rFonts w:ascii="Times New Roman" w:hAnsi="Times New Roman"/>
                <w:sz w:val="20"/>
              </w:rPr>
            </w:pPr>
            <w:r>
              <w:rPr>
                <w:rFonts w:ascii="Times New Roman" w:hAnsi="Times New Roman"/>
                <w:sz w:val="20"/>
              </w:rPr>
              <w:t>Defiance, Ohio</w:t>
            </w:r>
          </w:p>
        </w:tc>
        <w:tc>
          <w:tcPr>
            <w:tcW w:w="313"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27,400</w:t>
            </w:r>
          </w:p>
        </w:tc>
        <w:tc>
          <w:tcPr>
            <w:tcW w:w="313"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Month to month</w:t>
            </w:r>
          </w:p>
        </w:tc>
      </w:tr>
      <w:tr>
        <w:trPr/>
        <w:tc>
          <w:tcPr>
            <w:tcW w:w="3339" w:type="dxa"/>
            <w:tcBorders/>
            <w:shd w:fill="auto" w:val="clear"/>
          </w:tcPr>
          <w:p>
            <w:pPr>
              <w:pStyle w:val="TableContents"/>
              <w:spacing w:before="0" w:after="283"/>
              <w:rPr>
                <w:rFonts w:ascii="Times New Roman" w:hAnsi="Times New Roman"/>
                <w:sz w:val="20"/>
              </w:rPr>
            </w:pPr>
            <w:r>
              <w:rPr>
                <w:rFonts w:ascii="Times New Roman" w:hAnsi="Times New Roman"/>
                <w:sz w:val="20"/>
              </w:rPr>
              <w:t>Pittsburgh, Pennsylvania</w:t>
            </w:r>
          </w:p>
        </w:tc>
        <w:tc>
          <w:tcPr>
            <w:tcW w:w="313"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48,000</w:t>
            </w:r>
          </w:p>
        </w:tc>
        <w:tc>
          <w:tcPr>
            <w:tcW w:w="313"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2006</w:t>
            </w:r>
          </w:p>
        </w:tc>
      </w:tr>
      <w:tr>
        <w:trPr/>
        <w:tc>
          <w:tcPr>
            <w:tcW w:w="3339" w:type="dxa"/>
            <w:tcBorders/>
            <w:shd w:fill="CCEEFF" w:val="clear"/>
          </w:tcPr>
          <w:p>
            <w:pPr>
              <w:pStyle w:val="TableContents"/>
              <w:spacing w:before="0" w:after="283"/>
              <w:rPr>
                <w:rFonts w:ascii="Times New Roman" w:hAnsi="Times New Roman"/>
                <w:sz w:val="20"/>
              </w:rPr>
            </w:pPr>
            <w:r>
              <w:rPr>
                <w:rFonts w:ascii="Times New Roman" w:hAnsi="Times New Roman"/>
                <w:sz w:val="20"/>
              </w:rPr>
              <w:t>Chicago, Illinois</w:t>
            </w:r>
          </w:p>
        </w:tc>
        <w:tc>
          <w:tcPr>
            <w:tcW w:w="313"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21,200</w:t>
            </w:r>
          </w:p>
        </w:tc>
        <w:tc>
          <w:tcPr>
            <w:tcW w:w="313"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January 2009</w:t>
            </w:r>
          </w:p>
        </w:tc>
      </w:tr>
      <w:tr>
        <w:trPr/>
        <w:tc>
          <w:tcPr>
            <w:tcW w:w="3339" w:type="dxa"/>
            <w:tcBorders/>
            <w:shd w:fill="auto" w:val="clear"/>
          </w:tcPr>
          <w:p>
            <w:pPr>
              <w:pStyle w:val="TableContents"/>
              <w:spacing w:before="0" w:after="283"/>
              <w:rPr>
                <w:rFonts w:ascii="Times New Roman" w:hAnsi="Times New Roman"/>
                <w:sz w:val="20"/>
              </w:rPr>
            </w:pPr>
            <w:r>
              <w:rPr>
                <w:rFonts w:ascii="Times New Roman" w:hAnsi="Times New Roman"/>
                <w:sz w:val="20"/>
              </w:rPr>
              <w:t>Conshohocken, Pennsylvania</w:t>
            </w:r>
          </w:p>
        </w:tc>
        <w:tc>
          <w:tcPr>
            <w:tcW w:w="313"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151,250</w:t>
            </w:r>
          </w:p>
        </w:tc>
        <w:tc>
          <w:tcPr>
            <w:tcW w:w="313"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April 2011</w:t>
            </w:r>
          </w:p>
        </w:tc>
      </w:tr>
      <w:tr>
        <w:trPr/>
        <w:tc>
          <w:tcPr>
            <w:tcW w:w="3339" w:type="dxa"/>
            <w:tcBorders/>
            <w:shd w:fill="CCEEFF" w:val="clear"/>
          </w:tcPr>
          <w:p>
            <w:pPr>
              <w:pStyle w:val="TableContents"/>
              <w:spacing w:before="0" w:after="283"/>
              <w:rPr>
                <w:rFonts w:ascii="Times New Roman" w:hAnsi="Times New Roman"/>
                <w:sz w:val="20"/>
              </w:rPr>
            </w:pPr>
            <w:r>
              <w:rPr>
                <w:rFonts w:ascii="Times New Roman" w:hAnsi="Times New Roman"/>
                <w:sz w:val="20"/>
              </w:rPr>
              <w:t>Chenai, India</w:t>
            </w:r>
          </w:p>
        </w:tc>
        <w:tc>
          <w:tcPr>
            <w:tcW w:w="313"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5,850</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313"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October 2006</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anticipated that all leases coming due in the near future will be renewed at expiration.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properties owned are subject to collateral mortgages to secure the amounts owed under the New Bank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Kirk and Blum has entered into a purchase agreement for the sale of our Cincinnati property. The purchase agreement calls for 10.7 acres of real estate and improvements to be divided into two parcels, with the first parcel for a purchase price of $6.9 million and the second parcel for a purchase price of $1.1 million. The closing of parcel one is scheduled to occur on or before April 24, 2006, provided that upon payment by the purchaser of $200,000, the closing date may be extended until May 23, 2006 and further, provided that the purchaser also has the right to terminate the Agreement for any reason prior to July 15,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Kirk and Blum will have the right to occupy both parcels with no rent obligations for a period of up to ten months following the closing on the first parcel, however, Kirk and Blum will be responsible for real estate taxes, insurance costs, utility costs and other operational costs during such occupancy.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closing of the sale is subject to various customary closing conditions. Additionally, closing is subject to certain special conditions such as the negotiation of a definitive agreement setting forth Kirk and Blums post-closing possessory rights.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Kirk and Blum had entered into an agreement for the purchase of a manufacturing and corporate office facility located in Woodlawn, Ohio. Such agreement, however, after several extensions, expired March 29,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2005, we increased our leased space by 14,770 square feet. Our current capacity, with limited capital additions, is expected to be sufficient to meet production requirements for the near future. We believe our production facilities are suitable and can meet our future production needs. </w:t>
      </w:r>
    </w:p>
    <w:p>
      <w:pPr>
        <w:pStyle w:val="TextBody"/>
        <w:spacing w:before="0" w:after="0"/>
        <w:rPr/>
      </w:pPr>
      <w:r>
        <w:rPr/>
        <w:t> </w:t>
      </w:r>
    </w:p>
    <w:p>
      <w:pPr>
        <w:pStyle w:val="TextBody"/>
        <w:spacing w:before="0" w:after="0"/>
        <w:rPr>
          <w:rFonts w:ascii="Times New Roman" w:hAnsi="Times New Roman"/>
          <w:sz w:val="20"/>
        </w:rPr>
      </w:pPr>
      <w:bookmarkStart w:id="7" w:name="toc87693_5"/>
      <w:bookmarkEnd w:id="7"/>
      <w:r>
        <w:rPr>
          <w:rFonts w:ascii="Times New Roman" w:hAnsi="Times New Roman"/>
          <w:b/>
          <w:sz w:val="20"/>
        </w:rPr>
        <w:t>Item 3.    </w:t>
      </w:r>
      <w:r>
        <w:rPr>
          <w:rFonts w:ascii="Times New Roman" w:hAnsi="Times New Roman"/>
          <w:b/>
          <w:i/>
          <w:sz w:val="20"/>
        </w:rPr>
        <w:t>Legal Proceedings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are no material pending legal proceedings to which our Company or any of our subsidiaries is a party or to which any of our property is subject. </w:t>
      </w:r>
    </w:p>
    <w:p>
      <w:pPr>
        <w:pStyle w:val="TextBody"/>
        <w:spacing w:before="0" w:after="0"/>
        <w:rPr/>
      </w:pPr>
      <w:r>
        <w:rPr/>
        <w:t> </w:t>
      </w:r>
    </w:p>
    <w:p>
      <w:pPr>
        <w:pStyle w:val="TextBody"/>
        <w:spacing w:before="0" w:after="0"/>
        <w:rPr>
          <w:rFonts w:ascii="Times New Roman" w:hAnsi="Times New Roman"/>
          <w:sz w:val="20"/>
        </w:rPr>
      </w:pPr>
      <w:bookmarkStart w:id="8" w:name="toc87693_6"/>
      <w:bookmarkEnd w:id="8"/>
      <w:r>
        <w:rPr>
          <w:rFonts w:ascii="Times New Roman" w:hAnsi="Times New Roman"/>
          <w:b/>
          <w:sz w:val="20"/>
        </w:rPr>
        <w:t>Item 4.    </w:t>
      </w:r>
      <w:r>
        <w:rPr>
          <w:rFonts w:ascii="Times New Roman" w:hAnsi="Times New Roman"/>
          <w:b/>
          <w:i/>
          <w:sz w:val="20"/>
        </w:rPr>
        <w:t>Submission of Matters to a Vote of Security Holders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was no matter submitted to the vote of the shareholders during the fourth quarter of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Executive Officers of Registrant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are the executive officers of the Company as of March 30, 2006. The terms of all officers expire at the next annual meeting of the board of directors and upon the election of the successors of such officers. The ages given are as of March 30, 2006.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3048"/>
        <w:gridCol w:w="199"/>
        <w:gridCol w:w="249"/>
        <w:gridCol w:w="199"/>
        <w:gridCol w:w="4979"/>
      </w:tblGrid>
      <w:tr>
        <w:trPr/>
        <w:tc>
          <w:tcPr>
            <w:tcW w:w="304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4979" w:type="dxa"/>
            <w:tcBorders/>
            <w:shd w:fill="auto" w:val="clear"/>
            <w:vAlign w:val="center"/>
          </w:tcPr>
          <w:p>
            <w:pPr>
              <w:pStyle w:val="TableContents"/>
              <w:spacing w:before="0" w:after="283"/>
              <w:rPr>
                <w:sz w:val="4"/>
                <w:szCs w:val="4"/>
              </w:rPr>
            </w:pPr>
            <w:r>
              <w:rPr>
                <w:sz w:val="4"/>
                <w:szCs w:val="4"/>
              </w:rPr>
            </w:r>
          </w:p>
        </w:tc>
      </w:tr>
      <w:tr>
        <w:trPr/>
        <w:tc>
          <w:tcPr>
            <w:tcW w:w="304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w:t>
            </w:r>
          </w:p>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Age</w:t>
            </w:r>
          </w:p>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497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Position with CECO          </w:t>
            </w:r>
          </w:p>
          <w:p>
            <w:pPr>
              <w:pStyle w:val="HorizontalLine"/>
              <w:pBdr>
                <w:bottom w:val="single" w:sz="6" w:space="0" w:color="000000"/>
              </w:pBdr>
              <w:spacing w:before="0" w:after="283"/>
              <w:rPr/>
            </w:pPr>
            <w:r>
              <w:rPr/>
            </w:r>
          </w:p>
        </w:tc>
      </w:tr>
      <w:tr>
        <w:trPr/>
        <w:tc>
          <w:tcPr>
            <w:tcW w:w="3048"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199" w:type="dxa"/>
            <w:tcBorders/>
            <w:shd w:fill="CCEEFF" w:val="clear"/>
            <w:vAlign w:val="bottom"/>
          </w:tcPr>
          <w:p>
            <w:pPr>
              <w:pStyle w:val="TableContents"/>
              <w:spacing w:before="0" w:after="283"/>
              <w:rPr/>
            </w:pPr>
            <w:r>
              <w:rPr/>
              <w:t>  </w:t>
            </w:r>
          </w:p>
        </w:tc>
        <w:tc>
          <w:tcPr>
            <w:tcW w:w="24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68</w:t>
            </w:r>
          </w:p>
        </w:tc>
        <w:tc>
          <w:tcPr>
            <w:tcW w:w="199" w:type="dxa"/>
            <w:tcBorders/>
            <w:shd w:fill="CCEEFF" w:val="clear"/>
            <w:vAlign w:val="bottom"/>
          </w:tcPr>
          <w:p>
            <w:pPr>
              <w:pStyle w:val="TableContents"/>
              <w:spacing w:before="0" w:after="283"/>
              <w:rPr/>
            </w:pPr>
            <w:r>
              <w:rPr/>
              <w:t>  </w:t>
            </w:r>
          </w:p>
        </w:tc>
        <w:tc>
          <w:tcPr>
            <w:tcW w:w="49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Chief Executive Officer; Chairman of the Board of Directors</w:t>
            </w:r>
          </w:p>
        </w:tc>
      </w:tr>
      <w:tr>
        <w:trPr>
          <w:trHeight w:val="120" w:hRule="atLeast"/>
        </w:trPr>
        <w:tc>
          <w:tcPr>
            <w:tcW w:w="304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78" w:type="dxa"/>
            <w:gridSpan w:val="2"/>
            <w:tcBorders/>
            <w:shd w:fill="auto" w:val="clear"/>
            <w:vAlign w:val="center"/>
          </w:tcPr>
          <w:p>
            <w:pPr>
              <w:pStyle w:val="TableContents"/>
              <w:spacing w:before="0" w:after="283"/>
              <w:rPr>
                <w:sz w:val="4"/>
                <w:szCs w:val="4"/>
              </w:rPr>
            </w:pPr>
            <w:r>
              <w:rPr>
                <w:sz w:val="4"/>
                <w:szCs w:val="4"/>
              </w:rPr>
            </w:r>
          </w:p>
        </w:tc>
      </w:tr>
      <w:tr>
        <w:trPr/>
        <w:tc>
          <w:tcPr>
            <w:tcW w:w="3048"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199"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59</w:t>
            </w:r>
          </w:p>
        </w:tc>
        <w:tc>
          <w:tcPr>
            <w:tcW w:w="199" w:type="dxa"/>
            <w:tcBorders/>
            <w:shd w:fill="auto" w:val="clear"/>
            <w:vAlign w:val="bottom"/>
          </w:tcPr>
          <w:p>
            <w:pPr>
              <w:pStyle w:val="TableContents"/>
              <w:spacing w:before="0" w:after="283"/>
              <w:rPr/>
            </w:pPr>
            <w:r>
              <w:rPr/>
              <w:t>  </w:t>
            </w:r>
          </w:p>
        </w:tc>
        <w:tc>
          <w:tcPr>
            <w:tcW w:w="49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Director</w:t>
            </w:r>
          </w:p>
        </w:tc>
      </w:tr>
      <w:tr>
        <w:trPr>
          <w:trHeight w:val="120" w:hRule="atLeast"/>
        </w:trPr>
        <w:tc>
          <w:tcPr>
            <w:tcW w:w="304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78" w:type="dxa"/>
            <w:gridSpan w:val="2"/>
            <w:tcBorders/>
            <w:shd w:fill="auto" w:val="clear"/>
            <w:vAlign w:val="center"/>
          </w:tcPr>
          <w:p>
            <w:pPr>
              <w:pStyle w:val="TableContents"/>
              <w:spacing w:before="0" w:after="283"/>
              <w:rPr>
                <w:sz w:val="4"/>
                <w:szCs w:val="4"/>
              </w:rPr>
            </w:pPr>
            <w:r>
              <w:rPr>
                <w:sz w:val="4"/>
                <w:szCs w:val="4"/>
              </w:rPr>
            </w:r>
          </w:p>
        </w:tc>
      </w:tr>
      <w:tr>
        <w:trPr/>
        <w:tc>
          <w:tcPr>
            <w:tcW w:w="3048" w:type="dxa"/>
            <w:tcBorders/>
            <w:shd w:fill="CCEEFF"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199" w:type="dxa"/>
            <w:tcBorders/>
            <w:shd w:fill="CCEEFF" w:val="clear"/>
            <w:vAlign w:val="bottom"/>
          </w:tcPr>
          <w:p>
            <w:pPr>
              <w:pStyle w:val="TableContents"/>
              <w:spacing w:before="0" w:after="283"/>
              <w:rPr/>
            </w:pPr>
            <w:r>
              <w:rPr/>
              <w:t>  </w:t>
            </w:r>
          </w:p>
        </w:tc>
        <w:tc>
          <w:tcPr>
            <w:tcW w:w="24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58</w:t>
            </w:r>
          </w:p>
        </w:tc>
        <w:tc>
          <w:tcPr>
            <w:tcW w:w="199" w:type="dxa"/>
            <w:tcBorders/>
            <w:shd w:fill="CCEEFF" w:val="clear"/>
            <w:vAlign w:val="bottom"/>
          </w:tcPr>
          <w:p>
            <w:pPr>
              <w:pStyle w:val="TableContents"/>
              <w:spacing w:before="0" w:after="283"/>
              <w:rPr/>
            </w:pPr>
            <w:r>
              <w:rPr/>
              <w:t>  </w:t>
            </w:r>
          </w:p>
        </w:tc>
        <w:tc>
          <w:tcPr>
            <w:tcW w:w="49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 Chief Financial Officer</w:t>
            </w:r>
          </w:p>
        </w:tc>
      </w:tr>
      <w:tr>
        <w:trPr>
          <w:trHeight w:val="120" w:hRule="atLeast"/>
        </w:trPr>
        <w:tc>
          <w:tcPr>
            <w:tcW w:w="304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78" w:type="dxa"/>
            <w:gridSpan w:val="2"/>
            <w:tcBorders/>
            <w:shd w:fill="auto" w:val="clear"/>
            <w:vAlign w:val="center"/>
          </w:tcPr>
          <w:p>
            <w:pPr>
              <w:pStyle w:val="TableContents"/>
              <w:spacing w:before="0" w:after="283"/>
              <w:rPr>
                <w:sz w:val="4"/>
                <w:szCs w:val="4"/>
              </w:rPr>
            </w:pPr>
            <w:r>
              <w:rPr>
                <w:sz w:val="4"/>
                <w:szCs w:val="4"/>
              </w:rPr>
            </w:r>
          </w:p>
        </w:tc>
      </w:tr>
      <w:tr>
        <w:trPr/>
        <w:tc>
          <w:tcPr>
            <w:tcW w:w="3048"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199"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50</w:t>
            </w:r>
          </w:p>
        </w:tc>
        <w:tc>
          <w:tcPr>
            <w:tcW w:w="199" w:type="dxa"/>
            <w:tcBorders/>
            <w:shd w:fill="auto" w:val="clear"/>
            <w:vAlign w:val="bottom"/>
          </w:tcPr>
          <w:p>
            <w:pPr>
              <w:pStyle w:val="TableContents"/>
              <w:spacing w:before="0" w:after="283"/>
              <w:rPr/>
            </w:pPr>
            <w:r>
              <w:rPr/>
              <w:t>  </w:t>
            </w:r>
          </w:p>
        </w:tc>
        <w:tc>
          <w:tcPr>
            <w:tcW w:w="49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President-Sales and Marketing; Assistant Secretary</w:t>
            </w:r>
          </w:p>
        </w:tc>
      </w:tr>
      <w:tr>
        <w:trPr>
          <w:trHeight w:val="120" w:hRule="atLeast"/>
        </w:trPr>
        <w:tc>
          <w:tcPr>
            <w:tcW w:w="3048"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78" w:type="dxa"/>
            <w:gridSpan w:val="2"/>
            <w:tcBorders/>
            <w:shd w:fill="auto" w:val="clear"/>
            <w:vAlign w:val="center"/>
          </w:tcPr>
          <w:p>
            <w:pPr>
              <w:pStyle w:val="TableContents"/>
              <w:spacing w:before="0" w:after="283"/>
              <w:rPr>
                <w:sz w:val="4"/>
                <w:szCs w:val="4"/>
              </w:rPr>
            </w:pPr>
            <w:r>
              <w:rPr>
                <w:sz w:val="4"/>
                <w:szCs w:val="4"/>
              </w:rPr>
            </w:r>
          </w:p>
        </w:tc>
      </w:tr>
      <w:tr>
        <w:trPr/>
        <w:tc>
          <w:tcPr>
            <w:tcW w:w="3048" w:type="dxa"/>
            <w:tcBorders/>
            <w:shd w:fill="CCEEFF"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199" w:type="dxa"/>
            <w:tcBorders/>
            <w:shd w:fill="CCEEFF" w:val="clear"/>
            <w:vAlign w:val="bottom"/>
          </w:tcPr>
          <w:p>
            <w:pPr>
              <w:pStyle w:val="TableContents"/>
              <w:spacing w:before="0" w:after="283"/>
              <w:rPr/>
            </w:pPr>
            <w:r>
              <w:rPr/>
              <w:t>  </w:t>
            </w:r>
          </w:p>
        </w:tc>
        <w:tc>
          <w:tcPr>
            <w:tcW w:w="24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35</w:t>
            </w:r>
          </w:p>
        </w:tc>
        <w:tc>
          <w:tcPr>
            <w:tcW w:w="199" w:type="dxa"/>
            <w:tcBorders/>
            <w:shd w:fill="CCEEFF" w:val="clear"/>
            <w:vAlign w:val="bottom"/>
          </w:tcPr>
          <w:p>
            <w:pPr>
              <w:pStyle w:val="TableContents"/>
              <w:spacing w:before="0" w:after="283"/>
              <w:rPr/>
            </w:pPr>
            <w:r>
              <w:rPr/>
              <w:t>  </w:t>
            </w:r>
          </w:p>
        </w:tc>
        <w:tc>
          <w:tcPr>
            <w:tcW w:w="49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Secretary; Director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Phillip DeZwirek became a director, the Chairman of the Board and the Chief Executive Officer of the Company in August 1979. Mr. DeZwirek also served as Chief Financial Officer until January 26, 2000. Mr. DeZwireks principal occupations during the past five years have been as Chairman of the Board and Vice President of CECO Filters (since 1985); Treasurer and Assistant Secretary of CECO Group (since December 10, 1999); a director of Kirk &amp; Blum and kbd/Technic (since 1999); President of Can-Med Technology, Inc. d/b/a Green Diamond Oil Corp. (Green Diamond) (since 1990) and a director and the Chairman, Chief Executive Officer and Treasurer of API Electronics Group, Inc., a publicly traded company (OTC:AEGCF), which is a manufacturer of power semi-conductors primarily for military use. Mr. DeZwirek has also been involved in private investment activities for the past five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Richard J. Blum became the President and a director of the Company on July 1, 2000 and the Chief Executive Officer and President of CECO Group, Inc. on December 10, 1999. Mr. Blum has been a director and the President of Kirk &amp; Blum from February 28, 1975 until November 12, 2002, and the Chairman and a director of kbd/Technic since November 1988. Mr. Blum is also a director of The Factory Power Company, a company of which CECO owns a minority interest and that provided steam energy to various companies, including CECO. Kirk &amp; Blum and kbd/Technic were acquired by the Company on December 7, 1999. Mr. Richard Blum is the brother of Mr. David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Dennis W. Blazer became the Chief Financial Officer and the Vice President-Finance and Administration of the Company on December 13, 2004. From 2003 to 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David D. Blum became the Senior Vice President-Sales and Marketing and an Assistant Secretary of the Company on July 1, 2000 and the President of Kirk &amp; Blum on November 12, 2002. Mr. Blum served as Vice President of Kirk &amp; Blum from 1997 to 2000 and was Vice President-Division Manager Louisville at Kirk &amp; Blum from 1984 to 1997. Mr. David Blum is the brother of Mr. Richard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Jason Louis DeZwirek, the son of Phillip DeZwirek, became a director of the Company in February 1994. He became Secretary of the Company on February 20, 1998. Mr. DeZwirek from October 1, 1997 through January 1, 2002 served as a member of the Committee that was established to administer CECOs Stock Option Plan. He also serves as Secretary of CECO Group (since December 10, 1999). 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Electronics Group, Inc. (OTC:AEGCF).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p>
      <w:pPr>
        <w:pStyle w:val="TextBody"/>
        <w:spacing w:before="0" w:after="0"/>
        <w:rPr>
          <w:rFonts w:ascii="Times New Roman" w:hAnsi="Times New Roman"/>
          <w:sz w:val="20"/>
        </w:rPr>
      </w:pPr>
      <w:bookmarkStart w:id="9" w:name="toc87693_7"/>
      <w:bookmarkEnd w:id="9"/>
      <w:r>
        <w:rPr>
          <w:rFonts w:ascii="Times New Roman" w:hAnsi="Times New Roman"/>
          <w:b/>
          <w:sz w:val="20"/>
        </w:rPr>
        <w:t>Item 5.    </w:t>
      </w:r>
      <w:r>
        <w:rPr>
          <w:rFonts w:ascii="Times New Roman" w:hAnsi="Times New Roman"/>
          <w:b/>
          <w:i/>
          <w:sz w:val="20"/>
        </w:rPr>
        <w:t>Market for the Registrants Common Equity and Related Stockholder Matters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Our common stock is traded in the over-the-counter market and is quoted in the Nasdaq SmallCap Market automated quotation system under the symbol CECE. The following table sets forth the range of bid prices for our common stock as reported in the Nasdaq system during the periods indicated, and represents prices between broker-dealers, which do not include retail mark-ups and mark-downs, or any commissions to the broker-dealers. The bid prices do not reflect prices in actual transactions.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1210"/>
        <w:gridCol w:w="155"/>
        <w:gridCol w:w="125"/>
        <w:gridCol w:w="380"/>
        <w:gridCol w:w="155"/>
        <w:gridCol w:w="125"/>
        <w:gridCol w:w="380"/>
        <w:gridCol w:w="155"/>
        <w:gridCol w:w="1141"/>
        <w:gridCol w:w="138"/>
        <w:gridCol w:w="125"/>
        <w:gridCol w:w="380"/>
        <w:gridCol w:w="138"/>
        <w:gridCol w:w="125"/>
        <w:gridCol w:w="379"/>
        <w:gridCol w:w="155"/>
        <w:gridCol w:w="1059"/>
        <w:gridCol w:w="155"/>
        <w:gridCol w:w="125"/>
        <w:gridCol w:w="380"/>
        <w:gridCol w:w="155"/>
        <w:gridCol w:w="125"/>
        <w:gridCol w:w="388"/>
      </w:tblGrid>
      <w:tr>
        <w:trPr/>
        <w:tc>
          <w:tcPr>
            <w:tcW w:w="12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2530"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2426"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2387"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CECO Common Stock Bids</w:t>
            </w:r>
          </w:p>
          <w:p>
            <w:pPr>
              <w:pStyle w:val="HorizontalLine"/>
              <w:pBdr>
                <w:bottom w:val="single" w:sz="6" w:space="0" w:color="000000"/>
              </w:pBdr>
              <w:spacing w:before="0" w:after="283"/>
              <w:rPr/>
            </w:pPr>
            <w:r>
              <w:rPr/>
            </w:r>
          </w:p>
        </w:tc>
      </w:tr>
      <w:tr>
        <w:trPr/>
        <w:tc>
          <w:tcPr>
            <w:tcW w:w="12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c>
          <w:tcPr>
            <w:tcW w:w="50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2006</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155" w:type="dxa"/>
            <w:tcBorders/>
            <w:shd w:fill="auto" w:val="clear"/>
            <w:vAlign w:val="bottom"/>
          </w:tcPr>
          <w:p>
            <w:pPr>
              <w:pStyle w:val="TableContents"/>
              <w:spacing w:before="0" w:after="283"/>
              <w:rPr/>
            </w:pPr>
            <w:r>
              <w:rPr/>
              <w:t>  </w:t>
            </w:r>
          </w:p>
        </w:tc>
        <w:tc>
          <w:tcPr>
            <w:tcW w:w="51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r>
      <w:tr>
        <w:trPr/>
        <w:tc>
          <w:tcPr>
            <w:tcW w:w="1210" w:type="dxa"/>
            <w:tcBorders/>
            <w:shd w:fill="CCEEFF" w:val="clear"/>
          </w:tcPr>
          <w:p>
            <w:pPr>
              <w:pStyle w:val="TableContents"/>
              <w:spacing w:before="0" w:after="283"/>
              <w:rPr>
                <w:rFonts w:ascii="Times New Roman" w:hAnsi="Times New Roman"/>
                <w:sz w:val="20"/>
              </w:rPr>
            </w:pPr>
            <w:r>
              <w:rPr>
                <w:rFonts w:ascii="Times New Roman" w:hAnsi="Times New Roman"/>
                <w:sz w:val="20"/>
              </w:rPr>
              <w:t>1st Quarter</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55"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1st Quarter</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155" w:type="dxa"/>
            <w:tcBorders/>
            <w:shd w:fill="CCEEFF" w:val="clear"/>
            <w:vAlign w:val="bottom"/>
          </w:tcPr>
          <w:p>
            <w:pPr>
              <w:pStyle w:val="TableContents"/>
              <w:spacing w:before="0" w:after="283"/>
              <w:rPr/>
            </w:pPr>
            <w:r>
              <w:rPr/>
              <w:t>  </w:t>
            </w:r>
          </w:p>
        </w:tc>
        <w:tc>
          <w:tcPr>
            <w:tcW w:w="1059" w:type="dxa"/>
            <w:tcBorders/>
            <w:shd w:fill="CCEEFF" w:val="clear"/>
          </w:tcPr>
          <w:p>
            <w:pPr>
              <w:pStyle w:val="TableContents"/>
              <w:spacing w:before="0" w:after="283"/>
              <w:rPr>
                <w:rFonts w:ascii="Times New Roman" w:hAnsi="Times New Roman"/>
                <w:sz w:val="20"/>
              </w:rPr>
            </w:pPr>
            <w:r>
              <w:rPr>
                <w:rFonts w:ascii="Times New Roman" w:hAnsi="Times New Roman"/>
                <w:sz w:val="20"/>
              </w:rPr>
              <w:t>1st Quarter</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5.65</w:t>
            </w:r>
          </w:p>
        </w:tc>
      </w:tr>
      <w:tr>
        <w:trPr/>
        <w:tc>
          <w:tcPr>
            <w:tcW w:w="1210" w:type="dxa"/>
            <w:tcBorders/>
            <w:shd w:fill="auto" w:val="clear"/>
          </w:tcPr>
          <w:p>
            <w:pPr>
              <w:pStyle w:val="TableContents"/>
              <w:spacing w:before="0" w:after="283"/>
              <w:rPr>
                <w:rFonts w:ascii="Times New Roman" w:hAnsi="Times New Roman"/>
                <w:sz w:val="20"/>
              </w:rPr>
            </w:pPr>
            <w:r>
              <w:rPr>
                <w:rFonts w:ascii="Times New Roman" w:hAnsi="Times New Roman"/>
                <w:sz w:val="20"/>
              </w:rPr>
              <w:t>2nd Quarter</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55"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2nd Quarter</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55" w:type="dxa"/>
            <w:tcBorders/>
            <w:shd w:fill="auto" w:val="clear"/>
            <w:vAlign w:val="bottom"/>
          </w:tcPr>
          <w:p>
            <w:pPr>
              <w:pStyle w:val="TableContents"/>
              <w:spacing w:before="0" w:after="283"/>
              <w:rPr/>
            </w:pPr>
            <w:r>
              <w:rPr/>
              <w:t>  </w:t>
            </w:r>
          </w:p>
        </w:tc>
        <w:tc>
          <w:tcPr>
            <w:tcW w:w="2387"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(through March 10, 2006)</w:t>
            </w:r>
          </w:p>
        </w:tc>
      </w:tr>
      <w:tr>
        <w:trPr/>
        <w:tc>
          <w:tcPr>
            <w:tcW w:w="1210" w:type="dxa"/>
            <w:tcBorders/>
            <w:shd w:fill="CCEEFF" w:val="clear"/>
          </w:tcPr>
          <w:p>
            <w:pPr>
              <w:pStyle w:val="TableContents"/>
              <w:spacing w:before="0" w:after="283"/>
              <w:rPr>
                <w:rFonts w:ascii="Times New Roman" w:hAnsi="Times New Roman"/>
                <w:sz w:val="20"/>
              </w:rPr>
            </w:pPr>
            <w:r>
              <w:rPr>
                <w:rFonts w:ascii="Times New Roman" w:hAnsi="Times New Roman"/>
                <w:sz w:val="20"/>
              </w:rPr>
              <w:t>3rd Quarter</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55"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3rd Quarter</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w:t>
            </w:r>
          </w:p>
        </w:tc>
        <w:tc>
          <w:tcPr>
            <w:tcW w:w="155"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r>
      <w:tr>
        <w:trPr/>
        <w:tc>
          <w:tcPr>
            <w:tcW w:w="1210" w:type="dxa"/>
            <w:tcBorders/>
            <w:shd w:fill="auto" w:val="clear"/>
          </w:tcPr>
          <w:p>
            <w:pPr>
              <w:pStyle w:val="TableContents"/>
              <w:spacing w:before="0" w:after="283"/>
              <w:rPr>
                <w:rFonts w:ascii="Times New Roman" w:hAnsi="Times New Roman"/>
                <w:sz w:val="20"/>
              </w:rPr>
            </w:pPr>
            <w:r>
              <w:rPr>
                <w:rFonts w:ascii="Times New Roman" w:hAnsi="Times New Roman"/>
                <w:sz w:val="20"/>
              </w:rPr>
              <w:t>4th Quarter</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155"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4th Quarter</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155"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approximate number of beneficial holders of our common stock as of March 1, 2006 was 1,235.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We paid no dividends during the fiscal years ended December 31, 2005 or 2004. We do not expect to pay dividends in the foreseeable future. We are party to various loan documents, which prevent us from paying any 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Information relating to securities authorized for issuance under our equity compensation plans is set forth in Item 12 Security Ownership of Certain Beneficial Owners and Management and Related Stockholder Matters below in this Annual Report on Form 10-K. </w:t>
      </w:r>
    </w:p>
    <w:p>
      <w:pPr>
        <w:pStyle w:val="TextBody"/>
        <w:spacing w:before="0" w:after="0"/>
        <w:rPr/>
      </w:pPr>
      <w:r>
        <w:rPr/>
        <w:t> </w:t>
      </w:r>
    </w:p>
    <w:p>
      <w:pPr>
        <w:pStyle w:val="TextBody"/>
        <w:spacing w:before="0" w:after="0"/>
        <w:rPr>
          <w:rFonts w:ascii="Times New Roman" w:hAnsi="Times New Roman"/>
          <w:sz w:val="20"/>
        </w:rPr>
      </w:pPr>
      <w:bookmarkStart w:id="10" w:name="toc87693_8"/>
      <w:bookmarkEnd w:id="10"/>
      <w:r>
        <w:rPr>
          <w:rFonts w:ascii="Times New Roman" w:hAnsi="Times New Roman"/>
          <w:b/>
          <w:sz w:val="20"/>
        </w:rPr>
        <w:t>Item 6.</w:t>
      </w:r>
      <w:r>
        <w:rPr>
          <w:rFonts w:ascii="Times New Roman" w:hAnsi="Times New Roman"/>
          <w:sz w:val="20"/>
        </w:rPr>
        <w:t>    </w:t>
      </w:r>
      <w:r>
        <w:rPr>
          <w:rFonts w:ascii="Times New Roman" w:hAnsi="Times New Roman"/>
          <w:b/>
          <w:i/>
          <w:sz w:val="20"/>
        </w:rPr>
        <w:t xml:space="preserve">Selected Consolidated Financial Data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our selected financial information. The financial information for the years ended December 31, 2005, 2004 and 2003 has been derived from our audited consolidated financial statements included elsewhere in this Annual Report. The financial information for the year ended December 31, 2002 and as of December 31, 2001 has been derived from our audited consolidated financial statements not included in this Annual Report. This historical selected financial information may not be indicative of our future performance and should be read in conjunction with the information contained in Managements Discussion and Analysis of Financial Condition and Results of Operations and the consolidated financial statements and the related notes included elsewhere in this Annual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920"/>
        <w:gridCol w:w="287"/>
        <w:gridCol w:w="125"/>
        <w:gridCol w:w="596"/>
        <w:gridCol w:w="80"/>
        <w:gridCol w:w="247"/>
        <w:gridCol w:w="125"/>
        <w:gridCol w:w="596"/>
        <w:gridCol w:w="80"/>
        <w:gridCol w:w="247"/>
        <w:gridCol w:w="125"/>
        <w:gridCol w:w="596"/>
        <w:gridCol w:w="79"/>
        <w:gridCol w:w="247"/>
        <w:gridCol w:w="125"/>
        <w:gridCol w:w="596"/>
        <w:gridCol w:w="80"/>
        <w:gridCol w:w="247"/>
        <w:gridCol w:w="125"/>
        <w:gridCol w:w="596"/>
        <w:gridCol w:w="86"/>
      </w:tblGrid>
      <w:tr>
        <w:trPr/>
        <w:tc>
          <w:tcPr>
            <w:tcW w:w="492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912" w:type="dxa"/>
            <w:gridSpan w:val="1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912"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amount)</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Statement of operations information: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81,521</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69,366</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68,159</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78,575</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90,809</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17,000</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13,011</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15,590</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18,347</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1,254</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1,245</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1,479</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1,364</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2,209</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3,048</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20" w:type="dxa"/>
            <w:tcBorders/>
            <w:shd w:fill="CCEEFF" w:val="clear"/>
          </w:tcPr>
          <w:p>
            <w:pPr>
              <w:pStyle w:val="TableContents"/>
              <w:spacing w:before="0" w:after="283"/>
              <w:rPr/>
            </w:pPr>
            <w:r>
              <w:rPr>
                <w:rFonts w:ascii="Times New Roman" w:hAnsi="Times New Roman"/>
                <w:sz w:val="20"/>
              </w:rPr>
              <w:t>Basic net loss per share</w:t>
            </w:r>
            <w:r>
              <w:rPr>
                <w:rFonts w:ascii="Times New Roman" w:hAnsi="Times New Roman"/>
                <w:color w:val="000000"/>
                <w:position w:val="5"/>
                <w:sz w:val="11"/>
                <w:sz w:val="14"/>
              </w:rPr>
              <w:t>4</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outstanding (in thousands)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9,852</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9,582</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7,899</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Supplemental financial data:</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pPr>
            <w:r>
              <w:rPr>
                <w:rFonts w:ascii="Times New Roman" w:hAnsi="Times New Roman"/>
                <w:sz w:val="20"/>
              </w:rPr>
              <w:t>Ratio of earnings to fixed charges</w:t>
            </w:r>
            <w:r>
              <w:rPr>
                <w:rFonts w:ascii="Times New Roman" w:hAnsi="Times New Roman"/>
                <w:color w:val="000000"/>
                <w:position w:val="5"/>
                <w:sz w:val="11"/>
                <w:sz w:val="14"/>
              </w:rPr>
              <w:t>5</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pPr>
            <w:r>
              <w:rPr>
                <w:rFonts w:ascii="Times New Roman" w:hAnsi="Times New Roman"/>
                <w:sz w:val="20"/>
              </w:rPr>
              <w:t>Deficiency</w:t>
            </w:r>
            <w:r>
              <w:rPr>
                <w:rFonts w:ascii="Times New Roman" w:hAnsi="Times New Roman"/>
                <w:color w:val="000000"/>
                <w:position w:val="5"/>
                <w:sz w:val="11"/>
                <w:sz w:val="14"/>
              </w:rPr>
              <w:t>5</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2,586</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1,882</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3,701</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4,382</w:t>
            </w:r>
          </w:p>
        </w:tc>
        <w:tc>
          <w:tcPr>
            <w:tcW w:w="86" w:type="dxa"/>
            <w:tcBorders/>
            <w:shd w:fill="CCEEFF" w:val="clear"/>
            <w:vAlign w:val="bottom"/>
          </w:tcPr>
          <w:p>
            <w:pPr>
              <w:pStyle w:val="TableContents"/>
              <w:spacing w:before="0" w:after="283"/>
              <w:rPr/>
            </w:pPr>
            <w:r>
              <w:rPr/>
              <w:t> </w:t>
            </w:r>
          </w:p>
        </w:tc>
      </w:tr>
      <w:tr>
        <w:trPr>
          <w:trHeight w:val="240" w:hRule="atLeast"/>
        </w:trPr>
        <w:tc>
          <w:tcPr>
            <w:tcW w:w="4920" w:type="dxa"/>
            <w:tcBorders/>
            <w:shd w:fill="auto" w:val="clear"/>
            <w:vAlign w:val="center"/>
          </w:tcPr>
          <w:p>
            <w:pPr>
              <w:pStyle w:val="TableContents"/>
              <w:spacing w:before="0" w:after="283"/>
              <w:rPr>
                <w:sz w:val="4"/>
                <w:szCs w:val="4"/>
              </w:rPr>
            </w:pPr>
            <w:r>
              <w:rPr>
                <w:sz w:val="4"/>
                <w:szCs w:val="4"/>
              </w:rPr>
            </w:r>
          </w:p>
        </w:tc>
        <w:tc>
          <w:tcPr>
            <w:tcW w:w="5285" w:type="dxa"/>
            <w:gridSpan w:val="20"/>
            <w:tcBorders/>
            <w:shd w:fill="auto" w:val="clear"/>
            <w:vAlign w:val="center"/>
          </w:tcPr>
          <w:p>
            <w:pPr>
              <w:pStyle w:val="TableContents"/>
              <w:spacing w:before="0" w:after="283"/>
              <w:rPr>
                <w:sz w:val="4"/>
                <w:szCs w:val="4"/>
              </w:rPr>
            </w:pPr>
            <w:r>
              <w:rPr>
                <w:sz w:val="4"/>
                <w:szCs w:val="4"/>
              </w:rPr>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912" w:type="dxa"/>
            <w:gridSpan w:val="1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At December 31,</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92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912"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sheet information: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Working capital</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3,602</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1,910</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3,709</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5,024</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7,202</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41,154</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45,514</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52,169</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rFonts w:ascii="Times New Roman" w:hAnsi="Times New Roman"/>
                <w:sz w:val="20"/>
              </w:rPr>
            </w:pPr>
            <w:r>
              <w:rPr>
                <w:rFonts w:ascii="Times New Roman" w:hAnsi="Times New Roman"/>
                <w:sz w:val="20"/>
              </w:rPr>
              <w:t>Short-term debt</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4,188</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2,826</w:t>
            </w:r>
          </w:p>
        </w:tc>
        <w:tc>
          <w:tcPr>
            <w:tcW w:w="86" w:type="dxa"/>
            <w:tcBorders/>
            <w:shd w:fill="auto" w:val="clear"/>
            <w:vAlign w:val="bottom"/>
          </w:tcPr>
          <w:p>
            <w:pPr>
              <w:pStyle w:val="TableContents"/>
              <w:spacing w:before="0" w:after="283"/>
              <w:rPr/>
            </w:pPr>
            <w:r>
              <w:rPr/>
              <w:t> </w:t>
            </w:r>
          </w:p>
        </w:tc>
      </w:tr>
      <w:tr>
        <w:trPr/>
        <w:tc>
          <w:tcPr>
            <w:tcW w:w="4920"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12,847</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11,894</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13,388</w:t>
            </w:r>
          </w:p>
        </w:tc>
        <w:tc>
          <w:tcPr>
            <w:tcW w:w="79"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16,202</w:t>
            </w:r>
          </w:p>
        </w:tc>
        <w:tc>
          <w:tcPr>
            <w:tcW w:w="8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18,588</w:t>
            </w:r>
          </w:p>
        </w:tc>
        <w:tc>
          <w:tcPr>
            <w:tcW w:w="86" w:type="dxa"/>
            <w:tcBorders/>
            <w:shd w:fill="CCEEFF" w:val="clear"/>
            <w:vAlign w:val="bottom"/>
          </w:tcPr>
          <w:p>
            <w:pPr>
              <w:pStyle w:val="TableContents"/>
              <w:spacing w:before="0" w:after="283"/>
              <w:rPr/>
            </w:pPr>
            <w:r>
              <w:rPr/>
              <w:t> </w:t>
            </w:r>
          </w:p>
        </w:tc>
      </w:tr>
      <w:tr>
        <w:trPr/>
        <w:tc>
          <w:tcPr>
            <w:tcW w:w="4920" w:type="dxa"/>
            <w:tcBorders/>
            <w:shd w:fill="auto" w:val="clear"/>
          </w:tcPr>
          <w:p>
            <w:pPr>
              <w:pStyle w:val="TableContents"/>
              <w:spacing w:before="0" w:after="283"/>
              <w:rPr/>
            </w:pPr>
            <w:r>
              <w:rPr>
                <w:rFonts w:ascii="Times New Roman" w:hAnsi="Times New Roman"/>
                <w:sz w:val="20"/>
              </w:rPr>
              <w:t>Stockholders equity</w:t>
            </w:r>
            <w:r>
              <w:rPr>
                <w:rFonts w:ascii="Times New Roman" w:hAnsi="Times New Roman"/>
                <w:color w:val="000000"/>
                <w:position w:val="5"/>
                <w:sz w:val="11"/>
                <w:sz w:val="14"/>
              </w:rPr>
              <w:t>3</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6,783</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7,249</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8,030</w:t>
            </w:r>
          </w:p>
        </w:tc>
        <w:tc>
          <w:tcPr>
            <w:tcW w:w="79"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8,706</w:t>
            </w:r>
          </w:p>
        </w:tc>
        <w:tc>
          <w:tcPr>
            <w:tcW w:w="8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9,299</w:t>
            </w:r>
          </w:p>
        </w:tc>
        <w:tc>
          <w:tcPr>
            <w:tcW w:w="86"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Effective January 1, 2002, we adopted Statement of Financial Accounting Standards (SFAS) No. 142, Goodwill and Other Intangible Assets. As a result, we ceased amortization of goodwill and indefinite life intangibles, effective January 1, 2002, that totaled $476,000 in fiscal year 2001 and $217,000 in 2000. </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During December 2001, we received approximately $4.4 million of gross proceeds from equity transactions. </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Effective January 1, 2001, we adopted Statement of Financial Accounting Standards No. 133, Accounting for Derivative Instruments and Hedging Activities, as amended. </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Basic and diluted earnings (loss) per common share are calculated by dividing income (loss) by the weighted average number of common shares outstanding during the period. </w:t>
            </w:r>
          </w:p>
        </w:tc>
      </w:tr>
    </w:tbl>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For purposes of determining the ratio of earnings to fixed charges, earnings are defined as income (loss) from continuing operations before income taxes less minority interest plus fixed charges. Fixed charges consist of interest expense on all indebtedness and that portion of operating lease rental expense that is representative of the interest factor. Deficiency is the amount by which fixed charges exceeded earnings.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11" w:name="toc87693_9"/>
      <w:bookmarkEnd w:id="11"/>
      <w:r>
        <w:rPr>
          <w:rFonts w:ascii="Times New Roman" w:hAnsi="Times New Roman"/>
          <w:b/>
          <w:sz w:val="20"/>
        </w:rPr>
        <w:t>Item 7.</w:t>
      </w:r>
      <w:r>
        <w:rPr>
          <w:rFonts w:ascii="Times New Roman" w:hAnsi="Times New Roman"/>
          <w:sz w:val="20"/>
        </w:rPr>
        <w:t>    </w:t>
      </w:r>
      <w:r>
        <w:rPr>
          <w:rFonts w:ascii="Times New Roman" w:hAnsi="Times New Roman"/>
          <w:b/>
          <w:i/>
          <w:sz w:val="20"/>
        </w:rPr>
        <w:t xml:space="preserve">Managements Discussion and Analysis of Financial Condition and Results of Operations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Operations Overview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operate as a provider of air-pollution control products and services marketed under the Kirk &amp; Blum, CECO Filters, CECOaire, Busch International, CECO Abatement Systems, kbd/Technic K&amp;B Duct and H.M. White trade names. Our business is focused on engineering, designing, and building equipment, and installing systems that capture, clean and destroy airborne contaminants from industrial facilities as well as equipment that controls emissions from such facilities. We have a diversified base of more than 1,500 active customers among a myriad of industries including aerospace, brick, cement, ceramics, metalworking, ethanol, printing, paper, food, foundries, metal plating, woodworking, chemicals, tobacco, glass, automotive, and pharmaceuticals. Therefore, our business is not concentrated in a single industry or customer.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discuss four principal product lines, our operating units function as internal customers and suppliers of each others products and services and as such, products and services are intermingled in one major project. As a result, it is not reasonably possible to segregate revenues to external customers, operating profits or identifiable assets by product line.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expanded our business by adding CECO Abatement Systems, CECOaire, K&amp;B Duct, CECO Filters, India and H.M. White, while divesting of the operating assets of Air Purator Corporation in 2002 and Busch Martec in 2002 (neither were strategically important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Much of our business is driven by various regulatory standards and guidelines governing air quality in and outside factories. Favorable conditions in the economy generally lead to plant expansions and construction of new industrial sites. Economic expansion provides us with the potential to increase and accelerate levels of growth. However, as we have seen in past years, in a weak economy customers tend to lengthen the time between inquiry and order or may defer purchases.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made significant strides in reducing our leverage through cash generated by operations and asset sales, which has reduced our debt carrying costs. We ended 2005 with senior debt of $6.8 million at December 31, 2005 compared to $8.7 million at December 31, 2004 and $10.0 million at December 31,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consolidated statements of operations for the years ended December 31, 2005, 2004 and 2003 reflect our operations consolidated with the operations of our subsidiaries.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2005 vs. 2004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978"/>
        <w:gridCol w:w="498"/>
        <w:gridCol w:w="168"/>
        <w:gridCol w:w="512"/>
        <w:gridCol w:w="185"/>
        <w:gridCol w:w="444"/>
        <w:gridCol w:w="168"/>
        <w:gridCol w:w="512"/>
        <w:gridCol w:w="188"/>
      </w:tblGrid>
      <w:tr>
        <w:trPr/>
        <w:tc>
          <w:tcPr>
            <w:tcW w:w="497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19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w:t>
            </w:r>
          </w:p>
          <w:p>
            <w:pPr>
              <w:pStyle w:val="TableContents"/>
              <w:spacing w:before="0" w:after="0"/>
              <w:jc w:val="center"/>
              <w:rPr>
                <w:rFonts w:ascii="Times New Roman" w:hAnsi="Times New Roman"/>
                <w:b/>
                <w:sz w:val="14"/>
              </w:rPr>
            </w:pPr>
            <w:r>
              <w:rPr>
                <w:rFonts w:ascii="Times New Roman" w:hAnsi="Times New Roman"/>
                <w:b/>
                <w:sz w:val="14"/>
              </w:rPr>
              <w:t>ended December 31,</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498"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w:t>
            </w:r>
          </w:p>
        </w:tc>
        <w:tc>
          <w:tcPr>
            <w:tcW w:w="18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188"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512"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512"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978" w:type="dxa"/>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978" w:type="dxa"/>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Consolidated sales in 2005 were $81.5 million, an increase of $12.2 million or 17.5% compared to 2004. This increase came primarily from a large increase in equipment sales as well as an increase in contracting revenues and sales of component parts.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in 2005 were $89.6 million compared with $82.8 million in 2004. The increase in bookings was due to a continuing strengthening in the economy throughout the year including several large orders booked in 2005. We continue to experience an increased level of customer inquiry and quoting activities. This improvement in the economy could result in increased air-quality related capital spending.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profit excluding depreciation and amortization increased by 29.8% to $17.0 million in 2005 compared with $13.1 million in 2004. Gross profit, as a percentage of sales, was 20.9% in 2005 compared to 18.9% in 2004 The increase in the gross profit percentage of 2.0% was due to increased efficiencies resulting from the increase in sales volume without a corresponding increase in operating expenses. We also benefited from better overall margins in our product mix and backlog as jobs closed out with higher than expected profits.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increased by $1.6 million to $12.3 million in 2005. Selling and administrative expenses, as a percentage of revenues for 2005 and 2004 were 15.1% and 15.4% respectively. This increase was due to increases in incentive compensation related to improving financial performance and order bookings, increased legal and professional fees due to various SEC filings and registrations as well as costs associated with refinancing our long-term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remained constant at $1.2 million for both years. This was due primarily to reduced capital expenditures during periods of lower liquidity.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was $3.5 million in 2005 and $1.2 million in 2004. This 198% increase in operating income resulted from the various factors previously mentioned.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expense for the year ended December 31, 2005 was $900,000 compared with other income of $200,000 during the same period in 2004. The expense in 2005 includes a non-cash charge of $806,000 for the fair market value adjustment of detachable stock warrants. This market value adjustment and any additional market value adjustments in 2006 will be reversed and recognized as income in 2006 when the warrants are exercised or expire. Other expense in 2005 also includes a non-cash charge of $173,000 related to the impairment of fixed assets which had been retained from the discontinued operation of U.S. Facilities Management. These charges were offset by the deferred gain recognized from the sale and leaseback of our Conshohocken, Pennsylvania property which is being recognized over the ensuing three-year lease back period. The other income for the year ended December 31, 2004 was primarily a dividend of $162,000 from Factory Power which was a partnership with an adjacent manufacturing company to provide power to some of the other companies in the industrial park. The partnership no longer provides any services to the area and will be liquidated.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to $2.4 million in 2005 compared to $2.6 million for the same period of 2004. This was due to lower debt outstanding during the year offset by increasing interest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provision was $647,000 during 2005 compared with a tax benefit of $248,000 for the same period in 2004. The effective income tax rate for 2005 was 305% compared with 21.1% for the same period of 2004. The effective tax rate during 2005 was unfavorably affected by certain permanent differences including the non-deductible, non-cash charge for warrants of $806,000 and non-deductible interest expense of $447,000 relating to amortization of the subordinated debt discount. Due to state &amp; federal loss-carryforwards, no income taxes were paid in 2005 or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was $435,000 in 2005 and $928,000 in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2004 vs. 2003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4978"/>
        <w:gridCol w:w="498"/>
        <w:gridCol w:w="168"/>
        <w:gridCol w:w="512"/>
        <w:gridCol w:w="185"/>
        <w:gridCol w:w="444"/>
        <w:gridCol w:w="168"/>
        <w:gridCol w:w="512"/>
        <w:gridCol w:w="188"/>
      </w:tblGrid>
      <w:tr>
        <w:trPr/>
        <w:tc>
          <w:tcPr>
            <w:tcW w:w="497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19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w:t>
              <w:br/>
              <w:t>ended December 31,</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498"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2003    </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18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55.2</w:t>
            </w:r>
          </w:p>
        </w:tc>
        <w:tc>
          <w:tcPr>
            <w:tcW w:w="188"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512"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HorizontalLine"/>
              <w:pBdr>
                <w:bottom w:val="single" w:sz="6" w:space="0" w:color="000000"/>
              </w:pBdr>
              <w:spacing w:before="0" w:after="283"/>
              <w:rPr/>
            </w:pPr>
            <w:r>
              <w:rPr/>
            </w:r>
          </w:p>
        </w:tc>
        <w:tc>
          <w:tcPr>
            <w:tcW w:w="512"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 and amortization)</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978" w:type="dxa"/>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978" w:type="dxa"/>
            <w:tcBorders/>
            <w:shd w:fill="auto" w:val="clear"/>
            <w:vAlign w:val="center"/>
          </w:tcPr>
          <w:p>
            <w:pPr>
              <w:pStyle w:val="TableContents"/>
              <w:spacing w:before="0" w:after="283"/>
              <w:rPr>
                <w:sz w:val="4"/>
                <w:szCs w:val="4"/>
              </w:rPr>
            </w:pPr>
            <w:r>
              <w:rPr>
                <w:sz w:val="4"/>
                <w:szCs w:val="4"/>
              </w:rPr>
            </w:r>
          </w:p>
        </w:tc>
        <w:tc>
          <w:tcPr>
            <w:tcW w:w="1363" w:type="dxa"/>
            <w:gridSpan w:val="4"/>
            <w:tcBorders/>
            <w:shd w:fill="auto" w:val="clear"/>
            <w:vAlign w:val="center"/>
          </w:tcPr>
          <w:p>
            <w:pPr>
              <w:pStyle w:val="TableContents"/>
              <w:spacing w:before="0" w:after="283"/>
              <w:rPr>
                <w:sz w:val="4"/>
                <w:szCs w:val="4"/>
              </w:rPr>
            </w:pPr>
            <w:r>
              <w:rPr>
                <w:sz w:val="4"/>
                <w:szCs w:val="4"/>
              </w:rPr>
            </w:r>
          </w:p>
        </w:tc>
        <w:tc>
          <w:tcPr>
            <w:tcW w:w="1312" w:type="dxa"/>
            <w:gridSpan w:val="4"/>
            <w:tcBorders/>
            <w:shd w:fill="auto" w:val="clear"/>
            <w:vAlign w:val="center"/>
          </w:tcPr>
          <w:p>
            <w:pPr>
              <w:pStyle w:val="TableContents"/>
              <w:spacing w:before="0" w:after="283"/>
              <w:rPr>
                <w:sz w:val="4"/>
                <w:szCs w:val="4"/>
              </w:rPr>
            </w:pPr>
            <w:r>
              <w:rPr>
                <w:sz w:val="4"/>
                <w:szCs w:val="4"/>
              </w:rPr>
            </w:r>
          </w:p>
        </w:tc>
      </w:tr>
      <w:tr>
        <w:trPr/>
        <w:tc>
          <w:tcPr>
            <w:tcW w:w="497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49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8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88"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9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sales were $69.4 million, an increase of $1.2 million compared to 2003. This increase came primarily from our small order business which increased to $26.7 million compared to $24.8 million in 2003. These orders came from our large base of customers that are generally repeat buyers for replacement products, for service work or for custom fabrication work. In 2004, the individual larger contracts decreased slightly.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in 2004 were $82.8 million compared with $61.0 million in 2003. The large increase in bookings was due to the strengthening in the economy in the second half of the year coupled with several large orders booked in 2004, (including work for a steel production facility, an ethanol processing facility and an aluminum recycling facility). We have experienced an increased level of customer inquiry and quoting activities in the later half of 2004 relative to the first half of 2004. This may be partially attributable to a perceived improvement in the economy by our customers, which could result in increased air-quality related capital spending. This favorable trend could lead to an increase in our future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profit excluding depreciation and amortization was $13.1 million in 2004 compared with $13.0 million in 2003. Gross profit, as a percentage of sales, was 18.9% in 2004 compared to 19.1% in 2003. The slight decrease was due to our product mix and lower margins realized in our contracting operations coupled with increasing material costs.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increased by $0.3 million to $10.7 million in 2004. Selling and administrative expenses, as a percentage of revenues for 2004 and 2003 were 15.3%. The cost reduction initiatives we implemented in 2002 and 2003 have helped to stabilize these costs at the current volume level.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remained constant at $1.2 million for both years. This was due primarily to reduced capital expenditures during periods of lower liquidity.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was $1.2 million in 2004 and $1.4 million in 2003. The decrease in operating income resulting from the higher cost of materials was offset by lower factory overhead spending, which helped to mitigate the reduction in operating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for the year ended December 31, 2004 was $200,000 compared with income of $213,000 during the same period of 2003. The other income for the year ended December 31, 2004 was primarily a dividend of $162,000 from Factory Power which was a partnership with an adjacent manufacturing company to provide power to some of the other companies in the industrial park. The partnership no longer provides any services to the area and will be liquidated. Other income for the year ended December 31, 2003 is the result of the gain recognized from the sale and leaseback of our Conshohocken, Pennsylvania property. A deferred gain of $0.2 million is being recognized over the ensuing three-year leaseback period.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remained constant at $2.6 million during 2004 compared to the same period of 2003. This was due to lower debt outstanding during the year offset by higher interest rates.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Federal and state income tax benefit was $248,000 during 2004 compared with a tax benefit of $367,000 for the same period in 2003. The effective income tax rate for 2004 was 21.1% compared with 35.5% in the same period of 2003. The effective tax rate during 2004 was favorably affected by state tax benefits and exports sales and negatively affected by certain permanent differences including non-deductible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was $928,000 in 2004 and $667,000 in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2005 and December 31, 2004, cash and cash equivalents totaled $310,000 and $339,000, respectively. Generally, we do not carry significant cash and cash equivalent balances because excess amounts are used to pay down our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December 31, 2005 was $6.8 million as compared to $8.7 million at December 31, 2004, a decrease of $1.9 million due to net payments under the bank credit facilities. The cash that we used to pay down our debt came from cash generated by operating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Unused credit availability under our revolving line of credit at December 31, 2005 was $4.3 million. The previous bank facility was replaced with a new credit facility on December 29, 2005. The new credit agreement was entered into by CECO Environmental Corp., the CECO group of companies and Fifth Third Bank, an Ohio banking corporation. The new facility consists of a term loan in the amount of $3.1 million and a revolving loan of up to $13.0 million and was used to refinance existing indebtedness of the Company and for general corporate purposes. Terms of the agreement, which runs through January 31, 2007, included a three hundred basis point reduction in interest rates to two percent over prime for the revolver and two and one quarter percent over prime for the term loan. The agreement also provides for a sixty month amortization of the term debt and less restrictive loan covenants regarding the funded debt and fixed charge ratios.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$1.2 million of subordinated debt was raised from a related party with a maturity of April 30, 2005 and an interest rate of 6% per annum. In connection with the new December 29, 2005 credit facility, the maturity was extended to April 1, 2007. This debt is subordinated to the bank credit facility and the subordinated debt originally issued in December 1999. On December 30, 2004, the principal balance of the notes owed to Green Diamond was increased for the unpaid accrued interest. The principal balance for the $4.0 million subordinated note was increased by the accrued interest of $1.4 million to $5.4 million and the principal balance for the $1.2 million subordinated note was increased by $90,000 to $1.3 million. The entire principal balance of this obligation will be due upon maturity. Proceeds were used to reduce the revolving line of credit.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Overview of Cash Flows and Liquidity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292"/>
        <w:gridCol w:w="398"/>
        <w:gridCol w:w="126"/>
        <w:gridCol w:w="554"/>
        <w:gridCol w:w="80"/>
        <w:gridCol w:w="351"/>
        <w:gridCol w:w="126"/>
        <w:gridCol w:w="554"/>
        <w:gridCol w:w="80"/>
        <w:gridCol w:w="351"/>
        <w:gridCol w:w="126"/>
        <w:gridCol w:w="554"/>
        <w:gridCol w:w="82"/>
      </w:tblGrid>
      <w:tr>
        <w:trPr/>
        <w:tc>
          <w:tcPr>
            <w:tcW w:w="529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902"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year ended December 31,</w:t>
            </w:r>
          </w:p>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rPr/>
            </w:pPr>
            <w:r>
              <w:rPr/>
              <w:t> </w:t>
            </w:r>
          </w:p>
        </w:tc>
      </w:tr>
      <w:tr>
        <w:trPr/>
        <w:tc>
          <w:tcPr>
            <w:tcW w:w="529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thousands)</w:t>
            </w:r>
          </w:p>
        </w:tc>
        <w:tc>
          <w:tcPr>
            <w:tcW w:w="398"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pPr>
            <w:r>
              <w:rPr/>
              <w:t>    </w:t>
            </w:r>
            <w:r>
              <w:rPr>
                <w:rFonts w:ascii="Times New Roman" w:hAnsi="Times New Roman"/>
                <w:b/>
                <w:sz w:val="14"/>
              </w:rPr>
              <w:t>2003    </w:t>
            </w:r>
          </w:p>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rPr/>
            </w:pPr>
            <w:r>
              <w:rPr/>
              <w:t> </w:t>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cash flow</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2,586</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1,882</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82" w:type="dxa"/>
            <w:tcBorders/>
            <w:shd w:fill="CCEEFF" w:val="clear"/>
            <w:vAlign w:val="bottom"/>
          </w:tcPr>
          <w:p>
            <w:pPr>
              <w:pStyle w:val="TableContents"/>
              <w:spacing w:before="0" w:after="283"/>
              <w:rPr/>
            </w:pPr>
            <w:r>
              <w:rPr/>
              <w:t> </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of property and equipment</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92"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82" w:type="dxa"/>
            <w:tcBorders/>
            <w:shd w:fill="auto" w:val="clear"/>
            <w:vAlign w:val="bottom"/>
          </w:tcPr>
          <w:p>
            <w:pPr>
              <w:pStyle w:val="TableContents"/>
              <w:spacing w:before="0" w:after="283"/>
              <w:rPr/>
            </w:pPr>
            <w:r>
              <w:rPr/>
              <w:t> </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1,456</w:t>
            </w:r>
          </w:p>
        </w:tc>
        <w:tc>
          <w:tcPr>
            <w:tcW w:w="82" w:type="dxa"/>
            <w:tcBorders/>
            <w:shd w:fill="CCEEFF" w:val="clear"/>
            <w:vAlign w:val="bottom"/>
          </w:tcPr>
          <w:p>
            <w:pPr>
              <w:pStyle w:val="TableContents"/>
              <w:spacing w:before="0" w:after="283"/>
              <w:rPr/>
            </w:pPr>
            <w:r>
              <w:rPr/>
              <w:t> </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common stock and detachable warrants</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82" w:type="dxa"/>
            <w:tcBorders/>
            <w:shd w:fill="CCEEFF" w:val="clear"/>
            <w:vAlign w:val="bottom"/>
          </w:tcPr>
          <w:p>
            <w:pPr>
              <w:pStyle w:val="TableContents"/>
              <w:spacing w:before="0" w:after="283"/>
              <w:rPr/>
            </w:pPr>
            <w:r>
              <w:rPr/>
              <w:t> </w:t>
            </w:r>
          </w:p>
        </w:tc>
      </w:tr>
      <w:tr>
        <w:trPr/>
        <w:tc>
          <w:tcPr>
            <w:tcW w:w="5292" w:type="dxa"/>
            <w:tcBorders/>
            <w:shd w:fill="auto" w:val="clear"/>
          </w:tcPr>
          <w:p>
            <w:pPr>
              <w:pStyle w:val="TableContents"/>
              <w:spacing w:before="0" w:after="283"/>
              <w:rPr>
                <w:rFonts w:ascii="Times New Roman" w:hAnsi="Times New Roman"/>
                <w:sz w:val="20"/>
              </w:rPr>
            </w:pPr>
            <w:r>
              <w:rPr>
                <w:rFonts w:ascii="Times New Roman" w:hAnsi="Times New Roman"/>
                <w:sz w:val="20"/>
              </w:rPr>
              <w:t>Repayments of borrowings, net</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(4,327</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subordinated notes</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82" w:type="dxa"/>
            <w:tcBorders/>
            <w:shd w:fill="CCEEFF" w:val="clear"/>
            <w:vAlign w:val="bottom"/>
          </w:tcPr>
          <w:p>
            <w:pPr>
              <w:pStyle w:val="TableContents"/>
              <w:spacing w:before="0" w:after="283"/>
              <w:rPr/>
            </w:pPr>
            <w:r>
              <w:rPr/>
              <w:t> </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(3,107</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529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w:t>
            </w:r>
          </w:p>
        </w:tc>
        <w:tc>
          <w:tcPr>
            <w:tcW w:w="3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92"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HorizontalLine"/>
              <w:pBdr>
                <w:bottom w:val="single" w:sz="18" w:space="0" w:color="000000"/>
              </w:pBdr>
              <w:spacing w:before="0" w:after="283"/>
              <w:rPr/>
            </w:pPr>
            <w:r>
              <w:rPr/>
            </w:r>
          </w:p>
        </w:tc>
        <w:tc>
          <w:tcPr>
            <w:tcW w:w="8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$2.6 million was generated from operating activities in 2005. The increase in cash provided was due primarily to improved operating performance which is reflected in our net loss. Operating income was reduced by a non-cash charge of $806,000 for the fair market value adjustment of detachable stock warrants, non-cash interest expense of $357,000 and non-cash income tax expense of $423,000. We created additional cash from a decrease in accounts receivable of $904,000 resulting from improved collections. Cash was also provided by an increase in billings in excess of costs and estimated earnings of $296,000. The working capital accounts that used cash were an inventory increase of $292,000, an increase in costs and estimated earnings in excess of billings on uncompleted contracts of $500,000 and a decrease accounts payable and accrued expenses of $158,000. Our net investment in working capital (excluding cash and cash equivalents and current portion of debt) at December 31, 2005 was $4.9 million as compared to $5.9 million at December 31, 2004. Looking forward, we will continue to manage our net investment in working capital. We believe that our working capital needs will tend to change at a lower rate than the change in sales due to the acceleration of progress billings and collections of such on major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2004, $1.9 million was generated from operating activities. Cash provided was impacted by our net loss adjusted for non-cash items and increasing working capital demands from increasing sales. We used additional cash due to an increase in accounts receivable of $2.7 million that was due to increasing sales in the fourth quarter. The other working capital accounts that used cash were inventory and costs and estimated earnings in excess of billings on uncompleted contracts. An increase in accounts payable and accrued expenses resulting from increased purchases on increasing sales volume provided cash of $2.8 million. Cash was also provided by increases in billings in excess of costs and estimated earnings and an increase in other liabilities. Our net investment in working capital (excluding cash and cash equivalents and current portion of debt) at December 31, 2004 was $5.9 million as compared to $5.7 million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$661,000 for 2005 compared with $472,000 for the same period in 2004. We are managing our capital expenditures in light of the current level of sales. Should sales increase in 2006, we anticipate increased capital expenditure spending. Additional capital expenditures may be incurred related to the replacement facilities subject to the successful completion of the sale of our Cincinnati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used cash of $1.9 million during 2005 compared with cash used of $1.2 million during the same period of 2004. Current year financing activities included net borrowings of $866,000 on our revolving line of credit and payments of $1.1 million on our term loan.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has increased from $20.7 million in 2004 to $28.9 million in 2005, and the Company believes that the amount available on its credit facility, together with cash flows from operations, will be sufficient to meet its short-term needs for liquidity over the next twelve months. Additionally, in the longer term, we have real estate with market values significantly in excess of debt which may be sold to generate cash flow. Our cost reduction initiatives in prior years will have both short-term and long-term cash flow implications. A lower or more stable cost structure will be beneficial in future periods as revenues increase and costs do not increase proportionately. We also have access to additional financing by increasing the amount of our subordinated debt obtained through related parties.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did not pay any dividends during the years ended December 31, 2005 and 2004 and do not expect to pay any in the foreseeable future as we are party to various loan documents that prevent us from paying such dividends.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Debt Covenants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entered into the New Bank Facility on December 29, 2005. The New Bank Facility was entered into by CECO Environmental Corp., the CECO group of companies and Fifth Third Bank, an Ohio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banking corporation. The New Bank Facility consists of a term loan in the amount of $3.1 million and a revolving loan of up to $13.0 million. The proceeds were used to refinance existing indebtedness of the Company and will be used for general corporate purposes. Terms of New Bank Facility, which terminates January 31, 2007, includes a three hundred basis point reduction in interest rates from the prior Bank Facility, and longer amortization of the term debt and less restrictive loan covenants than the prior Bank Facility. The new financial covenants require compliance including at December 31, 2005 and each quarter through December 31, 2006: maximum leverage to Adjusted EBITDA of 3.2 to 1 and minimum fixed charge coverage ratio of 1.1 to 1. In the future, if we cannot comply with the terms of the New Bank Facility agreements it will be necessary for us obtain a waiver or renegotiate our loan covenants, and there can be no assurance that such negotiations would be successful. In the event that we are not successful in obtaining a waiver or an amendment, we would be declared in default, which would cause all amounts owed to be immediately due and payable.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Employee Benefit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the assumptions used to value other postretirement obligations, life insurance benefits and retiree healthcare benefits, in the fourth quarter of 2005, cash payments for these benefits are expected to be in the range of $310,000$550,000 in each of the next 5 years. Based on current assumptions, estimated contributions of $483,000 may be required in 2006 for the pension plan and $69,000 for the retiree healthcare plan.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the long-term.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Contractual Obligations and Other Commercial Commitments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lists our contractual cash obligations as of December 31, 2005 (in thousands of dollars).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49"/>
        <w:gridCol w:w="368"/>
        <w:gridCol w:w="125"/>
        <w:gridCol w:w="593"/>
        <w:gridCol w:w="368"/>
        <w:gridCol w:w="125"/>
        <w:gridCol w:w="527"/>
        <w:gridCol w:w="368"/>
        <w:gridCol w:w="125"/>
        <w:gridCol w:w="593"/>
        <w:gridCol w:w="368"/>
        <w:gridCol w:w="125"/>
        <w:gridCol w:w="527"/>
        <w:gridCol w:w="368"/>
        <w:gridCol w:w="130"/>
        <w:gridCol w:w="546"/>
      </w:tblGrid>
      <w:tr>
        <w:trPr/>
        <w:tc>
          <w:tcPr>
            <w:tcW w:w="494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494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71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6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Less than</w:t>
              <w:br/>
              <w:t>1 year</w:t>
            </w:r>
          </w:p>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71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w:t>
            </w:r>
          </w:p>
          <w:p>
            <w:pPr>
              <w:pStyle w:val="TableContents"/>
              <w:spacing w:before="0" w:after="0"/>
              <w:jc w:val="center"/>
              <w:rPr>
                <w:rFonts w:ascii="Times New Roman" w:hAnsi="Times New Roman"/>
                <w:b/>
                <w:sz w:val="14"/>
              </w:rPr>
            </w:pPr>
            <w:r>
              <w:rPr>
                <w:rFonts w:ascii="Times New Roman" w:hAnsi="Times New Roman"/>
                <w:b/>
                <w:sz w:val="14"/>
              </w:rPr>
              <w:t>2-3</w:t>
            </w:r>
          </w:p>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6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w:t>
              <w:br/>
              <w:t>4-5</w:t>
            </w:r>
          </w:p>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67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More than</w:t>
              <w:br/>
              <w:t>5 years</w:t>
            </w:r>
          </w:p>
          <w:p>
            <w:pPr>
              <w:pStyle w:val="HorizontalLine"/>
              <w:pBdr>
                <w:bottom w:val="single" w:sz="6" w:space="0" w:color="000000"/>
              </w:pBdr>
              <w:spacing w:before="0" w:after="283"/>
              <w:rPr/>
            </w:pPr>
            <w:r>
              <w:rPr/>
            </w:r>
          </w:p>
        </w:tc>
      </w:tr>
      <w:tr>
        <w:trPr/>
        <w:tc>
          <w:tcPr>
            <w:tcW w:w="4949"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obligations (a)</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6,782</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949"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interest payments</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613</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949"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pension funding</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4,803</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483</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3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r>
      <w:tr>
        <w:trPr/>
        <w:tc>
          <w:tcPr>
            <w:tcW w:w="4949"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(b)</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7,690</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6,690</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949"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interest payments on subordinated debt</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2,177</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94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lease obligations (c)</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1,840</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w:t>
            </w:r>
          </w:p>
        </w:tc>
        <w:tc>
          <w:tcPr>
            <w:tcW w:w="3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r>
      <w:tr>
        <w:trPr/>
        <w:tc>
          <w:tcPr>
            <w:tcW w:w="4949"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 obligations (d)</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4,951</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4,951</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94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27" w:type="dxa"/>
            <w:tcBorders/>
            <w:shd w:fill="auto" w:val="clear"/>
            <w:vAlign w:val="bottom"/>
          </w:tcPr>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27" w:type="dxa"/>
            <w:tcBorders/>
            <w:shd w:fill="auto" w:val="clear"/>
            <w:vAlign w:val="bottom"/>
          </w:tcPr>
          <w:p>
            <w:pPr>
              <w:pStyle w:val="HorizontalLine"/>
              <w:pBdr>
                <w:bottom w:val="single" w:sz="6"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000000"/>
              </w:pBdr>
              <w:spacing w:before="0" w:after="283"/>
              <w:rPr/>
            </w:pPr>
            <w:r>
              <w:rPr/>
            </w:r>
          </w:p>
        </w:tc>
        <w:tc>
          <w:tcPr>
            <w:tcW w:w="546" w:type="dxa"/>
            <w:tcBorders/>
            <w:shd w:fill="auto" w:val="clear"/>
            <w:vAlign w:val="bottom"/>
          </w:tcPr>
          <w:p>
            <w:pPr>
              <w:pStyle w:val="HorizontalLine"/>
              <w:pBdr>
                <w:bottom w:val="single" w:sz="6" w:space="0" w:color="000000"/>
              </w:pBdr>
              <w:spacing w:before="0" w:after="283"/>
              <w:rPr/>
            </w:pPr>
            <w:r>
              <w:rPr/>
            </w:r>
          </w:p>
        </w:tc>
      </w:tr>
      <w:tr>
        <w:trPr/>
        <w:tc>
          <w:tcPr>
            <w:tcW w:w="4949" w:type="dxa"/>
            <w:tcBorders/>
            <w:shd w:fill="CCEEFF" w:val="clear"/>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28,792</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9,318</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15,545</w:t>
            </w:r>
          </w:p>
        </w:tc>
        <w:tc>
          <w:tcPr>
            <w:tcW w:w="3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w:t>
            </w:r>
          </w:p>
        </w:tc>
        <w:tc>
          <w:tcPr>
            <w:tcW w:w="3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2,453</w:t>
            </w:r>
          </w:p>
        </w:tc>
      </w:tr>
      <w:tr>
        <w:trPr/>
        <w:tc>
          <w:tcPr>
            <w:tcW w:w="494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27" w:type="dxa"/>
            <w:tcBorders/>
            <w:shd w:fill="auto" w:val="clear"/>
            <w:vAlign w:val="bottom"/>
          </w:tcPr>
          <w:p>
            <w:pPr>
              <w:pStyle w:val="HorizontalLine"/>
              <w:pBdr>
                <w:bottom w:val="single" w:sz="18"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27" w:type="dxa"/>
            <w:tcBorders/>
            <w:shd w:fill="auto" w:val="clear"/>
            <w:vAlign w:val="bottom"/>
          </w:tcPr>
          <w:p>
            <w:pPr>
              <w:pStyle w:val="HorizontalLine"/>
              <w:pBdr>
                <w:bottom w:val="single" w:sz="18" w:space="0" w:color="000000"/>
              </w:pBdr>
              <w:spacing w:before="0" w:after="283"/>
              <w:rPr/>
            </w:pPr>
            <w:r>
              <w:rPr/>
            </w:r>
          </w:p>
        </w:tc>
        <w:tc>
          <w:tcPr>
            <w:tcW w:w="3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18" w:space="0" w:color="000000"/>
              </w:pBdr>
              <w:spacing w:before="0" w:after="283"/>
              <w:rPr/>
            </w:pPr>
            <w:r>
              <w:rPr/>
            </w:r>
          </w:p>
        </w:tc>
        <w:tc>
          <w:tcPr>
            <w:tcW w:w="546"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described in Note 9 to the Consolidated Financial Statements.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described in Note 10 to the Consolidated Financial Statements.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Primarily as described in Note 13 to the Consolidated Financial Statements.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Primarily consists of purchase obligations for various costs associated with uncompleted sales contracts.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Estimated interest payments associated with long term debt are based on anticipated interest payments on the term debt and estimated interest payments on the line of credit are based on the projected borrowing levels throughout the term of the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payments associated with the repayment of the subordinated debt are based on the fixed rates, outstanding principal and anticipated payment dates. Interest on the subordinated debt was not previously permitted under the credit facility and therefore, prior accrued interest is assumed to be paid upon maturity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debt for purposes of this schedule. At December 31, 2004, accrued interest of $1.5 million on related party subordinated debt was capitalized as principal and the related notes were amended to reflect this increase.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Pension funding was assumed to stay at current levels based on consistent discount and long term return rates, current funding levels and no significant changes in plan design or benefits.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flow requirements will be met by utilizing cash provided from operating activities, supplemented by additional borrowing on the Companys line of credit facility to finance any short-term cash deficiency.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Critical Accounting Policies and Estimates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consolidated financial statements are prepared in conformity with accounting principles generally accepted in the United States of America.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Revenue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substantial portion of our revenue is derived from contracts, which are accounted for under the percentage of completion method of accounting measured by the percentage of contract costs incurred to date compared to estimated total contract costs to be the best available measure of progress on these contracts. This method requires a higher degree of management judgment and use of estimates than other revenue recognition methods. The judgments and estimates involved include managements ability to accurately estimate the contracts percentage of completion and the reasonableness of the estimated costs to complete, among other factors,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Contract costs include direct material, labor costs, and those indirect costs related to contract performance, such as indirect labor, supplies, and other overhead expenses. Selling and administrative expenses are charged to expense as incurred.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We provided for estimated losses on uncompleted contracts of $6,000, $12,000 and $0 at December 31, 2005, 2004 and 2003,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Inventory Costing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inventories are currently valued at the lower of cost or market, using the first-in, first-out (FIFO) method. Prior to December 31, 2004, inventories were valued at the lower of cost or market using the last-in, first-out (LIFO) inventory method for the labor content of work-in-process and finished products and substantially all inventories of steel at our Cincinnati Facility (approximately 69% of total inventories at December 31, 2003). The remaining contents in our inventory were valued using the FIFO method. Management changed its method of accounting for its LIFO inventory to the FIFO method as management believes the FIFO method is preferable because it provides a better matching of costs to revenues, provides a more meaningful presentation of the Companys financial position by reflecting recent costs in the balance sheet, and provides for a uniform costing method across the Companys operations. The LIFO method of inventory valuation for all classes of inventory approximated the FIFO value at December 31, 2003 and 2002 and therefore, prior periods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have not been restated for this accounting change. The effect of the change for the three months ended December 31, 2004 and the year ended December 31, 2004 was an increase to inventory of $108,000. The effect on net loss for the three months ended December 31, 2004 and the year ended December 31, 2004 was a reduction of $65,000. Net loss per share was reduced for the three months ended December 31, 2004 and the year ended December 31, 2004 by $.01.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Impairment of Long-Lived Assets, including Goodwill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review the carrying value of our long-lived assets held for use and assets to be disposed of periodically when events or circumstances indicate a potential impairment and the undiscounted cash flows estimated to be generated by those assets are less than the carrying value of such assets. For all assets excluding goodwill and intangible assets with indefinite lives, the carrying value of a long-lived asset is considered impaired if the sum of the undiscounted cash flows is less than the carrying value of the asset. If this occurs, an impairment charge is recorded for the amount by which the carrying value of the long-lived assets exceeds its fair value. Effective January 1, 2002, we adopted SFAS No. 142, Goodwill and Other Intangible Assets. Under this accounting standard, we no longer amortize our goodwill and intangible assets with an indefinite life and are required to complete an annual impairment test. We have determined that we have a single reporting unit, as defined in SFAS No. 142, within our Company. We completed our impairment test during 2005 as required by this accounting standard and have not recognized an impairment charge related to the adoption of this accounting standard. The impairment test requires us to forecast our future cash flows, which requires significant judgment. As of December 31, 2005, we have $9.5 million of goodwill, $.7 million of intangible assetsfinite life, $1.4 million of indefinite life intangible assets, and $8.8 million of property, plant, and equipment recorded on the consolidated balance sheets.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Income Taxes and Tax Valuation Allowances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record the estimated future tax effects of temporary differences between the tax basis of assets and liabilities and amounts reported in our balance sheets, as well as operating loss and tax credit carryforwards. We follow very specific and detailed guidelines in each tax jurisdiction regarding the recoverability of any tax assets recorded on the balance sheet and will provide necessary valuation allowances as required. We regularly review our deferred tax assets for recoverability based on historical taxable income, projected future taxable income, the expected timing of the reversals of existing temporary differences and tax planning strategies. If we continue to operate at a loss or are unable to generate sufficient future taxable income, or if there is a material change in the actual effective tax rates or time period within which the underlying temporary differences become taxable or deductible, we could be required to record a valuation allowance against all or a significant portion of our deferred tax assets resulting in a substantial increase in our effective tax rate and a material adverse impact on our operating results. Gross deferred tax assets and gross deferred tax liabilities at December 31, 2005 totaled $2.0 million and $4.7 million,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Pension and Postretirement Benefit Plan Assumptions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pension plan for certain union employees. We also sponsor a postretirement healthcare benefit plan for certain office employees retiring before January 1, 1990. Several statistical and other factors that attempt to anticipate future events are used in calculating the expense and liability related to these plans. These factors include key assumptions, such as a discount rate and expected return on plan assets. In addition, our actuarial consultants use subjective factors such as withdrawal and mortality rates to estimate these liabilities.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or postretirement healthcare benefit expenses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2005, a 25 basis point change in the discount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rate would change the projected benefit obligation by approximately $160,000, and the annual post-retirement expense by less than $13,500. Additionally, a 25 basis point change in the expected return on plan assets would change the annual post-retirement expense by approximately $10,000.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Other Significant Accounting Policies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December 31, 2005 was $28.9 million compared to $20.7 million as of December 31, 2004.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Reclassifications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prior-year amounts have been reclassified to conform to the current-year presentation.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New Accounting Standards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2005, the FASB issued SFAS No. 154, Accounting Changes and Error Correctionsa Replacement of APB Opinion No. 20 and 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is not expected to have a material effect on our Condensed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2004, the Financial Accounting Standards Board (FASB) issued FAS 123 (revised 2004)Share-Based Payments (FAS 123-R). FAS 123-R replaces FAS 123Accounting for Stock-Based Compensation, and supersedes APB 25Accounting for Stock Issued to Employees. As revised by the Securities and Exchange Commission, we will be required to adopt FAS 123-R beginning January 1, 2006. FAS 123-R requires all share-based awards to employees, and any subsequent modifications to those awards, to be recognized in the financial statements based on a fair-value-based method. The pro forma disclosures previously permitted under FAS 123 will no longer be an alternative to financial statement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FAS 123-R, we must determine the appropriate fair-value model to be used for valuing share-based payments, the amortization method for compensation cost and the transition method to be used at the date of adoption. FAS 123-R permits companies to adopt the new standard using either a modified prospective transition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method or a modified retrospective transition method. Using the modified prospective transition method, compensation expense would be recorded for all unvested awards at the beginning of the first quarter of FAS 123-R adoption based upon the values assigned to grants and modifications of stock compensation used in the proforma disclosures made in accordance with the original provisions of FAS 123. Under the modified retrospective method, companies are permitted to restate financial statements of previous periods using those proforma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evaluating the requirements of this standard. We expect that the effect on net income and earnings per share in the periods following adoption will be consistent with amounts reported in our pro forma disclosures under FAS 123 (see Note1). However, the actual effect on net income and earnings per share will vary depending on the terms and number of options ultimately granted.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10-K, the Annual Report to Shareholders or Form 8-K of CECO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10-K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changes in governmental spending and budgetary policies, governmental laws and regulations surrounding various matters such as environmental remediation, contract pricing, and international trading restrictions, customer product acceptance, and continued access to capital markets, and foreign currency risks. 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rPr>
          <w:rFonts w:ascii="Times New Roman" w:hAnsi="Times New Roman"/>
          <w:sz w:val="20"/>
        </w:rPr>
      </w:pPr>
      <w:bookmarkStart w:id="12" w:name="toc87693_10"/>
      <w:bookmarkEnd w:id="12"/>
      <w:r>
        <w:rPr>
          <w:rFonts w:ascii="Times New Roman" w:hAnsi="Times New Roman"/>
          <w:b/>
          <w:sz w:val="20"/>
        </w:rPr>
        <w:t>Item 7a.</w:t>
      </w:r>
      <w:r>
        <w:rPr>
          <w:rFonts w:ascii="Times New Roman" w:hAnsi="Times New Roman"/>
          <w:sz w:val="20"/>
        </w:rPr>
        <w:t>    </w:t>
      </w:r>
      <w:r>
        <w:rPr>
          <w:rFonts w:ascii="Times New Roman" w:hAnsi="Times New Roman"/>
          <w:b/>
          <w:i/>
          <w:sz w:val="20"/>
        </w:rPr>
        <w:t>Quantitative and Qualitative Disclosure About Market Risk</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Item 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presents information of all dollar-denominated interest rate instruments. The fair value presented below approximates the cost to settle the outstanding contract.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22"/>
        <w:gridCol w:w="294"/>
        <w:gridCol w:w="511"/>
        <w:gridCol w:w="206"/>
        <w:gridCol w:w="243"/>
        <w:gridCol w:w="511"/>
        <w:gridCol w:w="257"/>
        <w:gridCol w:w="243"/>
        <w:gridCol w:w="335"/>
        <w:gridCol w:w="206"/>
        <w:gridCol w:w="243"/>
        <w:gridCol w:w="335"/>
        <w:gridCol w:w="294"/>
        <w:gridCol w:w="335"/>
        <w:gridCol w:w="294"/>
        <w:gridCol w:w="700"/>
        <w:gridCol w:w="294"/>
        <w:gridCol w:w="510"/>
        <w:gridCol w:w="257"/>
        <w:gridCol w:w="243"/>
        <w:gridCol w:w="700"/>
        <w:gridCol w:w="272"/>
      </w:tblGrid>
      <w:tr>
        <w:trPr/>
        <w:tc>
          <w:tcPr>
            <w:tcW w:w="292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2922"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6717" w:type="dxa"/>
            <w:gridSpan w:val="19"/>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Expected Maturity Date</w:t>
            </w:r>
          </w:p>
          <w:p>
            <w:pPr>
              <w:pStyle w:val="HorizontalLine"/>
              <w:pBdr>
                <w:bottom w:val="single" w:sz="6" w:space="0" w:color="000000"/>
              </w:pBdr>
              <w:spacing w:before="0" w:after="283"/>
              <w:rPr/>
            </w:pPr>
            <w:r>
              <w:rPr/>
            </w:r>
          </w:p>
        </w:tc>
        <w:tc>
          <w:tcPr>
            <w:tcW w:w="272" w:type="dxa"/>
            <w:tcBorders/>
            <w:shd w:fill="auto" w:val="clear"/>
            <w:vAlign w:val="bottom"/>
          </w:tcPr>
          <w:p>
            <w:pPr>
              <w:pStyle w:val="TableContents"/>
              <w:spacing w:before="0" w:after="283"/>
              <w:rPr/>
            </w:pPr>
            <w:r>
              <w:rPr/>
              <w:t> </w:t>
            </w:r>
          </w:p>
        </w:tc>
      </w:tr>
      <w:tr>
        <w:trPr/>
        <w:tc>
          <w:tcPr>
            <w:tcW w:w="2922"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2006</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2007</w:t>
            </w:r>
          </w:p>
          <w:p>
            <w:pPr>
              <w:pStyle w:val="HorizontalLine"/>
              <w:pBdr>
                <w:bottom w:val="single" w:sz="6" w:space="0" w:color="000000"/>
              </w:pBdr>
              <w:spacing w:before="0" w:after="283"/>
              <w:rPr/>
            </w:pPr>
            <w:r>
              <w:rPr/>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2008</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2009</w:t>
            </w:r>
          </w:p>
          <w:p>
            <w:pPr>
              <w:pStyle w:val="HorizontalLine"/>
              <w:pBdr>
                <w:bottom w:val="single" w:sz="6" w:space="0" w:color="000000"/>
              </w:pBdr>
              <w:spacing w:before="0" w:after="283"/>
              <w:rPr/>
            </w:pPr>
            <w:r>
              <w:rPr/>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2010</w:t>
            </w:r>
          </w:p>
          <w:p>
            <w:pPr>
              <w:pStyle w:val="HorizontalLine"/>
              <w:pBdr>
                <w:bottom w:val="single" w:sz="6" w:space="0" w:color="000000"/>
              </w:pBdr>
              <w:spacing w:before="0" w:after="283"/>
              <w:rPr/>
            </w:pPr>
            <w:r>
              <w:rPr/>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Thereafter</w:t>
            </w:r>
          </w:p>
          <w:p>
            <w:pPr>
              <w:pStyle w:val="HorizontalLine"/>
              <w:pBdr>
                <w:bottom w:val="single" w:sz="6" w:space="0" w:color="000000"/>
              </w:pBdr>
              <w:spacing w:before="0" w:after="283"/>
              <w:rPr/>
            </w:pPr>
            <w:r>
              <w:rPr/>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w:t>
            </w:r>
          </w:p>
          <w:p>
            <w:pPr>
              <w:pStyle w:val="HorizontalLine"/>
              <w:pBdr>
                <w:bottom w:val="single" w:sz="6" w:space="0" w:color="000000"/>
              </w:pBdr>
              <w:spacing w:before="0" w:after="283"/>
              <w:rPr/>
            </w:pPr>
            <w:r>
              <w:rPr/>
            </w:r>
          </w:p>
        </w:tc>
        <w:tc>
          <w:tcPr>
            <w:tcW w:w="272" w:type="dxa"/>
            <w:tcBorders/>
            <w:shd w:fill="auto" w:val="clear"/>
            <w:vAlign w:val="bottom"/>
          </w:tcPr>
          <w:p>
            <w:pPr>
              <w:pStyle w:val="TableContents"/>
              <w:spacing w:before="0" w:after="283"/>
              <w:rPr/>
            </w:pPr>
            <w:r>
              <w:rPr/>
              <w:t> </w:t>
            </w:r>
          </w:p>
        </w:tc>
      </w:tr>
      <w:tr>
        <w:trPr/>
        <w:tc>
          <w:tcPr>
            <w:tcW w:w="292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w:t>
            </w:r>
          </w:p>
        </w:tc>
        <w:tc>
          <w:tcPr>
            <w:tcW w:w="294"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r>
      <w:tr>
        <w:trPr/>
        <w:tc>
          <w:tcPr>
            <w:tcW w:w="2922" w:type="dxa"/>
            <w:tcBorders/>
            <w:shd w:fill="auto" w:val="clear"/>
          </w:tcPr>
          <w:p>
            <w:pPr>
              <w:pStyle w:val="TableContents"/>
              <w:spacing w:before="0" w:after="283"/>
              <w:rPr>
                <w:rFonts w:ascii="Times New Roman" w:hAnsi="Times New Roman"/>
                <w:sz w:val="20"/>
              </w:rPr>
            </w:pPr>
            <w:r>
              <w:rPr>
                <w:rFonts w:ascii="Times New Roman" w:hAnsi="Times New Roman"/>
                <w:sz w:val="20"/>
              </w:rPr>
              <w:t>Variable Rate Debt ($)</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4,302</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6,782</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6,782</w:t>
            </w:r>
          </w:p>
        </w:tc>
        <w:tc>
          <w:tcPr>
            <w:tcW w:w="272" w:type="dxa"/>
            <w:tcBorders/>
            <w:shd w:fill="auto" w:val="clear"/>
            <w:vAlign w:val="bottom"/>
          </w:tcPr>
          <w:p>
            <w:pPr>
              <w:pStyle w:val="TableContents"/>
              <w:spacing w:before="0" w:after="283"/>
              <w:rPr/>
            </w:pPr>
            <w:r>
              <w:rPr/>
              <w:t> </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294"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2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3"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2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2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3"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27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922"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Notes due 2006</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72" w:type="dxa"/>
            <w:tcBorders/>
            <w:shd w:fill="auto" w:val="clear"/>
            <w:vAlign w:val="bottom"/>
          </w:tcPr>
          <w:p>
            <w:pPr>
              <w:pStyle w:val="TableContents"/>
              <w:spacing w:before="0" w:after="283"/>
              <w:rPr/>
            </w:pPr>
            <w:r>
              <w:rPr/>
              <w:t> </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due 2007</w:t>
            </w:r>
          </w:p>
        </w:tc>
        <w:tc>
          <w:tcPr>
            <w:tcW w:w="294"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6,441</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6,441</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5,982</w:t>
            </w:r>
          </w:p>
        </w:tc>
        <w:tc>
          <w:tcPr>
            <w:tcW w:w="272" w:type="dxa"/>
            <w:tcBorders/>
            <w:shd w:fill="CCEEFF" w:val="clear"/>
            <w:vAlign w:val="bottom"/>
          </w:tcPr>
          <w:p>
            <w:pPr>
              <w:pStyle w:val="TableContents"/>
              <w:spacing w:before="0" w:after="283"/>
              <w:rPr/>
            </w:pPr>
            <w:r>
              <w:rPr/>
              <w:t> </w:t>
            </w:r>
          </w:p>
        </w:tc>
      </w:tr>
      <w:tr>
        <w:trPr/>
        <w:tc>
          <w:tcPr>
            <w:tcW w:w="2922" w:type="dxa"/>
            <w:tcBorders/>
            <w:shd w:fill="auto" w:val="clear"/>
          </w:tcPr>
          <w:p>
            <w:pPr>
              <w:pStyle w:val="TableContents"/>
              <w:spacing w:before="0" w:after="283"/>
              <w:rPr/>
            </w:pPr>
            <w:r>
              <w:rPr>
                <w:rFonts w:ascii="Times New Roman" w:hAnsi="Times New Roman"/>
                <w:sz w:val="20"/>
              </w:rPr>
              <w:t>Effective Interest Rate</w:t>
            </w:r>
            <w:r>
              <w:rPr>
                <w:rFonts w:ascii="Times New Roman" w:hAnsi="Times New Roman"/>
                <w:color w:val="000000"/>
                <w:position w:val="5"/>
                <w:sz w:val="11"/>
                <w:sz w:val="14"/>
              </w:rPr>
              <w:t>1</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57" w:type="dxa"/>
            <w:tcBorders/>
            <w:shd w:fill="auto" w:val="clear"/>
            <w:vAlign w:val="bottom"/>
          </w:tcPr>
          <w:p>
            <w:pPr>
              <w:pStyle w:val="TableContents"/>
              <w:spacing w:before="0" w:after="283"/>
              <w:rPr/>
            </w:pPr>
            <w:r>
              <w:rPr>
                <w:rFonts w:ascii="Times New Roman" w:hAnsi="Times New Roman"/>
                <w:sz w:val="20"/>
              </w:rPr>
              <w:t>%</w:t>
            </w:r>
            <w:r>
              <w:rPr>
                <w:rFonts w:ascii="Times New Roman" w:hAnsi="Times New Roman"/>
                <w:color w:val="000000"/>
                <w:position w:val="5"/>
                <w:sz w:val="11"/>
                <w:sz w:val="14"/>
              </w:rPr>
              <w:t>1</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57" w:type="dxa"/>
            <w:tcBorders/>
            <w:shd w:fill="auto" w:val="clear"/>
            <w:vAlign w:val="bottom"/>
          </w:tcPr>
          <w:p>
            <w:pPr>
              <w:pStyle w:val="TableContents"/>
              <w:spacing w:before="0" w:after="283"/>
              <w:rPr/>
            </w:pPr>
            <w:r>
              <w:rPr>
                <w:rFonts w:ascii="Times New Roman" w:hAnsi="Times New Roman"/>
                <w:sz w:val="20"/>
              </w:rPr>
              <w:t>%</w:t>
            </w:r>
            <w:r>
              <w:rPr>
                <w:rFonts w:ascii="Times New Roman" w:hAnsi="Times New Roman"/>
                <w:color w:val="000000"/>
                <w:position w:val="5"/>
                <w:sz w:val="11"/>
                <w:sz w:val="14"/>
              </w:rPr>
              <w:t>1</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272" w:type="dxa"/>
            <w:tcBorders/>
            <w:shd w:fill="auto" w:val="clear"/>
            <w:vAlign w:val="bottom"/>
          </w:tcPr>
          <w:p>
            <w:pPr>
              <w:pStyle w:val="TableContents"/>
              <w:spacing w:before="0" w:after="283"/>
              <w:rPr/>
            </w:pPr>
            <w:r>
              <w:rPr>
                <w:rFonts w:ascii="Times New Roman" w:hAnsi="Times New Roman"/>
                <w:sz w:val="20"/>
              </w:rPr>
              <w:t>%</w:t>
            </w:r>
            <w:r>
              <w:rPr>
                <w:rFonts w:ascii="Times New Roman" w:hAnsi="Times New Roman"/>
                <w:color w:val="000000"/>
                <w:position w:val="5"/>
                <w:sz w:val="11"/>
                <w:sz w:val="14"/>
              </w:rPr>
              <w:t>1</w:t>
            </w:r>
          </w:p>
        </w:tc>
      </w:tr>
      <w:tr>
        <w:trPr/>
        <w:tc>
          <w:tcPr>
            <w:tcW w:w="2922"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 due 2007</w:t>
            </w:r>
          </w:p>
        </w:tc>
        <w:tc>
          <w:tcPr>
            <w:tcW w:w="294"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25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1,160</w:t>
            </w:r>
          </w:p>
        </w:tc>
        <w:tc>
          <w:tcPr>
            <w:tcW w:w="272" w:type="dxa"/>
            <w:tcBorders/>
            <w:shd w:fill="CCEEFF" w:val="clear"/>
            <w:vAlign w:val="bottom"/>
          </w:tcPr>
          <w:p>
            <w:pPr>
              <w:pStyle w:val="TableContents"/>
              <w:spacing w:before="0" w:after="283"/>
              <w:rPr/>
            </w:pPr>
            <w:r>
              <w:rPr/>
              <w:t> </w:t>
            </w:r>
          </w:p>
        </w:tc>
      </w:tr>
      <w:tr>
        <w:trPr/>
        <w:tc>
          <w:tcPr>
            <w:tcW w:w="2922" w:type="dxa"/>
            <w:tcBorders/>
            <w:shd w:fill="auto"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29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5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3"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Rate includes amortization of original issue discount related to detachable warrants and adjustment for capitalization of previously recorded accrued interest.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Raw Materials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profitability of our manufactured products is affected by changing purchase prices of steel and other materials. If higher steel or other material prices cannot be passed onto to our customers, operating income will be adversely affected.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rPr>
          <w:rFonts w:ascii="Times New Roman" w:hAnsi="Times New Roman"/>
          <w:sz w:val="20"/>
        </w:rPr>
      </w:pPr>
      <w:bookmarkStart w:id="13" w:name="toc87693_11"/>
      <w:bookmarkEnd w:id="13"/>
      <w:r>
        <w:rPr>
          <w:rFonts w:ascii="Times New Roman" w:hAnsi="Times New Roman"/>
          <w:b/>
          <w:sz w:val="20"/>
        </w:rPr>
        <w:t>Item 8.</w:t>
      </w:r>
      <w:r>
        <w:rPr>
          <w:rFonts w:ascii="Times New Roman" w:hAnsi="Times New Roman"/>
          <w:sz w:val="20"/>
        </w:rPr>
        <w:t>    </w:t>
      </w:r>
      <w:r>
        <w:rPr>
          <w:rFonts w:ascii="Times New Roman" w:hAnsi="Times New Roman"/>
          <w:b/>
          <w:i/>
          <w:sz w:val="20"/>
        </w:rPr>
        <w:t xml:space="preserve">Financial Statements and Supplementary Data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consolidated financial statements of CECO Environmental Corp. and subsidiaries for the years ended December 31, 2005, 2004 and 2003 and other data are included in this Report following the signature page of this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81"/>
        <w:gridCol w:w="203"/>
        <w:gridCol w:w="1021"/>
      </w:tblGrid>
      <w:tr>
        <w:trPr/>
        <w:tc>
          <w:tcPr>
            <w:tcW w:w="898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8981" w:type="dxa"/>
            <w:tcBorders/>
            <w:shd w:fill="auto" w:val="clear"/>
          </w:tcPr>
          <w:p>
            <w:pPr>
              <w:pStyle w:val="TableContents"/>
              <w:spacing w:before="0" w:after="283"/>
              <w:rPr/>
            </w:pPr>
            <w:hyperlink w:anchor="tx87693_1">
              <w:r>
                <w:rPr>
                  <w:rStyle w:val="InternetLink"/>
                  <w:rFonts w:ascii="Times New Roman" w:hAnsi="Times New Roman"/>
                  <w:sz w:val="20"/>
                </w:rPr>
                <w:t xml:space="preserve">Cover Page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F-1</w:t>
            </w:r>
          </w:p>
        </w:tc>
      </w:tr>
      <w:tr>
        <w:trPr/>
        <w:tc>
          <w:tcPr>
            <w:tcW w:w="8981" w:type="dxa"/>
            <w:tcBorders/>
            <w:shd w:fill="auto" w:val="clear"/>
          </w:tcPr>
          <w:p>
            <w:pPr>
              <w:pStyle w:val="TableContents"/>
              <w:spacing w:before="0" w:after="283"/>
              <w:rPr/>
            </w:pPr>
            <w:hyperlink w:anchor="tx87693_2">
              <w:r>
                <w:rPr>
                  <w:rStyle w:val="InternetLink"/>
                  <w:rFonts w:ascii="Times New Roman" w:hAnsi="Times New Roman"/>
                  <w:sz w:val="20"/>
                </w:rPr>
                <w:t xml:space="preserve">Report of Independent Registered Public Accounting Firms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F-2 to F-3</w:t>
            </w:r>
          </w:p>
        </w:tc>
      </w:tr>
      <w:tr>
        <w:trPr/>
        <w:tc>
          <w:tcPr>
            <w:tcW w:w="8981" w:type="dxa"/>
            <w:tcBorders/>
            <w:shd w:fill="auto" w:val="clear"/>
          </w:tcPr>
          <w:p>
            <w:pPr>
              <w:pStyle w:val="TableContents"/>
              <w:spacing w:before="0" w:after="283"/>
              <w:rPr/>
            </w:pPr>
            <w:hyperlink w:anchor="tx87693_3">
              <w:r>
                <w:rPr>
                  <w:rStyle w:val="InternetLink"/>
                  <w:rFonts w:ascii="Times New Roman" w:hAnsi="Times New Roman"/>
                  <w:sz w:val="20"/>
                </w:rPr>
                <w:t xml:space="preserve">Consolidated Balance Sheets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F-4</w:t>
            </w:r>
          </w:p>
        </w:tc>
      </w:tr>
      <w:tr>
        <w:trPr/>
        <w:tc>
          <w:tcPr>
            <w:tcW w:w="8981" w:type="dxa"/>
            <w:tcBorders/>
            <w:shd w:fill="auto" w:val="clear"/>
          </w:tcPr>
          <w:p>
            <w:pPr>
              <w:pStyle w:val="TableContents"/>
              <w:spacing w:before="0" w:after="283"/>
              <w:rPr/>
            </w:pPr>
            <w:hyperlink w:anchor="tx87693_4">
              <w:r>
                <w:rPr>
                  <w:rStyle w:val="InternetLink"/>
                  <w:rFonts w:ascii="Times New Roman" w:hAnsi="Times New Roman"/>
                  <w:sz w:val="20"/>
                </w:rPr>
                <w:t xml:space="preserve">Consolidated Statements of Operations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F-5</w:t>
            </w:r>
          </w:p>
        </w:tc>
      </w:tr>
      <w:tr>
        <w:trPr/>
        <w:tc>
          <w:tcPr>
            <w:tcW w:w="8981" w:type="dxa"/>
            <w:tcBorders/>
            <w:shd w:fill="auto" w:val="clear"/>
          </w:tcPr>
          <w:p>
            <w:pPr>
              <w:pStyle w:val="TableContents"/>
              <w:spacing w:before="0" w:after="283"/>
              <w:rPr/>
            </w:pPr>
            <w:hyperlink w:anchor="tx87693_5">
              <w:r>
                <w:rPr>
                  <w:rStyle w:val="InternetLink"/>
                  <w:rFonts w:ascii="Times New Roman" w:hAnsi="Times New Roman"/>
                  <w:sz w:val="20"/>
                </w:rPr>
                <w:t xml:space="preserve">Consolidated Statements of Shareholders Equity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F-6</w:t>
            </w:r>
          </w:p>
        </w:tc>
      </w:tr>
      <w:tr>
        <w:trPr/>
        <w:tc>
          <w:tcPr>
            <w:tcW w:w="8981" w:type="dxa"/>
            <w:tcBorders/>
            <w:shd w:fill="auto" w:val="clear"/>
          </w:tcPr>
          <w:p>
            <w:pPr>
              <w:pStyle w:val="TableContents"/>
              <w:spacing w:before="0" w:after="283"/>
              <w:rPr/>
            </w:pPr>
            <w:hyperlink w:anchor="tx87693_6">
              <w:r>
                <w:rPr>
                  <w:rStyle w:val="InternetLink"/>
                  <w:rFonts w:ascii="Times New Roman" w:hAnsi="Times New Roman"/>
                  <w:sz w:val="20"/>
                </w:rPr>
                <w:t xml:space="preserve">Consolidated Statements of Cash Flows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F-7 to F-8</w:t>
            </w:r>
          </w:p>
        </w:tc>
      </w:tr>
      <w:tr>
        <w:trPr/>
        <w:tc>
          <w:tcPr>
            <w:tcW w:w="8981" w:type="dxa"/>
            <w:tcBorders/>
            <w:shd w:fill="auto" w:val="clear"/>
          </w:tcPr>
          <w:p>
            <w:pPr>
              <w:pStyle w:val="TableContents"/>
              <w:spacing w:before="0" w:after="283"/>
              <w:rPr/>
            </w:pPr>
            <w:hyperlink w:anchor="tx87693_7">
              <w:r>
                <w:rPr>
                  <w:rStyle w:val="InternetLink"/>
                  <w:rFonts w:ascii="Times New Roman" w:hAnsi="Times New Roman"/>
                  <w:sz w:val="20"/>
                </w:rPr>
                <w:t>Notes to Consolidated Financial Statements for the Years Ended December 31, 2005,</w:t>
                <w:br/>
                <w:t xml:space="preserve">2004 and 2003 </w:t>
              </w:r>
            </w:hyperlink>
          </w:p>
        </w:tc>
        <w:tc>
          <w:tcPr>
            <w:tcW w:w="203"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F-9 to F-25</w:t>
            </w:r>
          </w:p>
        </w:tc>
      </w:tr>
    </w:tbl>
    <w:p>
      <w:pPr>
        <w:pStyle w:val="TextBody"/>
        <w:spacing w:before="0" w:after="0"/>
        <w:rPr/>
      </w:pPr>
      <w:r>
        <w:rPr/>
        <w:t> </w:t>
      </w:r>
    </w:p>
    <w:p>
      <w:pPr>
        <w:pStyle w:val="TextBody"/>
        <w:spacing w:before="0" w:after="0"/>
        <w:rPr>
          <w:rFonts w:ascii="Times New Roman" w:hAnsi="Times New Roman"/>
          <w:sz w:val="20"/>
        </w:rPr>
      </w:pPr>
      <w:bookmarkStart w:id="14" w:name="toc87693_12"/>
      <w:bookmarkEnd w:id="14"/>
      <w:r>
        <w:rPr>
          <w:rFonts w:ascii="Times New Roman" w:hAnsi="Times New Roman"/>
          <w:b/>
          <w:sz w:val="20"/>
        </w:rPr>
        <w:t>Item 9.</w:t>
      </w:r>
      <w:r>
        <w:rPr>
          <w:rFonts w:ascii="Times New Roman" w:hAnsi="Times New Roman"/>
          <w:sz w:val="20"/>
        </w:rPr>
        <w:t>    </w:t>
      </w:r>
      <w:r>
        <w:rPr>
          <w:rFonts w:ascii="Times New Roman" w:hAnsi="Times New Roman"/>
          <w:b/>
          <w:i/>
          <w:sz w:val="20"/>
        </w:rPr>
        <w:t xml:space="preserve">Changes in and Disagreements with Accountants on Accounting and Financial Disclosure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15" w:name="toc87693_13"/>
      <w:bookmarkEnd w:id="15"/>
      <w:r>
        <w:rPr>
          <w:rFonts w:ascii="Times New Roman" w:hAnsi="Times New Roman"/>
          <w:b/>
          <w:sz w:val="20"/>
        </w:rPr>
        <w:t>Item 9A.</w:t>
      </w:r>
      <w:r>
        <w:rPr>
          <w:rFonts w:ascii="Times New Roman" w:hAnsi="Times New Roman"/>
          <w:sz w:val="20"/>
        </w:rPr>
        <w:t>    </w:t>
      </w:r>
      <w:r>
        <w:rPr>
          <w:rFonts w:ascii="Times New Roman" w:hAnsi="Times New Roman"/>
          <w:b/>
          <w:i/>
          <w:sz w:val="20"/>
        </w:rPr>
        <w:t xml:space="preserve">Controls and Procedures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Evaluation of Disclosure Controls and Procedures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December 31, 2005. The Companys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Changes in Internal Control over Financial Reporting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fourth quarter of fiscal 2005, there were no significant changes in the Companys internal control over financial reporting that materially affected or are reasonably likely to materially affect our internal control over financial reporting. </w:t>
      </w:r>
    </w:p>
    <w:p>
      <w:pPr>
        <w:pStyle w:val="TextBody"/>
        <w:spacing w:before="0" w:after="0"/>
        <w:rPr/>
      </w:pPr>
      <w:r>
        <w:rPr/>
        <w:t> </w:t>
      </w:r>
    </w:p>
    <w:p>
      <w:pPr>
        <w:pStyle w:val="TextBody"/>
        <w:spacing w:before="0" w:after="0"/>
        <w:rPr>
          <w:rFonts w:ascii="Times New Roman" w:hAnsi="Times New Roman"/>
          <w:sz w:val="20"/>
        </w:rPr>
      </w:pPr>
      <w:bookmarkStart w:id="16" w:name="toc87693_14"/>
      <w:bookmarkEnd w:id="16"/>
      <w:r>
        <w:rPr>
          <w:rFonts w:ascii="Times New Roman" w:hAnsi="Times New Roman"/>
          <w:b/>
          <w:sz w:val="20"/>
        </w:rPr>
        <w:t>Item 9B.</w:t>
      </w:r>
      <w:r>
        <w:rPr>
          <w:rFonts w:ascii="Times New Roman" w:hAnsi="Times New Roman"/>
          <w:sz w:val="20"/>
        </w:rPr>
        <w:t>    </w:t>
      </w:r>
      <w:r>
        <w:rPr>
          <w:rFonts w:ascii="Times New Roman" w:hAnsi="Times New Roman"/>
          <w:b/>
          <w:i/>
          <w:sz w:val="20"/>
        </w:rPr>
        <w:t xml:space="preserve">Other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p>
      <w:pPr>
        <w:pStyle w:val="TextBody"/>
        <w:spacing w:before="0" w:after="0"/>
        <w:rPr>
          <w:rFonts w:ascii="Times New Roman" w:hAnsi="Times New Roman"/>
          <w:sz w:val="20"/>
        </w:rPr>
      </w:pPr>
      <w:bookmarkStart w:id="17" w:name="toc87693_15"/>
      <w:bookmarkEnd w:id="17"/>
      <w:r>
        <w:rPr>
          <w:rFonts w:ascii="Times New Roman" w:hAnsi="Times New Roman"/>
          <w:b/>
          <w:sz w:val="20"/>
        </w:rPr>
        <w:t>Item 10.</w:t>
      </w:r>
      <w:r>
        <w:rPr>
          <w:rFonts w:ascii="Times New Roman" w:hAnsi="Times New Roman"/>
          <w:sz w:val="20"/>
        </w:rPr>
        <w:t>    </w:t>
      </w:r>
      <w:r>
        <w:rPr>
          <w:rFonts w:ascii="Times New Roman" w:hAnsi="Times New Roman"/>
          <w:b/>
          <w:i/>
          <w:sz w:val="20"/>
        </w:rPr>
        <w:t xml:space="preserve">Directors and Executive Officers of the Registrant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regarding the Companys directors set forth in the Companys Proxy Statement for the Annual Meeting of Shareholders to be held May 24, 2006 (the Proxy Statement) in the section entitled Directors and Nominees is incorporated herein by reference.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Information regarding the identification of the Audit Committee as a separately designated standing committee of the Board and information regarding the status of one or more members of the Audit Committee being an audit committee financial expert is set forth in the Proxy Statement in the section entitled Board of Directors and its Committees, which information is incorporated herein by reference.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Information regarding procedures by which security holders may recommend nominees to the Board of Directors is set forth in the Proxy Statement in the section entitled Board of Directors and its Committees, which information is incorporated herein by reference.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Reporting of any inadvertent late filings under Section 16(a) of the Securities Exchange Act of 1934, as amended, is set forth in the section of the Proxy Statement entitled Compliance with Section 16(a) of the Exchange Act. This information is incorporated herein by reference.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Code of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adopted a Code of Ethics that applies to our directors and employees (including our principal executive officer, principal financial officer, principal accounting officer and controller and persons performing similar functions). A copy of the Code of Ethics is attached to this Form 10-K as Exhibit 14. </w:t>
      </w:r>
    </w:p>
    <w:p>
      <w:pPr>
        <w:pStyle w:val="TextBody"/>
        <w:spacing w:before="0" w:after="0"/>
        <w:rPr/>
      </w:pPr>
      <w:r>
        <w:rPr/>
        <w:t> </w:t>
      </w:r>
    </w:p>
    <w:p>
      <w:pPr>
        <w:pStyle w:val="TextBody"/>
        <w:spacing w:before="0" w:after="0"/>
        <w:rPr>
          <w:rFonts w:ascii="Times New Roman" w:hAnsi="Times New Roman"/>
          <w:sz w:val="20"/>
        </w:rPr>
      </w:pPr>
      <w:bookmarkStart w:id="18" w:name="toc87693_16"/>
      <w:bookmarkEnd w:id="18"/>
      <w:r>
        <w:rPr>
          <w:rFonts w:ascii="Times New Roman" w:hAnsi="Times New Roman"/>
          <w:b/>
          <w:sz w:val="20"/>
        </w:rPr>
        <w:t>Item 11.    </w:t>
      </w:r>
      <w:r>
        <w:rPr>
          <w:rFonts w:ascii="Times New Roman" w:hAnsi="Times New Roman"/>
          <w:b/>
          <w:i/>
          <w:sz w:val="20"/>
        </w:rPr>
        <w:t>Executive Compensation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in the Proxy Statement set forth under the caption Executive Compensation, Board of Directors and its Committees and Director Compensation is incorporated herein by reference.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19" w:name="toc87693_17"/>
      <w:bookmarkEnd w:id="19"/>
      <w:r>
        <w:rPr>
          <w:rFonts w:ascii="Times New Roman" w:hAnsi="Times New Roman"/>
          <w:b/>
          <w:sz w:val="20"/>
        </w:rPr>
        <w:t>Item 12</w:t>
      </w:r>
      <w:r>
        <w:rPr>
          <w:rFonts w:ascii="Times New Roman" w:hAnsi="Times New Roman"/>
          <w:sz w:val="20"/>
        </w:rPr>
        <w:t>.    </w:t>
      </w:r>
      <w:r>
        <w:rPr>
          <w:rFonts w:ascii="Times New Roman" w:hAnsi="Times New Roman"/>
          <w:b/>
          <w:i/>
          <w:sz w:val="20"/>
        </w:rPr>
        <w:t xml:space="preserve">Security Ownership of Certain Beneficial Owners and Management and Related Stockholder Transactions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EQUITY COMPENSATION PLAN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11"/>
        <w:gridCol w:w="730"/>
        <w:gridCol w:w="1498"/>
        <w:gridCol w:w="680"/>
        <w:gridCol w:w="311"/>
        <w:gridCol w:w="1005"/>
        <w:gridCol w:w="730"/>
        <w:gridCol w:w="1540"/>
      </w:tblGrid>
      <w:tr>
        <w:trPr/>
        <w:tc>
          <w:tcPr>
            <w:tcW w:w="3711"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71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2005</w:t>
            </w:r>
          </w:p>
        </w:tc>
        <w:tc>
          <w:tcPr>
            <w:tcW w:w="730"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r>
          </w:p>
        </w:tc>
        <w:tc>
          <w:tcPr>
            <w:tcW w:w="680" w:type="dxa"/>
            <w:tcBorders/>
            <w:shd w:fill="auto" w:val="clear"/>
            <w:vAlign w:val="bottom"/>
          </w:tcPr>
          <w:p>
            <w:pPr>
              <w:pStyle w:val="TableContents"/>
              <w:spacing w:before="0" w:after="283"/>
              <w:rPr/>
            </w:pPr>
            <w:r>
              <w:rPr/>
              <w:t> </w:t>
            </w:r>
          </w:p>
        </w:tc>
        <w:tc>
          <w:tcPr>
            <w:tcW w:w="131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r>
          </w:p>
        </w:tc>
        <w:tc>
          <w:tcPr>
            <w:tcW w:w="730"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w:t>
            </w:r>
          </w:p>
        </w:tc>
      </w:tr>
      <w:tr>
        <w:trPr/>
        <w:tc>
          <w:tcPr>
            <w:tcW w:w="371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Plan Category</w:t>
            </w:r>
          </w:p>
          <w:p>
            <w:pPr>
              <w:pStyle w:val="HorizontalLine"/>
              <w:pBdr>
                <w:bottom w:val="single" w:sz="6" w:space="0" w:color="000000"/>
              </w:pBdr>
              <w:spacing w:before="0" w:after="283"/>
              <w:rPr/>
            </w:pPr>
            <w:r>
              <w:rPr/>
            </w:r>
          </w:p>
        </w:tc>
        <w:tc>
          <w:tcPr>
            <w:tcW w:w="730"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br/>
              <w:t>to be issued upon</w:t>
              <w:br/>
              <w:t>exercise of outstanding</w:t>
              <w:br/>
              <w:t>options, warrants and</w:t>
              <w:br/>
              <w:t>rights</w:t>
            </w:r>
          </w:p>
          <w:p>
            <w:pPr>
              <w:pStyle w:val="HorizontalLine"/>
              <w:pBdr>
                <w:bottom w:val="single" w:sz="6" w:space="0" w:color="000000"/>
              </w:pBdr>
              <w:spacing w:before="0" w:after="283"/>
              <w:rPr/>
            </w:pPr>
            <w:r>
              <w:rPr/>
            </w:r>
          </w:p>
        </w:tc>
        <w:tc>
          <w:tcPr>
            <w:tcW w:w="680" w:type="dxa"/>
            <w:tcBorders/>
            <w:shd w:fill="auto" w:val="clear"/>
            <w:vAlign w:val="bottom"/>
          </w:tcPr>
          <w:p>
            <w:pPr>
              <w:pStyle w:val="TableContents"/>
              <w:spacing w:before="0" w:after="283"/>
              <w:rPr/>
            </w:pPr>
            <w:r>
              <w:rPr/>
              <w:t> </w:t>
            </w:r>
          </w:p>
        </w:tc>
        <w:tc>
          <w:tcPr>
            <w:tcW w:w="131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Weighted-average</w:t>
              <w:br/>
              <w:t>exercise price of</w:t>
              <w:br/>
              <w:t>outstanding options,</w:t>
              <w:br/>
              <w:t>warrants and rights,</w:t>
              <w:br/>
              <w:t>compensation plans</w:t>
            </w:r>
          </w:p>
          <w:p>
            <w:pPr>
              <w:pStyle w:val="HorizontalLine"/>
              <w:pBdr>
                <w:bottom w:val="single" w:sz="6" w:space="0" w:color="000000"/>
              </w:pBdr>
              <w:spacing w:before="0" w:after="283"/>
              <w:rPr/>
            </w:pPr>
            <w:r>
              <w:rPr/>
            </w:r>
          </w:p>
        </w:tc>
        <w:tc>
          <w:tcPr>
            <w:tcW w:w="730"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br/>
              <w:t>remaining available for</w:t>
              <w:br/>
              <w:t>future issuance under</w:t>
              <w:br/>
              <w:t>equity compensation</w:t>
              <w:br/>
              <w:t>plans (excluding</w:t>
              <w:br/>
              <w:t>securities reflected in</w:t>
              <w:br/>
              <w:t>column (a))</w:t>
            </w:r>
          </w:p>
          <w:p>
            <w:pPr>
              <w:pStyle w:val="HorizontalLine"/>
              <w:pBdr>
                <w:bottom w:val="single" w:sz="6" w:space="0" w:color="000000"/>
              </w:pBdr>
              <w:spacing w:before="0" w:after="283"/>
              <w:rPr/>
            </w:pPr>
            <w:r>
              <w:rPr/>
            </w:r>
          </w:p>
        </w:tc>
      </w:tr>
      <w:tr>
        <w:trPr/>
        <w:tc>
          <w:tcPr>
            <w:tcW w:w="3711"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security holders</w:t>
            </w:r>
          </w:p>
        </w:tc>
        <w:tc>
          <w:tcPr>
            <w:tcW w:w="730"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263,700</w:t>
            </w:r>
          </w:p>
        </w:tc>
        <w:tc>
          <w:tcPr>
            <w:tcW w:w="68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730" w:type="dxa"/>
            <w:tcBorders/>
            <w:shd w:fill="CCEEFF" w:val="clear"/>
            <w:vAlign w:val="bottom"/>
          </w:tcPr>
          <w:p>
            <w:pPr>
              <w:pStyle w:val="TableContents"/>
              <w:spacing w:before="0" w:after="283"/>
              <w:rPr/>
            </w:pPr>
            <w:r>
              <w:rPr/>
              <w:t>  </w:t>
            </w:r>
          </w:p>
        </w:tc>
        <w:tc>
          <w:tcPr>
            <w:tcW w:w="1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1,236,300</w:t>
            </w:r>
          </w:p>
        </w:tc>
      </w:tr>
      <w:tr>
        <w:trPr/>
        <w:tc>
          <w:tcPr>
            <w:tcW w:w="3711" w:type="dxa"/>
            <w:tcBorders/>
            <w:shd w:fill="auto" w:val="clear"/>
          </w:tcPr>
          <w:p>
            <w:pPr>
              <w:pStyle w:val="TableContents"/>
              <w:spacing w:before="0" w:after="283"/>
              <w:rPr>
                <w:rFonts w:ascii="Times New Roman" w:hAnsi="Times New Roman"/>
                <w:sz w:val="20"/>
              </w:rPr>
            </w:pPr>
            <w:r>
              <w:rPr>
                <w:rFonts w:ascii="Times New Roman" w:hAnsi="Times New Roman"/>
                <w:sz w:val="20"/>
              </w:rPr>
              <w:t>Equity compensation plans not approved by security holders</w:t>
            </w:r>
          </w:p>
        </w:tc>
        <w:tc>
          <w:tcPr>
            <w:tcW w:w="730" w:type="dxa"/>
            <w:tcBorders/>
            <w:shd w:fill="auto" w:val="clear"/>
            <w:vAlign w:val="bottom"/>
          </w:tcPr>
          <w:p>
            <w:pPr>
              <w:pStyle w:val="TableContents"/>
              <w:spacing w:before="0" w:after="283"/>
              <w:rPr/>
            </w:pPr>
            <w:r>
              <w:rPr/>
              <w:t>  </w:t>
            </w:r>
          </w:p>
        </w:tc>
        <w:tc>
          <w:tcPr>
            <w:tcW w:w="1498" w:type="dxa"/>
            <w:tcBorders/>
            <w:shd w:fill="auto" w:val="clear"/>
            <w:vAlign w:val="bottom"/>
          </w:tcPr>
          <w:p>
            <w:pPr>
              <w:pStyle w:val="TableContents"/>
              <w:spacing w:before="0" w:after="283"/>
              <w:jc w:val="right"/>
              <w:rPr/>
            </w:pPr>
            <w:r>
              <w:rPr>
                <w:rFonts w:ascii="Times New Roman" w:hAnsi="Times New Roman"/>
                <w:sz w:val="20"/>
              </w:rPr>
              <w:t>3,285,000</w:t>
            </w:r>
            <w:r>
              <w:rPr>
                <w:rFonts w:ascii="Times New Roman" w:hAnsi="Times New Roman"/>
                <w:color w:val="000000"/>
                <w:position w:val="5"/>
                <w:sz w:val="11"/>
                <w:sz w:val="14"/>
              </w:rPr>
              <w:t>1</w:t>
            </w:r>
          </w:p>
        </w:tc>
        <w:tc>
          <w:tcPr>
            <w:tcW w:w="68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730"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None</w:t>
            </w:r>
          </w:p>
        </w:tc>
      </w:tr>
      <w:tr>
        <w:trPr/>
        <w:tc>
          <w:tcPr>
            <w:tcW w:w="371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30" w:type="dxa"/>
            <w:tcBorders/>
            <w:shd w:fill="CCEEFF" w:val="clear"/>
            <w:vAlign w:val="bottom"/>
          </w:tcPr>
          <w:p>
            <w:pPr>
              <w:pStyle w:val="TableContents"/>
              <w:spacing w:before="0" w:after="283"/>
              <w:rPr/>
            </w:pPr>
            <w:r>
              <w:rPr/>
              <w:t>  </w:t>
            </w:r>
          </w:p>
        </w:tc>
        <w:tc>
          <w:tcPr>
            <w:tcW w:w="1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3,548,700</w:t>
            </w:r>
          </w:p>
        </w:tc>
        <w:tc>
          <w:tcPr>
            <w:tcW w:w="68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730" w:type="dxa"/>
            <w:tcBorders/>
            <w:shd w:fill="CCEEFF" w:val="clear"/>
            <w:vAlign w:val="bottom"/>
          </w:tcPr>
          <w:p>
            <w:pPr>
              <w:pStyle w:val="TableContents"/>
              <w:spacing w:before="0" w:after="283"/>
              <w:rPr/>
            </w:pPr>
            <w:r>
              <w:rPr/>
              <w:t>  </w:t>
            </w:r>
          </w:p>
        </w:tc>
        <w:tc>
          <w:tcPr>
            <w:tcW w:w="1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1,236,300</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w:t>
            </w:r>
          </w:p>
        </w:tc>
      </w:tr>
    </w:tbl>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448,000 shares of Common Stock for $2.9375 per share granted to Mr. Richard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335,000 shares of Common Stock for $2.9375 per share granted to Mr. David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217,000 shares of Common Stock for $2.9375 per share granted to Mr. Larry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25,000 shares of common stock that Mr. Jason DeZwirek can purchase on or prior to October 5, 2011 at a price of $2.01 per share pursuant to options granted to Mr. Jason DeZwirek on October 5, 2001; Mr. Jason DeZwirek exercised these options on January 6, 2006; </w:t>
            </w:r>
          </w:p>
        </w:tc>
      </w:tr>
    </w:tbl>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750,000 shares of common stock that Mr. Phillip DeZwirek can purchase on or prior to November 7, 2006 at a price of $1.75 per share pursuant to warrants granted to Mr. Phillip DeZwirek on November 7, 1996 (which were exercised by Mr. Phillip DeZwirek on January 6, 2006); (ii) 250,000 shares that may be purchased pursuant to warrants granted January 14, 1998 at a price of $2.75 per share prior to January 14, 2008; (iii) 250,000 shares of common stock that may be purchased by Mr. Phillip DeZwirek pursuant to warrants granted September 14, 1998 at a price of $1.625 per share prior to September 14, 2008 (which were exercised by Mr. Phillip DeZwirek on January 6, 2006); (iv) 500,000 shares that may be purchased pursuant to warrants granted to Mr. Phillip DeZwirek January 22, 1999, which are exercisable prior to January 22, 2009 at a price of $3.00 per share; and (v) 500,000 shares that may be purchased pursuant to warrants granted to Mr. Phillip DeZwirek August 14, 2000, which are exercisable prior to August 14, 2010 at a price of $2.0625 per share; and </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10,000 shares of common stock that Mr. Donald Wright can purchase pursuant to options granted June 30, 1998 at a price per share of $2.75 prior to June 30, 2008.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set forth under the caption Beneficial Ownership of Shares, Security Ownership of Management and Changes in Control of the Proxy Statement is incorporated herein by reference.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bookmarkStart w:id="20" w:name="toc87693_18"/>
      <w:bookmarkEnd w:id="20"/>
      <w:r>
        <w:rPr>
          <w:rFonts w:ascii="Times New Roman" w:hAnsi="Times New Roman"/>
          <w:b/>
          <w:sz w:val="20"/>
        </w:rPr>
        <w:t>Item 13.    </w:t>
      </w:r>
      <w:r>
        <w:rPr>
          <w:rFonts w:ascii="Times New Roman" w:hAnsi="Times New Roman"/>
          <w:b/>
          <w:i/>
          <w:sz w:val="20"/>
        </w:rPr>
        <w:t xml:space="preserve">Certain Relationships and Related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Information concerning Certain Relationships and Related Transactions is set forth in the section entitled Certain Transactions in the Proxy Statement, which information is incorporated herein by reference. </w:t>
      </w:r>
    </w:p>
    <w:p>
      <w:pPr>
        <w:pStyle w:val="TextBody"/>
        <w:spacing w:before="0" w:after="0"/>
        <w:rPr/>
      </w:pPr>
      <w:r>
        <w:rPr/>
        <w:t> </w:t>
      </w:r>
    </w:p>
    <w:p>
      <w:pPr>
        <w:pStyle w:val="TextBody"/>
        <w:spacing w:before="0" w:after="0"/>
        <w:rPr>
          <w:rFonts w:ascii="Times New Roman" w:hAnsi="Times New Roman"/>
          <w:sz w:val="20"/>
        </w:rPr>
      </w:pPr>
      <w:bookmarkStart w:id="21" w:name="toc87693_19"/>
      <w:bookmarkEnd w:id="21"/>
      <w:r>
        <w:rPr>
          <w:rFonts w:ascii="Times New Roman" w:hAnsi="Times New Roman"/>
          <w:b/>
          <w:sz w:val="20"/>
        </w:rPr>
        <w:t>Item 14.    </w:t>
      </w:r>
      <w:r>
        <w:rPr>
          <w:rFonts w:ascii="Times New Roman" w:hAnsi="Times New Roman"/>
          <w:b/>
          <w:i/>
          <w:sz w:val="20"/>
        </w:rPr>
        <w:t xml:space="preserve">Principal Accountant Fees and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Information concerning Principal Accountant Fees and Services, including the Audit Committee Pre-Approval Policy, is set forth in the section entitled Independent Registered Public Accounting Firm Fees in the Proxy Statement, which information is incorporated herein by reference. </w:t>
      </w:r>
    </w:p>
    <w:p>
      <w:pPr>
        <w:pStyle w:val="TextBody"/>
        <w:spacing w:before="0" w:after="0"/>
        <w:rPr/>
      </w:pPr>
      <w:r>
        <w:rPr/>
        <w:t> </w:t>
      </w:r>
    </w:p>
    <w:p>
      <w:pPr>
        <w:pStyle w:val="TextBody"/>
        <w:spacing w:before="0" w:after="0"/>
        <w:rPr>
          <w:rFonts w:ascii="Times New Roman" w:hAnsi="Times New Roman"/>
          <w:sz w:val="20"/>
        </w:rPr>
      </w:pPr>
      <w:bookmarkStart w:id="22" w:name="toc87693_20"/>
      <w:bookmarkEnd w:id="22"/>
      <w:r>
        <w:rPr>
          <w:rFonts w:ascii="Times New Roman" w:hAnsi="Times New Roman"/>
          <w:b/>
          <w:sz w:val="20"/>
        </w:rPr>
        <w:t>Item 15.</w:t>
      </w:r>
      <w:r>
        <w:rPr>
          <w:rFonts w:ascii="Times New Roman" w:hAnsi="Times New Roman"/>
          <w:sz w:val="20"/>
        </w:rPr>
        <w:t>    </w:t>
      </w:r>
      <w:r>
        <w:rPr>
          <w:rFonts w:ascii="Times New Roman" w:hAnsi="Times New Roman"/>
          <w:b/>
          <w:i/>
          <w:sz w:val="20"/>
        </w:rPr>
        <w:t xml:space="preserve">Exhibits, Financial Statement Schedules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1.    Financial statements are set forth in this report following the signature page of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Consolidated Financial statement schedule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other financial statement schedules are omitted because they are not applicable or because the required information is shown in the financial statements or in the notes thereto.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Exhibit Index. The exhibits listed below, as part of Form 10-K, are numbered in conformity with the numbering used in Item 601 of Regulation S-K of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2.1    Certificate of Ownership and Merger Merging CECO Environmental Corp. into CECO Environmental Corp.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2.2    Certificate of Merger of CECO Environmental Corp. into CECO Environmental Corp. Under Section 907 of the Business Corporation Law.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3(i)    Certificate of Incorporation.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3(ii)    Bylaws.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    CECO Filters, Inc. Savings and Retirement Plan. (Incorporated by reference from CECOs Annual Report on Form 10-K for the fiscal year ended December 31, 1990)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    CECO Environmental Corp. 1997 Stock Option Plan and Amendment. (Incorporated by reference from Form S-8, Exhibit 4, filed March 24, 2000,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Mortgage dated October 28, 1991 by CECO and the Montgomery County Industrial Development Corporation (MCIDC).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    Installment Sale Agreement dated October 28, 1991 between CECO and MCIDC.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10.5    Lease dated as of March 10, 1992 between CECO and BTR North America, Inc. (Incorporated by reference from CECOs Annual Report on Form 10-K for the fiscal year ended December 31, 1991)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10.6    Consulting Agreement dated as of January 1, 1994 and effective as of July 1, 1994 between the Company and CECO. (Incorporated by reference to Form 10-QSB dated September 30, 1994 of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 10.7    Warrant Agreement dated as of January 14, 1998 between the Company and Phillip DeZwirek.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10.8    Lease between Busch Co. and Richard Roos dated January 10, 1980, Amendment to Lease dated August 1, 1988 between Busch Co. and Richard Roos, Amendment to Lease dated May 21, 1991 between Richard A. Roos and Busch Co. and Amendment to Lease dated June 1, 1991 between JDA, Inc. and Busch Co. (Incorporated by reference from the Companys Form 10-KSB dated December 31, 1997)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10.9    Assignment of Lease dated September 25, 1997 among Richard A. Roos, JDA, Inc., Busch Co. and New Busch Co., Inc.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10.10    Lease between Joseph V. Salvucci and Busch Co. dated October 17, 1994. (Incorporated by reference from the Companys Form 10-KSB dated December 31, 1997)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10.11    Warrant Agreement dated as of January 22, 1999 between the Company and Phillip DeZwirek.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10.12    Option for the Purchase of Shares of Common Stock for Donald Wright dated June 30, 1998. (Incorporated by reference from the Companys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10.13    Stock Purchase Agreement, dated as of December 7, 1999, among CECO Environmental Corp., CECO Filters, Inc. and the Stockholders of The Kirk &amp; Blum Manufacturing Company and kbd/Technic, Inc. and Richard J. Blum, Lawrence J. Blum and David D.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10.15    Stock Purchase Warrant, dated as of December 7, 1999, granted by CECO Environmental Corp. to Richard J.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10.17    Stock Purchase Warrant, dated as of December 7, 1999, granted by CECO Environmental Corp. to Lawrence J.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10.19    Stock Purchase Warrant, dated as of December 7, 1999, granted by CECO Environmental Corp. to David D. Blum.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10.20    Kbd/Technic, Inc. Voting Trust Agreement, dated as of December 7, 1999, Richard J. Blum, trustee. (Incorporated by reference from the Companys Form 8-K filed December 22, 1999 with respect to event that occurred December 7, 1999)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10.21    Stock Option Agreement for Donald A. Wright dated September 18, 2000.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10.22    Warrant Agreement dated as of August 14, 2000 between the Company and Phillip DeZwirek. (Incorporated by reference from the Companys Form 10-KSB dated December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10.23    Second Amended and Restated Replacement Promissory Note in the amount of $500,000, dated as of February 2, 2006, made by CECO Environmental Corp. and payable to Harvey Sandler.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10.24    Third Amended and Restated Replacement Promissory Note in the amount of $500,000, dated as of February 6, 2006, made by CECO Environmental Corp. and payable to ICS Trustee Services, Ltd.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10.25    Form of Warrant (for Investors).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10.26    Form of Warrant (for Finders).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10.27    Lease Agreement between LFT Realty Group and CECO Filters, Inc. dated April 13, 2003. (Incorporated by reference from the Companys Form 10-K dated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10.28    Stock Option Agreement for Dennis W. Blazer dated December 13, 2004. (Incorporated by reference from the Companys Form 10-K dated December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10.29    Stock Option Agreement for Thomas J. Flaherty dated January 5, 2005. (Incorporated by reference from the Companys Form 10-K dated December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10.30    Stock Option Agreement for Donald A. Wright dated January 5, 2005. (Incorporated by reference from the Companys Form 10-K dated December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10.31    Indemnification Agreement between the Company and Marshall J. Morris dated November 30, 2004. (Incorporated by reference from the Companys Form 10-K dated December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10.32    Second Amended and Restated Replacement Promissory Note in the amount of $1,290,477 dated as of December 29, 2005 made by CECO Environmental Corp. and payable to Green Diamond Oil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10.33    Fourth Amended and Restated Replacement Promissory Note in the amount of $5,441,315 dated as of December 29, 2005 made by CECO Environmental Corp. and payable to Green Diamond Oil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10.34    Stock Option Agreement for Ronald Krieg dated April 20,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10.35    Stock Option Agreement for Arthur Cape dated May 25,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10.36    Restated and Amended Purchase Agreement between The Kirk &amp; Blum Manufacturing Company and Trademark Property Company for the sale of the Cincinnati manufacturing and corporate office facilities dated June 20, 2005. (Incorporated by reference from the Companys Form 10-Q dated June 30,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10.37    First Amendment to Restated and Amended Purchase Agreement between The Kirk &amp; Blum Manufacturing Company and Trademark Property Company for the sale of the Cincinnati manufacturing and corporate office facilities dated July 14, 2005. (Incorporated by reference from the Companys Form 10-Q dated September 30,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10.38    Purchase Agreement between The Kirk &amp; Blum Manufacturing Company and Buckley Properties Co. for the purchase of Buckleys manufacturing and corporate office facility dated September 7,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10.39    Second Amendment to Restated and Amended Purchase Agreement between The Kirk &amp; Blum Manufacturing Company and Trademark Property Company for the sale of the Cincinnati manufacturing and corporate office facilities dated September 14, 2005 (Incorporated by reference from the Companys Form 10-Q dated September 30,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10.40    Third Amendment and Assignment to Restated and Amended Purchase Agreement between The Kirk &amp; Blum Manufacturing Company, Trademark Property Company and Millworks Town Center LLC for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sale of the Cincinnati manufacturing and corporate office facilities dated October 19, 2005. (Incorporated by reference from the Companys Form 10-Q dated September 30,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10.41    Credit Agreement between CECO Environmental and its affiliates and Fifth Third Bank dated December 29, 2005. (Incorporated by reference from the Companys Form 8-K dated December 28,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10.42    Fourth Amendment to Restated and Amended Purchase Agreement between The Kirk &amp; Blum Manufacturing Company and Millworks Town Center LLC for the sale of the Cincinnati manufacturing and corporate office facilities dated December 29, 2005. (Incorporated by reference from the Companys Form 8-K dated December 29,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10.43    Letter Agreement with Fifth Third Bank permitting use of proceeds from the exercise of warrants to pay accrued interest amounts due Green Diamond Oil Company on two subordinated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10.44    Transition Agreement between H.M. White, Inc., H.M. White Holding Co., Inc. and HMW, LLC dated as of January 1, 2006. (Incorporated by reference from the Companys Form 8-K dated February 1,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10.45    First Amendment to Purchase Agreement between Buckley Properties Co. and The Kirk &amp; Blum Manufacturing Company dated November 14,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10.46    Second Amendment to Purchase Agreement between Buckley Properties Co. and The Kirk &amp; Blum Manufacturing Company dated November 30,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10.47    Third Amendment to Purchase Agreement between Buckley Properties Co. and The Kirk &amp; Blum Manufacturing Company dated December 15,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10.48    Fourth Amendment to Purchase Agreement between Buckley Properties Co. and The Kirk &amp; Blum Manufacturing Company dated January 13,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10.49    Fifth Amendment to Purchase Agreement between Buckley Properties Co. and The Kirk &amp; Blum Manufacturing Company dated February 1,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10.50    Sixth Amendment to Purchase Agreement between Buckley Properties Co. and The Kirk &amp; Blum Manufacturing Company dated February 15,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10.51    Seventh Amendment to Purchase Agreement between Buckley Properties Co. and The Kirk &amp; Blum Manufacturing Company dated March 8,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10.52    Fifth Amendment to Restated and Amended Purchase Agreement between The Kirk &amp; Blum Manufacturing Company and Millworks Town Center LLC for the sale of the Cincinnati manufacturing and corporate office facilities dated March 1, 2006. (Incorporated by reference from the Companys Form 8-K dated March 1,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14    Code of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21    Subsidiaries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31.1    Rule 13a-14(a)/15d-14(a) Certification by Chief Executive Officer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 31.2    Rule 13a-14(a)/15d-14(a) Certification by Chief Financial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32.1    Certification of Chief Executive Officer (18 U.S. Section 1350)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32.2    Certification of Chief Financial Officer (18 U.S. Section 1350) </w:t>
      </w:r>
    </w:p>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contracts or compensation plans or arrangements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oc87693_21"/>
      <w:bookmarkEnd w:id="23"/>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708"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spacing w:before="0" w:after="283"/>
              <w:rPr/>
            </w:pPr>
            <w:r>
              <w:rPr/>
            </w:r>
          </w:p>
        </w:tc>
      </w:tr>
      <w:tr>
        <w:trPr/>
        <w:tc>
          <w:tcPr>
            <w:tcW w:w="37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Phillip DeZwirek,</w:t>
            </w:r>
          </w:p>
        </w:tc>
      </w:tr>
      <w:tr>
        <w:trPr/>
        <w:tc>
          <w:tcPr>
            <w:tcW w:w="37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r>
        <w:trPr/>
        <w:tc>
          <w:tcPr>
            <w:tcW w:w="37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Dated: March 30, 2006</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4"/>
        <w:gridCol w:w="304"/>
        <w:gridCol w:w="3368"/>
        <w:gridCol w:w="612"/>
        <w:gridCol w:w="1837"/>
      </w:tblGrid>
      <w:tr>
        <w:trPr/>
        <w:tc>
          <w:tcPr>
            <w:tcW w:w="408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304"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rPr/>
            </w:pPr>
            <w:r>
              <w:rPr/>
              <w:t> </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Phillip DeZwirek,</w:t>
            </w:r>
          </w:p>
          <w:p>
            <w:pPr>
              <w:pStyle w:val="TableContents"/>
              <w:spacing w:before="0" w:after="0"/>
              <w:jc w:val="center"/>
              <w:rPr>
                <w:rFonts w:ascii="Times New Roman" w:hAnsi="Times New Roman"/>
                <w:b/>
                <w:sz w:val="14"/>
              </w:rPr>
            </w:pPr>
            <w:r>
              <w:rPr>
                <w:rFonts w:ascii="Times New Roman" w:hAnsi="Times New Roman"/>
                <w:b/>
                <w:sz w:val="14"/>
              </w:rPr>
              <w:t>Chairman of the Board,</w:t>
            </w:r>
          </w:p>
          <w:p>
            <w:pPr>
              <w:pStyle w:val="TableContents"/>
              <w:spacing w:before="0" w:after="15"/>
              <w:jc w:val="center"/>
              <w:rPr>
                <w:rFonts w:ascii="Times New Roman" w:hAnsi="Times New Roman"/>
                <w:b/>
                <w:sz w:val="14"/>
              </w:rPr>
            </w:pPr>
            <w:r>
              <w:rPr>
                <w:rFonts w:ascii="Times New Roman" w:hAnsi="Times New Roman"/>
                <w:b/>
                <w:sz w:val="14"/>
              </w:rPr>
              <w:t>Director and Chief Executive Officer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and Accounting Officer</w:t>
            </w:r>
          </w:p>
        </w:tc>
        <w:tc>
          <w:tcPr>
            <w:tcW w:w="304"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rPr/>
            </w:pPr>
            <w:r>
              <w:rPr/>
              <w:t> </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15"/>
              <w:jc w:val="center"/>
              <w:rPr>
                <w:rFonts w:ascii="Times New Roman" w:hAnsi="Times New Roman"/>
                <w:b/>
                <w:sz w:val="14"/>
              </w:rPr>
            </w:pPr>
            <w:r>
              <w:rPr>
                <w:rFonts w:ascii="Times New Roman" w:hAnsi="Times New Roman"/>
                <w:b/>
                <w:sz w:val="14"/>
              </w:rPr>
              <w:t>Chief Financial Officer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R</w:t>
            </w:r>
            <w:r>
              <w:rPr>
                <w:rFonts w:ascii="Times New Roman" w:hAnsi="Times New Roman"/>
                <w:sz w:val="14"/>
              </w:rPr>
              <w:t>ICHARD</w:t>
            </w:r>
            <w:r>
              <w:rPr>
                <w:rFonts w:ascii="Times New Roman" w:hAnsi="Times New Roman"/>
                <w:sz w:val="20"/>
              </w:rPr>
              <w:t xml:space="preserve"> J. B</w:t>
            </w:r>
            <w:r>
              <w:rPr>
                <w:rFonts w:ascii="Times New Roman" w:hAnsi="Times New Roman"/>
                <w:sz w:val="14"/>
              </w:rPr>
              <w:t>LUM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Richard J. Blum,</w:t>
            </w:r>
          </w:p>
          <w:p>
            <w:pPr>
              <w:pStyle w:val="TableContents"/>
              <w:spacing w:before="0" w:after="15"/>
              <w:jc w:val="center"/>
              <w:rPr>
                <w:rFonts w:ascii="Times New Roman" w:hAnsi="Times New Roman"/>
                <w:b/>
                <w:sz w:val="14"/>
              </w:rPr>
            </w:pPr>
            <w:r>
              <w:rPr>
                <w:rFonts w:ascii="Times New Roman" w:hAnsi="Times New Roman"/>
                <w:b/>
                <w:sz w:val="14"/>
              </w:rPr>
              <w:t>President, 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J</w:t>
            </w:r>
            <w:r>
              <w:rPr>
                <w:rFonts w:ascii="Times New Roman" w:hAnsi="Times New Roman"/>
                <w:sz w:val="14"/>
              </w:rPr>
              <w:t>ASON</w:t>
            </w:r>
            <w:r>
              <w:rPr>
                <w:rFonts w:ascii="Times New Roman" w:hAnsi="Times New Roman"/>
                <w:sz w:val="20"/>
              </w:rPr>
              <w:t xml:space="preserve"> L</w:t>
            </w:r>
            <w:r>
              <w:rPr>
                <w:rFonts w:ascii="Times New Roman" w:hAnsi="Times New Roman"/>
                <w:sz w:val="14"/>
              </w:rPr>
              <w:t>OUIS</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Jason Louis DeZwirek,</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HOMAS</w:t>
            </w:r>
            <w:r>
              <w:rPr>
                <w:rFonts w:ascii="Times New Roman" w:hAnsi="Times New Roman"/>
                <w:sz w:val="20"/>
              </w:rPr>
              <w:t xml:space="preserve"> J. F</w:t>
            </w:r>
            <w:r>
              <w:rPr>
                <w:rFonts w:ascii="Times New Roman" w:hAnsi="Times New Roman"/>
                <w:sz w:val="14"/>
              </w:rPr>
              <w:t>LAHERTY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Thomas J. Flaherty,</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R</w:t>
            </w:r>
            <w:r>
              <w:rPr>
                <w:rFonts w:ascii="Times New Roman" w:hAnsi="Times New Roman"/>
                <w:sz w:val="14"/>
              </w:rPr>
              <w:t>ONALD</w:t>
            </w:r>
            <w:r>
              <w:rPr>
                <w:rFonts w:ascii="Times New Roman" w:hAnsi="Times New Roman"/>
                <w:sz w:val="20"/>
              </w:rPr>
              <w:t xml:space="preserve"> E. K</w:t>
            </w:r>
            <w:r>
              <w:rPr>
                <w:rFonts w:ascii="Times New Roman" w:hAnsi="Times New Roman"/>
                <w:sz w:val="14"/>
              </w:rPr>
              <w:t>RIEG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Ronald E. Krieg,</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A</w:t>
            </w:r>
            <w:r>
              <w:rPr>
                <w:rFonts w:ascii="Times New Roman" w:hAnsi="Times New Roman"/>
                <w:sz w:val="14"/>
              </w:rPr>
              <w:t>RTHUR</w:t>
            </w:r>
            <w:r>
              <w:rPr>
                <w:rFonts w:ascii="Times New Roman" w:hAnsi="Times New Roman"/>
                <w:sz w:val="20"/>
              </w:rPr>
              <w:t xml:space="preserve"> C</w:t>
            </w:r>
            <w:r>
              <w:rPr>
                <w:rFonts w:ascii="Times New Roman" w:hAnsi="Times New Roman"/>
                <w:sz w:val="14"/>
              </w:rPr>
              <w:t>APE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Arthur Cape,</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r>
        <w:trPr>
          <w:trHeight w:val="240" w:hRule="atLeast"/>
        </w:trPr>
        <w:tc>
          <w:tcPr>
            <w:tcW w:w="4084"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D</w:t>
            </w:r>
            <w:r>
              <w:rPr>
                <w:rFonts w:ascii="Times New Roman" w:hAnsi="Times New Roman"/>
                <w:sz w:val="14"/>
              </w:rPr>
              <w:t>ONALD</w:t>
            </w:r>
            <w:r>
              <w:rPr>
                <w:rFonts w:ascii="Times New Roman" w:hAnsi="Times New Roman"/>
                <w:sz w:val="20"/>
              </w:rPr>
              <w:t xml:space="preserve"> A. W</w:t>
            </w:r>
            <w:r>
              <w:rPr>
                <w:rFonts w:ascii="Times New Roman" w:hAnsi="Times New Roman"/>
                <w:sz w:val="14"/>
              </w:rPr>
              <w:t>RIGHT        </w:t>
            </w:r>
          </w:p>
          <w:p>
            <w:pPr>
              <w:pStyle w:val="HorizontalLine"/>
              <w:pBdr>
                <w:bottom w:val="single" w:sz="6" w:space="0" w:color="000000"/>
              </w:pBdr>
              <w:rPr/>
            </w:pPr>
            <w:r>
              <w:rPr/>
            </w:r>
          </w:p>
          <w:p>
            <w:pPr>
              <w:pStyle w:val="TableContents"/>
              <w:spacing w:before="0" w:after="0"/>
              <w:jc w:val="center"/>
              <w:rPr>
                <w:rFonts w:ascii="Times New Roman" w:hAnsi="Times New Roman"/>
                <w:b/>
                <w:sz w:val="14"/>
              </w:rPr>
            </w:pPr>
            <w:r>
              <w:rPr>
                <w:rFonts w:ascii="Times New Roman" w:hAnsi="Times New Roman"/>
                <w:b/>
                <w:sz w:val="14"/>
              </w:rPr>
              <w:t>Donald A. Wright,</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304"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pPr>
            <w:r>
              <w:rPr/>
              <w:t> </w:t>
            </w:r>
          </w:p>
        </w:tc>
        <w:tc>
          <w:tcPr>
            <w:tcW w:w="61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30, 2006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x87693_1"/>
      <w:bookmarkEnd w:id="24"/>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x87693_2"/>
      <w:bookmarkEnd w:id="25"/>
      <w:r>
        <w:rPr>
          <w:rFonts w:ascii="Times New Roman" w:hAnsi="Times New Roman"/>
          <w:b/>
          <w:sz w:val="20"/>
        </w:rPr>
        <w:t xml:space="preserve">REPORT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Board of Directors and Shareholders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audited the accompanying consolidated balance sheet of CECO Environmental Corp. and subsidiaries as of December 31, 2005,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our opinion, the consolidated financial statements referred to above present fairly, in all material respects, the financial position of CECO Environmental Corp. and subsidiaries as of December 31, 2005, and the results of their operations and their cash flows for the year ended December 31, 2005, in conformity with accounting principles generally accepted in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Battelle &amp; Battelle LLP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Dayton, Ohio </w:t>
      </w:r>
    </w:p>
    <w:p>
      <w:pPr>
        <w:pStyle w:val="TextBody"/>
        <w:spacing w:before="0" w:after="0"/>
        <w:rPr>
          <w:rFonts w:ascii="Times New Roman" w:hAnsi="Times New Roman"/>
          <w:sz w:val="20"/>
        </w:rPr>
      </w:pPr>
      <w:r>
        <w:rPr>
          <w:rFonts w:ascii="Times New Roman" w:hAnsi="Times New Roman"/>
          <w:sz w:val="20"/>
        </w:rPr>
        <w:t xml:space="preserve">March 30,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 the Board of Directors and Shareholders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audited the accompanying consolidated balance sheet of CECO Environmental Corp. and subsidiaries (the Company) as of December 31, 2004, and the related consolidated statements of operations, shareholders equity, and cash flows for each of the two years in the period ended December 31, 2004. These financial statements are the responsibility of the Companys management. Our responsibility is to express an opinion on these financial statements based on our audits.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our opinion, the consolidated financial statements referred to above present fairly, in all material respects, the financial position of the Company as of December 31, 2004 and the results of its operations and its cash flows for each of the two years in the period ended December 31, 2004, in conformity with accounting principles generally accepted in the United States of America.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/s/    D</w:t>
      </w:r>
      <w:r>
        <w:rPr>
          <w:rFonts w:ascii="Times New Roman" w:hAnsi="Times New Roman"/>
          <w:sz w:val="14"/>
        </w:rPr>
        <w:t>ELOITTE</w:t>
      </w:r>
      <w:r>
        <w:rPr>
          <w:rFonts w:ascii="Times New Roman" w:hAnsi="Times New Roman"/>
          <w:sz w:val="20"/>
        </w:rPr>
        <w:t> &amp; T</w:t>
      </w:r>
      <w:r>
        <w:rPr>
          <w:rFonts w:ascii="Times New Roman" w:hAnsi="Times New Roman"/>
          <w:sz w:val="14"/>
        </w:rPr>
        <w:t>OUCHE</w:t>
      </w:r>
      <w:r>
        <w:rPr>
          <w:rFonts w:ascii="Times New Roman" w:hAnsi="Times New Roman"/>
          <w:sz w:val="20"/>
        </w:rPr>
        <w:t xml:space="preserv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March 31,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87693_3"/>
      <w:bookmarkEnd w:id="26"/>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11"/>
        <w:gridCol w:w="318"/>
        <w:gridCol w:w="125"/>
        <w:gridCol w:w="590"/>
        <w:gridCol w:w="80"/>
        <w:gridCol w:w="283"/>
        <w:gridCol w:w="125"/>
        <w:gridCol w:w="590"/>
        <w:gridCol w:w="83"/>
      </w:tblGrid>
      <w:tr>
        <w:trPr/>
        <w:tc>
          <w:tcPr>
            <w:tcW w:w="801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9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93"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br/>
              <w:t>except per share data</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13,151</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14,055</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4,681</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4,181</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1,672</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21,795</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21,779</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9,385</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assetsfinite life, net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w:t>
            </w:r>
          </w:p>
        </w:tc>
        <w:tc>
          <w:tcPr>
            <w:tcW w:w="83" w:type="dxa"/>
            <w:tcBorders/>
            <w:shd w:fill="auto"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8011"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4,188</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subordinated notes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12,175</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3,470</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Detachable stock warrants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18,193</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19,869</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1,934</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1,967</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4,549</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2,462</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(including, related party$6,633 and $6,884, respectively)</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6,633</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7,345</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36,117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36,192</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 (Note 13)</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$.01 par value; 10,000 shares authorized, none issued</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$.01 par value; 100,000,000 shares authorized, 10,168,479 and 10,168,479 shares issued in 2005 and 2004, respectively</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3" w:type="dxa"/>
            <w:tcBorders/>
            <w:shd w:fill="auto" w:val="clear"/>
            <w:vAlign w:val="bottom"/>
          </w:tcPr>
          <w:p>
            <w:pPr>
              <w:pStyle w:val="TableContents"/>
              <w:spacing w:before="0" w:after="283"/>
              <w:rPr/>
            </w:pPr>
            <w:r>
              <w:rPr/>
              <w:t> </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(6,637</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7,256</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7,722</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175,220 and 175,220 shares in 2005 and 2004, respectively</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6,783</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7,249</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8011" w:type="dxa"/>
            <w:tcBorders/>
            <w:shd w:fill="CCEEFF" w:val="clear"/>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42,900</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83" w:type="dxa"/>
            <w:tcBorders/>
            <w:shd w:fill="CCEEFF" w:val="clear"/>
            <w:vAlign w:val="bottom"/>
          </w:tcPr>
          <w:p>
            <w:pPr>
              <w:pStyle w:val="TableContents"/>
              <w:spacing w:before="0" w:after="283"/>
              <w:rPr/>
            </w:pPr>
            <w:r>
              <w:rPr/>
              <w:t> </w:t>
            </w:r>
          </w:p>
        </w:tc>
      </w:tr>
      <w:tr>
        <w:trPr/>
        <w:tc>
          <w:tcPr>
            <w:tcW w:w="801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0"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tx87693_4"/>
      <w:bookmarkEnd w:id="27"/>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81"/>
        <w:gridCol w:w="508"/>
        <w:gridCol w:w="125"/>
        <w:gridCol w:w="853"/>
        <w:gridCol w:w="80"/>
        <w:gridCol w:w="468"/>
        <w:gridCol w:w="125"/>
        <w:gridCol w:w="853"/>
        <w:gridCol w:w="80"/>
        <w:gridCol w:w="467"/>
        <w:gridCol w:w="125"/>
        <w:gridCol w:w="853"/>
        <w:gridCol w:w="87"/>
      </w:tblGrid>
      <w:tr>
        <w:trPr/>
        <w:tc>
          <w:tcPr>
            <w:tcW w:w="5581"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4029"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4029"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7" w:type="dxa"/>
            <w:tcBorders/>
            <w:shd w:fill="auto" w:val="clear"/>
            <w:vAlign w:val="bottom"/>
          </w:tcPr>
          <w:p>
            <w:pPr>
              <w:pStyle w:val="TableContents"/>
              <w:spacing w:before="0" w:after="283"/>
              <w:rPr/>
            </w:pPr>
            <w:r>
              <w:rPr/>
              <w:t> </w:t>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81,521</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69,366</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68,159</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64,521</w:t>
            </w:r>
          </w:p>
        </w:tc>
        <w:tc>
          <w:tcPr>
            <w:tcW w:w="8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56,271</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55,148</w:t>
            </w:r>
          </w:p>
        </w:tc>
        <w:tc>
          <w:tcPr>
            <w:tcW w:w="87" w:type="dxa"/>
            <w:tcBorders/>
            <w:shd w:fill="auto" w:val="clear"/>
            <w:vAlign w:val="bottom"/>
          </w:tcPr>
          <w:p>
            <w:pPr>
              <w:pStyle w:val="TableContents"/>
              <w:spacing w:before="0" w:after="283"/>
              <w:rPr/>
            </w:pPr>
            <w:r>
              <w:rPr/>
              <w:t> </w:t>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12,308</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10,656</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10,402</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8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1,254</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1,245</w:t>
            </w:r>
          </w:p>
        </w:tc>
        <w:tc>
          <w:tcPr>
            <w:tcW w:w="87" w:type="dxa"/>
            <w:tcBorders/>
            <w:shd w:fill="auto"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581" w:type="dxa"/>
            <w:tcBorders/>
            <w:shd w:fill="CCEEFF" w:val="clear"/>
          </w:tcPr>
          <w:p>
            <w:pPr>
              <w:pStyle w:val="TableContents"/>
              <w:spacing w:before="0" w:after="283"/>
              <w:rPr/>
            </w:pPr>
            <w:r>
              <w:rPr/>
              <w:t> </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77,996</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68,181</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66,795</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1,364</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87" w:type="dxa"/>
            <w:tcBorders/>
            <w:shd w:fill="auto" w:val="clear"/>
            <w:vAlign w:val="bottom"/>
          </w:tcPr>
          <w:p>
            <w:pPr>
              <w:pStyle w:val="TableContents"/>
              <w:spacing w:before="0" w:after="283"/>
              <w:rPr/>
            </w:pPr>
            <w:r>
              <w:rPr/>
              <w:t> </w:t>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$1,049, $873 and $817, respectively)</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(2,611</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before income taxes</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8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 (benefit)</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8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per sharebasic and diluted</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558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5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5581"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0"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9,989,666</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9,852,280</w:t>
            </w:r>
          </w:p>
        </w:tc>
        <w:tc>
          <w:tcPr>
            <w:tcW w:w="87" w:type="dxa"/>
            <w:tcBorders/>
            <w:shd w:fill="auto" w:val="clear"/>
            <w:vAlign w:val="bottom"/>
          </w:tcPr>
          <w:p>
            <w:pPr>
              <w:pStyle w:val="TableContents"/>
              <w:spacing w:before="0" w:after="283"/>
              <w:rPr/>
            </w:pPr>
            <w:r>
              <w:rPr/>
              <w:t> </w:t>
            </w:r>
          </w:p>
        </w:tc>
      </w:tr>
      <w:tr>
        <w:trPr/>
        <w:tc>
          <w:tcPr>
            <w:tcW w:w="558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3"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tx87693_5"/>
      <w:bookmarkEnd w:id="28"/>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SHAREHOLDERS EQUITY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69"/>
        <w:gridCol w:w="163"/>
        <w:gridCol w:w="479"/>
        <w:gridCol w:w="65"/>
        <w:gridCol w:w="163"/>
        <w:gridCol w:w="154"/>
        <w:gridCol w:w="365"/>
        <w:gridCol w:w="65"/>
        <w:gridCol w:w="163"/>
        <w:gridCol w:w="113"/>
        <w:gridCol w:w="536"/>
        <w:gridCol w:w="64"/>
        <w:gridCol w:w="163"/>
        <w:gridCol w:w="95"/>
        <w:gridCol w:w="458"/>
        <w:gridCol w:w="65"/>
        <w:gridCol w:w="163"/>
        <w:gridCol w:w="195"/>
        <w:gridCol w:w="656"/>
        <w:gridCol w:w="65"/>
        <w:gridCol w:w="163"/>
        <w:gridCol w:w="479"/>
        <w:gridCol w:w="65"/>
        <w:gridCol w:w="163"/>
        <w:gridCol w:w="95"/>
        <w:gridCol w:w="397"/>
        <w:gridCol w:w="64"/>
        <w:gridCol w:w="163"/>
        <w:gridCol w:w="95"/>
        <w:gridCol w:w="365"/>
        <w:gridCol w:w="65"/>
        <w:gridCol w:w="163"/>
        <w:gridCol w:w="119"/>
        <w:gridCol w:w="377"/>
        <w:gridCol w:w="73"/>
      </w:tblGrid>
      <w:tr>
        <w:trPr/>
        <w:tc>
          <w:tcPr>
            <w:tcW w:w="316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226"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Common Stock</w:t>
            </w:r>
          </w:p>
          <w:p>
            <w:pPr>
              <w:pStyle w:val="HorizontalLine"/>
              <w:pBdr>
                <w:bottom w:val="single" w:sz="6" w:space="0" w:color="000000"/>
              </w:pBdr>
              <w:spacing w:before="0" w:after="283"/>
              <w:rPr/>
            </w:pPr>
            <w:r>
              <w:rPr/>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49"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Capital in</w:t>
            </w:r>
          </w:p>
          <w:p>
            <w:pPr>
              <w:pStyle w:val="TableContents"/>
              <w:spacing w:before="0" w:after="0"/>
              <w:jc w:val="center"/>
              <w:rPr>
                <w:rFonts w:ascii="Times New Roman" w:hAnsi="Times New Roman"/>
                <w:b/>
                <w:sz w:val="14"/>
              </w:rPr>
            </w:pPr>
            <w:r>
              <w:rPr>
                <w:rFonts w:ascii="Times New Roman" w:hAnsi="Times New Roman"/>
                <w:b/>
                <w:sz w:val="14"/>
              </w:rPr>
              <w:t>Excess of</w:t>
            </w:r>
          </w:p>
          <w:p>
            <w:pPr>
              <w:pStyle w:val="TableContents"/>
              <w:spacing w:before="0" w:after="0"/>
              <w:jc w:val="center"/>
              <w:rPr>
                <w:rFonts w:ascii="Times New Roman" w:hAnsi="Times New Roman"/>
                <w:b/>
                <w:sz w:val="14"/>
              </w:rPr>
            </w:pPr>
            <w:r>
              <w:rPr>
                <w:rFonts w:ascii="Times New Roman" w:hAnsi="Times New Roman"/>
                <w:b/>
                <w:sz w:val="14"/>
              </w:rPr>
              <w:t>Par Value</w:t>
            </w:r>
          </w:p>
          <w:p>
            <w:pPr>
              <w:pStyle w:val="HorizontalLine"/>
              <w:pBdr>
                <w:bottom w:val="single" w:sz="6" w:space="0" w:color="000000"/>
              </w:pBdr>
              <w:spacing w:before="0" w:after="283"/>
              <w:rPr/>
            </w:pPr>
            <w:r>
              <w:rPr/>
            </w:r>
          </w:p>
        </w:tc>
        <w:tc>
          <w:tcPr>
            <w:tcW w:w="64" w:type="dxa"/>
            <w:vMerge w:val="restart"/>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53"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Accumu-</w:t>
            </w:r>
          </w:p>
          <w:p>
            <w:pPr>
              <w:pStyle w:val="TableContents"/>
              <w:spacing w:before="0" w:after="0"/>
              <w:jc w:val="center"/>
              <w:rPr>
                <w:rFonts w:ascii="Times New Roman" w:hAnsi="Times New Roman"/>
                <w:b/>
                <w:sz w:val="14"/>
              </w:rPr>
            </w:pPr>
            <w:r>
              <w:rPr>
                <w:rFonts w:ascii="Times New Roman" w:hAnsi="Times New Roman"/>
                <w:b/>
                <w:sz w:val="14"/>
              </w:rPr>
              <w:t>lated</w:t>
              <w:br/>
              <w:t>Deficit</w:t>
            </w:r>
          </w:p>
          <w:p>
            <w:pPr>
              <w:pStyle w:val="HorizontalLine"/>
              <w:pBdr>
                <w:bottom w:val="single" w:sz="6" w:space="0" w:color="000000"/>
              </w:pBdr>
              <w:spacing w:before="0" w:after="283"/>
              <w:rPr/>
            </w:pPr>
            <w:r>
              <w:rPr/>
            </w:r>
          </w:p>
        </w:tc>
        <w:tc>
          <w:tcPr>
            <w:tcW w:w="65" w:type="dxa"/>
            <w:vMerge w:val="restart"/>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51"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Accumulated</w:t>
              <w:br/>
              <w:t>Other</w:t>
              <w:br/>
              <w:t>Compre-</w:t>
            </w:r>
          </w:p>
          <w:p>
            <w:pPr>
              <w:pStyle w:val="TableContents"/>
              <w:spacing w:before="0" w:after="0"/>
              <w:jc w:val="center"/>
              <w:rPr>
                <w:rFonts w:ascii="Times New Roman" w:hAnsi="Times New Roman"/>
                <w:b/>
                <w:sz w:val="14"/>
              </w:rPr>
            </w:pPr>
            <w:r>
              <w:rPr>
                <w:rFonts w:ascii="Times New Roman" w:hAnsi="Times New Roman"/>
                <w:b/>
                <w:sz w:val="14"/>
              </w:rPr>
              <w:t>hensive Loss</w:t>
            </w:r>
          </w:p>
          <w:p>
            <w:pPr>
              <w:pStyle w:val="HorizontalLine"/>
              <w:pBdr>
                <w:bottom w:val="single" w:sz="6" w:space="0" w:color="000000"/>
              </w:pBdr>
              <w:spacing w:before="0" w:after="283"/>
              <w:rPr/>
            </w:pPr>
            <w:r>
              <w:rPr/>
            </w:r>
          </w:p>
        </w:tc>
        <w:tc>
          <w:tcPr>
            <w:tcW w:w="65" w:type="dxa"/>
            <w:vMerge w:val="restart"/>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9"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Treasury Stock</w:t>
            </w:r>
          </w:p>
          <w:p>
            <w:pPr>
              <w:pStyle w:val="HorizontalLine"/>
              <w:pBdr>
                <w:bottom w:val="single" w:sz="6" w:space="0" w:color="000000"/>
              </w:pBdr>
              <w:spacing w:before="0" w:after="283"/>
              <w:rPr/>
            </w:pPr>
            <w:r>
              <w:rPr/>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60"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65" w:type="dxa"/>
            <w:vMerge w:val="restart"/>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96"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br/>
              <w:t>Compre-</w:t>
            </w:r>
          </w:p>
          <w:p>
            <w:pPr>
              <w:pStyle w:val="TableContents"/>
              <w:spacing w:before="0" w:after="0"/>
              <w:jc w:val="center"/>
              <w:rPr>
                <w:rFonts w:ascii="Times New Roman" w:hAnsi="Times New Roman"/>
                <w:b/>
                <w:sz w:val="14"/>
              </w:rPr>
            </w:pPr>
            <w:r>
              <w:rPr>
                <w:rFonts w:ascii="Times New Roman" w:hAnsi="Times New Roman"/>
                <w:b/>
                <w:sz w:val="14"/>
              </w:rPr>
              <w:t>hensive</w:t>
              <w:br/>
              <w:t>Loss</w:t>
            </w:r>
          </w:p>
          <w:p>
            <w:pPr>
              <w:pStyle w:val="HorizontalLine"/>
              <w:pBdr>
                <w:bottom w:val="single" w:sz="6" w:space="0" w:color="000000"/>
              </w:pBdr>
              <w:spacing w:before="0" w:after="283"/>
              <w:rPr/>
            </w:pPr>
            <w:r>
              <w:rPr/>
            </w:r>
          </w:p>
        </w:tc>
        <w:tc>
          <w:tcPr>
            <w:tcW w:w="73" w:type="dxa"/>
            <w:vMerge w:val="restart"/>
            <w:tcBorders/>
            <w:shd w:fill="auto" w:val="clear"/>
            <w:vAlign w:val="bottom"/>
          </w:tcPr>
          <w:p>
            <w:pPr>
              <w:pStyle w:val="TableContents"/>
              <w:spacing w:before="0" w:after="283"/>
              <w:rPr/>
            </w:pPr>
            <w:r>
              <w:rPr/>
              <w:t> </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1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w:t>
            </w:r>
          </w:p>
          <w:p>
            <w:pPr>
              <w:pStyle w:val="HorizontalLine"/>
              <w:pBdr>
                <w:bottom w:val="single" w:sz="6" w:space="0" w:color="000000"/>
              </w:pBdr>
              <w:spacing w:before="0" w:after="283"/>
              <w:rPr/>
            </w:pPr>
            <w:r>
              <w:rPr/>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49" w:type="dxa"/>
            <w:gridSpan w:val="2"/>
            <w:vMerge w:val="continue"/>
            <w:tcBorders/>
            <w:shd w:fill="auto" w:val="clear"/>
            <w:vAlign w:val="bottom"/>
          </w:tcPr>
          <w:p>
            <w:pPr>
              <w:pStyle w:val="Normal"/>
              <w:rPr/>
            </w:pPr>
            <w:r>
              <w:rPr/>
            </w:r>
          </w:p>
        </w:tc>
        <w:tc>
          <w:tcPr>
            <w:tcW w:w="64" w:type="dxa"/>
            <w:vMerge w:val="continue"/>
            <w:tcBorders/>
            <w:shd w:fill="auto" w:val="clear"/>
            <w:vAlign w:val="bottom"/>
          </w:tcPr>
          <w:p>
            <w:pPr>
              <w:pStyle w:val="Normal"/>
              <w:rPr/>
            </w:pPr>
            <w:r>
              <w:rPr/>
            </w:r>
          </w:p>
        </w:tc>
        <w:tc>
          <w:tcPr>
            <w:tcW w:w="163" w:type="dxa"/>
            <w:tcBorders/>
            <w:shd w:fill="auto" w:val="clear"/>
            <w:vAlign w:val="bottom"/>
          </w:tcPr>
          <w:p>
            <w:pPr>
              <w:pStyle w:val="TableContents"/>
              <w:spacing w:before="0" w:after="283"/>
              <w:rPr/>
            </w:pPr>
            <w:r>
              <w:rPr/>
              <w:t> </w:t>
            </w:r>
          </w:p>
        </w:tc>
        <w:tc>
          <w:tcPr>
            <w:tcW w:w="553" w:type="dxa"/>
            <w:gridSpan w:val="2"/>
            <w:vMerge w:val="continue"/>
            <w:tcBorders/>
            <w:shd w:fill="auto" w:val="clear"/>
            <w:vAlign w:val="bottom"/>
          </w:tcPr>
          <w:p>
            <w:pPr>
              <w:pStyle w:val="Normal"/>
              <w:rPr/>
            </w:pPr>
            <w:r>
              <w:rPr/>
            </w:r>
          </w:p>
        </w:tc>
        <w:tc>
          <w:tcPr>
            <w:tcW w:w="65" w:type="dxa"/>
            <w:vMerge w:val="continue"/>
            <w:tcBorders/>
            <w:shd w:fill="auto" w:val="clear"/>
            <w:vAlign w:val="bottom"/>
          </w:tcPr>
          <w:p>
            <w:pPr>
              <w:pStyle w:val="Normal"/>
              <w:rPr/>
            </w:pPr>
            <w:r>
              <w:rPr/>
            </w:r>
          </w:p>
        </w:tc>
        <w:tc>
          <w:tcPr>
            <w:tcW w:w="163" w:type="dxa"/>
            <w:tcBorders/>
            <w:shd w:fill="auto" w:val="clear"/>
            <w:vAlign w:val="bottom"/>
          </w:tcPr>
          <w:p>
            <w:pPr>
              <w:pStyle w:val="TableContents"/>
              <w:spacing w:before="0" w:after="283"/>
              <w:rPr/>
            </w:pPr>
            <w:r>
              <w:rPr/>
              <w:t> </w:t>
            </w:r>
          </w:p>
        </w:tc>
        <w:tc>
          <w:tcPr>
            <w:tcW w:w="851" w:type="dxa"/>
            <w:gridSpan w:val="2"/>
            <w:vMerge w:val="continue"/>
            <w:tcBorders/>
            <w:shd w:fill="auto" w:val="clear"/>
            <w:vAlign w:val="bottom"/>
          </w:tcPr>
          <w:p>
            <w:pPr>
              <w:pStyle w:val="Normal"/>
              <w:rPr/>
            </w:pPr>
            <w:r>
              <w:rPr/>
            </w:r>
          </w:p>
        </w:tc>
        <w:tc>
          <w:tcPr>
            <w:tcW w:w="65" w:type="dxa"/>
            <w:vMerge w:val="continue"/>
            <w:tcBorders/>
            <w:shd w:fill="auto" w:val="clear"/>
            <w:vAlign w:val="bottom"/>
          </w:tcPr>
          <w:p>
            <w:pPr>
              <w:pStyle w:val="Normal"/>
              <w:rPr/>
            </w:pPr>
            <w:r>
              <w:rPr/>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9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w:t>
            </w:r>
          </w:p>
          <w:p>
            <w:pPr>
              <w:pStyle w:val="HorizontalLine"/>
              <w:pBdr>
                <w:bottom w:val="single" w:sz="6" w:space="0" w:color="000000"/>
              </w:pBdr>
              <w:spacing w:before="0" w:after="283"/>
              <w:rPr/>
            </w:pPr>
            <w:r>
              <w:rPr/>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60" w:type="dxa"/>
            <w:gridSpan w:val="2"/>
            <w:vMerge w:val="continue"/>
            <w:tcBorders/>
            <w:shd w:fill="auto" w:val="clear"/>
            <w:vAlign w:val="bottom"/>
          </w:tcPr>
          <w:p>
            <w:pPr>
              <w:pStyle w:val="Normal"/>
              <w:rPr/>
            </w:pPr>
            <w:r>
              <w:rPr/>
            </w:r>
          </w:p>
        </w:tc>
        <w:tc>
          <w:tcPr>
            <w:tcW w:w="65" w:type="dxa"/>
            <w:vMerge w:val="continue"/>
            <w:tcBorders/>
            <w:shd w:fill="auto" w:val="clear"/>
            <w:vAlign w:val="bottom"/>
          </w:tcPr>
          <w:p>
            <w:pPr>
              <w:pStyle w:val="Normal"/>
              <w:rPr/>
            </w:pPr>
            <w:r>
              <w:rPr/>
            </w:r>
          </w:p>
        </w:tc>
        <w:tc>
          <w:tcPr>
            <w:tcW w:w="163" w:type="dxa"/>
            <w:tcBorders/>
            <w:shd w:fill="auto" w:val="clear"/>
            <w:vAlign w:val="bottom"/>
          </w:tcPr>
          <w:p>
            <w:pPr>
              <w:pStyle w:val="TableContents"/>
              <w:spacing w:before="0" w:after="283"/>
              <w:rPr/>
            </w:pPr>
            <w:r>
              <w:rPr/>
              <w:t> </w:t>
            </w:r>
          </w:p>
        </w:tc>
        <w:tc>
          <w:tcPr>
            <w:tcW w:w="496" w:type="dxa"/>
            <w:gridSpan w:val="2"/>
            <w:vMerge w:val="continue"/>
            <w:tcBorders/>
            <w:shd w:fill="auto" w:val="clear"/>
            <w:vAlign w:val="bottom"/>
          </w:tcPr>
          <w:p>
            <w:pPr>
              <w:pStyle w:val="Normal"/>
              <w:rPr/>
            </w:pPr>
            <w:r>
              <w:rPr/>
            </w:r>
          </w:p>
        </w:tc>
        <w:tc>
          <w:tcPr>
            <w:tcW w:w="73" w:type="dxa"/>
            <w:vMerge w:val="continue"/>
            <w:tcBorders/>
            <w:shd w:fill="auto" w:val="clear"/>
            <w:vAlign w:val="bottom"/>
          </w:tcPr>
          <w:p>
            <w:pPr>
              <w:pStyle w:val="Normal"/>
              <w:rPr/>
            </w:pPr>
            <w:r>
              <w:rPr/>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800" w:type="dxa"/>
            <w:gridSpan w:val="3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73" w:type="dxa"/>
            <w:tcBorders/>
            <w:shd w:fill="auto" w:val="clear"/>
            <w:vAlign w:val="bottom"/>
          </w:tcPr>
          <w:p>
            <w:pPr>
              <w:pStyle w:val="TableContents"/>
              <w:spacing w:before="0" w:after="283"/>
              <w:rPr/>
            </w:pPr>
            <w:r>
              <w:rPr/>
              <w:t> </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January 1, 2003</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10,391</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16,313</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(5,042</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(865</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(801</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(1,804</w:t>
            </w:r>
          </w:p>
        </w:tc>
        <w:tc>
          <w:tcPr>
            <w:tcW w:w="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8,706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Net loss for the year ended December 31, 2003</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(667</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(667</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(667</w:t>
            </w:r>
          </w:p>
        </w:tc>
        <w:tc>
          <w:tcPr>
            <w:tcW w:w="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under contingent stock warrants</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382</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6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Other comprehensive loss:</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Minimum pension liability, net of tax $(20)</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536"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656"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6" w:space="0" w:color="000000"/>
              </w:pBdr>
              <w:spacing w:before="0" w:after="283"/>
              <w:rPr/>
            </w:pPr>
            <w:r>
              <w:rPr/>
            </w:r>
          </w:p>
        </w:tc>
        <w:tc>
          <w:tcPr>
            <w:tcW w:w="377" w:type="dxa"/>
            <w:tcBorders/>
            <w:shd w:fill="auto" w:val="clear"/>
            <w:vAlign w:val="bottom"/>
          </w:tcPr>
          <w:p>
            <w:pPr>
              <w:pStyle w:val="HorizontalLine"/>
              <w:pBdr>
                <w:bottom w:val="single" w:sz="6" w:space="0" w:color="000000"/>
              </w:pBdr>
              <w:spacing w:before="0" w:after="283"/>
              <w:rPr/>
            </w:pPr>
            <w:r>
              <w:rPr/>
            </w:r>
          </w:p>
        </w:tc>
        <w:tc>
          <w:tcPr>
            <w:tcW w:w="73" w:type="dxa"/>
            <w:tcBorders/>
            <w:shd w:fill="auto" w:val="clear"/>
            <w:vAlign w:val="bottom"/>
          </w:tcPr>
          <w:p>
            <w:pPr>
              <w:pStyle w:val="HorizontalLine"/>
              <w:pBdr>
                <w:bottom w:val="single" w:sz="6" w:space="0" w:color="FFFFFF"/>
              </w:pBdr>
              <w:spacing w:before="0" w:after="283"/>
              <w:rPr/>
            </w:pPr>
            <w:r>
              <w:rPr/>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December 31, 2003</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10,786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108</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16,329</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(5,709</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(894</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(801</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(1,804</w:t>
            </w:r>
          </w:p>
        </w:tc>
        <w:tc>
          <w:tcPr>
            <w:tcW w:w="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8,030</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(696</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18" w:space="0" w:color="000000"/>
              </w:pBdr>
              <w:spacing w:before="0" w:after="283"/>
              <w:rPr/>
            </w:pPr>
            <w:r>
              <w:rPr/>
            </w:r>
          </w:p>
        </w:tc>
        <w:tc>
          <w:tcPr>
            <w:tcW w:w="377" w:type="dxa"/>
            <w:tcBorders/>
            <w:shd w:fill="auto" w:val="clear"/>
            <w:vAlign w:val="bottom"/>
          </w:tcPr>
          <w:p>
            <w:pPr>
              <w:pStyle w:val="HorizontalLine"/>
              <w:pBdr>
                <w:bottom w:val="single" w:sz="18" w:space="0" w:color="000000"/>
              </w:pBdr>
              <w:spacing w:before="0" w:after="283"/>
              <w:rPr/>
            </w:pPr>
            <w:r>
              <w:rPr/>
            </w:r>
          </w:p>
        </w:tc>
        <w:tc>
          <w:tcPr>
            <w:tcW w:w="73" w:type="dxa"/>
            <w:tcBorders/>
            <w:shd w:fill="auto" w:val="clear"/>
            <w:vAlign w:val="bottom"/>
          </w:tcPr>
          <w:p>
            <w:pPr>
              <w:pStyle w:val="HorizontalLine"/>
              <w:pBdr>
                <w:bottom w:val="single" w:sz="18" w:space="0" w:color="FFFFFF"/>
              </w:pBdr>
              <w:spacing w:before="0" w:after="283"/>
              <w:rPr/>
            </w:pPr>
            <w:r>
              <w:rPr/>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 for the year ended December 31, 2004</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Treasury stock retirement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(1,325</w:t>
            </w:r>
          </w:p>
        </w:tc>
        <w:tc>
          <w:tcPr>
            <w:tcW w:w="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1,331</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Other comprehensive loss:</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Minimum pension liability, net of tax $90</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136</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136</w:t>
            </w:r>
          </w:p>
        </w:tc>
        <w:tc>
          <w:tcPr>
            <w:tcW w:w="73" w:type="dxa"/>
            <w:tcBorders/>
            <w:shd w:fill="CCEEFF" w:val="clear"/>
            <w:vAlign w:val="bottom"/>
          </w:tcPr>
          <w:p>
            <w:pPr>
              <w:pStyle w:val="TableContents"/>
              <w:spacing w:before="0" w:after="283"/>
              <w:rPr/>
            </w:pPr>
            <w:r>
              <w:rPr/>
              <w:t> </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Translation loss</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6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536"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656"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6" w:space="0" w:color="000000"/>
              </w:pBdr>
              <w:spacing w:before="0" w:after="283"/>
              <w:rPr/>
            </w:pPr>
            <w:r>
              <w:rPr/>
            </w:r>
          </w:p>
        </w:tc>
        <w:tc>
          <w:tcPr>
            <w:tcW w:w="377" w:type="dxa"/>
            <w:tcBorders/>
            <w:shd w:fill="auto" w:val="clear"/>
            <w:vAlign w:val="bottom"/>
          </w:tcPr>
          <w:p>
            <w:pPr>
              <w:pStyle w:val="HorizontalLine"/>
              <w:pBdr>
                <w:bottom w:val="single" w:sz="6" w:space="0" w:color="000000"/>
              </w:pBdr>
              <w:spacing w:before="0" w:after="283"/>
              <w:rPr/>
            </w:pPr>
            <w:r>
              <w:rPr/>
            </w:r>
          </w:p>
        </w:tc>
        <w:tc>
          <w:tcPr>
            <w:tcW w:w="73" w:type="dxa"/>
            <w:tcBorders/>
            <w:shd w:fill="auto" w:val="clear"/>
            <w:vAlign w:val="bottom"/>
          </w:tcPr>
          <w:p>
            <w:pPr>
              <w:pStyle w:val="HorizontalLine"/>
              <w:pBdr>
                <w:bottom w:val="single" w:sz="6" w:space="0" w:color="FFFFFF"/>
              </w:pBdr>
              <w:spacing w:before="0" w:after="283"/>
              <w:rPr/>
            </w:pPr>
            <w:r>
              <w:rPr/>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December 31, 2004</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10,168</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15,017</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(6,637</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(760</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(175</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(473</w:t>
            </w:r>
          </w:p>
        </w:tc>
        <w:tc>
          <w:tcPr>
            <w:tcW w:w="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7,249</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(794</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18" w:space="0" w:color="000000"/>
              </w:pBdr>
              <w:spacing w:before="0" w:after="283"/>
              <w:rPr/>
            </w:pPr>
            <w:r>
              <w:rPr/>
            </w:r>
          </w:p>
        </w:tc>
        <w:tc>
          <w:tcPr>
            <w:tcW w:w="377" w:type="dxa"/>
            <w:tcBorders/>
            <w:shd w:fill="auto" w:val="clear"/>
            <w:vAlign w:val="bottom"/>
          </w:tcPr>
          <w:p>
            <w:pPr>
              <w:pStyle w:val="HorizontalLine"/>
              <w:pBdr>
                <w:bottom w:val="single" w:sz="18" w:space="0" w:color="000000"/>
              </w:pBdr>
              <w:spacing w:before="0" w:after="283"/>
              <w:rPr/>
            </w:pPr>
            <w:r>
              <w:rPr/>
            </w:r>
          </w:p>
        </w:tc>
        <w:tc>
          <w:tcPr>
            <w:tcW w:w="73" w:type="dxa"/>
            <w:tcBorders/>
            <w:shd w:fill="auto" w:val="clear"/>
            <w:vAlign w:val="bottom"/>
          </w:tcPr>
          <w:p>
            <w:pPr>
              <w:pStyle w:val="HorizontalLine"/>
              <w:pBdr>
                <w:bottom w:val="single" w:sz="18" w:space="0" w:color="FFFFFF"/>
              </w:pBdr>
              <w:spacing w:before="0" w:after="283"/>
              <w:rPr/>
            </w:pPr>
            <w:r>
              <w:rPr/>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Net loss for the year ended December 31, 2005</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Other comprehensive loss:</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Minimum pension liability, net of tax $(22)</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tcPr>
          <w:p>
            <w:pPr>
              <w:pStyle w:val="TableContents"/>
              <w:spacing w:before="0" w:after="283"/>
              <w:rPr>
                <w:rFonts w:ascii="Times New Roman" w:hAnsi="Times New Roman"/>
                <w:sz w:val="14"/>
              </w:rPr>
            </w:pPr>
            <w:r>
              <w:rPr>
                <w:rFonts w:ascii="Times New Roman" w:hAnsi="Times New Roman"/>
                <w:sz w:val="14"/>
              </w:rPr>
              <w:t>Translation gain</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6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73" w:type="dxa"/>
            <w:tcBorders/>
            <w:shd w:fill="auto" w:val="clear"/>
            <w:vAlign w:val="bottom"/>
          </w:tcPr>
          <w:p>
            <w:pPr>
              <w:pStyle w:val="TableContents"/>
              <w:spacing w:before="0" w:after="283"/>
              <w:rPr/>
            </w:pPr>
            <w:r>
              <w:rPr/>
              <w:t> </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536"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6" w:space="0" w:color="000000"/>
              </w:pBdr>
              <w:spacing w:before="0" w:after="283"/>
              <w:rPr/>
            </w:pPr>
            <w:r>
              <w:rPr/>
            </w:r>
          </w:p>
        </w:tc>
        <w:tc>
          <w:tcPr>
            <w:tcW w:w="656"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64"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365" w:type="dxa"/>
            <w:tcBorders/>
            <w:shd w:fill="auto" w:val="clear"/>
            <w:vAlign w:val="bottom"/>
          </w:tcPr>
          <w:p>
            <w:pPr>
              <w:pStyle w:val="HorizontalLine"/>
              <w:pBdr>
                <w:bottom w:val="single" w:sz="6" w:space="0" w:color="000000"/>
              </w:pBdr>
              <w:spacing w:before="0" w:after="283"/>
              <w:rPr/>
            </w:pPr>
            <w:r>
              <w:rPr/>
            </w:r>
          </w:p>
        </w:tc>
        <w:tc>
          <w:tcPr>
            <w:tcW w:w="65" w:type="dxa"/>
            <w:tcBorders/>
            <w:shd w:fill="auto" w:val="clear"/>
            <w:vAlign w:val="bottom"/>
          </w:tcPr>
          <w:p>
            <w:pPr>
              <w:pStyle w:val="HorizontalLine"/>
              <w:pBdr>
                <w:bottom w:val="single" w:sz="6"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6" w:space="0" w:color="000000"/>
              </w:pBdr>
              <w:spacing w:before="0" w:after="283"/>
              <w:rPr/>
            </w:pPr>
            <w:r>
              <w:rPr/>
            </w:r>
          </w:p>
        </w:tc>
        <w:tc>
          <w:tcPr>
            <w:tcW w:w="377" w:type="dxa"/>
            <w:tcBorders/>
            <w:shd w:fill="auto" w:val="clear"/>
            <w:vAlign w:val="bottom"/>
          </w:tcPr>
          <w:p>
            <w:pPr>
              <w:pStyle w:val="HorizontalLine"/>
              <w:pBdr>
                <w:bottom w:val="single" w:sz="6" w:space="0" w:color="000000"/>
              </w:pBdr>
              <w:spacing w:before="0" w:after="283"/>
              <w:rPr/>
            </w:pPr>
            <w:r>
              <w:rPr/>
            </w:r>
          </w:p>
        </w:tc>
        <w:tc>
          <w:tcPr>
            <w:tcW w:w="73" w:type="dxa"/>
            <w:tcBorders/>
            <w:shd w:fill="auto" w:val="clear"/>
            <w:vAlign w:val="bottom"/>
          </w:tcPr>
          <w:p>
            <w:pPr>
              <w:pStyle w:val="HorizontalLine"/>
              <w:pBdr>
                <w:bottom w:val="single" w:sz="6" w:space="0" w:color="FFFFFF"/>
              </w:pBdr>
              <w:spacing w:before="0" w:after="283"/>
              <w:rPr/>
            </w:pPr>
            <w:r>
              <w:rPr/>
            </w:r>
          </w:p>
        </w:tc>
      </w:tr>
      <w:tr>
        <w:trPr/>
        <w:tc>
          <w:tcPr>
            <w:tcW w:w="316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December 31, 2005</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10,168</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15,017</w:t>
            </w:r>
          </w:p>
        </w:tc>
        <w:tc>
          <w:tcPr>
            <w:tcW w:w="64"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(7,072</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(791</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(175</w:t>
            </w:r>
          </w:p>
        </w:tc>
        <w:tc>
          <w:tcPr>
            <w:tcW w:w="6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(473</w:t>
            </w:r>
          </w:p>
        </w:tc>
        <w:tc>
          <w:tcPr>
            <w:tcW w:w="6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63"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6,783</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(466</w:t>
            </w:r>
          </w:p>
        </w:tc>
        <w:tc>
          <w:tcPr>
            <w:tcW w:w="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169"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365"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18" w:space="0" w:color="000000"/>
              </w:pBdr>
              <w:spacing w:before="0" w:after="283"/>
              <w:rPr/>
            </w:pPr>
            <w:r>
              <w:rPr/>
            </w:r>
          </w:p>
        </w:tc>
        <w:tc>
          <w:tcPr>
            <w:tcW w:w="536" w:type="dxa"/>
            <w:tcBorders/>
            <w:shd w:fill="auto" w:val="clear"/>
            <w:vAlign w:val="bottom"/>
          </w:tcPr>
          <w:p>
            <w:pPr>
              <w:pStyle w:val="HorizontalLine"/>
              <w:pBdr>
                <w:bottom w:val="single" w:sz="18" w:space="0" w:color="000000"/>
              </w:pBdr>
              <w:spacing w:before="0" w:after="283"/>
              <w:rPr/>
            </w:pPr>
            <w:r>
              <w:rPr/>
            </w:r>
          </w:p>
        </w:tc>
        <w:tc>
          <w:tcPr>
            <w:tcW w:w="64"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458"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95" w:type="dxa"/>
            <w:tcBorders/>
            <w:shd w:fill="auto" w:val="clear"/>
            <w:vAlign w:val="bottom"/>
          </w:tcPr>
          <w:p>
            <w:pPr>
              <w:pStyle w:val="HorizontalLine"/>
              <w:pBdr>
                <w:bottom w:val="single" w:sz="18" w:space="0" w:color="000000"/>
              </w:pBdr>
              <w:spacing w:before="0" w:after="283"/>
              <w:rPr/>
            </w:pPr>
            <w:r>
              <w:rPr/>
            </w:r>
          </w:p>
        </w:tc>
        <w:tc>
          <w:tcPr>
            <w:tcW w:w="656"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64"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365" w:type="dxa"/>
            <w:tcBorders/>
            <w:shd w:fill="auto" w:val="clear"/>
            <w:vAlign w:val="bottom"/>
          </w:tcPr>
          <w:p>
            <w:pPr>
              <w:pStyle w:val="HorizontalLine"/>
              <w:pBdr>
                <w:bottom w:val="single" w:sz="18" w:space="0" w:color="000000"/>
              </w:pBdr>
              <w:spacing w:before="0" w:after="283"/>
              <w:rPr/>
            </w:pPr>
            <w:r>
              <w:rPr/>
            </w:r>
          </w:p>
        </w:tc>
        <w:tc>
          <w:tcPr>
            <w:tcW w:w="65" w:type="dxa"/>
            <w:tcBorders/>
            <w:shd w:fill="auto" w:val="clear"/>
            <w:vAlign w:val="bottom"/>
          </w:tcPr>
          <w:p>
            <w:pPr>
              <w:pStyle w:val="HorizontalLine"/>
              <w:pBdr>
                <w:bottom w:val="single" w:sz="18" w:space="0" w:color="FFFFFF"/>
              </w:pBdr>
              <w:spacing w:before="0" w:after="283"/>
              <w:rPr/>
            </w:pPr>
            <w:r>
              <w:rPr/>
            </w:r>
          </w:p>
        </w:tc>
        <w:tc>
          <w:tcPr>
            <w:tcW w:w="163" w:type="dxa"/>
            <w:tcBorders/>
            <w:shd w:fill="auto" w:val="clear"/>
            <w:vAlign w:val="bottom"/>
          </w:tcPr>
          <w:p>
            <w:pPr>
              <w:pStyle w:val="TableContents"/>
              <w:spacing w:before="0" w:after="283"/>
              <w:rPr/>
            </w:pPr>
            <w:r>
              <w:rPr/>
              <w:t> </w:t>
            </w:r>
          </w:p>
        </w:tc>
        <w:tc>
          <w:tcPr>
            <w:tcW w:w="119" w:type="dxa"/>
            <w:tcBorders/>
            <w:shd w:fill="auto" w:val="clear"/>
            <w:vAlign w:val="bottom"/>
          </w:tcPr>
          <w:p>
            <w:pPr>
              <w:pStyle w:val="HorizontalLine"/>
              <w:pBdr>
                <w:bottom w:val="single" w:sz="18" w:space="0" w:color="000000"/>
              </w:pBdr>
              <w:spacing w:before="0" w:after="283"/>
              <w:rPr/>
            </w:pPr>
            <w:r>
              <w:rPr/>
            </w:r>
          </w:p>
        </w:tc>
        <w:tc>
          <w:tcPr>
            <w:tcW w:w="377" w:type="dxa"/>
            <w:tcBorders/>
            <w:shd w:fill="auto" w:val="clear"/>
            <w:vAlign w:val="bottom"/>
          </w:tcPr>
          <w:p>
            <w:pPr>
              <w:pStyle w:val="HorizontalLine"/>
              <w:pBdr>
                <w:bottom w:val="single" w:sz="18" w:space="0" w:color="000000"/>
              </w:pBdr>
              <w:spacing w:before="0" w:after="283"/>
              <w:rPr/>
            </w:pPr>
            <w:r>
              <w:rPr/>
            </w:r>
          </w:p>
        </w:tc>
        <w:tc>
          <w:tcPr>
            <w:tcW w:w="7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tx87693_6"/>
      <w:bookmarkEnd w:id="29"/>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43"/>
        <w:gridCol w:w="395"/>
        <w:gridCol w:w="125"/>
        <w:gridCol w:w="548"/>
        <w:gridCol w:w="80"/>
        <w:gridCol w:w="351"/>
        <w:gridCol w:w="125"/>
        <w:gridCol w:w="548"/>
        <w:gridCol w:w="80"/>
        <w:gridCol w:w="351"/>
        <w:gridCol w:w="125"/>
        <w:gridCol w:w="548"/>
        <w:gridCol w:w="86"/>
      </w:tblGrid>
      <w:tr>
        <w:trPr/>
        <w:tc>
          <w:tcPr>
            <w:tcW w:w="684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881"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6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6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881"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provided by operating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1,254</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1,245</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loss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Non cash warrant valuation expense included in net loss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gains included in net loss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Non cash loss from disposal of fixed assets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w:t>
            </w:r>
          </w:p>
        </w:tc>
        <w:tc>
          <w:tcPr>
            <w:tcW w:w="86" w:type="dxa"/>
            <w:tcBorders/>
            <w:shd w:fill="auto" w:val="clear"/>
            <w:vAlign w:val="bottom"/>
          </w:tcPr>
          <w:p>
            <w:pPr>
              <w:pStyle w:val="TableContents"/>
              <w:spacing w:before="0" w:after="283"/>
              <w:rPr/>
            </w:pPr>
            <w:r>
              <w:rPr/>
              <w:t> </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2,795</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2,586</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1,882</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property and equipment and intangible assets</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1,456</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Net (repayments) borrowings on revolving credit line</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874</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(1,198</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stock</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Repayments of debt</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(3,129</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subordinated debt</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(3,107</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year</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86" w:type="dxa"/>
            <w:tcBorders/>
            <w:shd w:fill="auto"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year</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r>
        <w:trPr/>
        <w:tc>
          <w:tcPr>
            <w:tcW w:w="6843" w:type="dxa"/>
            <w:tcBorders/>
            <w:shd w:fill="CCEEFF" w:val="clear"/>
          </w:tcPr>
          <w:p>
            <w:pPr>
              <w:pStyle w:val="TableContents"/>
              <w:spacing w:before="0" w:after="283"/>
              <w:rPr>
                <w:rFonts w:ascii="Times New Roman" w:hAnsi="Times New Roman"/>
                <w:sz w:val="20"/>
              </w:rPr>
            </w:pPr>
            <w:r>
              <w:rPr>
                <w:rFonts w:ascii="Times New Roman" w:hAnsi="Times New Roman"/>
                <w:sz w:val="20"/>
              </w:rPr>
              <w:t>Supplemental Schedule of Non-Cash Financing Activities:</w:t>
            </w:r>
          </w:p>
        </w:tc>
        <w:tc>
          <w:tcPr>
            <w:tcW w:w="3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6843" w:type="dxa"/>
            <w:tcBorders/>
            <w:shd w:fill="auto" w:val="clear"/>
          </w:tcPr>
          <w:p>
            <w:pPr>
              <w:pStyle w:val="TableContents"/>
              <w:spacing w:before="0" w:after="283"/>
              <w:rPr>
                <w:rFonts w:ascii="Times New Roman" w:hAnsi="Times New Roman"/>
                <w:sz w:val="20"/>
              </w:rPr>
            </w:pPr>
            <w:r>
              <w:rPr>
                <w:rFonts w:ascii="Times New Roman" w:hAnsi="Times New Roman"/>
                <w:sz w:val="20"/>
              </w:rPr>
              <w:t>Increase in principal balances of subordinated notes for accrued interest</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1,532</w:t>
            </w:r>
          </w:p>
        </w:tc>
        <w:tc>
          <w:tcPr>
            <w:tcW w:w="8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r>
      <w:tr>
        <w:trPr/>
        <w:tc>
          <w:tcPr>
            <w:tcW w:w="684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SUPPLEMENTAL DISCLOSURES OF CASH FLOW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16"/>
        <w:gridCol w:w="333"/>
        <w:gridCol w:w="125"/>
        <w:gridCol w:w="497"/>
        <w:gridCol w:w="333"/>
        <w:gridCol w:w="125"/>
        <w:gridCol w:w="497"/>
        <w:gridCol w:w="80"/>
        <w:gridCol w:w="292"/>
        <w:gridCol w:w="125"/>
        <w:gridCol w:w="496"/>
        <w:gridCol w:w="86"/>
      </w:tblGrid>
      <w:tr>
        <w:trPr/>
        <w:tc>
          <w:tcPr>
            <w:tcW w:w="721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7216"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333" w:type="dxa"/>
            <w:tcBorders/>
            <w:shd w:fill="auto" w:val="clear"/>
            <w:vAlign w:val="bottom"/>
          </w:tcPr>
          <w:p>
            <w:pPr>
              <w:pStyle w:val="TableContents"/>
              <w:spacing w:before="0" w:after="283"/>
              <w:rPr/>
            </w:pPr>
            <w:r>
              <w:rPr/>
              <w:t>  </w:t>
            </w:r>
          </w:p>
        </w:tc>
        <w:tc>
          <w:tcPr>
            <w:tcW w:w="6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7216"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(refunded) during the year for:</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7216"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1,514</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1,163</w:t>
            </w:r>
          </w:p>
        </w:tc>
        <w:tc>
          <w:tcPr>
            <w:tcW w:w="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1,331</w:t>
            </w:r>
          </w:p>
        </w:tc>
        <w:tc>
          <w:tcPr>
            <w:tcW w:w="86" w:type="dxa"/>
            <w:tcBorders/>
            <w:shd w:fill="auto" w:val="clear"/>
            <w:vAlign w:val="bottom"/>
          </w:tcPr>
          <w:p>
            <w:pPr>
              <w:pStyle w:val="TableContents"/>
              <w:spacing w:before="0" w:after="283"/>
              <w:rPr/>
            </w:pPr>
            <w:r>
              <w:rPr/>
              <w:t> </w:t>
            </w:r>
          </w:p>
        </w:tc>
      </w:tr>
      <w:tr>
        <w:trPr/>
        <w:tc>
          <w:tcPr>
            <w:tcW w:w="7216"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6"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r>
        <w:trPr/>
        <w:tc>
          <w:tcPr>
            <w:tcW w:w="721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3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16"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6"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x87693_7"/>
      <w:bookmarkEnd w:id="30"/>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    Nature of Business and Summary of Significant Accounting Policies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Nature of business</w:t>
      </w:r>
      <w:r>
        <w:rPr>
          <w:rFonts w:ascii="Times New Roman" w:hAnsi="Times New Roman"/>
          <w:sz w:val="20"/>
        </w:rPr>
        <w:t xml:space="preserve">The principal businesses of CECO Environmental Corp. is to provide innovative solutions to industrial ventilation and air quality problems through dust, mist and fume control systems and particle and chemical technologies to industrial and commercial customers, primarily in the United States.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Principles of consolidation</w:t>
      </w:r>
      <w:r>
        <w:rPr>
          <w:rFonts w:ascii="Times New Roman" w:hAnsi="Times New Roman"/>
          <w:sz w:val="20"/>
        </w:rPr>
        <w:t xml:space="preserve">Our consolidated financial statements include the accounts of the following subsidiaries: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172"/>
        <w:gridCol w:w="1186"/>
        <w:gridCol w:w="1130"/>
        <w:gridCol w:w="186"/>
      </w:tblGrid>
      <w:tr>
        <w:trPr/>
        <w:tc>
          <w:tcPr>
            <w:tcW w:w="6172"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6172"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Owned As Of</w:t>
            </w:r>
          </w:p>
          <w:p>
            <w:pPr>
              <w:pStyle w:val="TableContents"/>
              <w:spacing w:before="0" w:after="0"/>
              <w:jc w:val="center"/>
              <w:rPr>
                <w:rFonts w:ascii="Times New Roman" w:hAnsi="Times New Roman"/>
                <w:b/>
                <w:sz w:val="14"/>
              </w:rPr>
            </w:pPr>
            <w:r>
              <w:rPr>
                <w:rFonts w:ascii="Times New Roman" w:hAnsi="Times New Roman"/>
                <w:b/>
                <w:sz w:val="14"/>
              </w:rPr>
              <w:t>December 31, 2005</w:t>
            </w:r>
          </w:p>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r>
      <w:tr>
        <w:trPr/>
        <w:tc>
          <w:tcPr>
            <w:tcW w:w="6172" w:type="dxa"/>
            <w:tcBorders/>
            <w:shd w:fill="CCEEFF" w:val="clear"/>
          </w:tcPr>
          <w:p>
            <w:pPr>
              <w:pStyle w:val="TableContents"/>
              <w:spacing w:before="0" w:after="283"/>
              <w:rPr>
                <w:rFonts w:ascii="Times New Roman" w:hAnsi="Times New Roman"/>
                <w:sz w:val="20"/>
              </w:rPr>
            </w:pPr>
            <w:r>
              <w:rPr>
                <w:rFonts w:ascii="Times New Roman" w:hAnsi="Times New Roman"/>
                <w:sz w:val="20"/>
              </w:rPr>
              <w:t>CECO Group, Inc. (Group)</w:t>
            </w:r>
          </w:p>
        </w:tc>
        <w:tc>
          <w:tcPr>
            <w:tcW w:w="1186"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2"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Inc. and Subsidiaries (CFI)</w:t>
            </w:r>
          </w:p>
        </w:tc>
        <w:tc>
          <w:tcPr>
            <w:tcW w:w="1186"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2" w:type="dxa"/>
            <w:tcBorders/>
            <w:shd w:fill="CCEEFF" w:val="clear"/>
          </w:tcPr>
          <w:p>
            <w:pPr>
              <w:pStyle w:val="TableContents"/>
              <w:spacing w:before="0" w:after="283"/>
              <w:rPr>
                <w:rFonts w:ascii="Times New Roman" w:hAnsi="Times New Roman"/>
                <w:sz w:val="20"/>
              </w:rPr>
            </w:pPr>
            <w:r>
              <w:rPr>
                <w:rFonts w:ascii="Times New Roman" w:hAnsi="Times New Roman"/>
                <w:sz w:val="20"/>
              </w:rPr>
              <w:t>The Kirk &amp; Blum Manufacturing Company (K&amp;B)</w:t>
            </w:r>
          </w:p>
        </w:tc>
        <w:tc>
          <w:tcPr>
            <w:tcW w:w="1186"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2" w:type="dxa"/>
            <w:tcBorders/>
            <w:shd w:fill="auto" w:val="clear"/>
          </w:tcPr>
          <w:p>
            <w:pPr>
              <w:pStyle w:val="TableContents"/>
              <w:spacing w:before="0" w:after="283"/>
              <w:rPr>
                <w:rFonts w:ascii="Times New Roman" w:hAnsi="Times New Roman"/>
                <w:sz w:val="20"/>
              </w:rPr>
            </w:pPr>
            <w:r>
              <w:rPr>
                <w:rFonts w:ascii="Times New Roman" w:hAnsi="Times New Roman"/>
                <w:sz w:val="20"/>
              </w:rPr>
              <w:t>kbd/Technic, Inc (kbd)</w:t>
            </w:r>
          </w:p>
        </w:tc>
        <w:tc>
          <w:tcPr>
            <w:tcW w:w="1186"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2" w:type="dxa"/>
            <w:tcBorders/>
            <w:shd w:fill="CCEEFF" w:val="clear"/>
          </w:tcPr>
          <w:p>
            <w:pPr>
              <w:pStyle w:val="TableContents"/>
              <w:spacing w:before="0" w:after="283"/>
              <w:rPr>
                <w:rFonts w:ascii="Times New Roman" w:hAnsi="Times New Roman"/>
                <w:sz w:val="20"/>
              </w:rPr>
            </w:pPr>
            <w:r>
              <w:rPr>
                <w:rFonts w:ascii="Times New Roman" w:hAnsi="Times New Roman"/>
                <w:sz w:val="20"/>
              </w:rPr>
              <w:t>CECO Abatement Systems, Inc (CAS)</w:t>
            </w:r>
          </w:p>
        </w:tc>
        <w:tc>
          <w:tcPr>
            <w:tcW w:w="1186"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2" w:type="dxa"/>
            <w:tcBorders/>
            <w:shd w:fill="auto" w:val="clear"/>
          </w:tcPr>
          <w:p>
            <w:pPr>
              <w:pStyle w:val="TableContents"/>
              <w:spacing w:before="0" w:after="283"/>
              <w:rPr>
                <w:rFonts w:ascii="Times New Roman" w:hAnsi="Times New Roman"/>
                <w:sz w:val="20"/>
              </w:rPr>
            </w:pPr>
            <w:r>
              <w:rPr>
                <w:rFonts w:ascii="Times New Roman" w:hAnsi="Times New Roman"/>
                <w:sz w:val="20"/>
              </w:rPr>
              <w:t>CECOaire Inc (CAI)</w:t>
            </w:r>
          </w:p>
        </w:tc>
        <w:tc>
          <w:tcPr>
            <w:tcW w:w="1186"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CFI includes two wholly owned subsidiaries, New Busch Co., Inc. (Busch) and CECO Filters India Private Limited. In 2002, we increased our ownership in CFI from 94% to 99% by contributing our intercompany receivable from CFI and receiving in exchange additional shares of CFI. Minority interest is not material and is included in other liabilities in the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material intercompany balances and transactions have been eliminated.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Business Segment Information</w:t>
      </w: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Use of estimates</w:t>
      </w:r>
      <w:r>
        <w:rPr>
          <w:rFonts w:ascii="Times New Roman" w:hAnsi="Times New Roman"/>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We consider all highly liquid investments with original maturities of three months or less to be cash equivalents.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Investments in marketable securities</w:t>
      </w:r>
      <w:r>
        <w:rPr>
          <w:rFonts w:ascii="Times New Roman" w:hAnsi="Times New Roman"/>
          <w:sz w:val="20"/>
        </w:rPr>
        <w:t xml:space="preserve">Investments in marketable securities are generally comprised of corporate common stock securities. These investments generally are classified as trading securities, which are carried at their fair value based on quoted market prices. Accordingly, net realized and unrealized gains and losses on trading securities and interest income are included in other (expense) income. Realized gains and losses are recorded based on the specific identification method. We did not have any investments of marketable securities at December 31, 2005, while at December 31, 2004 the fair value of investments in marketable securities totaled $99,000 all of which is restricted for bonding purposes. These investments are included in prepaid expenses and other current assets in the consolidated balance sheets.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Accounts Receivable</w:t>
      </w:r>
      <w:r>
        <w:rPr>
          <w:rFonts w:ascii="Times New Roman" w:hAnsi="Times New Roman"/>
          <w:sz w:val="20"/>
        </w:rPr>
        <w:t xml:space="preserve">Trade receivables are uncollateralized customer obligations due under normal trade terms requiring payment generally within 30 days from the invoice date unless otherwise determined by specific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contract.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has a series of actions that occur based upon the aging of past due trade receivables, including letters, statements, direct customer contact and liens. Accounts are deemed uncollectible based on past account experience and current account financial condition.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Inventories</w:t>
      </w:r>
      <w:r>
        <w:rPr>
          <w:rFonts w:ascii="Times New Roman" w:hAnsi="Times New Roman"/>
          <w:sz w:val="20"/>
        </w:rPr>
        <w:t xml:space="preserve">Prior to December 31, 2004, the Company valued the labor content of work-in-process and finished products inventories and substantially all steel inventories at the Companys Cincinnati Facility (approximately 69% of total inventories at December 31, 2003) at the lower of cost or market using the last-in, first-out (LIFO) inventory costing method. The Companys remaining inventories were valued at the lower of cost or market using the first-in, first-out (FIFO) inventory costing method. Effective December 31, 2004, management changed its method of accounting for the Companys LIFO inventory to the FIFO method. Management believes the FIFO method is preferable because it provides for: a uniform costing method for all of the Companys inventories; a better matching of costs to revenues; and a more meaningful presentation of the Companys financial position by reflecting recent costs in the balance sheet. The LIFO method of inventory valuation for all classes of inventory approximated the FIFO value at December 31, 2003 and 2002, therefore, prior periods have not been restated for this accounting change. The effect of the change for the three months ended December 31, 2004 and the year ended December 31, 2004 was an increase to inventory of $108,000. The effect on net loss for the three months ended December 31, 2004 and the year ended December 31, 2004 was a reduction of $65,000. Loss per share was reduced for the three months ended December 31, 2004 and the year ended December 31, 2004 by $.01.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Accounting for long-lived assets</w:t>
      </w:r>
      <w:r>
        <w:rPr>
          <w:rFonts w:ascii="Times New Roman" w:hAnsi="Times New Roman"/>
          <w:sz w:val="20"/>
        </w:rPr>
        <w:t xml:space="preserve">Our policy is to assess the recoverability of long-lived assets when there are indications of potential impairment and the undiscounted cash flows estimated to be generated by those assets are less than the carrying value of such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Property and equipment</w:t>
      </w:r>
      <w:r>
        <w:rPr>
          <w:rFonts w:ascii="Times New Roman" w:hAnsi="Times New Roman"/>
          <w:sz w:val="20"/>
        </w:rPr>
        <w:t xml:space="preserve">Property and equipment are recorded at cost. Expenditures for repairs and maintenance are charged to income as incurred. Depreciation and amortization are computed using the straight-line and accelerated methods over the estimated useful lives of the assets, which range from 12 to 40 years for building and improvements and 3 to 10 years for machinery and equipment.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Intangible assets</w:t>
      </w:r>
      <w:r>
        <w:rPr>
          <w:rFonts w:ascii="Times New Roman" w:hAnsi="Times New Roman"/>
          <w:sz w:val="20"/>
        </w:rPr>
        <w:t xml:space="preserve">Indefinite life intangible assets are comprised of tradenames, while finite life intangible assets are comprised of patents. The ratable amortization of the goodwill associated with acquisitions and other intangible assets with indefinite lives was replaced with periodic tests for impairment with our adoption of Statement of Financial Accounting Standards (SFAS) No. 142, Goodwill and Other Intangible Assets on January 1, 2002. Other intangible assets with finite lives are being amortized on a straight-line basis over their estimated useful lives, which range from 5 to 17 years. In accordance with SFAS No. 142, we ceased amortization of goodwill and intangible assets with indefinite lives effective January 1, 2002. The ceasing of the amortization of such assets resulted in a reduction in amortization expense of $476,000 for the year ended December 31, 2002. During 2002, we evaluated the fair value of intangible assets with indefinite lives and goodwill and determined that the fair values were in excess of the carrying values of such assets. In the fourth quarter of 2005, we completed our annual tests for impairment and determined that the fair values of these net assets continue to be in excess of the carrying values of such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Cash Surrender Value of Life Insurance</w:t>
      </w:r>
      <w:r>
        <w:rPr>
          <w:rFonts w:ascii="Times New Roman" w:hAnsi="Times New Roman"/>
          <w:sz w:val="20"/>
        </w:rPr>
        <w:t xml:space="preserve">We have whole life insurance policies in force on the lives of six former shareholders of certain subsidiaries. These policies were purchased by these subsidiaries prior to their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acquisition by CECO Environmental, Inc. in 1999 and were originally intended to provide funding for repurchasing shares in the event of the death of a shareholder. The policies are fully paid up and the cash surrender values have been borrowed to pay premiums and interest on the policy loans, and to provide an occasional low cost source of financing for the Company. Interest on the policy loans is recorded to interest expense and the loan amounts on the cash surrender values are increased to cover payment of this expense. The net value of these policies, reported as other long term assets, was $384,000, $425,000 and $423,000 as of December 31, 2005, 2004 and 2003, respectively. The net cash surrender value approximates fair value.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Deferred charges</w:t>
      </w:r>
      <w:r>
        <w:rPr>
          <w:rFonts w:ascii="Times New Roman" w:hAnsi="Times New Roman"/>
          <w:sz w:val="20"/>
        </w:rPr>
        <w:t xml:space="preserve">Deferred charges primarily represent deferred financing costs, which are amortized to interest expense over the life of the related loan. Amortization expense was $71,000, $405,000 and $348,000 for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Financial Instruments</w:t>
      </w:r>
      <w:r>
        <w:rPr>
          <w:rFonts w:ascii="Times New Roman" w:hAnsi="Times New Roman"/>
          <w:sz w:val="20"/>
        </w:rPr>
        <w:t xml:space="preserve">On January 1, 2001, we adopted Statement of Financial Accounting Standards (SFAS) No. 133, Accounting for Derivative Instruments and Hedging Activities, as amended by SFAS No. 138, Accounting for Certain Derivative Instruments and Certain Hedging Activities. Under this guidance all derivative instruments, including those embedded in other contracts are recognized as either assets or liabilities and those financial instruments are measured at fair value. The accounting for changes in the fair value of derivatives depends on their intended use and designation.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exposed to market risk from changes in interest rates. Our policy is to manage interest rate costs using a mix of fixed and variable rate debt. To manage this mix in a cost-efficient manner, we may enter into interest rate swaps or other hedge type arrangements, in which we agree to exchange, at specified intervals, the difference between fixed and variable interest amounts calculated by reference to an agreed-upon notional principal amount. Our interest rate swaps matured in 2002 and were not replaced.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Revenues from contracts, representing the majority of our revenues, are recognized on the percentage of completion method, measured by the percentage of contract costs incurred to date compared to estimated total contract costs for each contract. This method is used because management considers contract costs to be the best available measure of progress on these contracts. Our remaining revenues are recognized when risk and title passes to the customer, which is generally upon shipment of product.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Contract costs include direct material, labor costs and those indirect costs related to contract performance, such as indirect labor, supplies, tools and repairs. Selling and administrative costs are charged to expense as incurred. Provisions for estimated losses on uncompleted contracts are made in the period in which such losses are determined. Changes in job performance, job conditions and estimated profitability may result in revisions to contract revenue and costs and are recognized in the period in which the revisions are made. Our reserve for estimated losses on uncompleted contracts is $6,000 and $12,000 as of December 31, 2005 and 2004, respectively. No provision for estimated losses on uncompleted contracts was necessary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Claims</w:t>
      </w:r>
      <w:r>
        <w:rPr>
          <w:rFonts w:ascii="Times New Roman" w:hAnsi="Times New Roman"/>
          <w:sz w:val="20"/>
        </w:rPr>
        <w:t xml:space="preserve">The Company recognizes certain significant claims for recovery of incurred costs when it is probable that the claim will result in additional contract revenue and when the amount of the claim can be reliably estimated. Unapproved change orders are accounted for in revenue and cost when it is probable that the costs will be recovered through a change in the contract price. In circumstances where recovery is considered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probable but the revenues cannot be reliably estimated, costs attributable to change orders are deferred pending determination of contract price.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Claims against customers are recognized as income by us when collectibility of the claim is probable and the amount can be reasonably estimated.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Cost of salesC</w:t>
      </w:r>
      <w:r>
        <w:rPr>
          <w:rFonts w:ascii="Times New Roman" w:hAnsi="Times New Roman"/>
          <w:sz w:val="20"/>
        </w:rPr>
        <w:t xml:space="preserve">ost of sales amounts include materials, direct labor and associated benefits, inbound freight charges, purchasing and receiving, inspection, warehousing and internal transfer costs. Customer freight charges are included in sales and actual freight expenses are included in cost of sales.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Income taxes</w:t>
      </w:r>
      <w:r>
        <w:rPr>
          <w:rFonts w:ascii="Times New Roman" w:hAnsi="Times New Roman"/>
          <w:sz w:val="20"/>
        </w:rPr>
        <w:t xml:space="preserve">Deferred taxes are determined based on the differences between the financial statement and tax bases of assets and liabilities using tax rates in effect for the year in which the differences are expected to reverse.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Selling and administrative expenses</w:t>
      </w:r>
      <w:r>
        <w:rPr>
          <w:rFonts w:ascii="Times New Roman" w:hAnsi="Times New Roman"/>
          <w:sz w:val="20"/>
        </w:rPr>
        <w:t xml:space="preserve">Selling and administrative expenses included sales and administrative wages and associated benefits, selling and office expenses, bad debt expense and change in life insurance cash surrender value.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Advertising costs</w:t>
      </w:r>
      <w:r>
        <w:rPr>
          <w:rFonts w:ascii="Times New Roman" w:hAnsi="Times New Roman"/>
          <w:sz w:val="20"/>
        </w:rPr>
        <w:t xml:space="preserve">Advertising costs are charged to operations in the year incurred and totaled $157,000, $120,000 and $171,000 in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Research and development costs are charged to expense as incurred. The amounts charged to operations were $10,000, $16,000 and $28,000 in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Earnings per share</w:t>
      </w:r>
      <w:r>
        <w:rPr>
          <w:rFonts w:ascii="Times New Roman" w:hAnsi="Times New Roman"/>
          <w:sz w:val="20"/>
        </w:rPr>
        <w:t xml:space="preserve">For the years ended December 31, 2005, 2004 and 2003, both basic weighted average common shares outstanding and diluted weighted average common shares outstanding were 9,993,260, 9,989,666 and 9,852,280, respectively. We consider outstanding options and warrants in computing diluted net loss per share only when they are dilutive. Options and warrants to purchase 3,548,700, 3,553,700 and 3,453,700 shares for the years ended December 31, 2005, 2004 and 2003, respectively, were not included in the computation of diluted earnings per share due to their having an anti-dilutive effect. There were no adjustments to net loss for the basic or diluted earnings per share computations for any year presented.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Stock-based compensation</w:t>
      </w: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2005, 2004 or 2003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2005, 2004 and 2003 as reported to the pro forma results, considering both options and warrants discussed in Note 11, had we adopted the expense recognition provision of SFAS No. 123: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24"/>
        <w:gridCol w:w="579"/>
        <w:gridCol w:w="125"/>
        <w:gridCol w:w="450"/>
        <w:gridCol w:w="80"/>
        <w:gridCol w:w="540"/>
        <w:gridCol w:w="125"/>
        <w:gridCol w:w="450"/>
        <w:gridCol w:w="80"/>
        <w:gridCol w:w="539"/>
        <w:gridCol w:w="125"/>
        <w:gridCol w:w="601"/>
        <w:gridCol w:w="87"/>
      </w:tblGrid>
      <w:tr>
        <w:trPr/>
        <w:tc>
          <w:tcPr>
            <w:tcW w:w="6424"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6424"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7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7" w:type="dxa"/>
            <w:tcBorders/>
            <w:shd w:fill="auto" w:val="clear"/>
            <w:vAlign w:val="bottom"/>
          </w:tcPr>
          <w:p>
            <w:pPr>
              <w:pStyle w:val="TableContents"/>
              <w:spacing w:before="0" w:after="283"/>
              <w:rPr/>
            </w:pPr>
            <w:r>
              <w:rPr/>
              <w:t> </w:t>
            </w:r>
          </w:p>
        </w:tc>
      </w:tr>
      <w:tr>
        <w:trPr/>
        <w:tc>
          <w:tcPr>
            <w:tcW w:w="6424"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3115"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7" w:type="dxa"/>
            <w:tcBorders/>
            <w:shd w:fill="auto" w:val="clear"/>
            <w:vAlign w:val="bottom"/>
          </w:tcPr>
          <w:p>
            <w:pPr>
              <w:pStyle w:val="TableContents"/>
              <w:spacing w:before="0" w:after="283"/>
              <w:rPr/>
            </w:pPr>
            <w:r>
              <w:rPr/>
              <w:t> </w:t>
            </w:r>
          </w:p>
        </w:tc>
      </w:tr>
      <w:tr>
        <w:trPr/>
        <w:tc>
          <w:tcPr>
            <w:tcW w:w="6424"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as reported</w:t>
            </w:r>
          </w:p>
        </w:tc>
        <w:tc>
          <w:tcPr>
            <w:tcW w:w="5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24"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5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24"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1" w:type="dxa"/>
            <w:tcBorders/>
            <w:shd w:fill="auto" w:val="clear"/>
            <w:vAlign w:val="bottom"/>
          </w:tcPr>
          <w:p>
            <w:pPr>
              <w:pStyle w:val="HorizontalLine"/>
              <w:pBdr>
                <w:bottom w:val="single" w:sz="6" w:space="0" w:color="000000"/>
              </w:pBdr>
              <w:spacing w:before="0" w:after="283"/>
              <w:rPr/>
            </w:pPr>
            <w:r>
              <w:rPr/>
            </w:r>
          </w:p>
        </w:tc>
        <w:tc>
          <w:tcPr>
            <w:tcW w:w="87" w:type="dxa"/>
            <w:tcBorders/>
            <w:shd w:fill="auto" w:val="clear"/>
            <w:vAlign w:val="bottom"/>
          </w:tcPr>
          <w:p>
            <w:pPr>
              <w:pStyle w:val="HorizontalLine"/>
              <w:pBdr>
                <w:bottom w:val="single" w:sz="6" w:space="0" w:color="FFFFFF"/>
              </w:pBdr>
              <w:spacing w:before="0" w:after="283"/>
              <w:rPr/>
            </w:pPr>
            <w:r>
              <w:rPr/>
            </w:r>
          </w:p>
        </w:tc>
      </w:tr>
      <w:tr>
        <w:trPr/>
        <w:tc>
          <w:tcPr>
            <w:tcW w:w="6424"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loss under SFAS No. 123.</w:t>
            </w:r>
          </w:p>
        </w:tc>
        <w:tc>
          <w:tcPr>
            <w:tcW w:w="5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(1,035</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24" w:type="dxa"/>
            <w:tcBorders/>
            <w:shd w:fill="auto" w:val="clear"/>
            <w:vAlign w:val="bottom"/>
          </w:tcPr>
          <w:p>
            <w:pPr>
              <w:pStyle w:val="TableContents"/>
              <w:spacing w:before="0" w:after="283"/>
              <w:rPr/>
            </w:pPr>
            <w:r>
              <w:rPr/>
              <w:t> </w:t>
            </w:r>
          </w:p>
        </w:tc>
        <w:tc>
          <w:tcPr>
            <w:tcW w:w="5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01" w:type="dxa"/>
            <w:tcBorders/>
            <w:shd w:fill="auto" w:val="clear"/>
            <w:vAlign w:val="bottom"/>
          </w:tcPr>
          <w:p>
            <w:pPr>
              <w:pStyle w:val="HorizontalLine"/>
              <w:pBdr>
                <w:bottom w:val="single" w:sz="18" w:space="0" w:color="000000"/>
              </w:pBdr>
              <w:spacing w:before="0" w:after="283"/>
              <w:rPr/>
            </w:pPr>
            <w:r>
              <w:rPr/>
            </w:r>
          </w:p>
        </w:tc>
        <w:tc>
          <w:tcPr>
            <w:tcW w:w="87" w:type="dxa"/>
            <w:tcBorders/>
            <w:shd w:fill="auto" w:val="clear"/>
            <w:vAlign w:val="bottom"/>
          </w:tcPr>
          <w:p>
            <w:pPr>
              <w:pStyle w:val="HorizontalLine"/>
              <w:pBdr>
                <w:bottom w:val="single" w:sz="18" w:space="0" w:color="FFFFFF"/>
              </w:pBdr>
              <w:spacing w:before="0" w:after="283"/>
              <w:rPr/>
            </w:pPr>
            <w:r>
              <w:rPr/>
            </w:r>
          </w:p>
        </w:tc>
      </w:tr>
      <w:tr>
        <w:trPr/>
        <w:tc>
          <w:tcPr>
            <w:tcW w:w="6424"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loss per share:</w:t>
            </w:r>
          </w:p>
        </w:tc>
        <w:tc>
          <w:tcPr>
            <w:tcW w:w="5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r>
      <w:tr>
        <w:trPr/>
        <w:tc>
          <w:tcPr>
            <w:tcW w:w="6424"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5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24"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under SFAS No. 123</w:t>
            </w:r>
          </w:p>
        </w:tc>
        <w:tc>
          <w:tcPr>
            <w:tcW w:w="5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Recent accounting pronouncements</w:t>
      </w:r>
      <w:r>
        <w:rPr>
          <w:rFonts w:ascii="Times New Roman" w:hAnsi="Times New Roman"/>
          <w:sz w:val="20"/>
        </w:rPr>
        <w:t xml:space="preserve">In May 2005, the FASB issued SFAS No. 154, Accounting Changes and Error Correctionsa Replacement of APB Opinion No. 20 and 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is not expected to have a material effect on our Condensed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2004, the Financial Accounting Standards Board (FASB) issued FAS 123 (revised 2004)Share-Based Payments (FAS 123-R). FAS 123-R replaces FAS 123Accounting for Stock-Based Compensation, and supersedes APB 25Accounting for Stock Issued to Employees. As revised by the Securities and Exchange Commission, we will be required to adopt FAS 123-R beginning January 1, 2006. FAS 123-R requires all share-based awards to employees, and any subsequent modifications to those awards, to be recognized in the financial statements based on a fair-value-based method. The pro forma disclosures previously permitted under FAS 123 will no longer be an alternative to financial statement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FAS 123-R, we must determine the appropriate fair-value model to be used for valuing share-based payments, the amortization method for compensation cost and the transition method to be used at the date of adoption. FAS 123-R permits companies to adopt the new standard using either a modified prospective transition method or a modified retrospective transition method. Using the modified prospective transition method, compensation expense would be recorded for all unvested awards at the beginning of the first quarter of FAS 123-R adoption based upon the values assigned to grants and modifications of stock compensation used in the proforma disclosures made in accordance with the original provisions of FAS 123. Under the modified retrospective method, companies are permitted to restate financial statements of previous periods using those proforma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evaluating the requirements of this standard. We expect that the effect on net income and earnings per share in the periods following adoption will be consistent with amounts reported in our pro forma disclosures under FAS 123 (see Note1). However, the actual effect on net income and earnings per share will vary depending on the terms and number of options ultimately granted.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    Financial Instruments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financial instruments consist primarily of investments in cash and cash equivalents, receivables and certain other assets, such as cash surrender life insurance, as well as obligations under accounts payable, long-term debt and subordinated notes. The carrying values of these financial instruments approximate fair value at December 31, 2005 and 2004 except for subordinated notes for which fair value was $7,307,000 and $7,142,000 at December 31, 2005 and 2004,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Most of the debt obligations approximate their reported carrying amounts based on future payments discounted at current interest rates for similar obligations or interest rates which fluctuate with the market.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fair value of marketable securities, all of which are restricted for bonding purposes, at December 31, 2005 and 2004 totaled $0 and $99,000 respectively. The carrying values of these financial instruments approximate fair value at December 31,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Concentrations of 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instruments that potentially subject us to credit risk consist principally of cash and accounts receivable. We maintain cash and cash equivalents with various major financial institutions.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Union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2005, the Companys continuing operations included approximately 444 employees. Approximately 325 employees are represented by international or independent labor unions, under various contracts that expire in the years 2006 through 2008.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3.    Accounts Receivable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537"/>
        <w:gridCol w:w="282"/>
        <w:gridCol w:w="125"/>
        <w:gridCol w:w="595"/>
        <w:gridCol w:w="80"/>
        <w:gridCol w:w="251"/>
        <w:gridCol w:w="125"/>
        <w:gridCol w:w="594"/>
        <w:gridCol w:w="85"/>
      </w:tblGrid>
      <w:tr>
        <w:trPr/>
        <w:tc>
          <w:tcPr>
            <w:tcW w:w="65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65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282" w:type="dxa"/>
            <w:tcBorders/>
            <w:shd w:fill="auto" w:val="clear"/>
            <w:vAlign w:val="bottom"/>
          </w:tcPr>
          <w:p>
            <w:pPr>
              <w:pStyle w:val="TableContents"/>
              <w:spacing w:before="0" w:after="283"/>
              <w:rPr/>
            </w:pPr>
            <w:r>
              <w:rPr/>
              <w:t>  </w:t>
            </w:r>
          </w:p>
        </w:tc>
        <w:tc>
          <w:tcPr>
            <w:tcW w:w="72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6537" w:type="dxa"/>
            <w:tcBorders/>
            <w:shd w:fill="CCEEFF" w:val="clear"/>
          </w:tcPr>
          <w:p>
            <w:pPr>
              <w:pStyle w:val="TableContents"/>
              <w:spacing w:before="0" w:after="283"/>
              <w:rPr>
                <w:rFonts w:ascii="Times New Roman" w:hAnsi="Times New Roman"/>
                <w:sz w:val="20"/>
              </w:rPr>
            </w:pPr>
            <w:r>
              <w:rPr>
                <w:rFonts w:ascii="Times New Roman" w:hAnsi="Times New Roman"/>
                <w:sz w:val="20"/>
              </w:rPr>
              <w:t>Trade receivables</w:t>
            </w:r>
          </w:p>
        </w:tc>
        <w:tc>
          <w:tcPr>
            <w:tcW w:w="2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2,542</w:t>
            </w:r>
          </w:p>
        </w:tc>
        <w:tc>
          <w:tcPr>
            <w:tcW w:w="8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1,784</w:t>
            </w:r>
          </w:p>
        </w:tc>
        <w:tc>
          <w:tcPr>
            <w:tcW w:w="85" w:type="dxa"/>
            <w:tcBorders/>
            <w:shd w:fill="CCEEFF" w:val="clear"/>
            <w:vAlign w:val="bottom"/>
          </w:tcPr>
          <w:p>
            <w:pPr>
              <w:pStyle w:val="TableContents"/>
              <w:spacing w:before="0" w:after="283"/>
              <w:rPr/>
            </w:pPr>
            <w:r>
              <w:rPr/>
              <w:t> </w:t>
            </w:r>
          </w:p>
        </w:tc>
      </w:tr>
      <w:tr>
        <w:trPr/>
        <w:tc>
          <w:tcPr>
            <w:tcW w:w="6537" w:type="dxa"/>
            <w:tcBorders/>
            <w:shd w:fill="auto" w:val="clear"/>
          </w:tcPr>
          <w:p>
            <w:pPr>
              <w:pStyle w:val="TableContents"/>
              <w:spacing w:before="0" w:after="283"/>
              <w:rPr>
                <w:rFonts w:ascii="Times New Roman" w:hAnsi="Times New Roman"/>
                <w:sz w:val="20"/>
              </w:rPr>
            </w:pPr>
            <w:r>
              <w:rPr>
                <w:rFonts w:ascii="Times New Roman" w:hAnsi="Times New Roman"/>
                <w:sz w:val="20"/>
              </w:rPr>
              <w:t>Contract receivables</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10,933</w:t>
            </w:r>
          </w:p>
        </w:tc>
        <w:tc>
          <w:tcPr>
            <w:tcW w:w="8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12,588</w:t>
            </w:r>
          </w:p>
        </w:tc>
        <w:tc>
          <w:tcPr>
            <w:tcW w:w="85" w:type="dxa"/>
            <w:tcBorders/>
            <w:shd w:fill="auto" w:val="clear"/>
            <w:vAlign w:val="bottom"/>
          </w:tcPr>
          <w:p>
            <w:pPr>
              <w:pStyle w:val="TableContents"/>
              <w:spacing w:before="0" w:after="283"/>
              <w:rPr/>
            </w:pPr>
            <w:r>
              <w:rPr/>
              <w:t> </w:t>
            </w:r>
          </w:p>
        </w:tc>
      </w:tr>
      <w:tr>
        <w:trPr/>
        <w:tc>
          <w:tcPr>
            <w:tcW w:w="6537"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2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37"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94" w:type="dxa"/>
            <w:tcBorders/>
            <w:shd w:fill="auto" w:val="clear"/>
            <w:vAlign w:val="bottom"/>
          </w:tcPr>
          <w:p>
            <w:pPr>
              <w:pStyle w:val="HorizontalLine"/>
              <w:pBdr>
                <w:bottom w:val="single" w:sz="6" w:space="0" w:color="000000"/>
              </w:pBdr>
              <w:spacing w:before="0" w:after="283"/>
              <w:rPr/>
            </w:pPr>
            <w:r>
              <w:rPr/>
            </w:r>
          </w:p>
        </w:tc>
        <w:tc>
          <w:tcPr>
            <w:tcW w:w="85" w:type="dxa"/>
            <w:tcBorders/>
            <w:shd w:fill="auto" w:val="clear"/>
            <w:vAlign w:val="bottom"/>
          </w:tcPr>
          <w:p>
            <w:pPr>
              <w:pStyle w:val="HorizontalLine"/>
              <w:pBdr>
                <w:bottom w:val="single" w:sz="6" w:space="0" w:color="FFFFFF"/>
              </w:pBdr>
              <w:spacing w:before="0" w:after="283"/>
              <w:rPr/>
            </w:pPr>
            <w:r>
              <w:rPr/>
            </w:r>
          </w:p>
        </w:tc>
      </w:tr>
      <w:tr>
        <w:trPr/>
        <w:tc>
          <w:tcPr>
            <w:tcW w:w="6537" w:type="dxa"/>
            <w:tcBorders/>
            <w:shd w:fill="CCEEFF" w:val="clear"/>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13,151</w:t>
            </w:r>
          </w:p>
        </w:tc>
        <w:tc>
          <w:tcPr>
            <w:tcW w:w="8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14,055</w:t>
            </w:r>
          </w:p>
        </w:tc>
        <w:tc>
          <w:tcPr>
            <w:tcW w:w="85" w:type="dxa"/>
            <w:tcBorders/>
            <w:shd w:fill="CCEEFF" w:val="clear"/>
            <w:vAlign w:val="bottom"/>
          </w:tcPr>
          <w:p>
            <w:pPr>
              <w:pStyle w:val="TableContents"/>
              <w:spacing w:before="0" w:after="283"/>
              <w:rPr/>
            </w:pPr>
            <w:r>
              <w:rPr/>
              <w:t> </w:t>
            </w:r>
          </w:p>
        </w:tc>
      </w:tr>
      <w:tr>
        <w:trPr/>
        <w:tc>
          <w:tcPr>
            <w:tcW w:w="6537"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94" w:type="dxa"/>
            <w:tcBorders/>
            <w:shd w:fill="auto" w:val="clear"/>
            <w:vAlign w:val="bottom"/>
          </w:tcPr>
          <w:p>
            <w:pPr>
              <w:pStyle w:val="HorizontalLine"/>
              <w:pBdr>
                <w:bottom w:val="single" w:sz="18" w:space="0" w:color="000000"/>
              </w:pBdr>
              <w:spacing w:before="0" w:after="283"/>
              <w:rPr/>
            </w:pPr>
            <w:r>
              <w:rPr/>
            </w:r>
          </w:p>
        </w:tc>
        <w:tc>
          <w:tcPr>
            <w:tcW w:w="8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Balances billed, but not paid by customers under retainage provisions in contracts, amounted to approximately $374,000 and $549,000 at December 31, 2005 and 2004, respectively. Retainage receivables on contracts in progress are generally collected within twelve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Provision for doubtful accounts was approximately $136,000, $283,000 and $201,000 during 2005, 2004 and 2003, respectively, while accounts charged to the allowance were $130,000 $236,000 and $131,000 during 2005, 2004 and 2003,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4.    Costs and Estimated Earnings on Uncompleted Contracts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297"/>
        <w:gridCol w:w="348"/>
        <w:gridCol w:w="125"/>
        <w:gridCol w:w="651"/>
        <w:gridCol w:w="80"/>
        <w:gridCol w:w="314"/>
        <w:gridCol w:w="125"/>
        <w:gridCol w:w="651"/>
        <w:gridCol w:w="83"/>
      </w:tblGrid>
      <w:tr>
        <w:trPr/>
        <w:tc>
          <w:tcPr>
            <w:tcW w:w="629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29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48" w:type="dxa"/>
            <w:tcBorders/>
            <w:shd w:fill="auto" w:val="clear"/>
            <w:vAlign w:val="bottom"/>
          </w:tcPr>
          <w:p>
            <w:pPr>
              <w:pStyle w:val="TableContents"/>
              <w:spacing w:before="0" w:after="283"/>
              <w:rPr/>
            </w:pPr>
            <w:r>
              <w:rPr/>
              <w:t>  </w:t>
            </w:r>
          </w:p>
        </w:tc>
        <w:tc>
          <w:tcPr>
            <w:tcW w:w="77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7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297"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34,292</w:t>
            </w:r>
          </w:p>
        </w:tc>
        <w:tc>
          <w:tcPr>
            <w:tcW w:w="8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25,937</w:t>
            </w:r>
          </w:p>
        </w:tc>
        <w:tc>
          <w:tcPr>
            <w:tcW w:w="83" w:type="dxa"/>
            <w:tcBorders/>
            <w:shd w:fill="CCEEFF" w:val="clear"/>
            <w:vAlign w:val="bottom"/>
          </w:tcPr>
          <w:p>
            <w:pPr>
              <w:pStyle w:val="TableContents"/>
              <w:spacing w:before="0" w:after="283"/>
              <w:rPr/>
            </w:pPr>
            <w:r>
              <w:rPr/>
              <w:t> </w:t>
            </w:r>
          </w:p>
        </w:tc>
      </w:tr>
      <w:tr>
        <w:trPr/>
        <w:tc>
          <w:tcPr>
            <w:tcW w:w="6297"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5,547</w:t>
            </w:r>
          </w:p>
        </w:tc>
        <w:tc>
          <w:tcPr>
            <w:tcW w:w="8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4,092</w:t>
            </w:r>
          </w:p>
        </w:tc>
        <w:tc>
          <w:tcPr>
            <w:tcW w:w="83" w:type="dxa"/>
            <w:tcBorders/>
            <w:shd w:fill="auto" w:val="clear"/>
            <w:vAlign w:val="bottom"/>
          </w:tcPr>
          <w:p>
            <w:pPr>
              <w:pStyle w:val="TableContents"/>
              <w:spacing w:before="0" w:after="283"/>
              <w:rPr/>
            </w:pPr>
            <w:r>
              <w:rPr/>
              <w:t> </w:t>
            </w:r>
          </w:p>
        </w:tc>
      </w:tr>
      <w:tr>
        <w:trPr/>
        <w:tc>
          <w:tcPr>
            <w:tcW w:w="629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297" w:type="dxa"/>
            <w:tcBorders/>
            <w:shd w:fill="CCEEFF" w:val="clear"/>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39,839</w:t>
            </w:r>
          </w:p>
        </w:tc>
        <w:tc>
          <w:tcPr>
            <w:tcW w:w="8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30,029</w:t>
            </w:r>
          </w:p>
        </w:tc>
        <w:tc>
          <w:tcPr>
            <w:tcW w:w="83" w:type="dxa"/>
            <w:tcBorders/>
            <w:shd w:fill="CCEEFF" w:val="clear"/>
            <w:vAlign w:val="bottom"/>
          </w:tcPr>
          <w:p>
            <w:pPr>
              <w:pStyle w:val="TableContents"/>
              <w:spacing w:before="0" w:after="283"/>
              <w:rPr/>
            </w:pPr>
            <w:r>
              <w:rPr/>
              <w:t> </w:t>
            </w:r>
          </w:p>
        </w:tc>
      </w:tr>
      <w:tr>
        <w:trPr/>
        <w:tc>
          <w:tcPr>
            <w:tcW w:w="6297"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(38,924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(29,318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9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297" w:type="dxa"/>
            <w:tcBorders/>
            <w:shd w:fill="CCEEFF" w:val="clear"/>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w:t>
            </w:r>
          </w:p>
        </w:tc>
        <w:tc>
          <w:tcPr>
            <w:tcW w:w="8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83" w:type="dxa"/>
            <w:tcBorders/>
            <w:shd w:fill="CCEEFF" w:val="clear"/>
            <w:vAlign w:val="bottom"/>
          </w:tcPr>
          <w:p>
            <w:pPr>
              <w:pStyle w:val="TableContents"/>
              <w:spacing w:before="0" w:after="283"/>
              <w:rPr/>
            </w:pPr>
            <w:r>
              <w:rPr/>
              <w:t> </w:t>
            </w:r>
          </w:p>
        </w:tc>
      </w:tr>
      <w:tr>
        <w:trPr/>
        <w:tc>
          <w:tcPr>
            <w:tcW w:w="629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6297" w:type="dxa"/>
            <w:tcBorders/>
            <w:shd w:fill="CCEEFF" w:val="clear"/>
          </w:tcPr>
          <w:p>
            <w:pPr>
              <w:pStyle w:val="TableContents"/>
              <w:spacing w:before="0" w:after="283"/>
              <w:rPr>
                <w:rFonts w:ascii="Times New Roman" w:hAnsi="Times New Roman"/>
                <w:sz w:val="20"/>
              </w:rPr>
            </w:pPr>
            <w:r>
              <w:rPr>
                <w:rFonts w:ascii="Times New Roman" w:hAnsi="Times New Roman"/>
                <w:sz w:val="20"/>
              </w:rPr>
              <w:t>Included in the accompanying consolidated balance sheets under the following captions:</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297"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4,681</w:t>
            </w:r>
          </w:p>
        </w:tc>
        <w:tc>
          <w:tcPr>
            <w:tcW w:w="8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4,181</w:t>
            </w:r>
          </w:p>
        </w:tc>
        <w:tc>
          <w:tcPr>
            <w:tcW w:w="83" w:type="dxa"/>
            <w:tcBorders/>
            <w:shd w:fill="auto" w:val="clear"/>
            <w:vAlign w:val="bottom"/>
          </w:tcPr>
          <w:p>
            <w:pPr>
              <w:pStyle w:val="TableContents"/>
              <w:spacing w:before="0" w:after="283"/>
              <w:rPr/>
            </w:pPr>
            <w:r>
              <w:rPr/>
              <w:t> </w:t>
            </w:r>
          </w:p>
        </w:tc>
      </w:tr>
      <w:tr>
        <w:trPr/>
        <w:tc>
          <w:tcPr>
            <w:tcW w:w="6297"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9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51"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297" w:type="dxa"/>
            <w:tcBorders/>
            <w:shd w:fill="CCEEFF" w:val="clear"/>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w:t>
            </w:r>
          </w:p>
        </w:tc>
        <w:tc>
          <w:tcPr>
            <w:tcW w:w="8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83" w:type="dxa"/>
            <w:tcBorders/>
            <w:shd w:fill="CCEEFF" w:val="clear"/>
            <w:vAlign w:val="bottom"/>
          </w:tcPr>
          <w:p>
            <w:pPr>
              <w:pStyle w:val="TableContents"/>
              <w:spacing w:before="0" w:after="283"/>
              <w:rPr/>
            </w:pPr>
            <w:r>
              <w:rPr/>
              <w:t> </w:t>
            </w:r>
          </w:p>
        </w:tc>
      </w:tr>
      <w:tr>
        <w:trPr/>
        <w:tc>
          <w:tcPr>
            <w:tcW w:w="6297"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51"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5.    Inventories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336"/>
        <w:gridCol w:w="423"/>
        <w:gridCol w:w="139"/>
        <w:gridCol w:w="548"/>
        <w:gridCol w:w="80"/>
        <w:gridCol w:w="377"/>
        <w:gridCol w:w="139"/>
        <w:gridCol w:w="548"/>
        <w:gridCol w:w="84"/>
      </w:tblGrid>
      <w:tr>
        <w:trPr/>
        <w:tc>
          <w:tcPr>
            <w:tcW w:w="633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3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23"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6336"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 and subassemblies</w:t>
            </w:r>
          </w:p>
        </w:tc>
        <w:tc>
          <w:tcPr>
            <w:tcW w:w="42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w:t>
            </w:r>
          </w:p>
        </w:tc>
        <w:tc>
          <w:tcPr>
            <w:tcW w:w="8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888</w:t>
            </w:r>
          </w:p>
        </w:tc>
        <w:tc>
          <w:tcPr>
            <w:tcW w:w="84" w:type="dxa"/>
            <w:tcBorders/>
            <w:shd w:fill="CCEEFF" w:val="clear"/>
            <w:vAlign w:val="bottom"/>
          </w:tcPr>
          <w:p>
            <w:pPr>
              <w:pStyle w:val="TableContents"/>
              <w:spacing w:before="0" w:after="283"/>
              <w:rPr/>
            </w:pPr>
            <w:r>
              <w:rPr/>
              <w:t> </w:t>
            </w:r>
          </w:p>
        </w:tc>
      </w:tr>
      <w:tr>
        <w:trPr/>
        <w:tc>
          <w:tcPr>
            <w:tcW w:w="6336"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4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8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84" w:type="dxa"/>
            <w:tcBorders/>
            <w:shd w:fill="auto" w:val="clear"/>
            <w:vAlign w:val="bottom"/>
          </w:tcPr>
          <w:p>
            <w:pPr>
              <w:pStyle w:val="TableContents"/>
              <w:spacing w:before="0" w:after="283"/>
              <w:rPr/>
            </w:pPr>
            <w:r>
              <w:rPr/>
              <w:t> </w:t>
            </w:r>
          </w:p>
        </w:tc>
      </w:tr>
      <w:tr>
        <w:trPr/>
        <w:tc>
          <w:tcPr>
            <w:tcW w:w="6336"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42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814</w:t>
            </w:r>
          </w:p>
        </w:tc>
        <w:tc>
          <w:tcPr>
            <w:tcW w:w="8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w:t>
            </w:r>
          </w:p>
        </w:tc>
        <w:tc>
          <w:tcPr>
            <w:tcW w:w="84" w:type="dxa"/>
            <w:tcBorders/>
            <w:shd w:fill="CCEEFF" w:val="clear"/>
            <w:vAlign w:val="bottom"/>
          </w:tcPr>
          <w:p>
            <w:pPr>
              <w:pStyle w:val="TableContents"/>
              <w:spacing w:before="0" w:after="283"/>
              <w:rPr/>
            </w:pPr>
            <w:r>
              <w:rPr/>
              <w:t> </w:t>
            </w:r>
          </w:p>
        </w:tc>
      </w:tr>
      <w:tr>
        <w:trPr/>
        <w:tc>
          <w:tcPr>
            <w:tcW w:w="6336" w:type="dxa"/>
            <w:tcBorders/>
            <w:shd w:fill="auto" w:val="clear"/>
          </w:tcPr>
          <w:p>
            <w:pPr>
              <w:pStyle w:val="TableContents"/>
              <w:spacing w:before="0" w:after="283"/>
              <w:rPr>
                <w:rFonts w:ascii="Times New Roman" w:hAnsi="Times New Roman"/>
                <w:sz w:val="20"/>
              </w:rPr>
            </w:pPr>
            <w:r>
              <w:rPr>
                <w:rFonts w:ascii="Times New Roman" w:hAnsi="Times New Roman"/>
                <w:sz w:val="20"/>
              </w:rPr>
              <w:t>Obsolescence allowance</w:t>
            </w:r>
          </w:p>
        </w:tc>
        <w:tc>
          <w:tcPr>
            <w:tcW w:w="4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36"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77"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48"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6336" w:type="dxa"/>
            <w:tcBorders/>
            <w:shd w:fill="CCEEFF" w:val="clear"/>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8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84" w:type="dxa"/>
            <w:tcBorders/>
            <w:shd w:fill="CCEEFF" w:val="clear"/>
            <w:vAlign w:val="bottom"/>
          </w:tcPr>
          <w:p>
            <w:pPr>
              <w:pStyle w:val="TableContents"/>
              <w:spacing w:before="0" w:after="283"/>
              <w:rPr/>
            </w:pPr>
            <w:r>
              <w:rPr/>
              <w:t> </w:t>
            </w:r>
          </w:p>
        </w:tc>
      </w:tr>
      <w:tr>
        <w:trPr/>
        <w:tc>
          <w:tcPr>
            <w:tcW w:w="6336"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77"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8"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Amounts credited to the allowance for obsolete inventory and charged to cost of sales amounted to $0, $110,000 and $0 during 2005, 2004 and 2003. Items charged to allowance for inventory recoveries were $10,000, $0 and $0 during 2005, 2004 and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6.    Property and Equipment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264"/>
        <w:gridCol w:w="420"/>
        <w:gridCol w:w="125"/>
        <w:gridCol w:w="602"/>
        <w:gridCol w:w="80"/>
        <w:gridCol w:w="372"/>
        <w:gridCol w:w="125"/>
        <w:gridCol w:w="602"/>
        <w:gridCol w:w="84"/>
      </w:tblGrid>
      <w:tr>
        <w:trPr/>
        <w:tc>
          <w:tcPr>
            <w:tcW w:w="626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26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20" w:type="dxa"/>
            <w:tcBorders/>
            <w:shd w:fill="auto" w:val="clear"/>
            <w:vAlign w:val="bottom"/>
          </w:tcPr>
          <w:p>
            <w:pPr>
              <w:pStyle w:val="TableContents"/>
              <w:spacing w:before="0" w:after="283"/>
              <w:rPr/>
            </w:pPr>
            <w:r>
              <w:rPr/>
              <w:t>  </w:t>
            </w:r>
          </w:p>
        </w:tc>
        <w:tc>
          <w:tcPr>
            <w:tcW w:w="727"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727"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6264" w:type="dxa"/>
            <w:tcBorders/>
            <w:shd w:fill="CCEEFF" w:val="clear"/>
          </w:tcPr>
          <w:p>
            <w:pPr>
              <w:pStyle w:val="TableContents"/>
              <w:spacing w:before="0" w:after="283"/>
              <w:rPr>
                <w:rFonts w:ascii="Times New Roman" w:hAnsi="Times New Roman"/>
                <w:sz w:val="20"/>
              </w:rPr>
            </w:pPr>
            <w:r>
              <w:rPr>
                <w:rFonts w:ascii="Times New Roman" w:hAnsi="Times New Roman"/>
                <w:sz w:val="20"/>
              </w:rPr>
              <w:t>Land</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w:t>
            </w:r>
          </w:p>
        </w:tc>
        <w:tc>
          <w:tcPr>
            <w:tcW w:w="8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w:t>
            </w:r>
          </w:p>
        </w:tc>
        <w:tc>
          <w:tcPr>
            <w:tcW w:w="84" w:type="dxa"/>
            <w:tcBorders/>
            <w:shd w:fill="CCEEFF" w:val="clear"/>
            <w:vAlign w:val="bottom"/>
          </w:tcPr>
          <w:p>
            <w:pPr>
              <w:pStyle w:val="TableContents"/>
              <w:spacing w:before="0" w:after="283"/>
              <w:rPr/>
            </w:pPr>
            <w:r>
              <w:rPr/>
              <w:t> </w:t>
            </w:r>
          </w:p>
        </w:tc>
      </w:tr>
      <w:tr>
        <w:trPr/>
        <w:tc>
          <w:tcPr>
            <w:tcW w:w="6264" w:type="dxa"/>
            <w:tcBorders/>
            <w:shd w:fill="auto" w:val="clear"/>
          </w:tcPr>
          <w:p>
            <w:pPr>
              <w:pStyle w:val="TableContents"/>
              <w:spacing w:before="0" w:after="283"/>
              <w:rPr>
                <w:rFonts w:ascii="Times New Roman" w:hAnsi="Times New Roman"/>
                <w:sz w:val="20"/>
              </w:rPr>
            </w:pPr>
            <w:r>
              <w:rPr>
                <w:rFonts w:ascii="Times New Roman" w:hAnsi="Times New Roman"/>
                <w:sz w:val="20"/>
              </w:rPr>
              <w:t>Building and improvements</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4,174</w:t>
            </w:r>
          </w:p>
        </w:tc>
        <w:tc>
          <w:tcPr>
            <w:tcW w:w="8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4,140</w:t>
            </w:r>
          </w:p>
        </w:tc>
        <w:tc>
          <w:tcPr>
            <w:tcW w:w="84" w:type="dxa"/>
            <w:tcBorders/>
            <w:shd w:fill="auto" w:val="clear"/>
            <w:vAlign w:val="bottom"/>
          </w:tcPr>
          <w:p>
            <w:pPr>
              <w:pStyle w:val="TableContents"/>
              <w:spacing w:before="0" w:after="283"/>
              <w:rPr/>
            </w:pPr>
            <w:r>
              <w:rPr/>
              <w:t> </w:t>
            </w:r>
          </w:p>
        </w:tc>
      </w:tr>
      <w:tr>
        <w:trPr/>
        <w:tc>
          <w:tcPr>
            <w:tcW w:w="6264" w:type="dxa"/>
            <w:tcBorders/>
            <w:shd w:fill="CCEEFF"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11,253</w:t>
            </w:r>
          </w:p>
        </w:tc>
        <w:tc>
          <w:tcPr>
            <w:tcW w:w="8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10,875</w:t>
            </w:r>
          </w:p>
        </w:tc>
        <w:tc>
          <w:tcPr>
            <w:tcW w:w="84" w:type="dxa"/>
            <w:tcBorders/>
            <w:shd w:fill="CCEEFF" w:val="clear"/>
            <w:vAlign w:val="bottom"/>
          </w:tcPr>
          <w:p>
            <w:pPr>
              <w:pStyle w:val="TableContents"/>
              <w:spacing w:before="0" w:after="283"/>
              <w:rPr/>
            </w:pPr>
            <w:r>
              <w:rPr/>
              <w:t> </w:t>
            </w:r>
          </w:p>
        </w:tc>
      </w:tr>
      <w:tr>
        <w:trPr/>
        <w:tc>
          <w:tcPr>
            <w:tcW w:w="6264"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6264" w:type="dxa"/>
            <w:tcBorders/>
            <w:shd w:fill="CCEEFF" w:val="clear"/>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16,887</w:t>
            </w:r>
          </w:p>
        </w:tc>
        <w:tc>
          <w:tcPr>
            <w:tcW w:w="8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16,475</w:t>
            </w:r>
          </w:p>
        </w:tc>
        <w:tc>
          <w:tcPr>
            <w:tcW w:w="84" w:type="dxa"/>
            <w:tcBorders/>
            <w:shd w:fill="CCEEFF" w:val="clear"/>
            <w:vAlign w:val="bottom"/>
          </w:tcPr>
          <w:p>
            <w:pPr>
              <w:pStyle w:val="TableContents"/>
              <w:spacing w:before="0" w:after="283"/>
              <w:rPr/>
            </w:pPr>
            <w:r>
              <w:rPr/>
              <w:t> </w:t>
            </w:r>
          </w:p>
        </w:tc>
      </w:tr>
      <w:tr>
        <w:trPr/>
        <w:tc>
          <w:tcPr>
            <w:tcW w:w="6264"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depreciation</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(7,090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64"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2"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6264" w:type="dxa"/>
            <w:tcBorders/>
            <w:shd w:fill="CCEEFF" w:val="clear"/>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8,796</w:t>
            </w:r>
          </w:p>
        </w:tc>
        <w:tc>
          <w:tcPr>
            <w:tcW w:w="8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9,385</w:t>
            </w:r>
          </w:p>
        </w:tc>
        <w:tc>
          <w:tcPr>
            <w:tcW w:w="84" w:type="dxa"/>
            <w:tcBorders/>
            <w:shd w:fill="CCEEFF" w:val="clear"/>
            <w:vAlign w:val="bottom"/>
          </w:tcPr>
          <w:p>
            <w:pPr>
              <w:pStyle w:val="TableContents"/>
              <w:spacing w:before="0" w:after="283"/>
              <w:rPr/>
            </w:pPr>
            <w:r>
              <w:rPr/>
              <w:t> </w:t>
            </w:r>
          </w:p>
        </w:tc>
      </w:tr>
      <w:tr>
        <w:trPr/>
        <w:tc>
          <w:tcPr>
            <w:tcW w:w="6264"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0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02"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expense was $1.1 million for 2005, 2004 and 2003,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7.    Goodwill and Intangible Assets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336"/>
        <w:gridCol w:w="428"/>
        <w:gridCol w:w="139"/>
        <w:gridCol w:w="543"/>
        <w:gridCol w:w="80"/>
        <w:gridCol w:w="383"/>
        <w:gridCol w:w="139"/>
        <w:gridCol w:w="543"/>
        <w:gridCol w:w="83"/>
      </w:tblGrid>
      <w:tr>
        <w:trPr/>
        <w:tc>
          <w:tcPr>
            <w:tcW w:w="633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33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28" w:type="dxa"/>
            <w:tcBorders/>
            <w:shd w:fill="auto" w:val="clear"/>
            <w:vAlign w:val="bottom"/>
          </w:tcPr>
          <w:p>
            <w:pPr>
              <w:pStyle w:val="TableContents"/>
              <w:spacing w:before="0" w:after="283"/>
              <w:rPr/>
            </w:pPr>
            <w:r>
              <w:rPr/>
              <w:t>  </w:t>
            </w:r>
          </w:p>
        </w:tc>
        <w:tc>
          <w:tcPr>
            <w:tcW w:w="682"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682"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33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42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3" w:type="dxa"/>
            <w:tcBorders/>
            <w:shd w:fill="CCEEFF" w:val="clear"/>
            <w:vAlign w:val="bottom"/>
          </w:tcPr>
          <w:p>
            <w:pPr>
              <w:pStyle w:val="TableContents"/>
              <w:spacing w:before="0" w:after="283"/>
              <w:rPr/>
            </w:pPr>
            <w:r>
              <w:rPr/>
              <w:t> </w:t>
            </w:r>
          </w:p>
        </w:tc>
      </w:tr>
      <w:tr>
        <w:trPr/>
        <w:tc>
          <w:tcPr>
            <w:tcW w:w="633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6336"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assetsfinite life</w:t>
            </w:r>
          </w:p>
        </w:tc>
        <w:tc>
          <w:tcPr>
            <w:tcW w:w="42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1,346</w:t>
            </w:r>
          </w:p>
        </w:tc>
        <w:tc>
          <w:tcPr>
            <w:tcW w:w="8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1,346</w:t>
            </w:r>
          </w:p>
        </w:tc>
        <w:tc>
          <w:tcPr>
            <w:tcW w:w="83" w:type="dxa"/>
            <w:tcBorders/>
            <w:shd w:fill="CCEEFF" w:val="clear"/>
            <w:vAlign w:val="bottom"/>
          </w:tcPr>
          <w:p>
            <w:pPr>
              <w:pStyle w:val="TableContents"/>
              <w:spacing w:before="0" w:after="283"/>
              <w:rPr/>
            </w:pPr>
            <w:r>
              <w:rPr/>
              <w:t> </w:t>
            </w:r>
          </w:p>
        </w:tc>
      </w:tr>
      <w:tr>
        <w:trPr/>
        <w:tc>
          <w:tcPr>
            <w:tcW w:w="6336"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amortization</w:t>
            </w:r>
          </w:p>
        </w:tc>
        <w:tc>
          <w:tcPr>
            <w:tcW w:w="428"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3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4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4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336" w:type="dxa"/>
            <w:tcBorders/>
            <w:shd w:fill="CCEEFF" w:val="clear"/>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658</w:t>
            </w:r>
          </w:p>
        </w:tc>
        <w:tc>
          <w:tcPr>
            <w:tcW w:w="8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83" w:type="dxa"/>
            <w:tcBorders/>
            <w:shd w:fill="CCEEFF" w:val="clear"/>
            <w:vAlign w:val="bottom"/>
          </w:tcPr>
          <w:p>
            <w:pPr>
              <w:pStyle w:val="TableContents"/>
              <w:spacing w:before="0" w:after="283"/>
              <w:rPr/>
            </w:pPr>
            <w:r>
              <w:rPr/>
              <w:t> </w:t>
            </w:r>
          </w:p>
        </w:tc>
      </w:tr>
      <w:tr>
        <w:trPr/>
        <w:tc>
          <w:tcPr>
            <w:tcW w:w="633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6336"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428"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3" w:type="dxa"/>
            <w:tcBorders/>
            <w:shd w:fill="CCEEFF" w:val="clear"/>
            <w:vAlign w:val="bottom"/>
          </w:tcPr>
          <w:p>
            <w:pPr>
              <w:pStyle w:val="TableContents"/>
              <w:spacing w:before="0" w:after="283"/>
              <w:rPr/>
            </w:pPr>
            <w:r>
              <w:rPr/>
              <w:t> </w:t>
            </w:r>
          </w:p>
        </w:tc>
      </w:tr>
      <w:tr>
        <w:trPr/>
        <w:tc>
          <w:tcPr>
            <w:tcW w:w="6336"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4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Indefinite life intangible assets are comprised of tradenames, while finite life intangible assets are comprised of patents. Amortization expense was $79,000, $79,000 and $78,000 for 2005, 2004 and 2003, respectively. Amortization of finite life intangible assets over the next five years is $78,000 in 2006 and 2007 and $77,000 in 2008, 2009 and 2010.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8.    Accounts Payable and Accrued Expenses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640"/>
        <w:gridCol w:w="281"/>
        <w:gridCol w:w="137"/>
        <w:gridCol w:w="597"/>
        <w:gridCol w:w="281"/>
        <w:gridCol w:w="137"/>
        <w:gridCol w:w="601"/>
      </w:tblGrid>
      <w:tr>
        <w:trPr/>
        <w:tc>
          <w:tcPr>
            <w:tcW w:w="664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664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281"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281" w:type="dxa"/>
            <w:tcBorders/>
            <w:shd w:fill="auto" w:val="clear"/>
            <w:vAlign w:val="bottom"/>
          </w:tcPr>
          <w:p>
            <w:pPr>
              <w:pStyle w:val="TableContents"/>
              <w:spacing w:before="0" w:after="283"/>
              <w:rPr/>
            </w:pPr>
            <w:r>
              <w:rPr/>
              <w:t>  </w:t>
            </w:r>
          </w:p>
        </w:tc>
        <w:tc>
          <w:tcPr>
            <w:tcW w:w="738"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r>
      <w:tr>
        <w:trPr/>
        <w:tc>
          <w:tcPr>
            <w:tcW w:w="6640" w:type="dxa"/>
            <w:tcBorders/>
            <w:shd w:fill="CCEEFF" w:val="clear"/>
          </w:tcPr>
          <w:p>
            <w:pPr>
              <w:pStyle w:val="TableContents"/>
              <w:spacing w:before="0" w:after="283"/>
              <w:rPr>
                <w:rFonts w:ascii="Times New Roman" w:hAnsi="Times New Roman"/>
                <w:sz w:val="20"/>
              </w:rPr>
            </w:pPr>
            <w:r>
              <w:rPr>
                <w:rFonts w:ascii="Times New Roman" w:hAnsi="Times New Roman"/>
                <w:sz w:val="20"/>
              </w:rPr>
              <w:t>Trade accounts payable</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8,257</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9,762</w:t>
            </w:r>
          </w:p>
        </w:tc>
      </w:tr>
      <w:tr>
        <w:trPr/>
        <w:tc>
          <w:tcPr>
            <w:tcW w:w="6640" w:type="dxa"/>
            <w:tcBorders/>
            <w:shd w:fill="auto" w:val="clear"/>
          </w:tcPr>
          <w:p>
            <w:pPr>
              <w:pStyle w:val="TableContents"/>
              <w:spacing w:before="0" w:after="283"/>
              <w:rPr>
                <w:rFonts w:ascii="Times New Roman" w:hAnsi="Times New Roman"/>
                <w:sz w:val="20"/>
              </w:rPr>
            </w:pPr>
            <w:r>
              <w:rPr>
                <w:rFonts w:ascii="Times New Roman" w:hAnsi="Times New Roman"/>
                <w:sz w:val="20"/>
              </w:rPr>
              <w:t>Compensation and related benefits</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1,240</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r>
      <w:tr>
        <w:trPr/>
        <w:tc>
          <w:tcPr>
            <w:tcW w:w="6640"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interest</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1,439</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w:t>
            </w:r>
          </w:p>
        </w:tc>
      </w:tr>
      <w:tr>
        <w:trPr/>
        <w:tc>
          <w:tcPr>
            <w:tcW w:w="6640" w:type="dxa"/>
            <w:tcBorders/>
            <w:shd w:fill="auto" w:val="clear"/>
          </w:tcPr>
          <w:p>
            <w:pPr>
              <w:pStyle w:val="TableContents"/>
              <w:spacing w:before="0" w:after="283"/>
              <w:rPr>
                <w:rFonts w:ascii="Times New Roman" w:hAnsi="Times New Roman"/>
                <w:sz w:val="20"/>
              </w:rPr>
            </w:pPr>
            <w:r>
              <w:rPr>
                <w:rFonts w:ascii="Times New Roman" w:hAnsi="Times New Roman"/>
                <w:sz w:val="20"/>
              </w:rPr>
              <w:t>Other accrued expenses</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1,081</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857</w:t>
            </w:r>
          </w:p>
        </w:tc>
      </w:tr>
      <w:tr>
        <w:trPr/>
        <w:tc>
          <w:tcPr>
            <w:tcW w:w="664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597" w:type="dxa"/>
            <w:tcBorders/>
            <w:shd w:fill="auto" w:val="clear"/>
            <w:vAlign w:val="bottom"/>
          </w:tcPr>
          <w:p>
            <w:pPr>
              <w:pStyle w:val="HorizontalLine"/>
              <w:pBdr>
                <w:bottom w:val="single" w:sz="6" w:space="0" w:color="000000"/>
              </w:pBdr>
              <w:spacing w:before="0" w:after="283"/>
              <w:rPr/>
            </w:pPr>
            <w:r>
              <w:rPr/>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01" w:type="dxa"/>
            <w:tcBorders/>
            <w:shd w:fill="auto" w:val="clear"/>
            <w:vAlign w:val="bottom"/>
          </w:tcPr>
          <w:p>
            <w:pPr>
              <w:pStyle w:val="HorizontalLine"/>
              <w:pBdr>
                <w:bottom w:val="single" w:sz="6" w:space="0" w:color="000000"/>
              </w:pBdr>
              <w:spacing w:before="0" w:after="283"/>
              <w:rPr/>
            </w:pPr>
            <w:r>
              <w:rPr/>
            </w:r>
          </w:p>
        </w:tc>
      </w:tr>
      <w:tr>
        <w:trPr/>
        <w:tc>
          <w:tcPr>
            <w:tcW w:w="6640" w:type="dxa"/>
            <w:tcBorders/>
            <w:shd w:fill="CCEEFF" w:val="clear"/>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12,017</w:t>
            </w:r>
          </w:p>
        </w:tc>
        <w:tc>
          <w:tcPr>
            <w:tcW w:w="28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12,175</w:t>
            </w:r>
          </w:p>
        </w:tc>
      </w:tr>
      <w:tr>
        <w:trPr/>
        <w:tc>
          <w:tcPr>
            <w:tcW w:w="664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597" w:type="dxa"/>
            <w:tcBorders/>
            <w:shd w:fill="auto" w:val="clear"/>
            <w:vAlign w:val="bottom"/>
          </w:tcPr>
          <w:p>
            <w:pPr>
              <w:pStyle w:val="HorizontalLine"/>
              <w:pBdr>
                <w:bottom w:val="single" w:sz="18" w:space="0" w:color="000000"/>
              </w:pBdr>
              <w:spacing w:before="0" w:after="283"/>
              <w:rPr/>
            </w:pPr>
            <w:r>
              <w:rPr/>
            </w:r>
          </w:p>
        </w:tc>
        <w:tc>
          <w:tcPr>
            <w:tcW w:w="28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601"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9.    Debt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468"/>
        <w:gridCol w:w="372"/>
        <w:gridCol w:w="125"/>
        <w:gridCol w:w="489"/>
        <w:gridCol w:w="80"/>
        <w:gridCol w:w="329"/>
        <w:gridCol w:w="125"/>
        <w:gridCol w:w="603"/>
        <w:gridCol w:w="83"/>
      </w:tblGrid>
      <w:tr>
        <w:trPr/>
        <w:tc>
          <w:tcPr>
            <w:tcW w:w="646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46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72" w:type="dxa"/>
            <w:tcBorders/>
            <w:shd w:fill="auto" w:val="clear"/>
            <w:vAlign w:val="bottom"/>
          </w:tcPr>
          <w:p>
            <w:pPr>
              <w:pStyle w:val="TableContents"/>
              <w:spacing w:before="0" w:after="283"/>
              <w:rPr/>
            </w:pPr>
            <w:r>
              <w:rPr/>
              <w:t>  </w:t>
            </w:r>
          </w:p>
        </w:tc>
        <w:tc>
          <w:tcPr>
            <w:tcW w:w="6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7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468" w:type="dxa"/>
            <w:tcBorders/>
            <w:shd w:fill="CCEEFF" w:val="clear"/>
          </w:tcPr>
          <w:p>
            <w:pPr>
              <w:pStyle w:val="TableContents"/>
              <w:spacing w:before="0" w:after="283"/>
              <w:rPr>
                <w:rFonts w:ascii="Times New Roman" w:hAnsi="Times New Roman"/>
                <w:sz w:val="20"/>
              </w:rPr>
            </w:pPr>
            <w:r>
              <w:rPr>
                <w:rFonts w:ascii="Times New Roman" w:hAnsi="Times New Roman"/>
                <w:sz w:val="20"/>
              </w:rPr>
              <w:t>Bank credit facility</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6,782</w:t>
            </w:r>
          </w:p>
        </w:tc>
        <w:tc>
          <w:tcPr>
            <w:tcW w:w="80"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8,737</w:t>
            </w:r>
          </w:p>
        </w:tc>
        <w:tc>
          <w:tcPr>
            <w:tcW w:w="83" w:type="dxa"/>
            <w:tcBorders/>
            <w:shd w:fill="CCEEFF" w:val="clear"/>
            <w:vAlign w:val="bottom"/>
          </w:tcPr>
          <w:p>
            <w:pPr>
              <w:pStyle w:val="TableContents"/>
              <w:spacing w:before="0" w:after="283"/>
              <w:rPr/>
            </w:pPr>
            <w:r>
              <w:rPr/>
              <w:t> </w:t>
            </w:r>
          </w:p>
        </w:tc>
      </w:tr>
      <w:tr>
        <w:trPr/>
        <w:tc>
          <w:tcPr>
            <w:tcW w:w="6468" w:type="dxa"/>
            <w:tcBorders/>
            <w:shd w:fill="auto" w:val="clear"/>
          </w:tcPr>
          <w:p>
            <w:pPr>
              <w:pStyle w:val="TableContents"/>
              <w:spacing w:before="0" w:after="283"/>
              <w:rPr>
                <w:rFonts w:ascii="Times New Roman" w:hAnsi="Times New Roman"/>
                <w:sz w:val="20"/>
              </w:rPr>
            </w:pPr>
            <w:r>
              <w:rPr>
                <w:rFonts w:ascii="Times New Roman" w:hAnsi="Times New Roman"/>
                <w:sz w:val="20"/>
              </w:rPr>
              <w:t>Less current portion</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6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89"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0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468" w:type="dxa"/>
            <w:tcBorders/>
            <w:shd w:fill="CCEEFF" w:val="clear"/>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c>
          <w:tcPr>
            <w:tcW w:w="80"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4,549</w:t>
            </w:r>
          </w:p>
        </w:tc>
        <w:tc>
          <w:tcPr>
            <w:tcW w:w="83" w:type="dxa"/>
            <w:tcBorders/>
            <w:shd w:fill="CCEEFF" w:val="clear"/>
            <w:vAlign w:val="bottom"/>
          </w:tcPr>
          <w:p>
            <w:pPr>
              <w:pStyle w:val="TableContents"/>
              <w:spacing w:before="0" w:after="283"/>
              <w:rPr/>
            </w:pPr>
            <w:r>
              <w:rPr/>
              <w:t> </w:t>
            </w:r>
          </w:p>
        </w:tc>
      </w:tr>
      <w:tr>
        <w:trPr/>
        <w:tc>
          <w:tcPr>
            <w:tcW w:w="646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89"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0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2005, we refinanced our bank credit facility aggregating $16.1 million consisting of $3.1 million in term loans and a $13 million revolving credit line. Interest is charged based on the banks prime rate plus 2.0 percentage points on the credit facility and plus 2.25 points on the term loan (9.25% and 9.5% at December 31,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2005, the revolving credit line, permits borrowings of up to the lesser of 1) $13 million less outstanding letters of credit, or 2) borrowings which are limited to 70% of eligible accounts receivable, plus 50% of eligible inventory, minus outstanding letters of credit. Amounts unused and available under our revolving credit facility were $4.3 and $5.1 million at December 31, 2005 and 2004, respectively. Amounts borrowed were $3.7 and $4.5 million at December 31, 2005 and 2004, respectively. Amounts outstanding under letters of credit were $979,000 and $365,000 at December 31, 2005 and 2004, respectively. The line of credit matures January 31, 2007.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May 7, 2003, we received approximately $1.6 million in cash proceeds from the sale and leaseback of our Conshohocken, Pennsylvania property. Approximately $700,000 was used to reduce the revolving line of credit and the balance was used to reduce term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Maturities of all long-term debt over the next five years are estimated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005"/>
        <w:gridCol w:w="726"/>
        <w:gridCol w:w="290"/>
        <w:gridCol w:w="604"/>
        <w:gridCol w:w="1049"/>
      </w:tblGrid>
      <w:tr>
        <w:trPr/>
        <w:tc>
          <w:tcPr>
            <w:tcW w:w="60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7021" w:type="dxa"/>
            <w:gridSpan w:val="3"/>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604"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Maturities</w:t>
            </w:r>
          </w:p>
          <w:p>
            <w:pPr>
              <w:pStyle w:val="HorizontalLine"/>
              <w:pBdr>
                <w:bottom w:val="single" w:sz="6" w:space="0" w:color="000000"/>
              </w:pBdr>
              <w:spacing w:before="0" w:after="283"/>
              <w:rPr/>
            </w:pPr>
            <w:r>
              <w:rPr/>
            </w:r>
          </w:p>
        </w:tc>
      </w:tr>
      <w:tr>
        <w:trPr/>
        <w:tc>
          <w:tcPr>
            <w:tcW w:w="7021" w:type="dxa"/>
            <w:gridSpan w:val="3"/>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70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60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r>
      <w:tr>
        <w:trPr/>
        <w:tc>
          <w:tcPr>
            <w:tcW w:w="70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604"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6,214</w:t>
            </w:r>
          </w:p>
        </w:tc>
      </w:tr>
      <w:tr>
        <w:trPr/>
        <w:tc>
          <w:tcPr>
            <w:tcW w:w="70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60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0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2009</w:t>
            </w:r>
          </w:p>
        </w:tc>
        <w:tc>
          <w:tcPr>
            <w:tcW w:w="604"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021" w:type="dxa"/>
            <w:gridSpan w:val="3"/>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604"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02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604"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property and equipment, accounts receivable, investments and inventory serve as collateral for our bank debt. Our debt agreements contain customary covenants and events of default.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10.    Subordinated Notes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809"/>
        <w:gridCol w:w="289"/>
        <w:gridCol w:w="144"/>
        <w:gridCol w:w="497"/>
        <w:gridCol w:w="289"/>
        <w:gridCol w:w="144"/>
        <w:gridCol w:w="502"/>
      </w:tblGrid>
      <w:tr>
        <w:trPr/>
        <w:tc>
          <w:tcPr>
            <w:tcW w:w="68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680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289" w:type="dxa"/>
            <w:tcBorders/>
            <w:shd w:fill="auto" w:val="clear"/>
            <w:vAlign w:val="bottom"/>
          </w:tcPr>
          <w:p>
            <w:pPr>
              <w:pStyle w:val="TableContents"/>
              <w:spacing w:before="0" w:after="283"/>
              <w:rPr/>
            </w:pPr>
            <w:r>
              <w:rPr/>
              <w:t>  </w:t>
            </w:r>
          </w:p>
        </w:tc>
        <w:tc>
          <w:tcPr>
            <w:tcW w:w="6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289" w:type="dxa"/>
            <w:tcBorders/>
            <w:shd w:fill="auto" w:val="clear"/>
            <w:vAlign w:val="bottom"/>
          </w:tcPr>
          <w:p>
            <w:pPr>
              <w:pStyle w:val="TableContents"/>
              <w:spacing w:before="0" w:after="283"/>
              <w:rPr/>
            </w:pPr>
            <w:r>
              <w:rPr/>
              <w:t>  </w:t>
            </w:r>
          </w:p>
        </w:tc>
        <w:tc>
          <w:tcPr>
            <w:tcW w:w="64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r>
      <w:tr>
        <w:trPr/>
        <w:tc>
          <w:tcPr>
            <w:tcW w:w="6809"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due 2006, 12%</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r>
      <w:tr>
        <w:trPr/>
        <w:tc>
          <w:tcPr>
            <w:tcW w:w="6809"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Notes due 2007, 12%</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5,343</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5,055</w:t>
            </w:r>
          </w:p>
        </w:tc>
      </w:tr>
      <w:tr>
        <w:trPr/>
        <w:tc>
          <w:tcPr>
            <w:tcW w:w="6809"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 due 2007, 6%</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r>
      <w:tr>
        <w:trPr/>
        <w:tc>
          <w:tcPr>
            <w:tcW w:w="68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6" w:space="0" w:color="000000"/>
              </w:pBdr>
              <w:spacing w:before="0" w:after="283"/>
              <w:rPr/>
            </w:pPr>
            <w:r>
              <w:rPr/>
            </w:r>
          </w:p>
        </w:tc>
        <w:tc>
          <w:tcPr>
            <w:tcW w:w="497" w:type="dxa"/>
            <w:tcBorders/>
            <w:shd w:fill="auto" w:val="clear"/>
            <w:vAlign w:val="bottom"/>
          </w:tcPr>
          <w:p>
            <w:pPr>
              <w:pStyle w:val="HorizontalLine"/>
              <w:pBdr>
                <w:bottom w:val="single" w:sz="6" w:space="0" w:color="000000"/>
              </w:pBdr>
              <w:spacing w:before="0" w:after="283"/>
              <w:rPr/>
            </w:pPr>
            <w:r>
              <w:rPr/>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6" w:space="0" w:color="000000"/>
              </w:pBdr>
              <w:spacing w:before="0" w:after="283"/>
              <w:rPr/>
            </w:pPr>
            <w:r>
              <w:rPr/>
            </w:r>
          </w:p>
        </w:tc>
        <w:tc>
          <w:tcPr>
            <w:tcW w:w="502" w:type="dxa"/>
            <w:tcBorders/>
            <w:shd w:fill="auto" w:val="clear"/>
            <w:vAlign w:val="bottom"/>
          </w:tcPr>
          <w:p>
            <w:pPr>
              <w:pStyle w:val="HorizontalLine"/>
              <w:pBdr>
                <w:bottom w:val="single" w:sz="6" w:space="0" w:color="000000"/>
              </w:pBdr>
              <w:spacing w:before="0" w:after="283"/>
              <w:rPr/>
            </w:pPr>
            <w:r>
              <w:rPr/>
            </w:r>
          </w:p>
        </w:tc>
      </w:tr>
      <w:tr>
        <w:trPr/>
        <w:tc>
          <w:tcPr>
            <w:tcW w:w="6809" w:type="dxa"/>
            <w:tcBorders/>
            <w:shd w:fill="CCEEFF" w:val="clear"/>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7,633</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7,345</w:t>
            </w:r>
          </w:p>
        </w:tc>
      </w:tr>
      <w:tr>
        <w:trPr/>
        <w:tc>
          <w:tcPr>
            <w:tcW w:w="6809" w:type="dxa"/>
            <w:tcBorders/>
            <w:shd w:fill="auto" w:val="clear"/>
          </w:tcPr>
          <w:p>
            <w:pPr>
              <w:pStyle w:val="TableContents"/>
              <w:spacing w:before="0" w:after="283"/>
              <w:rPr>
                <w:rFonts w:ascii="Times New Roman" w:hAnsi="Times New Roman"/>
                <w:sz w:val="20"/>
              </w:rPr>
            </w:pPr>
            <w:r>
              <w:rPr>
                <w:rFonts w:ascii="Times New Roman" w:hAnsi="Times New Roman"/>
                <w:sz w:val="20"/>
              </w:rPr>
              <w:t>Less current portion</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8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6" w:space="0" w:color="000000"/>
              </w:pBdr>
              <w:spacing w:before="0" w:after="283"/>
              <w:rPr/>
            </w:pPr>
            <w:r>
              <w:rPr/>
            </w:r>
          </w:p>
        </w:tc>
        <w:tc>
          <w:tcPr>
            <w:tcW w:w="497" w:type="dxa"/>
            <w:tcBorders/>
            <w:shd w:fill="auto" w:val="clear"/>
            <w:vAlign w:val="bottom"/>
          </w:tcPr>
          <w:p>
            <w:pPr>
              <w:pStyle w:val="HorizontalLine"/>
              <w:pBdr>
                <w:bottom w:val="single" w:sz="6" w:space="0" w:color="000000"/>
              </w:pBdr>
              <w:spacing w:before="0" w:after="283"/>
              <w:rPr/>
            </w:pPr>
            <w:r>
              <w:rPr/>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6" w:space="0" w:color="000000"/>
              </w:pBdr>
              <w:spacing w:before="0" w:after="283"/>
              <w:rPr/>
            </w:pPr>
            <w:r>
              <w:rPr/>
            </w:r>
          </w:p>
        </w:tc>
        <w:tc>
          <w:tcPr>
            <w:tcW w:w="502" w:type="dxa"/>
            <w:tcBorders/>
            <w:shd w:fill="auto" w:val="clear"/>
            <w:vAlign w:val="bottom"/>
          </w:tcPr>
          <w:p>
            <w:pPr>
              <w:pStyle w:val="HorizontalLine"/>
              <w:pBdr>
                <w:bottom w:val="single" w:sz="6" w:space="0" w:color="000000"/>
              </w:pBdr>
              <w:spacing w:before="0" w:after="283"/>
              <w:rPr/>
            </w:pPr>
            <w:r>
              <w:rPr/>
            </w:r>
          </w:p>
        </w:tc>
      </w:tr>
      <w:tr>
        <w:trPr/>
        <w:tc>
          <w:tcPr>
            <w:tcW w:w="6809" w:type="dxa"/>
            <w:tcBorders/>
            <w:shd w:fill="CCEEFF" w:val="clear"/>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6,633</w:t>
            </w:r>
          </w:p>
        </w:tc>
        <w:tc>
          <w:tcPr>
            <w:tcW w:w="289"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7,345</w:t>
            </w:r>
          </w:p>
        </w:tc>
      </w:tr>
      <w:tr>
        <w:trPr/>
        <w:tc>
          <w:tcPr>
            <w:tcW w:w="680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18" w:space="0" w:color="000000"/>
              </w:pBdr>
              <w:spacing w:before="0" w:after="283"/>
              <w:rPr/>
            </w:pPr>
            <w:r>
              <w:rPr/>
            </w:r>
          </w:p>
        </w:tc>
        <w:tc>
          <w:tcPr>
            <w:tcW w:w="497" w:type="dxa"/>
            <w:tcBorders/>
            <w:shd w:fill="auto" w:val="clear"/>
            <w:vAlign w:val="bottom"/>
          </w:tcPr>
          <w:p>
            <w:pPr>
              <w:pStyle w:val="HorizontalLine"/>
              <w:pBdr>
                <w:bottom w:val="single" w:sz="18" w:space="0" w:color="000000"/>
              </w:pBdr>
              <w:spacing w:before="0" w:after="283"/>
              <w:rPr/>
            </w:pPr>
            <w:r>
              <w:rPr/>
            </w:r>
          </w:p>
        </w:tc>
        <w:tc>
          <w:tcPr>
            <w:tcW w:w="289" w:type="dxa"/>
            <w:tcBorders/>
            <w:shd w:fill="auto" w:val="clear"/>
            <w:vAlign w:val="bottom"/>
          </w:tcPr>
          <w:p>
            <w:pPr>
              <w:pStyle w:val="TableContents"/>
              <w:spacing w:before="0" w:after="283"/>
              <w:rPr/>
            </w:pPr>
            <w:r>
              <w:rPr/>
              <w:t>  </w:t>
            </w:r>
          </w:p>
        </w:tc>
        <w:tc>
          <w:tcPr>
            <w:tcW w:w="144" w:type="dxa"/>
            <w:tcBorders/>
            <w:shd w:fill="auto" w:val="clear"/>
            <w:vAlign w:val="bottom"/>
          </w:tcPr>
          <w:p>
            <w:pPr>
              <w:pStyle w:val="HorizontalLine"/>
              <w:pBdr>
                <w:bottom w:val="single" w:sz="18" w:space="0" w:color="000000"/>
              </w:pBdr>
              <w:spacing w:before="0" w:after="283"/>
              <w:rPr/>
            </w:pPr>
            <w:r>
              <w:rPr/>
            </w:r>
          </w:p>
        </w:tc>
        <w:tc>
          <w:tcPr>
            <w:tcW w:w="502"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December 1999, as part of our refinancing activities (that were accomplished at the same time as the acquisition of K&amp;B and kbd/Technic), we obtained $4.0 million of subordinated debt financing from Green Diamond Oil Corp., a company beneficially owned by two of our major shareholders. In addition, we obtained $1.0 million of subordinated debt financing with two unrelated parties. Interest on the notes accrues semi-annually at a rate of 12% per annum. The notes are subject to a subordination agreement and amendments to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notes provided for the issuance to the holders detachable stock warrants that expire December, 2009 (see Note 11). The fair value of the warrants was determined to be $1.8 million at the date of issuance and the subordinated debt was discounted by such amount. The discount is being amortized as a component of interest expense over the life of the subordination which matures in May 2006. The amortization of the discount was approximately $288,000, for each of the years ended December 31, 2005, 2004 and 2003, respectively. The effective annualized interest rate on the subordinated debt obligations is 17.75%, after taking into account the value of the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30, 2003, $1.2 million of subordinated debt was raised from a related party with a maturity of April 1, 2007 and interest rate of 6% per annum. This debt is subordinated to the Bank Credit Facility and the subordinated debt originally issued in December 1999. The entire principal balance of this obligation will be due upon maturity. Proceeds were used to reduce the revolving line of credit. In connection with this agreement, accrued interest on the subordinated note totaling $77,000 and $90,000 at December 31, 2005 and 2004, respectively, was not paid.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30, 2004, the subordinated notes with Green Diamond were amended to include the accrued interest on these notes through December 31, 2004 in the principal balance. The principal balance for the $4.0 million subordinated note was increased by the accrued interest of $1.4 million to $5.4 million, and the principal balance for the $1.2 million subordinated note was increased by $90,000 to $1.3 million, and the maturity date was extended to January 1, 2007. Accrued interest on subordinated notes was $1,210,366 at December 31, 2005 and $372,352 at December 31, 2004. Such interest may be paid in the future upon agreement with the financial institution.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11.    Shareholders Equity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a stock option plan for our employees. Generally, options are exercisable one year from the date of grant, at the rate of 20% each year over the following five years and expire between five and ten years from the date of grant. There are 1,500,000 shares of our common stock that have been reserved for issuance under this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status of our stock option plan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22"/>
        <w:gridCol w:w="210"/>
        <w:gridCol w:w="946"/>
        <w:gridCol w:w="80"/>
        <w:gridCol w:w="180"/>
        <w:gridCol w:w="147"/>
        <w:gridCol w:w="446"/>
        <w:gridCol w:w="210"/>
        <w:gridCol w:w="946"/>
        <w:gridCol w:w="210"/>
        <w:gridCol w:w="147"/>
        <w:gridCol w:w="446"/>
        <w:gridCol w:w="210"/>
        <w:gridCol w:w="946"/>
        <w:gridCol w:w="80"/>
        <w:gridCol w:w="179"/>
        <w:gridCol w:w="147"/>
        <w:gridCol w:w="453"/>
      </w:tblGrid>
      <w:tr>
        <w:trPr/>
        <w:tc>
          <w:tcPr>
            <w:tcW w:w="422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799"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749"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805"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9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59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0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r>
      <w:tr>
        <w:trPr/>
        <w:tc>
          <w:tcPr>
            <w:tcW w:w="4222"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beginning of year</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268,700</w:t>
            </w:r>
          </w:p>
        </w:tc>
        <w:tc>
          <w:tcPr>
            <w:tcW w:w="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168,700</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166,000</w:t>
            </w:r>
          </w:p>
        </w:tc>
        <w:tc>
          <w:tcPr>
            <w:tcW w:w="8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r>
      <w:tr>
        <w:trPr/>
        <w:tc>
          <w:tcPr>
            <w:tcW w:w="4222"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r>
      <w:tr>
        <w:trPr/>
        <w:tc>
          <w:tcPr>
            <w:tcW w:w="4222" w:type="dxa"/>
            <w:tcBorders/>
            <w:shd w:fill="CCEEFF" w:val="clear"/>
          </w:tcPr>
          <w:p>
            <w:pPr>
              <w:pStyle w:val="TableContents"/>
              <w:spacing w:before="0" w:after="283"/>
              <w:rPr>
                <w:rFonts w:ascii="Times New Roman" w:hAnsi="Times New Roman"/>
                <w:sz w:val="20"/>
              </w:rPr>
            </w:pPr>
            <w:r>
              <w:rPr>
                <w:rFonts w:ascii="Times New Roman" w:hAnsi="Times New Roman"/>
                <w:sz w:val="20"/>
              </w:rPr>
              <w:t>Forfeited</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1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6"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1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r>
      <w:tr>
        <w:trPr/>
        <w:tc>
          <w:tcPr>
            <w:tcW w:w="4222"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end of year</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263,700</w:t>
            </w:r>
          </w:p>
        </w:tc>
        <w:tc>
          <w:tcPr>
            <w:tcW w:w="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268,700</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168,700</w:t>
            </w:r>
          </w:p>
        </w:tc>
        <w:tc>
          <w:tcPr>
            <w:tcW w:w="8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w:t>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r>
      <w:tr>
        <w:trPr/>
        <w:tc>
          <w:tcPr>
            <w:tcW w:w="4222" w:type="dxa"/>
            <w:tcBorders/>
            <w:shd w:fill="CCEEFF" w:val="clear"/>
          </w:tcPr>
          <w:p>
            <w:pPr>
              <w:pStyle w:val="TableContents"/>
              <w:spacing w:before="0" w:after="283"/>
              <w:rPr>
                <w:rFonts w:ascii="Times New Roman" w:hAnsi="Times New Roman"/>
                <w:sz w:val="20"/>
              </w:rPr>
            </w:pPr>
            <w:r>
              <w:rPr>
                <w:rFonts w:ascii="Times New Roman" w:hAnsi="Times New Roman"/>
                <w:sz w:val="20"/>
              </w:rPr>
              <w:t>Options exercisable at year end</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171,200</w:t>
            </w:r>
          </w:p>
        </w:tc>
        <w:tc>
          <w:tcPr>
            <w:tcW w:w="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174,700</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130,700</w:t>
            </w:r>
          </w:p>
        </w:tc>
        <w:tc>
          <w:tcPr>
            <w:tcW w:w="8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r>
      <w:tr>
        <w:trPr/>
        <w:tc>
          <w:tcPr>
            <w:tcW w:w="4222" w:type="dxa"/>
            <w:tcBorders/>
            <w:shd w:fill="CCEEFF" w:val="clear"/>
          </w:tcPr>
          <w:p>
            <w:pPr>
              <w:pStyle w:val="TableContents"/>
              <w:spacing w:before="0" w:after="283"/>
              <w:rPr>
                <w:rFonts w:ascii="Times New Roman" w:hAnsi="Times New Roman"/>
                <w:sz w:val="20"/>
              </w:rPr>
            </w:pPr>
            <w:r>
              <w:rPr>
                <w:rFonts w:ascii="Times New Roman" w:hAnsi="Times New Roman"/>
                <w:sz w:val="20"/>
              </w:rPr>
              <w:t>Available for grant at end of year</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1,234,800</w:t>
            </w:r>
          </w:p>
        </w:tc>
        <w:tc>
          <w:tcPr>
            <w:tcW w:w="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1,231,300</w:t>
            </w:r>
          </w:p>
        </w:tc>
        <w:tc>
          <w:tcPr>
            <w:tcW w:w="21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1,331,300</w:t>
            </w:r>
          </w:p>
        </w:tc>
        <w:tc>
          <w:tcPr>
            <w:tcW w:w="8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r>
      <w:tr>
        <w:trPr/>
        <w:tc>
          <w:tcPr>
            <w:tcW w:w="42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8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21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46"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1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years ended December 31, 2005, 2004 and 2003, no compensation expense was recognized under stock-based employee compensation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range of exercise prices on shares outstanding as of December 31, 2005 was as follows: </w:t>
      </w:r>
    </w:p>
    <w:p>
      <w:pPr>
        <w:pStyle w:val="TextBody"/>
        <w:spacing w:before="0" w:after="0"/>
        <w:rPr/>
      </w:pPr>
      <w:r>
        <w:rPr/>
        <w:t> </w:t>
      </w:r>
    </w:p>
    <w:tbl>
      <w:tblPr>
        <w:tblW w:w="3750" w:type="pct"/>
        <w:jc w:val="center"/>
        <w:tblInd w:w="0" w:type="dxa"/>
        <w:tblCellMar>
          <w:top w:w="0" w:type="dxa"/>
          <w:left w:w="0" w:type="dxa"/>
          <w:bottom w:w="0" w:type="dxa"/>
          <w:right w:w="0" w:type="dxa"/>
        </w:tblCellMar>
      </w:tblPr>
      <w:tblGrid>
        <w:gridCol w:w="2568"/>
        <w:gridCol w:w="318"/>
        <w:gridCol w:w="758"/>
        <w:gridCol w:w="318"/>
        <w:gridCol w:w="146"/>
        <w:gridCol w:w="445"/>
        <w:gridCol w:w="318"/>
        <w:gridCol w:w="789"/>
        <w:gridCol w:w="318"/>
        <w:gridCol w:w="758"/>
        <w:gridCol w:w="318"/>
        <w:gridCol w:w="146"/>
        <w:gridCol w:w="453"/>
      </w:tblGrid>
      <w:tr>
        <w:trPr/>
        <w:tc>
          <w:tcPr>
            <w:tcW w:w="256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r>
      <w:tr>
        <w:trPr/>
        <w:tc>
          <w:tcPr>
            <w:tcW w:w="2568"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77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Outstanding</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1675"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r>
      <w:tr>
        <w:trPr/>
        <w:tc>
          <w:tcPr>
            <w:tcW w:w="256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Range of Exercise Prices</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5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0"/>
              <w:jc w:val="center"/>
              <w:rPr>
                <w:rFonts w:ascii="Times New Roman" w:hAnsi="Times New Roman"/>
                <w:b/>
                <w:sz w:val="14"/>
              </w:rPr>
            </w:pPr>
            <w:r>
              <w:rPr>
                <w:rFonts w:ascii="Times New Roman" w:hAnsi="Times New Roman"/>
                <w:b/>
                <w:sz w:val="14"/>
              </w:rPr>
              <w:t>Contractual</w:t>
            </w:r>
          </w:p>
          <w:p>
            <w:pPr>
              <w:pStyle w:val="TableContents"/>
              <w:spacing w:before="0" w:after="0"/>
              <w:jc w:val="center"/>
              <w:rPr>
                <w:rFonts w:ascii="Times New Roman" w:hAnsi="Times New Roman"/>
                <w:b/>
                <w:sz w:val="14"/>
              </w:rPr>
            </w:pPr>
            <w:r>
              <w:rPr>
                <w:rFonts w:ascii="Times New Roman" w:hAnsi="Times New Roman"/>
                <w:b/>
                <w:sz w:val="14"/>
              </w:rPr>
              <w:t>Life in</w:t>
            </w:r>
          </w:p>
          <w:p>
            <w:pPr>
              <w:pStyle w:val="TableContents"/>
              <w:spacing w:before="0" w:after="0"/>
              <w:jc w:val="center"/>
              <w:rPr>
                <w:rFonts w:ascii="Times New Roman" w:hAnsi="Times New Roman"/>
                <w:b/>
                <w:sz w:val="14"/>
              </w:rPr>
            </w:pPr>
            <w:r>
              <w:rPr>
                <w:rFonts w:ascii="Times New Roman" w:hAnsi="Times New Roman"/>
                <w:b/>
                <w:sz w:val="14"/>
              </w:rPr>
              <w:t>Years</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318" w:type="dxa"/>
            <w:tcBorders/>
            <w:shd w:fill="auto" w:val="clear"/>
            <w:vAlign w:val="bottom"/>
          </w:tcPr>
          <w:p>
            <w:pPr>
              <w:pStyle w:val="TableContents"/>
              <w:spacing w:before="0" w:after="283"/>
              <w:rPr/>
            </w:pPr>
            <w:r>
              <w:rPr/>
              <w:t>  </w:t>
            </w:r>
          </w:p>
        </w:tc>
        <w:tc>
          <w:tcPr>
            <w:tcW w:w="59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Exercise</w:t>
            </w:r>
          </w:p>
          <w:p>
            <w:pPr>
              <w:pStyle w:val="TableContents"/>
              <w:spacing w:before="0" w:after="0"/>
              <w:jc w:val="center"/>
              <w:rPr>
                <w:rFonts w:ascii="Times New Roman" w:hAnsi="Times New Roman"/>
                <w:b/>
                <w:sz w:val="14"/>
              </w:rPr>
            </w:pPr>
            <w:r>
              <w:rPr>
                <w:rFonts w:ascii="Times New Roman" w:hAnsi="Times New Roman"/>
                <w:b/>
                <w:sz w:val="14"/>
              </w:rPr>
              <w:t>Price</w:t>
            </w:r>
          </w:p>
          <w:p>
            <w:pPr>
              <w:pStyle w:val="HorizontalLine"/>
              <w:pBdr>
                <w:bottom w:val="single" w:sz="6" w:space="0" w:color="000000"/>
              </w:pBdr>
              <w:spacing w:before="0" w:after="283"/>
              <w:rPr/>
            </w:pPr>
            <w:r>
              <w:rPr/>
            </w:r>
          </w:p>
        </w:tc>
      </w:tr>
      <w:tr>
        <w:trPr/>
        <w:tc>
          <w:tcPr>
            <w:tcW w:w="2568" w:type="dxa"/>
            <w:tcBorders/>
            <w:shd w:fill="CCEEFF" w:val="clear"/>
          </w:tcPr>
          <w:p>
            <w:pPr>
              <w:pStyle w:val="TableContents"/>
              <w:spacing w:before="0" w:after="283"/>
              <w:rPr>
                <w:rFonts w:ascii="Times New Roman" w:hAnsi="Times New Roman"/>
                <w:sz w:val="20"/>
              </w:rPr>
            </w:pPr>
            <w:r>
              <w:rPr>
                <w:rFonts w:ascii="Times New Roman" w:hAnsi="Times New Roman"/>
                <w:sz w:val="20"/>
              </w:rPr>
              <w:t>$1.70  2.82</w:t>
            </w:r>
          </w:p>
        </w:tc>
        <w:tc>
          <w:tcPr>
            <w:tcW w:w="318"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180,000</w:t>
            </w:r>
          </w:p>
        </w:tc>
        <w:tc>
          <w:tcPr>
            <w:tcW w:w="3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318"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  9</w:t>
            </w:r>
          </w:p>
        </w:tc>
        <w:tc>
          <w:tcPr>
            <w:tcW w:w="318"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31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r>
      <w:tr>
        <w:trPr/>
        <w:tc>
          <w:tcPr>
            <w:tcW w:w="2568" w:type="dxa"/>
            <w:tcBorders/>
            <w:shd w:fill="auto" w:val="clear"/>
          </w:tcPr>
          <w:p>
            <w:pPr>
              <w:pStyle w:val="TableContents"/>
              <w:spacing w:before="0" w:after="283"/>
              <w:rPr>
                <w:rFonts w:ascii="Times New Roman" w:hAnsi="Times New Roman"/>
                <w:sz w:val="20"/>
              </w:rPr>
            </w:pPr>
            <w:r>
              <w:rPr>
                <w:rFonts w:ascii="Times New Roman" w:hAnsi="Times New Roman"/>
                <w:sz w:val="20"/>
              </w:rPr>
              <w:t>$3.35  3.88</w:t>
            </w:r>
          </w:p>
        </w:tc>
        <w:tc>
          <w:tcPr>
            <w:tcW w:w="318"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83,700</w:t>
            </w:r>
          </w:p>
        </w:tc>
        <w:tc>
          <w:tcPr>
            <w:tcW w:w="31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w:t>
            </w:r>
          </w:p>
        </w:tc>
        <w:tc>
          <w:tcPr>
            <w:tcW w:w="31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  9</w:t>
            </w:r>
          </w:p>
        </w:tc>
        <w:tc>
          <w:tcPr>
            <w:tcW w:w="318"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31,200</w:t>
            </w:r>
          </w:p>
        </w:tc>
        <w:tc>
          <w:tcPr>
            <w:tcW w:w="31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fair value of the options and warrants granted, which is amortized to expense over the option vesting period in determining the pro forma impact under SFAS No. 123, is estimated at the date of grant using the Black-Scholes option pricing model with the following weighted average assumptions. The expected life of the options valued in 2005, 2004 and 2003 is 10 years. The risk free interest rate used was 4.38% in 2005, 2.7% in 2004 and 4.5% in 2003. The expected volatility of the Companys stock used in 2005, 2004 and 2003 was 67%, 67% and 70%, respectively. The expected dividend yield used in 2005, 2004 and 2003 was 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weighted average fair values at the date of grant for options and warrants granted during 2005 and 2004 was $2.90 and $2.53,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grant the right to purchase restricted shares of our common stock. Such shares are subject to restriction on transfer under Federal securities laws. During October 2001, we granted options to Jason Louis DeZwirek, a related party and a member of the Board of Directors, to purchase up to 25,000 shares of our common stock, exercisable at any time between April 5, 2002 and October 5, 2011, inclusive, at a price of $2.01, the fair market value at date of grant. Mr. DeZwirek exercised these options on January 6, 2006.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Employee Stock Purchase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Prior to 2005, we maintained an Employee Stock Purchase Plan for all employees meeting certain eligibility criteria. Under the Plan, eligible employees could purchase through the initial twelve-month offering and through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series of semiannual offerings, each October and April, commencing October 1, 1999, shares of our common stock, subject to certain limitations. The purchase price of each share was 85% of the lesser of its fair market value on the first business day or the last business day of the offering period. The aggregate number of whole shares of common stock allowed to be purchased under the option could not exceed 10% of the employees base compensation. There were 250,000 shares made available for purchase under the plan. During 2004, 2003 and 2002, we issued 8,285, 13,001 and 12,949 shares, respectively, under this plan at amounts that approximated fair value. We terminated the plan during the first part of 2005.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Warrants to Purchase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warrants to purchase 1,000,000 shares of common stock at $2.25 per share were exercised; 800,000 shares by the Green Diamond Oil Corp. and 200,000 shares by two unrelated subordinated debt lenders. Gross proceeds of $2,250,000 were received from the exercise of the warrants and were used to pay down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issued 706,668 shares of common stock at a price of $3.00 per share, and issued detachable stock warrants to purchase 353,334 shares of common stock at an initial exercise price of $3.60 per share to a group of accredited investors (the Investors). Gross proceeds of $2,120,000 were received from the issuance of these shares and were used to pay down the bank credit facility.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right to purchase shares under the warrants vest immediately upon the issuance of the warrants, and the warrants contain various features to protect the Investors in the event of a merger or consolidation and from dilution in the event of a stock issuance at prices below the exercise price.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prepared and filed with the SEC a registration statement within 90 days of the issuance of such warrants and caused the registration statement to become effective within 150 days of the issuance. We valued these warrants at $36,000 as of December 31, 2004. At December 31, 2005 the fair value of the warrants increased to $842,000 and $806,000 was recorded as other expense in the 2005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this transaction, we were required to issue additional shares based on an earnings formula computed from fiscal year 2002 results (as defined in the Investors Subscription Agreement) to the Investors, at no additional cost to the Investors. Based on the results of the earnings formula, approximately 382,000 additional shares were issued to the Investors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issuance of the common shares and warrants to the investors, we estimated $440,000 of issuance costs and issued warrants to purchase 14,000 shares of common stock at an initial exercise price of $3.60. The fair value of the warrants, valued by our management at $32,000 has been included as issuance costs and recorded as a liability in other liabilities in the accompanying consolidated financial statements. The total issuance costs including the fair value of the warrants to purchase 14,000 shares of common stock were allocated to common stock, detachable stock warrants and contingent stock warrants based on their respective fair market values.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Former K&amp;B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as part of their employment contracts, warrants were granted to three of the former owners of K&amp;B to purchase a total of 1,000,000 shares of our common stock at an exercise price of $2.9375 per share which was the fair market value on the date granted. These warrants become exercisable at the rate of 25% per year over the four years following December 1999. The warrants have a term of ten years.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Related Party and Other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warrants were issued to the subordinated lenders (see Note 10) to purchase up to 1,000,000 shares (900,000 of which are related party at December 31, 2003) of our common stock for $2.25 per share which was the fair market value on the date granted. As noted above, these warrants were exercised in 2001. In connection with such warrants, the subordinated lenders were granted certain registration rights with respect to their warrants and shares of our common stock into which the warrants are convertible. Our management valued the detachable stock warrants at $1.8 million and discounted the subordinated debt obligations by such amount (see Note 10) and recorded additional capital in excess of par value at December 31, 1999.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Chief Executive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1999, warrants were issued to the Chief Executive Officer to purchase 500,000 shares of the Companys common stock at an exercise price of $3.00 per share. Prior to 1999, warrants were issued to the Chief Executive Officer to purchase 1,250,000 shares, at exercise prices ranging from $1.625 to $2.75 per share. In August 2000, warrants were issued to the Chief Executive Officer to purchase 500,000 shares at an exercise price of $2.06 per share. The warrants expire 10 years from the date of issuance.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2001, the Green Diamond Oil Corp. exercised warrants to purchase 800,000 shares at a price of $2.25 per share as previously disclosed.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Treasury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2002, we purchased 37,300 shares of our common stock as treasury shares at a total cost of $118,000. During the fourth quarter of 2004 we retired 626,000 shares of common stock previously held as treasury shares.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12.    Pension and Employee Benefit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sponsor a post-retirement health care plan for office employees retiring before January 1, 1990. The plan allows retirees who have attained the age of 65 to elect the type of coverage desired.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tables set forth the plans changes in benefit obligations, plan assets and funded status on the measurement dates, December 31, 2005 and 2004, and amounts recognized in our consolidated balance sheets as of those dates.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21"/>
        <w:gridCol w:w="391"/>
        <w:gridCol w:w="126"/>
        <w:gridCol w:w="557"/>
        <w:gridCol w:w="185"/>
        <w:gridCol w:w="337"/>
        <w:gridCol w:w="126"/>
        <w:gridCol w:w="557"/>
        <w:gridCol w:w="185"/>
        <w:gridCol w:w="337"/>
        <w:gridCol w:w="163"/>
        <w:gridCol w:w="523"/>
        <w:gridCol w:w="185"/>
        <w:gridCol w:w="337"/>
        <w:gridCol w:w="163"/>
        <w:gridCol w:w="522"/>
        <w:gridCol w:w="190"/>
      </w:tblGrid>
      <w:tr>
        <w:trPr/>
        <w:tc>
          <w:tcPr>
            <w:tcW w:w="53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888"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Pension Benefits</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89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Other Benefits</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532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91"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686"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projected benefit obligation:</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Projected benefit obligation at beginning of year</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4,914</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4,825</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Actuarial (gain)/loss</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Benefits paid</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 at end of year</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5,064</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4,914</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plan assets:</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plan assets at beginning of year</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3,304</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2,679</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Actual return on plan assets</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Employer contribution</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580</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Benefits paid</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 at end of year</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3,649</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3,304</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Funded status</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(1,415</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Unrecognized prior service cost</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Unrecognized net actuarial loss/(gain)</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1,613</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1,602</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Net prepaid benefit cost/(accrued benefit liability)</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7"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7"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3"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2" w:type="dxa"/>
            <w:tcBorders/>
            <w:shd w:fill="auto" w:val="clear"/>
            <w:vAlign w:val="bottom"/>
          </w:tcPr>
          <w:p>
            <w:pPr>
              <w:pStyle w:val="HorizontalLine"/>
              <w:pBdr>
                <w:bottom w:val="single" w:sz="18" w:space="0" w:color="000000"/>
              </w:pBdr>
              <w:spacing w:before="0" w:after="283"/>
              <w:rPr/>
            </w:pPr>
            <w:r>
              <w:rPr/>
            </w:r>
          </w:p>
        </w:tc>
        <w:tc>
          <w:tcPr>
            <w:tcW w:w="190" w:type="dxa"/>
            <w:tcBorders/>
            <w:shd w:fill="auto" w:val="clear"/>
            <w:vAlign w:val="bottom"/>
          </w:tcPr>
          <w:p>
            <w:pPr>
              <w:pStyle w:val="HorizontalLine"/>
              <w:pBdr>
                <w:bottom w:val="single" w:sz="18"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Amounts recognized in the consolidated balance sheets consist of:</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Prepaid benefit cost</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benefit liability</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(1,371</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(1,323</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 included in deferred charges and other assets</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auto" w:val="clear"/>
            <w:vAlign w:val="bottom"/>
          </w:tcPr>
          <w:p>
            <w:pPr>
              <w:pStyle w:val="TableContents"/>
              <w:spacing w:before="0" w:after="283"/>
              <w:rPr/>
            </w:pPr>
            <w:r>
              <w:rPr/>
              <w:t> </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net</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1,319</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1,264</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557"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3"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2" w:type="dxa"/>
            <w:tcBorders/>
            <w:shd w:fill="auto" w:val="clear"/>
            <w:vAlign w:val="bottom"/>
          </w:tcPr>
          <w:p>
            <w:pPr>
              <w:pStyle w:val="HorizontalLine"/>
              <w:pBdr>
                <w:bottom w:val="single" w:sz="6" w:space="0" w:color="000000"/>
              </w:pBdr>
              <w:spacing w:before="0" w:after="283"/>
              <w:rPr/>
            </w:pPr>
            <w:r>
              <w:rPr/>
            </w:r>
          </w:p>
        </w:tc>
        <w:tc>
          <w:tcPr>
            <w:tcW w:w="190" w:type="dxa"/>
            <w:tcBorders/>
            <w:shd w:fill="auto" w:val="clear"/>
            <w:vAlign w:val="bottom"/>
          </w:tcPr>
          <w:p>
            <w:pPr>
              <w:pStyle w:val="HorizontalLine"/>
              <w:pBdr>
                <w:bottom w:val="single" w:sz="6"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Net amount recognized</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7"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557"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3"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2" w:type="dxa"/>
            <w:tcBorders/>
            <w:shd w:fill="auto" w:val="clear"/>
            <w:vAlign w:val="bottom"/>
          </w:tcPr>
          <w:p>
            <w:pPr>
              <w:pStyle w:val="HorizontalLine"/>
              <w:pBdr>
                <w:bottom w:val="single" w:sz="18" w:space="0" w:color="000000"/>
              </w:pBdr>
              <w:spacing w:before="0" w:after="283"/>
              <w:rPr/>
            </w:pPr>
            <w:r>
              <w:rPr/>
            </w:r>
          </w:p>
        </w:tc>
        <w:tc>
          <w:tcPr>
            <w:tcW w:w="190" w:type="dxa"/>
            <w:tcBorders/>
            <w:shd w:fill="auto" w:val="clear"/>
            <w:vAlign w:val="bottom"/>
          </w:tcPr>
          <w:p>
            <w:pPr>
              <w:pStyle w:val="HorizontalLine"/>
              <w:pBdr>
                <w:bottom w:val="single" w:sz="18" w:space="0" w:color="FFFFFF"/>
              </w:pBdr>
              <w:spacing w:before="0" w:after="283"/>
              <w:rPr/>
            </w:pPr>
            <w:r>
              <w:rPr/>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Weighted-average assumptions at December 31:</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5321" w:type="dxa"/>
            <w:tcBorders/>
            <w:shd w:fill="auto" w:val="clear"/>
          </w:tcPr>
          <w:p>
            <w:pPr>
              <w:pStyle w:val="TableContents"/>
              <w:spacing w:before="0" w:after="283"/>
              <w:rPr>
                <w:rFonts w:ascii="Times New Roman" w:hAnsi="Times New Roman"/>
                <w:sz w:val="20"/>
              </w:rPr>
            </w:pPr>
            <w:r>
              <w:rPr>
                <w:rFonts w:ascii="Times New Roman" w:hAnsi="Times New Roman"/>
                <w:sz w:val="20"/>
              </w:rPr>
              <w:t>Discount rate</w:t>
            </w:r>
          </w:p>
        </w:tc>
        <w:tc>
          <w:tcPr>
            <w:tcW w:w="39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21"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39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8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90"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accumulated benefit obligation for our defined benefit plans was $4.8 million and $4.6 million at December 31, 2005 and 2004, respectively. Information with respect to our plans which have accumulated benefit obligations in excess of plan assets at December 31, 2005 and 2004 is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526"/>
        <w:gridCol w:w="360"/>
        <w:gridCol w:w="158"/>
        <w:gridCol w:w="554"/>
        <w:gridCol w:w="360"/>
        <w:gridCol w:w="158"/>
        <w:gridCol w:w="558"/>
      </w:tblGrid>
      <w:tr>
        <w:trPr/>
        <w:tc>
          <w:tcPr>
            <w:tcW w:w="652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712"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360" w:type="dxa"/>
            <w:tcBorders/>
            <w:shd w:fill="auto" w:val="clear"/>
            <w:vAlign w:val="bottom"/>
          </w:tcPr>
          <w:p>
            <w:pPr>
              <w:pStyle w:val="TableContents"/>
              <w:spacing w:before="0" w:after="283"/>
              <w:rPr/>
            </w:pPr>
            <w:r>
              <w:rPr/>
              <w:t>  </w:t>
            </w:r>
          </w:p>
        </w:tc>
        <w:tc>
          <w:tcPr>
            <w:tcW w:w="716"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r>
      <w:tr>
        <w:trPr/>
        <w:tc>
          <w:tcPr>
            <w:tcW w:w="6526"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w:t>
            </w:r>
          </w:p>
        </w:tc>
        <w:tc>
          <w:tcPr>
            <w:tcW w:w="3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5,064</w:t>
            </w:r>
          </w:p>
        </w:tc>
        <w:tc>
          <w:tcPr>
            <w:tcW w:w="3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4,914</w:t>
            </w:r>
          </w:p>
        </w:tc>
      </w:tr>
      <w:tr>
        <w:trPr/>
        <w:tc>
          <w:tcPr>
            <w:tcW w:w="652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benefit obligation</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4,770</w:t>
            </w:r>
          </w:p>
        </w:tc>
        <w:tc>
          <w:tcPr>
            <w:tcW w:w="360"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5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4,576</w:t>
            </w:r>
          </w:p>
        </w:tc>
      </w:tr>
      <w:tr>
        <w:trPr/>
        <w:tc>
          <w:tcPr>
            <w:tcW w:w="6526"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w:t>
            </w:r>
          </w:p>
        </w:tc>
        <w:tc>
          <w:tcPr>
            <w:tcW w:w="3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3,649</w:t>
            </w:r>
          </w:p>
        </w:tc>
        <w:tc>
          <w:tcPr>
            <w:tcW w:w="3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5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current assumptions, estimated contributions of $483,000 may be required in 2006 for the pension plan and $69,000 for the retiree healthcare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accordance with SFAS 87, Employers Accounting for Pensions, additional liabilities to recognize the required minimum liability were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129"/>
        <w:gridCol w:w="540"/>
        <w:gridCol w:w="239"/>
        <w:gridCol w:w="456"/>
        <w:gridCol w:w="540"/>
        <w:gridCol w:w="163"/>
        <w:gridCol w:w="524"/>
        <w:gridCol w:w="83"/>
      </w:tblGrid>
      <w:tr>
        <w:trPr/>
        <w:tc>
          <w:tcPr>
            <w:tcW w:w="612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129"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540"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129" w:type="dxa"/>
            <w:tcBorders/>
            <w:shd w:fill="CCEEFF" w:val="clear"/>
          </w:tcPr>
          <w:p>
            <w:pPr>
              <w:pStyle w:val="TableContents"/>
              <w:spacing w:before="0" w:after="283"/>
              <w:rPr>
                <w:rFonts w:ascii="Times New Roman" w:hAnsi="Times New Roman"/>
                <w:sz w:val="20"/>
              </w:rPr>
            </w:pPr>
            <w:r>
              <w:rPr>
                <w:rFonts w:ascii="Times New Roman" w:hAnsi="Times New Roman"/>
                <w:sz w:val="20"/>
              </w:rPr>
              <w:t>Minimum liability included in other comprehensive income:</w:t>
            </w:r>
          </w:p>
        </w:tc>
        <w:tc>
          <w:tcPr>
            <w:tcW w:w="54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129"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 minimum liability in other comprehensive income</w:t>
            </w:r>
          </w:p>
        </w:tc>
        <w:tc>
          <w:tcPr>
            <w:tcW w:w="54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54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Benefits under the plans are not based on wages and, therefore, future wage adjustments have no effect on the projected benefit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details of net periodic benefit cost for pension benefits included in the accompanying consolidated statements of operations for the years ended December 31, 2005, 2004 and 2003 are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4992"/>
        <w:gridCol w:w="495"/>
        <w:gridCol w:w="163"/>
        <w:gridCol w:w="524"/>
        <w:gridCol w:w="80"/>
        <w:gridCol w:w="441"/>
        <w:gridCol w:w="163"/>
        <w:gridCol w:w="524"/>
        <w:gridCol w:w="80"/>
        <w:gridCol w:w="441"/>
        <w:gridCol w:w="163"/>
        <w:gridCol w:w="524"/>
        <w:gridCol w:w="84"/>
      </w:tblGrid>
      <w:tr>
        <w:trPr/>
        <w:tc>
          <w:tcPr>
            <w:tcW w:w="499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4992"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0"/>
              <w:jc w:val="center"/>
              <w:rPr/>
            </w:pPr>
            <w:r>
              <w:rPr/>
              <w:t>    </w:t>
            </w:r>
            <w:r>
              <w:rPr>
                <w:rFonts w:ascii="Times New Roman" w:hAnsi="Times New Roman"/>
                <w:b/>
                <w:sz w:val="14"/>
              </w:rPr>
              <w:t>2003    </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4992"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49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8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8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4" w:type="dxa"/>
            <w:tcBorders/>
            <w:shd w:fill="CCEEFF" w:val="clear"/>
            <w:vAlign w:val="bottom"/>
          </w:tcPr>
          <w:p>
            <w:pPr>
              <w:pStyle w:val="TableContents"/>
              <w:spacing w:before="0" w:after="283"/>
              <w:rPr/>
            </w:pPr>
            <w:r>
              <w:rPr/>
              <w:t> </w:t>
            </w:r>
          </w:p>
        </w:tc>
      </w:tr>
      <w:tr>
        <w:trPr/>
        <w:tc>
          <w:tcPr>
            <w:tcW w:w="4992"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49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84" w:type="dxa"/>
            <w:tcBorders/>
            <w:shd w:fill="auto" w:val="clear"/>
            <w:vAlign w:val="bottom"/>
          </w:tcPr>
          <w:p>
            <w:pPr>
              <w:pStyle w:val="TableContents"/>
              <w:spacing w:before="0" w:after="283"/>
              <w:rPr/>
            </w:pPr>
            <w:r>
              <w:rPr/>
              <w:t> </w:t>
            </w:r>
          </w:p>
        </w:tc>
      </w:tr>
      <w:tr>
        <w:trPr/>
        <w:tc>
          <w:tcPr>
            <w:tcW w:w="4992"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9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92" w:type="dxa"/>
            <w:tcBorders/>
            <w:shd w:fill="auto" w:val="clear"/>
          </w:tcPr>
          <w:p>
            <w:pPr>
              <w:pStyle w:val="TableContents"/>
              <w:spacing w:before="0" w:after="283"/>
              <w:rPr>
                <w:rFonts w:ascii="Times New Roman" w:hAnsi="Times New Roman"/>
                <w:sz w:val="20"/>
              </w:rPr>
            </w:pPr>
            <w:r>
              <w:rPr>
                <w:rFonts w:ascii="Times New Roman" w:hAnsi="Times New Roman"/>
                <w:sz w:val="20"/>
              </w:rPr>
              <w:t>Net amortization and deferral</w:t>
            </w:r>
          </w:p>
        </w:tc>
        <w:tc>
          <w:tcPr>
            <w:tcW w:w="49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8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84" w:type="dxa"/>
            <w:tcBorders/>
            <w:shd w:fill="auto" w:val="clear"/>
            <w:vAlign w:val="bottom"/>
          </w:tcPr>
          <w:p>
            <w:pPr>
              <w:pStyle w:val="TableContents"/>
              <w:spacing w:before="0" w:after="283"/>
              <w:rPr/>
            </w:pPr>
            <w:r>
              <w:rPr/>
              <w:t> </w:t>
            </w:r>
          </w:p>
        </w:tc>
      </w:tr>
      <w:tr>
        <w:trPr/>
        <w:tc>
          <w:tcPr>
            <w:tcW w:w="4992"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4992"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9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8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8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84" w:type="dxa"/>
            <w:tcBorders/>
            <w:shd w:fill="CCEEFF" w:val="clear"/>
            <w:vAlign w:val="bottom"/>
          </w:tcPr>
          <w:p>
            <w:pPr>
              <w:pStyle w:val="TableContents"/>
              <w:spacing w:before="0" w:after="283"/>
              <w:rPr/>
            </w:pPr>
            <w:r>
              <w:rPr/>
              <w:t> </w:t>
            </w:r>
          </w:p>
        </w:tc>
      </w:tr>
      <w:tr>
        <w:trPr/>
        <w:tc>
          <w:tcPr>
            <w:tcW w:w="4992"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44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net periodic benefit cost (representing interest cost only) for the post-retirement plan included in the accompanying consolidated statements of operations was $26,000, $29,000 and $33,000 for the years ended December 31,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Changes in health care costs have no effect on the plan as future increases are assumed by the retirees.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defined benefit pension plan asset allocation by asset category is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4575"/>
        <w:gridCol w:w="501"/>
        <w:gridCol w:w="680"/>
        <w:gridCol w:w="185"/>
        <w:gridCol w:w="501"/>
        <w:gridCol w:w="680"/>
        <w:gridCol w:w="185"/>
        <w:gridCol w:w="501"/>
        <w:gridCol w:w="680"/>
        <w:gridCol w:w="186"/>
      </w:tblGrid>
      <w:tr>
        <w:trPr/>
        <w:tc>
          <w:tcPr>
            <w:tcW w:w="457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57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680"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Target</w:t>
            </w:r>
          </w:p>
          <w:p>
            <w:pPr>
              <w:pStyle w:val="TableContents"/>
              <w:spacing w:before="0" w:after="0"/>
              <w:jc w:val="center"/>
              <w:rPr>
                <w:rFonts w:ascii="Times New Roman" w:hAnsi="Times New Roman"/>
                <w:b/>
                <w:sz w:val="14"/>
              </w:rPr>
            </w:pPr>
            <w:r>
              <w:rPr>
                <w:rFonts w:ascii="Times New Roman" w:hAnsi="Times New Roman"/>
                <w:b/>
                <w:sz w:val="14"/>
              </w:rPr>
              <w:t>Allocation</w:t>
            </w:r>
          </w:p>
          <w:p>
            <w:pPr>
              <w:pStyle w:val="TableContents"/>
              <w:spacing w:before="0" w:after="0"/>
              <w:jc w:val="center"/>
              <w:rPr/>
            </w:pPr>
            <w:r>
              <w:rPr/>
              <w:t>    </w:t>
            </w:r>
            <w:r>
              <w:rPr>
                <w:rFonts w:ascii="Times New Roman" w:hAnsi="Times New Roman"/>
                <w:b/>
                <w:sz w:val="14"/>
              </w:rPr>
              <w:t>2006    </w:t>
            </w:r>
          </w:p>
          <w:p>
            <w:pPr>
              <w:pStyle w:val="HorizontalLine"/>
              <w:pBdr>
                <w:bottom w:val="single" w:sz="6" w:space="0" w:color="000000"/>
              </w:pBdr>
              <w:spacing w:before="0" w:after="283"/>
              <w:rPr/>
            </w:pPr>
            <w:r>
              <w:rPr/>
            </w:r>
          </w:p>
        </w:tc>
        <w:tc>
          <w:tcPr>
            <w:tcW w:w="185" w:type="dxa"/>
            <w:vMerge w:val="restart"/>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2046"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Percentage of</w:t>
            </w:r>
          </w:p>
          <w:p>
            <w:pPr>
              <w:pStyle w:val="TableContents"/>
              <w:spacing w:before="0" w:after="0"/>
              <w:jc w:val="center"/>
              <w:rPr>
                <w:rFonts w:ascii="Times New Roman" w:hAnsi="Times New Roman"/>
                <w:b/>
                <w:sz w:val="14"/>
              </w:rPr>
            </w:pPr>
            <w:r>
              <w:rPr>
                <w:rFonts w:ascii="Times New Roman" w:hAnsi="Times New Roman"/>
                <w:b/>
                <w:sz w:val="14"/>
              </w:rPr>
              <w:t>Plan Assets</w:t>
            </w:r>
          </w:p>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r>
      <w:tr>
        <w:trPr/>
        <w:tc>
          <w:tcPr>
            <w:tcW w:w="457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680" w:type="dxa"/>
            <w:vMerge w:val="continue"/>
            <w:tcBorders/>
            <w:shd w:fill="auto" w:val="clear"/>
            <w:vAlign w:val="bottom"/>
          </w:tcPr>
          <w:p>
            <w:pPr>
              <w:pStyle w:val="Normal"/>
              <w:rPr/>
            </w:pPr>
            <w:r>
              <w:rPr/>
            </w:r>
          </w:p>
        </w:tc>
        <w:tc>
          <w:tcPr>
            <w:tcW w:w="185" w:type="dxa"/>
            <w:vMerge w:val="continue"/>
            <w:tcBorders/>
            <w:shd w:fill="auto" w:val="clear"/>
            <w:vAlign w:val="bottom"/>
          </w:tcPr>
          <w:p>
            <w:pPr>
              <w:pStyle w:val="Normal"/>
              <w:rPr/>
            </w:pPr>
            <w:r>
              <w:rPr/>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center"/>
              <w:rPr/>
            </w:pPr>
            <w:r>
              <w:rPr/>
              <w:t>    </w:t>
            </w:r>
            <w:r>
              <w:rPr>
                <w:rFonts w:ascii="Times New Roman" w:hAnsi="Times New Roman"/>
                <w:b/>
                <w:sz w:val="14"/>
              </w:rPr>
              <w:t>2005    </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center"/>
              <w:rPr/>
            </w:pPr>
            <w:r>
              <w:rPr/>
              <w:t>    </w:t>
            </w:r>
            <w:r>
              <w:rPr>
                <w:rFonts w:ascii="Times New Roman" w:hAnsi="Times New Roman"/>
                <w:b/>
                <w:sz w:val="14"/>
              </w:rPr>
              <w:t>2004    </w:t>
            </w:r>
          </w:p>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Asset Category:</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r>
      <w:tr>
        <w:trPr/>
        <w:tc>
          <w:tcPr>
            <w:tcW w:w="4575" w:type="dxa"/>
            <w:tcBorders/>
            <w:shd w:fill="auto" w:val="clear"/>
          </w:tcPr>
          <w:p>
            <w:pPr>
              <w:pStyle w:val="TableContents"/>
              <w:spacing w:before="0" w:after="283"/>
              <w:rPr>
                <w:rFonts w:ascii="Times New Roman" w:hAnsi="Times New Roman"/>
                <w:sz w:val="20"/>
              </w:rPr>
            </w:pPr>
            <w:r>
              <w:rPr>
                <w:rFonts w:ascii="Times New Roman" w:hAnsi="Times New Roman"/>
                <w:sz w:val="20"/>
              </w:rPr>
              <w:t>Equity Securities</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Debt Securities and cash</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6" w:space="0" w:color="000000"/>
              </w:pBdr>
              <w:spacing w:before="0" w:after="283"/>
              <w:rPr/>
            </w:pPr>
            <w:r>
              <w:rPr/>
            </w:r>
          </w:p>
        </w:tc>
        <w:tc>
          <w:tcPr>
            <w:tcW w:w="186" w:type="dxa"/>
            <w:tcBorders/>
            <w:shd w:fill="auto" w:val="clear"/>
            <w:vAlign w:val="bottom"/>
          </w:tcPr>
          <w:p>
            <w:pPr>
              <w:pStyle w:val="HorizontalLine"/>
              <w:pBdr>
                <w:bottom w:val="single" w:sz="6" w:space="0" w:color="FFFFFF"/>
              </w:pBdr>
              <w:spacing w:before="0" w:after="283"/>
              <w:rPr/>
            </w:pPr>
            <w:r>
              <w:rPr/>
            </w:r>
          </w:p>
        </w:tc>
      </w:tr>
      <w:tr>
        <w:trPr/>
        <w:tc>
          <w:tcPr>
            <w:tcW w:w="457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501" w:type="dxa"/>
            <w:tcBorders/>
            <w:shd w:fill="auto" w:val="clear"/>
            <w:vAlign w:val="bottom"/>
          </w:tcPr>
          <w:p>
            <w:pPr>
              <w:pStyle w:val="TableContents"/>
              <w:spacing w:before="0" w:after="283"/>
              <w:rPr/>
            </w:pPr>
            <w:r>
              <w:rPr/>
              <w:t> </w:t>
            </w:r>
          </w:p>
        </w:tc>
        <w:tc>
          <w:tcPr>
            <w:tcW w:w="680" w:type="dxa"/>
            <w:tcBorders/>
            <w:shd w:fill="auto" w:val="clear"/>
            <w:vAlign w:val="bottom"/>
          </w:tcPr>
          <w:p>
            <w:pPr>
              <w:pStyle w:val="HorizontalLine"/>
              <w:pBdr>
                <w:bottom w:val="single" w:sz="18" w:space="0" w:color="000000"/>
              </w:pBdr>
              <w:spacing w:before="0" w:after="283"/>
              <w:rPr/>
            </w:pPr>
            <w:r>
              <w:rPr/>
            </w:r>
          </w:p>
        </w:tc>
        <w:tc>
          <w:tcPr>
            <w:tcW w:w="186"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Estimated pension plan cash obligations are $251,000, $255,000, $260,000, $280,000 and $291,000 for 2006  2010, respectively and $1,799,000 over the next five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collective bargaining agreements, we participate with other companies in defined benefit pension plans. These plans cover substantially all of our Kirk &amp; Blum contracted union employees not covered in the aforementioned plan. If we were to withdraw from participation in these multi-employer plans, we would be required to contribute our share of the plans unfunded benefit obligation. We have no intention of withdrawing from any plan and, therefore, no liability has been provided in the accompanying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Amounts charged to pension expense under the above plans including the multi-employer plans totaled $1.9 million, $1.9 million and $2.0 million for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profit sharing and 401(k) savings retirement plan for K&amp;B non-union employees. The plan covers substantially all employees who have one year of service, completed 1,000 hours of service and who have attained 21 years of age. The Plan allows us to make discretionary contributions and provides for employee salary deferrals of up to 15%. We provide matching contributions of 50% of the first 6% of employee contributions. We also have made matching contributions and discretionary contributions of $52,000, $45,000 and $51,000 during 2005, 2004 and 2003,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sponsor a 401(k) Savings and Retirement Plan which covers substantially all of CFIs employees. Under the terms of the Plan, employees can contribute between 1% and 22% of their annual compensation to the Plan. We match 50% of the first 6%. Plan expense for the years ended December 31, 2005, 2004 and 2003 was $27,000, $27,000 and $33,000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2006, these two plans will be merged into one plan. Under the terms of the combined plan, employees may contribute up to 15% of their pay and we will match 50% of the first 6% of employee contributions.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13.    Commitments and Contingencies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lease certain facilities on a year-to-year basis. We also have future annual minimum rental commitments under noncancellable operating leases as follows: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675"/>
        <w:gridCol w:w="1069"/>
        <w:gridCol w:w="187"/>
        <w:gridCol w:w="743"/>
      </w:tblGrid>
      <w:tr>
        <w:trPr/>
        <w:tc>
          <w:tcPr>
            <w:tcW w:w="667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6675"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069" w:type="dxa"/>
            <w:tcBorders/>
            <w:shd w:fill="auto" w:val="clear"/>
            <w:vAlign w:val="bottom"/>
          </w:tcPr>
          <w:p>
            <w:pPr>
              <w:pStyle w:val="TableContents"/>
              <w:spacing w:before="0" w:after="283"/>
              <w:rPr/>
            </w:pPr>
            <w:r>
              <w:rPr/>
              <w:t>  </w:t>
            </w:r>
          </w:p>
        </w:tc>
        <w:tc>
          <w:tcPr>
            <w:tcW w:w="9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Commitment</w:t>
            </w:r>
          </w:p>
          <w:p>
            <w:pPr>
              <w:pStyle w:val="HorizontalLine"/>
              <w:pBdr>
                <w:bottom w:val="single" w:sz="6" w:space="0" w:color="000000"/>
              </w:pBdr>
              <w:spacing w:before="0" w:after="283"/>
              <w:rPr/>
            </w:pPr>
            <w:r>
              <w:rPr/>
            </w:r>
          </w:p>
        </w:tc>
      </w:tr>
      <w:tr>
        <w:trPr/>
        <w:tc>
          <w:tcPr>
            <w:tcW w:w="6675"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9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6675"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106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w:t>
            </w:r>
          </w:p>
        </w:tc>
      </w:tr>
      <w:tr>
        <w:trPr/>
        <w:tc>
          <w:tcPr>
            <w:tcW w:w="6675"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106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364</w:t>
            </w:r>
          </w:p>
        </w:tc>
      </w:tr>
      <w:tr>
        <w:trPr/>
        <w:tc>
          <w:tcPr>
            <w:tcW w:w="6675"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106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r>
      <w:tr>
        <w:trPr/>
        <w:tc>
          <w:tcPr>
            <w:tcW w:w="6675" w:type="dxa"/>
            <w:tcBorders/>
            <w:shd w:fill="auto" w:val="clear"/>
          </w:tcPr>
          <w:p>
            <w:pPr>
              <w:pStyle w:val="TableContents"/>
              <w:spacing w:before="0" w:after="283"/>
              <w:rPr>
                <w:rFonts w:ascii="Times New Roman" w:hAnsi="Times New Roman"/>
                <w:sz w:val="20"/>
              </w:rPr>
            </w:pPr>
            <w:r>
              <w:rPr>
                <w:rFonts w:ascii="Times New Roman" w:hAnsi="Times New Roman"/>
                <w:sz w:val="20"/>
              </w:rPr>
              <w:t>2009</w:t>
            </w:r>
          </w:p>
        </w:tc>
        <w:tc>
          <w:tcPr>
            <w:tcW w:w="106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r>
      <w:tr>
        <w:trPr/>
        <w:tc>
          <w:tcPr>
            <w:tcW w:w="6675"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106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r>
      <w:tr>
        <w:trPr/>
        <w:tc>
          <w:tcPr>
            <w:tcW w:w="6675"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87" w:type="dxa"/>
            <w:tcBorders/>
            <w:shd w:fill="auto" w:val="clear"/>
            <w:vAlign w:val="bottom"/>
          </w:tcPr>
          <w:p>
            <w:pPr>
              <w:pStyle w:val="HorizontalLine"/>
              <w:pBdr>
                <w:bottom w:val="single" w:sz="6" w:space="0" w:color="000000"/>
              </w:pBdr>
              <w:spacing w:before="0" w:after="283"/>
              <w:rPr/>
            </w:pPr>
            <w:r>
              <w:rPr/>
            </w:r>
          </w:p>
        </w:tc>
        <w:tc>
          <w:tcPr>
            <w:tcW w:w="743" w:type="dxa"/>
            <w:tcBorders/>
            <w:shd w:fill="auto" w:val="clear"/>
            <w:vAlign w:val="bottom"/>
          </w:tcPr>
          <w:p>
            <w:pPr>
              <w:pStyle w:val="HorizontalLine"/>
              <w:pBdr>
                <w:bottom w:val="single" w:sz="6" w:space="0" w:color="000000"/>
              </w:pBdr>
              <w:spacing w:before="0" w:after="283"/>
              <w:rPr/>
            </w:pPr>
            <w:r>
              <w:rPr/>
            </w:r>
          </w:p>
        </w:tc>
      </w:tr>
      <w:tr>
        <w:trPr/>
        <w:tc>
          <w:tcPr>
            <w:tcW w:w="6675" w:type="dxa"/>
            <w:tcBorders/>
            <w:shd w:fill="CCEEFF" w:val="clear"/>
          </w:tcPr>
          <w:p>
            <w:pPr>
              <w:pStyle w:val="TableContents"/>
              <w:spacing w:before="0" w:after="283"/>
              <w:rPr/>
            </w:pPr>
            <w:r>
              <w:rPr/>
              <w:t> </w:t>
            </w:r>
          </w:p>
        </w:tc>
        <w:tc>
          <w:tcPr>
            <w:tcW w:w="106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4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1,787</w:t>
            </w:r>
          </w:p>
        </w:tc>
      </w:tr>
      <w:tr>
        <w:trPr/>
        <w:tc>
          <w:tcPr>
            <w:tcW w:w="6675"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187" w:type="dxa"/>
            <w:tcBorders/>
            <w:shd w:fill="auto" w:val="clear"/>
            <w:vAlign w:val="bottom"/>
          </w:tcPr>
          <w:p>
            <w:pPr>
              <w:pStyle w:val="HorizontalLine"/>
              <w:pBdr>
                <w:bottom w:val="single" w:sz="18" w:space="0" w:color="000000"/>
              </w:pBdr>
              <w:spacing w:before="0" w:after="283"/>
              <w:rPr/>
            </w:pPr>
            <w:r>
              <w:rPr/>
            </w:r>
          </w:p>
        </w:tc>
        <w:tc>
          <w:tcPr>
            <w:tcW w:w="743"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rent expense under all operating leases for 2005, 2004 and 2003 was $613, $671 and $651,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Employment Agreements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we entered into five-year employment agreements with three of the former owners of K&amp;B. In 2001, these agreements were amended by extending the term one additional year. In December 2005 these agreements expired and it is anticipated that new agreements will be entered into with two of the three former owners in April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It is anticipated that the new agreements will provide for annual salaries and a bonus, for each of the next three years, based on an incentive compensation plan tied to financial performance and attainment of goals. No amounts have been paid in connection with these employment agreements.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14.    Income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Income tax provision (benefit) consisted of the following for the years ended December 31: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832"/>
        <w:gridCol w:w="364"/>
        <w:gridCol w:w="125"/>
        <w:gridCol w:w="343"/>
        <w:gridCol w:w="364"/>
        <w:gridCol w:w="125"/>
        <w:gridCol w:w="458"/>
        <w:gridCol w:w="80"/>
        <w:gridCol w:w="315"/>
        <w:gridCol w:w="125"/>
        <w:gridCol w:w="457"/>
        <w:gridCol w:w="86"/>
      </w:tblGrid>
      <w:tr>
        <w:trPr/>
        <w:tc>
          <w:tcPr>
            <w:tcW w:w="583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583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64" w:type="dxa"/>
            <w:tcBorders/>
            <w:shd w:fill="auto" w:val="clear"/>
            <w:vAlign w:val="bottom"/>
          </w:tcPr>
          <w:p>
            <w:pPr>
              <w:pStyle w:val="TableContents"/>
              <w:spacing w:before="0" w:after="283"/>
              <w:rPr/>
            </w:pPr>
            <w:r>
              <w:rPr/>
              <w:t>  </w:t>
            </w:r>
          </w:p>
        </w:tc>
        <w:tc>
          <w:tcPr>
            <w:tcW w:w="46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5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5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583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5832"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86" w:type="dxa"/>
            <w:tcBorders/>
            <w:shd w:fill="auto" w:val="clear"/>
            <w:vAlign w:val="bottom"/>
          </w:tcPr>
          <w:p>
            <w:pPr>
              <w:pStyle w:val="TableContents"/>
              <w:spacing w:before="0" w:after="283"/>
              <w:rPr/>
            </w:pPr>
            <w:r>
              <w:rPr/>
              <w:t> </w:t>
            </w:r>
          </w:p>
        </w:tc>
      </w:tr>
      <w:tr>
        <w:trPr/>
        <w:tc>
          <w:tcPr>
            <w:tcW w:w="5832" w:type="dxa"/>
            <w:tcBorders/>
            <w:shd w:fill="CCEEFF" w:val="clear"/>
          </w:tcPr>
          <w:p>
            <w:pPr>
              <w:pStyle w:val="TableContents"/>
              <w:spacing w:before="0" w:after="283"/>
              <w:rPr>
                <w:rFonts w:ascii="Times New Roman" w:hAnsi="Times New Roman"/>
                <w:sz w:val="20"/>
              </w:rPr>
            </w:pPr>
            <w:r>
              <w:rPr>
                <w:rFonts w:ascii="Times New Roman" w:hAnsi="Times New Roman"/>
                <w:sz w:val="20"/>
              </w:rPr>
              <w:t>State</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43" w:type="dxa"/>
            <w:tcBorders/>
            <w:shd w:fill="auto" w:val="clear"/>
            <w:vAlign w:val="bottom"/>
          </w:tcPr>
          <w:p>
            <w:pPr>
              <w:pStyle w:val="HorizontalLine"/>
              <w:pBdr>
                <w:bottom w:val="single" w:sz="6"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7"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5832" w:type="dxa"/>
            <w:tcBorders/>
            <w:shd w:fill="CCEEFF" w:val="clear"/>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43" w:type="dxa"/>
            <w:tcBorders/>
            <w:shd w:fill="auto" w:val="clear"/>
            <w:vAlign w:val="bottom"/>
          </w:tcPr>
          <w:p>
            <w:pPr>
              <w:pStyle w:val="HorizontalLine"/>
              <w:pBdr>
                <w:bottom w:val="single" w:sz="6"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7"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rHeight w:val="75" w:hRule="atLeast"/>
        </w:trPr>
        <w:tc>
          <w:tcPr>
            <w:tcW w:w="5832" w:type="dxa"/>
            <w:tcBorders/>
            <w:shd w:fill="auto" w:val="clear"/>
            <w:vAlign w:val="center"/>
          </w:tcPr>
          <w:p>
            <w:pPr>
              <w:pStyle w:val="TableContents"/>
              <w:spacing w:before="0" w:after="283"/>
              <w:rPr>
                <w:sz w:val="4"/>
                <w:szCs w:val="4"/>
              </w:rPr>
            </w:pPr>
            <w:r>
              <w:rPr>
                <w:sz w:val="4"/>
                <w:szCs w:val="4"/>
              </w:rPr>
            </w:r>
          </w:p>
        </w:tc>
        <w:tc>
          <w:tcPr>
            <w:tcW w:w="832" w:type="dxa"/>
            <w:gridSpan w:val="3"/>
            <w:tcBorders/>
            <w:shd w:fill="auto" w:val="clear"/>
            <w:vAlign w:val="center"/>
          </w:tcPr>
          <w:p>
            <w:pPr>
              <w:pStyle w:val="TableContents"/>
              <w:spacing w:before="0" w:after="283"/>
              <w:rPr>
                <w:sz w:val="4"/>
                <w:szCs w:val="4"/>
              </w:rPr>
            </w:pPr>
            <w:r>
              <w:rPr>
                <w:sz w:val="4"/>
                <w:szCs w:val="4"/>
              </w:rPr>
            </w:r>
          </w:p>
        </w:tc>
        <w:tc>
          <w:tcPr>
            <w:tcW w:w="1027" w:type="dxa"/>
            <w:gridSpan w:val="4"/>
            <w:tcBorders/>
            <w:shd w:fill="auto" w:val="clear"/>
            <w:vAlign w:val="center"/>
          </w:tcPr>
          <w:p>
            <w:pPr>
              <w:pStyle w:val="TableContents"/>
              <w:spacing w:before="0" w:after="283"/>
              <w:rPr>
                <w:sz w:val="4"/>
                <w:szCs w:val="4"/>
              </w:rPr>
            </w:pPr>
            <w:r>
              <w:rPr>
                <w:sz w:val="4"/>
                <w:szCs w:val="4"/>
              </w:rPr>
            </w:r>
          </w:p>
        </w:tc>
        <w:tc>
          <w:tcPr>
            <w:tcW w:w="983" w:type="dxa"/>
            <w:gridSpan w:val="4"/>
            <w:tcBorders/>
            <w:shd w:fill="auto" w:val="clear"/>
            <w:vAlign w:val="center"/>
          </w:tcPr>
          <w:p>
            <w:pPr>
              <w:pStyle w:val="TableContents"/>
              <w:spacing w:before="0" w:after="283"/>
              <w:rPr>
                <w:sz w:val="4"/>
                <w:szCs w:val="4"/>
              </w:rPr>
            </w:pPr>
            <w:r>
              <w:rPr>
                <w:sz w:val="4"/>
                <w:szCs w:val="4"/>
              </w:rPr>
            </w:r>
          </w:p>
        </w:tc>
      </w:tr>
      <w:tr>
        <w:trPr/>
        <w:tc>
          <w:tcPr>
            <w:tcW w:w="583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5832"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328</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CCEEFF" w:val="clear"/>
          </w:tcPr>
          <w:p>
            <w:pPr>
              <w:pStyle w:val="TableContents"/>
              <w:spacing w:before="0" w:after="283"/>
              <w:rPr>
                <w:rFonts w:ascii="Times New Roman" w:hAnsi="Times New Roman"/>
                <w:sz w:val="20"/>
              </w:rPr>
            </w:pPr>
            <w:r>
              <w:rPr>
                <w:rFonts w:ascii="Times New Roman" w:hAnsi="Times New Roman"/>
                <w:sz w:val="20"/>
              </w:rPr>
              <w:t>State</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43" w:type="dxa"/>
            <w:tcBorders/>
            <w:shd w:fill="auto" w:val="clear"/>
            <w:vAlign w:val="bottom"/>
          </w:tcPr>
          <w:p>
            <w:pPr>
              <w:pStyle w:val="HorizontalLine"/>
              <w:pBdr>
                <w:bottom w:val="single" w:sz="6"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7"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5832" w:type="dxa"/>
            <w:tcBorders/>
            <w:shd w:fill="CCEEFF" w:val="clear"/>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43" w:type="dxa"/>
            <w:tcBorders/>
            <w:shd w:fill="auto" w:val="clear"/>
            <w:vAlign w:val="bottom"/>
          </w:tcPr>
          <w:p>
            <w:pPr>
              <w:pStyle w:val="HorizontalLine"/>
              <w:pBdr>
                <w:bottom w:val="single" w:sz="6"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7"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5832" w:type="dxa"/>
            <w:tcBorders/>
            <w:shd w:fill="CCEEFF" w:val="clear"/>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3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43" w:type="dxa"/>
            <w:tcBorders/>
            <w:shd w:fill="auto" w:val="clear"/>
            <w:vAlign w:val="bottom"/>
          </w:tcPr>
          <w:p>
            <w:pPr>
              <w:pStyle w:val="HorizontalLine"/>
              <w:pBdr>
                <w:bottom w:val="single" w:sz="18" w:space="0" w:color="000000"/>
              </w:pBdr>
              <w:spacing w:before="0" w:after="283"/>
              <w:rPr/>
            </w:pPr>
            <w:r>
              <w:rPr/>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7"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income tax provision (benefit) differs from the statutory rate due to the following: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5870"/>
        <w:gridCol w:w="356"/>
        <w:gridCol w:w="125"/>
        <w:gridCol w:w="339"/>
        <w:gridCol w:w="356"/>
        <w:gridCol w:w="125"/>
        <w:gridCol w:w="453"/>
        <w:gridCol w:w="80"/>
        <w:gridCol w:w="307"/>
        <w:gridCol w:w="125"/>
        <w:gridCol w:w="453"/>
        <w:gridCol w:w="85"/>
      </w:tblGrid>
      <w:tr>
        <w:trPr/>
        <w:tc>
          <w:tcPr>
            <w:tcW w:w="58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587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46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356" w:type="dxa"/>
            <w:tcBorders/>
            <w:shd w:fill="auto" w:val="clear"/>
            <w:vAlign w:val="bottom"/>
          </w:tcPr>
          <w:p>
            <w:pPr>
              <w:pStyle w:val="TableContents"/>
              <w:spacing w:before="0" w:after="283"/>
              <w:rPr/>
            </w:pPr>
            <w:r>
              <w:rPr/>
              <w:t>  </w:t>
            </w:r>
          </w:p>
        </w:tc>
        <w:tc>
          <w:tcPr>
            <w:tcW w:w="5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5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5870" w:type="dxa"/>
            <w:tcBorders/>
            <w:shd w:fill="CCEEFF" w:val="clear"/>
          </w:tcPr>
          <w:p>
            <w:pPr>
              <w:pStyle w:val="TableContents"/>
              <w:spacing w:before="0" w:after="283"/>
              <w:rPr>
                <w:rFonts w:ascii="Times New Roman" w:hAnsi="Times New Roman"/>
                <w:sz w:val="20"/>
              </w:rPr>
            </w:pPr>
            <w:r>
              <w:rPr>
                <w:rFonts w:ascii="Times New Roman" w:hAnsi="Times New Roman"/>
                <w:sz w:val="20"/>
              </w:rPr>
              <w:t>Tax expense (benefit) at statutory rate</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70"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 tax resulting from:</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r>
      <w:tr>
        <w:trPr/>
        <w:tc>
          <w:tcPr>
            <w:tcW w:w="5870" w:type="dxa"/>
            <w:tcBorders/>
            <w:shd w:fill="CCEEFF" w:val="clear"/>
          </w:tcPr>
          <w:p>
            <w:pPr>
              <w:pStyle w:val="TableContents"/>
              <w:spacing w:before="0" w:after="283"/>
              <w:rPr>
                <w:rFonts w:ascii="Times New Roman" w:hAnsi="Times New Roman"/>
                <w:sz w:val="20"/>
              </w:rPr>
            </w:pPr>
            <w:r>
              <w:rPr>
                <w:rFonts w:ascii="Times New Roman" w:hAnsi="Times New Roman"/>
                <w:sz w:val="20"/>
              </w:rPr>
              <w:t>State income tax, net of federal benefit</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70" w:type="dxa"/>
            <w:tcBorders/>
            <w:shd w:fill="auto" w:val="clear"/>
          </w:tcPr>
          <w:p>
            <w:pPr>
              <w:pStyle w:val="TableContents"/>
              <w:spacing w:before="0" w:after="283"/>
              <w:rPr>
                <w:rFonts w:ascii="Times New Roman" w:hAnsi="Times New Roman"/>
                <w:sz w:val="20"/>
              </w:rPr>
            </w:pPr>
            <w:r>
              <w:rPr>
                <w:rFonts w:ascii="Times New Roman" w:hAnsi="Times New Roman"/>
                <w:sz w:val="20"/>
              </w:rPr>
              <w:t>Permanent differences, principally warrants and interest</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85" w:type="dxa"/>
            <w:tcBorders/>
            <w:shd w:fill="auto" w:val="clear"/>
            <w:vAlign w:val="bottom"/>
          </w:tcPr>
          <w:p>
            <w:pPr>
              <w:pStyle w:val="TableContents"/>
              <w:spacing w:before="0" w:after="283"/>
              <w:rPr/>
            </w:pPr>
            <w:r>
              <w:rPr/>
              <w:t> </w:t>
            </w:r>
          </w:p>
        </w:tc>
      </w:tr>
      <w:tr>
        <w:trPr/>
        <w:tc>
          <w:tcPr>
            <w:tcW w:w="5870"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85" w:type="dxa"/>
            <w:tcBorders/>
            <w:shd w:fill="CCEEFF" w:val="clear"/>
            <w:vAlign w:val="bottom"/>
          </w:tcPr>
          <w:p>
            <w:pPr>
              <w:pStyle w:val="TableContents"/>
              <w:spacing w:before="0" w:after="283"/>
              <w:rPr/>
            </w:pPr>
            <w:r>
              <w:rPr/>
              <w:t> </w:t>
            </w:r>
          </w:p>
        </w:tc>
      </w:tr>
      <w:tr>
        <w:trPr/>
        <w:tc>
          <w:tcPr>
            <w:tcW w:w="587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39" w:type="dxa"/>
            <w:tcBorders/>
            <w:shd w:fill="auto" w:val="clear"/>
            <w:vAlign w:val="bottom"/>
          </w:tcPr>
          <w:p>
            <w:pPr>
              <w:pStyle w:val="HorizontalLine"/>
              <w:pBdr>
                <w:bottom w:val="single" w:sz="6" w:space="0" w:color="000000"/>
              </w:pBdr>
              <w:spacing w:before="0" w:after="283"/>
              <w:rPr/>
            </w:pPr>
            <w:r>
              <w:rPr/>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53" w:type="dxa"/>
            <w:tcBorders/>
            <w:shd w:fill="auto" w:val="clear"/>
            <w:vAlign w:val="bottom"/>
          </w:tcPr>
          <w:p>
            <w:pPr>
              <w:pStyle w:val="HorizontalLine"/>
              <w:pBdr>
                <w:bottom w:val="single" w:sz="6" w:space="0" w:color="000000"/>
              </w:pBdr>
              <w:spacing w:before="0" w:after="283"/>
              <w:rPr/>
            </w:pPr>
            <w:r>
              <w:rPr/>
            </w:r>
          </w:p>
        </w:tc>
        <w:tc>
          <w:tcPr>
            <w:tcW w:w="85" w:type="dxa"/>
            <w:tcBorders/>
            <w:shd w:fill="auto" w:val="clear"/>
            <w:vAlign w:val="bottom"/>
          </w:tcPr>
          <w:p>
            <w:pPr>
              <w:pStyle w:val="HorizontalLine"/>
              <w:pBdr>
                <w:bottom w:val="single" w:sz="6" w:space="0" w:color="FFFFFF"/>
              </w:pBdr>
              <w:spacing w:before="0" w:after="283"/>
              <w:rPr/>
            </w:pPr>
            <w:r>
              <w:rPr/>
            </w:r>
          </w:p>
        </w:tc>
      </w:tr>
      <w:tr>
        <w:trPr/>
        <w:tc>
          <w:tcPr>
            <w:tcW w:w="5870" w:type="dxa"/>
            <w:tcBorders/>
            <w:shd w:fill="CCEEFF" w:val="clear"/>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3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(367</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7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339" w:type="dxa"/>
            <w:tcBorders/>
            <w:shd w:fill="auto" w:val="clear"/>
            <w:vAlign w:val="bottom"/>
          </w:tcPr>
          <w:p>
            <w:pPr>
              <w:pStyle w:val="HorizontalLine"/>
              <w:pBdr>
                <w:bottom w:val="single" w:sz="18" w:space="0" w:color="000000"/>
              </w:pBdr>
              <w:spacing w:before="0" w:after="283"/>
              <w:rPr/>
            </w:pPr>
            <w:r>
              <w:rPr/>
            </w:r>
          </w:p>
        </w:tc>
        <w:tc>
          <w:tcPr>
            <w:tcW w:w="3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53" w:type="dxa"/>
            <w:tcBorders/>
            <w:shd w:fill="auto" w:val="clear"/>
            <w:vAlign w:val="bottom"/>
          </w:tcPr>
          <w:p>
            <w:pPr>
              <w:pStyle w:val="HorizontalLine"/>
              <w:pBdr>
                <w:bottom w:val="single" w:sz="18" w:space="0" w:color="000000"/>
              </w:pBdr>
              <w:spacing w:before="0" w:after="283"/>
              <w:rPr/>
            </w:pPr>
            <w:r>
              <w:rPr/>
            </w:r>
          </w:p>
        </w:tc>
        <w:tc>
          <w:tcPr>
            <w:tcW w:w="8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Deferred income taxes reflect the future tax consequences of temporary differences between the carrying amounts of assets and liabilities for financial reporting purposes and the amounts used for income tax purposes. The net deferred tax liability consisted of the following at December 31: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6485"/>
        <w:gridCol w:w="357"/>
        <w:gridCol w:w="125"/>
        <w:gridCol w:w="550"/>
        <w:gridCol w:w="80"/>
        <w:gridCol w:w="319"/>
        <w:gridCol w:w="125"/>
        <w:gridCol w:w="550"/>
        <w:gridCol w:w="83"/>
      </w:tblGrid>
      <w:tr>
        <w:trPr/>
        <w:tc>
          <w:tcPr>
            <w:tcW w:w="648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6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6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assets (liabilities) attributable to:</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state taxes</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Reserves on assets</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 (included in prepaid expenses and other current assets in 2005 and in accounts payable and accrued expenses in 2004 in the consolidated balance sheets)</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rHeight w:val="75" w:hRule="atLeast"/>
        </w:trPr>
        <w:tc>
          <w:tcPr>
            <w:tcW w:w="6485" w:type="dxa"/>
            <w:tcBorders/>
            <w:shd w:fill="auto" w:val="clear"/>
            <w:vAlign w:val="center"/>
          </w:tcPr>
          <w:p>
            <w:pPr>
              <w:pStyle w:val="TableContents"/>
              <w:spacing w:before="0" w:after="283"/>
              <w:rPr>
                <w:sz w:val="4"/>
                <w:szCs w:val="4"/>
              </w:rPr>
            </w:pPr>
            <w:r>
              <w:rPr>
                <w:sz w:val="4"/>
                <w:szCs w:val="4"/>
              </w:rPr>
            </w:r>
          </w:p>
        </w:tc>
        <w:tc>
          <w:tcPr>
            <w:tcW w:w="1112" w:type="dxa"/>
            <w:gridSpan w:val="4"/>
            <w:tcBorders/>
            <w:shd w:fill="auto" w:val="clear"/>
            <w:vAlign w:val="center"/>
          </w:tcPr>
          <w:p>
            <w:pPr>
              <w:pStyle w:val="TableContents"/>
              <w:spacing w:before="0" w:after="283"/>
              <w:rPr>
                <w:sz w:val="4"/>
                <w:szCs w:val="4"/>
              </w:rPr>
            </w:pPr>
            <w:r>
              <w:rPr>
                <w:sz w:val="4"/>
                <w:szCs w:val="4"/>
              </w:rPr>
            </w:r>
          </w:p>
        </w:tc>
        <w:tc>
          <w:tcPr>
            <w:tcW w:w="1077" w:type="dxa"/>
            <w:gridSpan w:val="4"/>
            <w:tcBorders/>
            <w:shd w:fill="auto" w:val="clear"/>
            <w:vAlign w:val="center"/>
          </w:tcPr>
          <w:p>
            <w:pPr>
              <w:pStyle w:val="TableContents"/>
              <w:spacing w:before="0" w:after="283"/>
              <w:rPr>
                <w:sz w:val="4"/>
                <w:szCs w:val="4"/>
              </w:rPr>
            </w:pPr>
            <w:r>
              <w:rPr>
                <w:sz w:val="4"/>
                <w:szCs w:val="4"/>
              </w:rPr>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deferred tax assets (liabilities) attributable to:</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and intangibles</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(1,349</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Non-compete agreement</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Minimum pension liability</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w:t>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and state net operating loss carryforwards</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1,076</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tcPr>
          <w:p>
            <w:pPr>
              <w:pStyle w:val="TableContents"/>
              <w:spacing w:before="0" w:after="283"/>
              <w:rPr>
                <w:rFonts w:ascii="Times New Roman" w:hAnsi="Times New Roman"/>
                <w:sz w:val="20"/>
              </w:rPr>
            </w:pPr>
            <w:r>
              <w:rPr>
                <w:rFonts w:ascii="Times New Roman" w:hAnsi="Times New Roman"/>
                <w:sz w:val="20"/>
              </w:rPr>
              <w:t>AMT credit carryforward</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8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83" w:type="dxa"/>
            <w:tcBorders/>
            <w:shd w:fill="auto" w:val="clear"/>
            <w:vAlign w:val="bottom"/>
          </w:tcPr>
          <w:p>
            <w:pPr>
              <w:pStyle w:val="TableContents"/>
              <w:spacing w:before="0" w:after="283"/>
              <w:rPr/>
            </w:pPr>
            <w:r>
              <w:rPr/>
              <w:t> </w:t>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83" w:type="dxa"/>
            <w:tcBorders/>
            <w:shd w:fill="CCEEFF" w:val="clear"/>
            <w:vAlign w:val="bottom"/>
          </w:tcPr>
          <w:p>
            <w:pPr>
              <w:pStyle w:val="TableContents"/>
              <w:spacing w:before="0" w:after="283"/>
              <w:rPr/>
            </w:pPr>
            <w:r>
              <w:rPr/>
              <w:t> </w:t>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Net noncurrent deferred income tax liability</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(2,462</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50"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485"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liability</w:t>
            </w:r>
          </w:p>
        </w:tc>
        <w:tc>
          <w:tcPr>
            <w:tcW w:w="3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5"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50"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Years Ended December 31, 2005, 2004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deferred tax assets were $2.0 and $2.8 million at December 31, 2005 and 2004, respectively. Gross deferred tax liabilities were $4.7 and $5.1 million at December 31, 2005 and 2004,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Federal net operating loss carryforwards of approximately $575,000 at December 31, 2005 to be utilized in future years, which begin to expire in 2021. Additionally, we have state net operating loss carryforwards of $827,000 at December 31,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file a consolidated Federal income tax return.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15.    Related Party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2005, we reimbursed Green Diamond Oil Corp. $5,000 per month for use of the space and other office expenses of our Toronto office. In 2005, 2004 and 2003, reimbursements were $60,000, $60,000 and $60,000 respectively. During 2005, 2004 and 2003, we paid fees of $340,000, $340,000 and $250,000 respectively, to Green Diamond for management consulting services. These services were provided by Phillip DeZwirek, the Chief Executive Officer and Chairman of our Board, through Green Diamond.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16.    Backlog of Uncompleted Contracts from Continuing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of uncompleted contracts from continuing operations was $28.9 million and $20.7 million at December 31, 2005 and 2004,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17.    Quarterly Financial Data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quarterly financial data are unaudited, but in the opinion of management include all necessary adjustments for a fair presentation of the interim results, which are subject to significant seasonal variations.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53"/>
        <w:gridCol w:w="287"/>
        <w:gridCol w:w="125"/>
        <w:gridCol w:w="596"/>
        <w:gridCol w:w="80"/>
        <w:gridCol w:w="248"/>
        <w:gridCol w:w="125"/>
        <w:gridCol w:w="596"/>
        <w:gridCol w:w="80"/>
        <w:gridCol w:w="248"/>
        <w:gridCol w:w="124"/>
        <w:gridCol w:w="596"/>
        <w:gridCol w:w="287"/>
        <w:gridCol w:w="125"/>
        <w:gridCol w:w="596"/>
        <w:gridCol w:w="80"/>
        <w:gridCol w:w="248"/>
        <w:gridCol w:w="125"/>
        <w:gridCol w:w="596"/>
        <w:gridCol w:w="90"/>
      </w:tblGrid>
      <w:tr>
        <w:trPr/>
        <w:tc>
          <w:tcPr>
            <w:tcW w:w="495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r>
      <w:tr>
        <w:trPr/>
        <w:tc>
          <w:tcPr>
            <w:tcW w:w="495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 except per share data</w:t>
            </w:r>
          </w:p>
        </w:tc>
        <w:tc>
          <w:tcPr>
            <w:tcW w:w="28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First</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Second</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72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Third</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28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Fourth</w:t>
            </w:r>
          </w:p>
          <w:p>
            <w:pPr>
              <w:pStyle w:val="TableContents"/>
              <w:spacing w:before="0" w:after="0"/>
              <w:jc w:val="center"/>
              <w:rPr>
                <w:rFonts w:ascii="Times New Roman" w:hAnsi="Times New Roman"/>
                <w:b/>
                <w:sz w:val="14"/>
              </w:rPr>
            </w:pPr>
            <w:r>
              <w:rPr>
                <w:rFonts w:ascii="Times New Roman" w:hAnsi="Times New Roman"/>
                <w:b/>
                <w:sz w:val="14"/>
              </w:rPr>
              <w:t>Quarter</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90" w:type="dxa"/>
            <w:tcBorders/>
            <w:shd w:fill="auto" w:val="clear"/>
            <w:vAlign w:val="bottom"/>
          </w:tcPr>
          <w:p>
            <w:pPr>
              <w:pStyle w:val="TableContents"/>
              <w:spacing w:before="0" w:after="283"/>
              <w:rPr/>
            </w:pPr>
            <w:r>
              <w:rPr/>
              <w:t> </w:t>
            </w:r>
          </w:p>
        </w:tc>
      </w:tr>
      <w:tr>
        <w:trPr/>
        <w:tc>
          <w:tcPr>
            <w:tcW w:w="49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Year ended December 31, 2005</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r>
      <w:tr>
        <w:trPr/>
        <w:tc>
          <w:tcPr>
            <w:tcW w:w="4953" w:type="dxa"/>
            <w:tcBorders/>
            <w:shd w:fill="auto" w:val="clear"/>
          </w:tcPr>
          <w:p>
            <w:pPr>
              <w:pStyle w:val="TableContents"/>
              <w:spacing w:before="0" w:after="283"/>
              <w:rPr>
                <w:rFonts w:ascii="Times New Roman" w:hAnsi="Times New Roman"/>
                <w:sz w:val="20"/>
              </w:rPr>
            </w:pPr>
            <w:r>
              <w:rPr>
                <w:rFonts w:ascii="Times New Roman" w:hAnsi="Times New Roman"/>
                <w:sz w:val="20"/>
              </w:rPr>
              <w:t>Net Sales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15,055</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20,015</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23,442</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23,009</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81,521</w:t>
            </w:r>
          </w:p>
        </w:tc>
        <w:tc>
          <w:tcPr>
            <w:tcW w:w="90" w:type="dxa"/>
            <w:tcBorders/>
            <w:shd w:fill="auto" w:val="clear"/>
            <w:vAlign w:val="bottom"/>
          </w:tcPr>
          <w:p>
            <w:pPr>
              <w:pStyle w:val="TableContents"/>
              <w:spacing w:before="0" w:after="283"/>
              <w:rPr/>
            </w:pPr>
            <w:r>
              <w:rPr/>
              <w:t> </w:t>
            </w:r>
          </w:p>
        </w:tc>
      </w:tr>
      <w:tr>
        <w:trPr/>
        <w:tc>
          <w:tcPr>
            <w:tcW w:w="495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1,257</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2,036</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90" w:type="dxa"/>
            <w:tcBorders/>
            <w:shd w:fill="CCEEFF" w:val="clear"/>
            <w:vAlign w:val="bottom"/>
          </w:tcPr>
          <w:p>
            <w:pPr>
              <w:pStyle w:val="TableContents"/>
              <w:spacing w:before="0" w:after="283"/>
              <w:rPr/>
            </w:pPr>
            <w:r>
              <w:rPr/>
              <w:t> </w:t>
            </w:r>
          </w:p>
        </w:tc>
      </w:tr>
      <w:tr>
        <w:trPr/>
        <w:tc>
          <w:tcPr>
            <w:tcW w:w="495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3"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earnings (loss) per share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953" w:type="dxa"/>
            <w:tcBorders/>
            <w:shd w:fill="auto" w:val="clear"/>
            <w:vAlign w:val="center"/>
          </w:tcPr>
          <w:p>
            <w:pPr>
              <w:pStyle w:val="TableContents"/>
              <w:spacing w:before="0" w:after="283"/>
              <w:rPr>
                <w:sz w:val="4"/>
                <w:szCs w:val="4"/>
              </w:rPr>
            </w:pPr>
            <w:r>
              <w:rPr>
                <w:sz w:val="4"/>
                <w:szCs w:val="4"/>
              </w:rPr>
            </w:r>
          </w:p>
        </w:tc>
        <w:tc>
          <w:tcPr>
            <w:tcW w:w="1088" w:type="dxa"/>
            <w:gridSpan w:val="4"/>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1088" w:type="dxa"/>
            <w:gridSpan w:val="4"/>
            <w:tcBorders/>
            <w:shd w:fill="auto" w:val="clear"/>
            <w:vAlign w:val="center"/>
          </w:tcPr>
          <w:p>
            <w:pPr>
              <w:pStyle w:val="TableContents"/>
              <w:spacing w:before="0" w:after="283"/>
              <w:rPr>
                <w:sz w:val="4"/>
                <w:szCs w:val="4"/>
              </w:rPr>
            </w:pPr>
            <w:r>
              <w:rPr>
                <w:sz w:val="4"/>
                <w:szCs w:val="4"/>
              </w:rPr>
            </w:r>
          </w:p>
        </w:tc>
        <w:tc>
          <w:tcPr>
            <w:tcW w:w="1059" w:type="dxa"/>
            <w:gridSpan w:val="4"/>
            <w:tcBorders/>
            <w:shd w:fill="auto" w:val="clear"/>
            <w:vAlign w:val="center"/>
          </w:tcPr>
          <w:p>
            <w:pPr>
              <w:pStyle w:val="TableContents"/>
              <w:spacing w:before="0" w:after="283"/>
              <w:rPr>
                <w:sz w:val="4"/>
                <w:szCs w:val="4"/>
              </w:rPr>
            </w:pPr>
            <w:r>
              <w:rPr>
                <w:sz w:val="4"/>
                <w:szCs w:val="4"/>
              </w:rPr>
            </w:r>
          </w:p>
        </w:tc>
      </w:tr>
      <w:tr>
        <w:trPr/>
        <w:tc>
          <w:tcPr>
            <w:tcW w:w="4953" w:type="dxa"/>
            <w:tcBorders/>
            <w:shd w:fill="auto" w:val="clear"/>
          </w:tcPr>
          <w:p>
            <w:pPr>
              <w:pStyle w:val="TableContents"/>
              <w:spacing w:before="0" w:after="283"/>
              <w:rPr>
                <w:rFonts w:ascii="Times New Roman" w:hAnsi="Times New Roman"/>
                <w:b/>
                <w:sz w:val="20"/>
              </w:rPr>
            </w:pPr>
            <w:r>
              <w:rPr>
                <w:rFonts w:ascii="Times New Roman" w:hAnsi="Times New Roman"/>
                <w:b/>
                <w:sz w:val="20"/>
              </w:rPr>
              <w:t>Year ended December 31, 2004</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r>
      <w:tr>
        <w:trPr/>
        <w:tc>
          <w:tcPr>
            <w:tcW w:w="4953"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14,074</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15,071</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18,566</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21,655</w:t>
            </w:r>
          </w:p>
        </w:tc>
        <w:tc>
          <w:tcPr>
            <w:tcW w:w="8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69,366</w:t>
            </w:r>
          </w:p>
        </w:tc>
        <w:tc>
          <w:tcPr>
            <w:tcW w:w="90" w:type="dxa"/>
            <w:tcBorders/>
            <w:shd w:fill="CCEEFF" w:val="clear"/>
            <w:vAlign w:val="bottom"/>
          </w:tcPr>
          <w:p>
            <w:pPr>
              <w:pStyle w:val="TableContents"/>
              <w:spacing w:before="0" w:after="283"/>
              <w:rPr/>
            </w:pPr>
            <w:r>
              <w:rPr/>
              <w:t> </w:t>
            </w:r>
          </w:p>
        </w:tc>
      </w:tr>
      <w:tr>
        <w:trPr/>
        <w:tc>
          <w:tcPr>
            <w:tcW w:w="4953"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operations(1)</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8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90" w:type="dxa"/>
            <w:tcBorders/>
            <w:shd w:fill="auto" w:val="clear"/>
            <w:vAlign w:val="bottom"/>
          </w:tcPr>
          <w:p>
            <w:pPr>
              <w:pStyle w:val="TableContents"/>
              <w:spacing w:before="0" w:after="283"/>
              <w:rPr/>
            </w:pPr>
            <w:r>
              <w:rPr/>
              <w:t> </w:t>
            </w:r>
          </w:p>
        </w:tc>
      </w:tr>
      <w:tr>
        <w:trPr/>
        <w:tc>
          <w:tcPr>
            <w:tcW w:w="495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(loss)(1, 2)</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53"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earnings (loss) per share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$677,000 in additional cost of sales during the fourth quarter for year end physical inventory adjustments totaling $486,000 and additional expense associated with workers compensation and unemployment totaling $191,000.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other income of $162,000 during the fourth quarter related to a dividend from Factory Power which was an investment accounted under the cost method of accounting.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TextBody"/>
        <w:spacing w:before="0" w:after="0"/>
        <w:jc w:val="right"/>
        <w:rPr>
          <w:rFonts w:ascii="Times New Roman" w:hAnsi="Times New Roman"/>
          <w:b/>
          <w:sz w:val="20"/>
        </w:rPr>
      </w:pPr>
      <w:bookmarkStart w:id="31" w:name="dex1023.htm"/>
      <w:bookmarkStart w:id="32" w:name="ksdex1023"/>
      <w:bookmarkEnd w:id="31"/>
      <w:bookmarkEnd w:id="32"/>
      <w:r>
        <w:rPr>
          <w:rFonts w:ascii="Times New Roman" w:hAnsi="Times New Roman"/>
          <w:b/>
          <w:sz w:val="20"/>
        </w:rPr>
        <w:t xml:space="preserve">EXHIBIT 10.23 </w:t>
      </w:r>
    </w:p>
    <w:p>
      <w:pPr>
        <w:pStyle w:val="TextBody"/>
        <w:spacing w:before="180" w:after="0"/>
        <w:rPr>
          <w:rFonts w:ascii="Times New Roman" w:hAnsi="Times New Roman"/>
          <w:sz w:val="20"/>
        </w:rPr>
      </w:pPr>
      <w:r>
        <w:rPr>
          <w:rFonts w:ascii="Times New Roman" w:hAnsi="Times New Roman"/>
          <w:sz w:val="20"/>
        </w:rPr>
        <w:t xml:space="preserve">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 </w:t>
      </w:r>
    </w:p>
    <w:p>
      <w:pPr>
        <w:pStyle w:val="TextBody"/>
        <w:spacing w:before="180" w:after="0"/>
        <w:rPr>
          <w:rFonts w:ascii="Times New Roman" w:hAnsi="Times New Roman"/>
          <w:b/>
          <w:sz w:val="20"/>
        </w:rPr>
      </w:pPr>
      <w:r>
        <w:rPr>
          <w:rFonts w:ascii="Times New Roman" w:hAnsi="Times New Roman"/>
          <w:b/>
          <w:sz w:val="20"/>
        </w:rPr>
        <w:t xml:space="preserve">Notwithstanding anything herein to the contrary, (i) the obligations evidenced by this Second Amended and Restated Replacement Promissory Note are subordinated to the prior payment in full of the Senior Obligations (as defined in the Subordination Agreement hereinafter referred to) pursuant to, and to the extent provided in the Subordination Agreement, dated as of February 2, 2006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Second Amended and Restated Replacement Promissory Note, the terms of the Subordination Agreement shall govern.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SECOND AMENDED AND RESTATED REPLACEMENT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PROMISSORY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3"/>
        <w:gridCol w:w="100"/>
        <w:gridCol w:w="5002"/>
      </w:tblGrid>
      <w:tr>
        <w:trPr/>
        <w:tc>
          <w:tcPr>
            <w:tcW w:w="510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rPr>
                <w:rFonts w:ascii="Times New Roman" w:hAnsi="Times New Roman"/>
                <w:sz w:val="20"/>
              </w:rPr>
            </w:pPr>
            <w:r>
              <w:rPr>
                <w:rFonts w:ascii="Times New Roman" w:hAnsi="Times New Roman"/>
                <w:sz w:val="20"/>
              </w:rPr>
              <w:t>$500,000</w:t>
            </w:r>
          </w:p>
        </w:tc>
        <w:tc>
          <w:tcPr>
            <w:tcW w:w="100"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February 2, 2006</w:t>
            </w:r>
          </w:p>
        </w:tc>
      </w:tr>
    </w:tbl>
    <w:p>
      <w:pPr>
        <w:pStyle w:val="TextBody"/>
        <w:spacing w:before="180" w:after="0"/>
        <w:rPr>
          <w:rFonts w:ascii="Times New Roman" w:hAnsi="Times New Roman"/>
          <w:sz w:val="20"/>
        </w:rPr>
      </w:pPr>
      <w:r>
        <w:rPr>
          <w:rFonts w:ascii="Times New Roman" w:hAnsi="Times New Roman"/>
          <w:sz w:val="20"/>
        </w:rPr>
        <w:t xml:space="preserve">WHEREAS, Harvey Sandler has prior to this date advanced $500,000 (the Advance) to CECO Environmental Corp. </w:t>
      </w:r>
    </w:p>
    <w:p>
      <w:pPr>
        <w:pStyle w:val="TextBody"/>
        <w:spacing w:before="180" w:after="0"/>
        <w:rPr>
          <w:rFonts w:ascii="Times New Roman" w:hAnsi="Times New Roman"/>
          <w:sz w:val="20"/>
        </w:rPr>
      </w:pPr>
      <w:r>
        <w:rPr>
          <w:rFonts w:ascii="Times New Roman" w:hAnsi="Times New Roman"/>
          <w:sz w:val="20"/>
        </w:rPr>
        <w:t xml:space="preserve">WHEREAS, the terms of the Advance are set forth in an Amended and Restated Replacement Promissory Note dated May 1, 2001 (the Prior Note), which Prior Note shall be cancelled and replaced by this Second Amended and Restated Replacement Promissory Note. </w:t>
      </w:r>
    </w:p>
    <w:p>
      <w:pPr>
        <w:pStyle w:val="TextBody"/>
        <w:spacing w:before="180" w:after="0"/>
        <w:rPr>
          <w:rFonts w:ascii="Times New Roman" w:hAnsi="Times New Roman"/>
          <w:sz w:val="20"/>
        </w:rPr>
      </w:pPr>
      <w:r>
        <w:rPr>
          <w:rFonts w:ascii="Times New Roman" w:hAnsi="Times New Roman"/>
          <w:sz w:val="20"/>
        </w:rPr>
        <w:t xml:space="preserve">WHEREAS, Harvey Sandler has agreed to amend and restate the Prior Note and replace the Prior Note with this Note to extend the maturity date under the Prior Note and subordinate the amounts due thereunder to a new credit facility upon the terms set forth herein. </w:t>
      </w:r>
    </w:p>
    <w:p>
      <w:pPr>
        <w:pStyle w:val="TextBody"/>
        <w:spacing w:before="18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Harvey Sandler or registered assigns (Holder), the principal sum of FIVE HUNDRED THOUSAND DOLLARS ($500,000.00) on the Maturity Date, as defined in Section 1 below. This Note is part of a series of Notes of like tenor and </w:t>
      </w:r>
    </w:p>
    <w:p>
      <w:pPr>
        <w:pStyle w:val="TextBody"/>
        <w:spacing w:before="0" w:after="0"/>
        <w:rPr>
          <w:rFonts w:ascii="Times New Roman" w:hAnsi="Times New Roman"/>
          <w:sz w:val="20"/>
        </w:rPr>
      </w:pPr>
      <w:r>
        <w:rPr>
          <w:rFonts w:ascii="Times New Roman" w:hAnsi="Times New Roman"/>
          <w:sz w:val="20"/>
        </w:rPr>
        <w:t xml:space="preserve">effect to this Note in the original aggregate principal amount of $5,000,000 issued in connection with a mezzanine financing by the Company (the 1999 Subordinated Notes).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upon the earlier to occur of the following events (the Maturity Date): (i) April 1, 2007;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twelve percent (12%) per annum from the date of the original Advance. Accrued Interest shall be due and payable on June 30 and December 31 of each year.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w:t>
      </w:r>
    </w:p>
    <w:p>
      <w:pPr>
        <w:pStyle w:val="TextBody"/>
        <w:spacing w:before="18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13.5, then to interest and the remainder to principal.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any Note is surrendered at said office or at the place of payment named in the Note for registration of transfer or exchange (accompanied in the case of 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transfer or exchange shall carry the same rights to increase Notes surrendered. The Holder agrees that prior to making any sale, transfer, pledge, assignment, hypothecation, or other disposition (each, a Transfer) of the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to the holder, in form and substance satisfactory to the Company) that the proposed Transfer complies with applicable federal and state securities laws. The Company shall have no obligation to Transfer any Notes unless the holder thereof has complied with the foregoing provisions, and any such attempted Transfer shall be null and void.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any Note is registered as the owner and holder of such Note for the purpose of receiving payment of principal of, and interest on, such Note and for all other purposes. </w:t>
      </w:r>
    </w:p>
    <w:p>
      <w:pPr>
        <w:pStyle w:val="TextBody"/>
        <w:spacing w:before="27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6.1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100% of the face value of the Note at any time; provided, however, that if the Company intends to prepay any one or more of the 1999 Subordinated Notes in part, it shall prepay the same percentage of each outstanding 1999 Subordinated Note. The Company shall, at the time of any such prepayment, pay to the holder of this Note all interest accrued and unpaid to the Prepayment Date (defined below). Notwithstanding the foregoing, once a notice of the Closing of a Sale Transaction pursuant to Section 13.4 has been sent to the Holder, the Company may not prepay this Note prior to the Closing of a Sale Transaction, or until the Sale Transaction has been formally abandoned. </w:t>
      </w:r>
    </w:p>
    <w:p>
      <w:pPr>
        <w:pStyle w:val="TextBody"/>
        <w:spacing w:before="90" w:after="0"/>
        <w:rPr>
          <w:rFonts w:ascii="Times New Roman" w:hAnsi="Times New Roman"/>
          <w:sz w:val="20"/>
        </w:rPr>
      </w:pPr>
      <w:r>
        <w:rPr>
          <w:rFonts w:ascii="Times New Roman" w:hAnsi="Times New Roman"/>
          <w:sz w:val="20"/>
        </w:rPr>
        <w:t xml:space="preserve">6.2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holders of the 1999 Subordinated Notes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of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90" w:after="0"/>
        <w:rPr>
          <w:rFonts w:ascii="Times New Roman" w:hAnsi="Times New Roman"/>
          <w:sz w:val="20"/>
        </w:rPr>
      </w:pPr>
      <w:r>
        <w:rPr>
          <w:rFonts w:ascii="Times New Roman" w:hAnsi="Times New Roman"/>
          <w:sz w:val="20"/>
        </w:rPr>
        <w:t xml:space="preserve">6.3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shall cease to accrue and all rights of Holder as a Holder of this Note shall cease with respect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27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Warrant Coverage</w:t>
      </w:r>
      <w:r>
        <w:rPr>
          <w:rFonts w:ascii="Times New Roman" w:hAnsi="Times New Roman"/>
          <w:sz w:val="20"/>
        </w:rPr>
        <w:t xml:space="preserve">. Intentionally Omitted.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29,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February 2, 2006 (as amended, restated, supplemented or modified from time to time, the Subordination Agreement) in favor of Fifth Third Bank (together with its successors and assigns, and the other holders, if any, of the Senior Obligations identified therein).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Repayment of Notes</w:t>
      </w:r>
      <w:r>
        <w:rPr>
          <w:rFonts w:ascii="Times New Roman" w:hAnsi="Times New Roman"/>
          <w:sz w:val="20"/>
        </w:rPr>
        <w:t xml:space="preserve">.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 provided such prepayment shall be made proportionately among the 1999 Subordinated Notes until the 1999 Subordinated Notes are paid in full.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Holders of a majority of the aggregate principal amount outstanding of the 1999 Subordinated Notes (Majority Holders): </w:t>
      </w:r>
    </w:p>
    <w:p>
      <w:pPr>
        <w:pStyle w:val="TextBody"/>
        <w:spacing w:before="90" w:after="0"/>
        <w:rPr>
          <w:rFonts w:ascii="Times New Roman" w:hAnsi="Times New Roman"/>
          <w:sz w:val="20"/>
        </w:rPr>
      </w:pPr>
      <w:r>
        <w:rPr>
          <w:rFonts w:ascii="Times New Roman" w:hAnsi="Times New Roman"/>
          <w:sz w:val="20"/>
        </w:rPr>
        <w:t xml:space="preserve">10.1 Obtain or incur any indebtedness or other monetary obligations that are senior to or on parity with the Notes, other than the Superior Debt. </w:t>
      </w:r>
    </w:p>
    <w:p>
      <w:pPr>
        <w:pStyle w:val="TextBody"/>
        <w:spacing w:before="90" w:after="0"/>
        <w:rPr>
          <w:rFonts w:ascii="Times New Roman" w:hAnsi="Times New Roman"/>
          <w:sz w:val="20"/>
        </w:rPr>
      </w:pPr>
      <w:r>
        <w:rPr>
          <w:rFonts w:ascii="Times New Roman" w:hAnsi="Times New Roman"/>
          <w:sz w:val="20"/>
        </w:rPr>
        <w:t xml:space="preserve">10.2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90" w:after="0"/>
        <w:rPr>
          <w:rFonts w:ascii="Times New Roman" w:hAnsi="Times New Roman"/>
          <w:sz w:val="20"/>
        </w:rPr>
      </w:pPr>
      <w:r>
        <w:rPr>
          <w:rFonts w:ascii="Times New Roman" w:hAnsi="Times New Roman"/>
          <w:sz w:val="20"/>
        </w:rPr>
        <w:t xml:space="preserve">10.3 Enter into any arrangement or agreement involving the merger or consolidation of the Company. </w:t>
      </w:r>
    </w:p>
    <w:p>
      <w:pPr>
        <w:pStyle w:val="TextBody"/>
        <w:spacing w:before="90" w:after="0"/>
        <w:rPr>
          <w:rFonts w:ascii="Times New Roman" w:hAnsi="Times New Roman"/>
          <w:sz w:val="20"/>
        </w:rPr>
      </w:pPr>
      <w:r>
        <w:rPr>
          <w:rFonts w:ascii="Times New Roman" w:hAnsi="Times New Roman"/>
          <w:sz w:val="20"/>
        </w:rPr>
        <w:t xml:space="preserve">10.4 Use the proceeds from the sale of the 1999 Subordinated Notes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Events of Default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9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9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or the Warrant Agreement; </w:t>
      </w:r>
    </w:p>
    <w:p>
      <w:pPr>
        <w:pStyle w:val="TextBody"/>
        <w:spacing w:before="9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9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90" w:after="0"/>
        <w:rPr>
          <w:rFonts w:ascii="Times New Roman" w:hAnsi="Times New Roman"/>
          <w:sz w:val="20"/>
        </w:rPr>
      </w:pPr>
      <w:r>
        <w:rPr>
          <w:rFonts w:ascii="Times New Roman" w:hAnsi="Times New Roman"/>
          <w:sz w:val="20"/>
        </w:rPr>
        <w:t xml:space="preserve">(e) if the Companys business shall fail, as determined in good faith by the Majority Holders and evidenced by the Companys inability to pay its ongoing debts as such debts become due. </w:t>
      </w:r>
    </w:p>
    <w:p>
      <w:pPr>
        <w:pStyle w:val="TextBody"/>
        <w:spacing w:before="9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the Notes shall automatically become immediately due and payable, without presentment, demand, protest or other requirements of any kind, all of which are hereby expressly waived by the Company.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Common Stock issuable upon the exercise of the Warrants (collectively, the Securities), the Holder hereby represents and warrants to the Company as follows: </w:t>
      </w:r>
    </w:p>
    <w:p>
      <w:pPr>
        <w:pStyle w:val="TextBody"/>
        <w:spacing w:before="90" w:after="0"/>
        <w:rPr>
          <w:rFonts w:ascii="Times New Roman" w:hAnsi="Times New Roman"/>
          <w:sz w:val="20"/>
        </w:rPr>
      </w:pPr>
      <w:r>
        <w:rPr>
          <w:rFonts w:ascii="Times New Roman" w:hAnsi="Times New Roman"/>
          <w:sz w:val="20"/>
        </w:rPr>
        <w:t xml:space="preserve">12.1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w:t>
      </w:r>
      <w:r>
        <w:rPr>
          <w:rFonts w:ascii="Times New Roman" w:hAnsi="Times New Roman"/>
          <w:sz w:val="20"/>
        </w:rPr>
        <w:t xml:space="preserve">. The Holder is acquiring the Securities for investment for its own account, not as a nominee or agent, and not with the view to, or for resale in connection with, any distribution thereof. The Holder understands that the Securities have not been, and will not be, registered under the Securities Act of 1933, as amended (Securities Act), by reason of a specific exemption from the registration provisions of the Securities Act, the availability of which depends upon, among other things, the bona fide nature of the investment intent and the accuracy of the Holders representations as expressed herein. The holder is an accredited investor within the meaning of Regulation D, Section 501(a), promulgated by the Securities and Exchange Commission. </w:t>
      </w:r>
    </w:p>
    <w:p>
      <w:pPr>
        <w:pStyle w:val="TextBody"/>
        <w:spacing w:before="90" w:after="0"/>
        <w:rPr>
          <w:rFonts w:ascii="Times New Roman" w:hAnsi="Times New Roman"/>
          <w:sz w:val="20"/>
        </w:rPr>
      </w:pPr>
      <w:r>
        <w:rPr>
          <w:rFonts w:ascii="Times New Roman" w:hAnsi="Times New Roman"/>
          <w:sz w:val="20"/>
        </w:rPr>
        <w:t xml:space="preserve">12.3 </w:t>
      </w:r>
      <w:r>
        <w:rPr>
          <w:rFonts w:ascii="Times New Roman" w:hAnsi="Times New Roman"/>
          <w:sz w:val="20"/>
          <w:u w:val="single"/>
        </w:rPr>
        <w:t>Rule 144</w:t>
      </w:r>
      <w:r>
        <w:rPr>
          <w:rFonts w:ascii="Times New Roman" w:hAnsi="Times New Roman"/>
          <w:sz w:val="20"/>
        </w:rPr>
        <w:t xml:space="preserve">. The Holder acknowledges that the Securities must be held indefinitely unless subsequently registered under the Securities Act, or unless an exemption from such registration is available. The Holder understands that at this time the Company is not under any obligation to register any of the Securities. The Holder is aware of the provisions of Rule 144 promulgated under the Securities Act that permit limited resale of securities purchased in a private placement subject to satisfaction of certain conditions. </w:t>
      </w:r>
    </w:p>
    <w:p>
      <w:pPr>
        <w:pStyle w:val="TextBody"/>
        <w:spacing w:before="90" w:after="0"/>
        <w:rPr>
          <w:rFonts w:ascii="Times New Roman" w:hAnsi="Times New Roman"/>
          <w:sz w:val="20"/>
        </w:rPr>
      </w:pPr>
      <w:r>
        <w:rPr>
          <w:rFonts w:ascii="Times New Roman" w:hAnsi="Times New Roman"/>
          <w:sz w:val="20"/>
        </w:rPr>
        <w:t xml:space="preserve">12.4 </w:t>
      </w:r>
      <w:r>
        <w:rPr>
          <w:rFonts w:ascii="Times New Roman" w:hAnsi="Times New Roman"/>
          <w:sz w:val="20"/>
          <w:u w:val="single"/>
        </w:rPr>
        <w:t>No Public Market</w:t>
      </w:r>
      <w:r>
        <w:rPr>
          <w:rFonts w:ascii="Times New Roman" w:hAnsi="Times New Roman"/>
          <w:sz w:val="20"/>
        </w:rPr>
        <w:t xml:space="preserve">. The Holder understands that no public market now exists for any of the Securities issued by the Company and that the Company has made no assurances that a public market will ever exist for the Securities. </w:t>
      </w:r>
    </w:p>
    <w:p>
      <w:pPr>
        <w:pStyle w:val="TextBody"/>
        <w:spacing w:before="90" w:after="0"/>
        <w:rPr>
          <w:rFonts w:ascii="Times New Roman" w:hAnsi="Times New Roman"/>
          <w:sz w:val="20"/>
        </w:rPr>
      </w:pPr>
      <w:r>
        <w:rPr>
          <w:rFonts w:ascii="Times New Roman" w:hAnsi="Times New Roman"/>
          <w:sz w:val="20"/>
        </w:rPr>
        <w:t xml:space="preserve">12.5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27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13.1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90" w:after="0"/>
        <w:rPr>
          <w:rFonts w:ascii="Times New Roman" w:hAnsi="Times New Roman"/>
          <w:sz w:val="20"/>
        </w:rPr>
      </w:pPr>
      <w:r>
        <w:rPr>
          <w:rFonts w:ascii="Times New Roman" w:hAnsi="Times New Roman"/>
          <w:sz w:val="20"/>
        </w:rPr>
        <w:t xml:space="preserve">13.2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90" w:after="0"/>
        <w:rPr>
          <w:rFonts w:ascii="Times New Roman" w:hAnsi="Times New Roman"/>
          <w:sz w:val="20"/>
        </w:rPr>
      </w:pPr>
      <w:r>
        <w:rPr>
          <w:rFonts w:ascii="Times New Roman" w:hAnsi="Times New Roman"/>
          <w:sz w:val="20"/>
        </w:rPr>
        <w:t xml:space="preserve">13.3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633"/>
        <w:gridCol w:w="121"/>
        <w:gridCol w:w="6818"/>
      </w:tblGrid>
      <w:tr>
        <w:trPr/>
        <w:tc>
          <w:tcPr>
            <w:tcW w:w="16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818" w:type="dxa"/>
            <w:tcBorders/>
            <w:shd w:fill="auto" w:val="clear"/>
            <w:vAlign w:val="center"/>
          </w:tcPr>
          <w:p>
            <w:pPr>
              <w:pStyle w:val="TableContents"/>
              <w:spacing w:before="0" w:after="283"/>
              <w:rPr>
                <w:sz w:val="4"/>
                <w:szCs w:val="4"/>
              </w:rPr>
            </w:pPr>
            <w:r>
              <w:rPr>
                <w:sz w:val="4"/>
                <w:szCs w:val="4"/>
              </w:rPr>
            </w:r>
          </w:p>
        </w:tc>
      </w:tr>
      <w:tr>
        <w:trPr/>
        <w:tc>
          <w:tcPr>
            <w:tcW w:w="1633"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Dennis W. Blazer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with a copy to Lawrence N. Rosen, Esq., Lawrence N. Rosen, P.A., 2925 Aventura Boulevard, Suite 308, Aventura, Florida 33180. </w:t>
      </w:r>
    </w:p>
    <w:p>
      <w:pPr>
        <w:pStyle w:val="TextBody"/>
        <w:spacing w:before="90" w:after="0"/>
        <w:rPr>
          <w:rFonts w:ascii="Times New Roman" w:hAnsi="Times New Roman"/>
          <w:sz w:val="20"/>
        </w:rPr>
      </w:pPr>
      <w:r>
        <w:rPr>
          <w:rFonts w:ascii="Times New Roman" w:hAnsi="Times New Roman"/>
          <w:sz w:val="20"/>
        </w:rPr>
        <w:t xml:space="preserve">13.4 </w:t>
      </w:r>
      <w:r>
        <w:rPr>
          <w:rFonts w:ascii="Times New Roman" w:hAnsi="Times New Roman"/>
          <w:sz w:val="20"/>
          <w:u w:val="single"/>
        </w:rPr>
        <w:t>Notice of a Sale Transaction</w:t>
      </w:r>
      <w:r>
        <w:rPr>
          <w:rFonts w:ascii="Times New Roman" w:hAnsi="Times New Roman"/>
          <w:sz w:val="20"/>
        </w:rPr>
        <w:t xml:space="preserve">. The Company shall give all Holders of Notes notice of the Closing of a Sale Transaction at least thirty (30) days prior to such Closing. </w:t>
      </w:r>
    </w:p>
    <w:p>
      <w:pPr>
        <w:pStyle w:val="TextBody"/>
        <w:spacing w:before="90" w:after="0"/>
        <w:rPr>
          <w:rFonts w:ascii="Times New Roman" w:hAnsi="Times New Roman"/>
          <w:sz w:val="20"/>
        </w:rPr>
      </w:pPr>
      <w:r>
        <w:rPr>
          <w:rFonts w:ascii="Times New Roman" w:hAnsi="Times New Roman"/>
          <w:sz w:val="20"/>
        </w:rPr>
        <w:t xml:space="preserve">13.5 </w:t>
      </w:r>
      <w:r>
        <w:rPr>
          <w:rFonts w:ascii="Times New Roman" w:hAnsi="Times New Roman"/>
          <w:sz w:val="20"/>
          <w:u w:val="single"/>
        </w:rPr>
        <w:t>Collection</w:t>
      </w:r>
      <w:r>
        <w:rPr>
          <w:rFonts w:ascii="Times New Roman" w:hAnsi="Times New Roman"/>
          <w:sz w:val="20"/>
        </w:rPr>
        <w:t xml:space="preserve">. If the indebtedness represented by the Note or any part thereof is collected at law or in equity or in bankruptcy, receivership or other judicial proceedings or if the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90" w:after="0"/>
        <w:rPr>
          <w:rFonts w:ascii="Times New Roman" w:hAnsi="Times New Roman"/>
          <w:sz w:val="20"/>
        </w:rPr>
      </w:pPr>
      <w:r>
        <w:rPr>
          <w:rFonts w:ascii="Times New Roman" w:hAnsi="Times New Roman"/>
          <w:sz w:val="20"/>
        </w:rPr>
        <w:t xml:space="preserve">13.6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90" w:after="0"/>
        <w:rPr>
          <w:rFonts w:ascii="Times New Roman" w:hAnsi="Times New Roman"/>
          <w:sz w:val="20"/>
        </w:rPr>
      </w:pPr>
      <w:r>
        <w:rPr>
          <w:rFonts w:ascii="Times New Roman" w:hAnsi="Times New Roman"/>
          <w:sz w:val="20"/>
        </w:rPr>
        <w:t xml:space="preserve">13.7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90" w:after="0"/>
        <w:rPr>
          <w:rFonts w:ascii="Times New Roman" w:hAnsi="Times New Roman"/>
          <w:sz w:val="20"/>
        </w:rPr>
      </w:pPr>
      <w:r>
        <w:rPr>
          <w:rFonts w:ascii="Times New Roman" w:hAnsi="Times New Roman"/>
          <w:sz w:val="20"/>
        </w:rPr>
        <w:t xml:space="preserve">13.8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90" w:after="0"/>
        <w:rPr>
          <w:rFonts w:ascii="Times New Roman" w:hAnsi="Times New Roman"/>
          <w:sz w:val="20"/>
        </w:rPr>
      </w:pPr>
      <w:r>
        <w:rPr>
          <w:rFonts w:ascii="Times New Roman" w:hAnsi="Times New Roman"/>
          <w:sz w:val="20"/>
        </w:rPr>
        <w:t xml:space="preserve">13.9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13.10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13.11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90" w:after="0"/>
        <w:rPr>
          <w:rFonts w:ascii="Times New Roman" w:hAnsi="Times New Roman"/>
          <w:sz w:val="20"/>
        </w:rPr>
      </w:pPr>
      <w:r>
        <w:rPr>
          <w:rFonts w:ascii="Times New Roman" w:hAnsi="Times New Roman"/>
          <w:sz w:val="20"/>
        </w:rPr>
        <w:t xml:space="preserve">13.12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Promissory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90" w:after="0"/>
        <w:rPr>
          <w:rFonts w:ascii="Times New Roman" w:hAnsi="Times New Roman"/>
          <w:sz w:val="20"/>
        </w:rPr>
      </w:pPr>
      <w:r>
        <w:rPr>
          <w:rFonts w:ascii="Times New Roman" w:hAnsi="Times New Roman"/>
          <w:sz w:val="20"/>
        </w:rPr>
        <w:t xml:space="preserve">13.13 </w:t>
      </w:r>
      <w:r>
        <w:rPr>
          <w:rFonts w:ascii="Times New Roman" w:hAnsi="Times New Roman"/>
          <w:sz w:val="20"/>
          <w:u w:val="single"/>
        </w:rPr>
        <w:t>Submission to Jurisdiction</w:t>
      </w:r>
      <w:r>
        <w:rPr>
          <w:rFonts w:ascii="Times New Roman" w:hAnsi="Times New Roman"/>
          <w:sz w:val="20"/>
        </w:rPr>
        <w:t xml:space="preserve">.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NEW YORK COUNTY, NEW YORK, OR IN THE UNITED STATES DISTRICT COURT FOR THE SOUTHERN DISTRICT OF NEW YORK; (B) CONSENT TO THE JURISDICTION OF EACH SUCH COURT IN ANY SUCH SUIT, ACTION OR PROCEEDING; AND (C) WAIVE ANY OBJECTION WHICH IT OR THEY MAY HAVE TO THE LAYING OF VENUE OF ANY SUCH SUIT, ACTION, OR PROCEEDING IN ANY OF SUCH COURTS. </w:t>
      </w:r>
    </w:p>
    <w:p>
      <w:pPr>
        <w:pStyle w:val="TextBody"/>
        <w:spacing w:before="90" w:after="0"/>
        <w:rPr>
          <w:rFonts w:ascii="Times New Roman" w:hAnsi="Times New Roman"/>
          <w:sz w:val="20"/>
        </w:rPr>
      </w:pPr>
      <w:r>
        <w:rPr>
          <w:rFonts w:ascii="Times New Roman" w:hAnsi="Times New Roman"/>
          <w:sz w:val="20"/>
        </w:rPr>
        <w:t xml:space="preserve">13.14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WRITTEN) OR ACTIONS OF ANY PARTY HERETO. THIS PROVISION IS A MATERIAL INDUCEMENT FOR HOLDER TO MAKE THE LOAN EVIDENCED BY THIS NOTE. </w:t>
      </w:r>
    </w:p>
    <w:p>
      <w:pPr>
        <w:pStyle w:val="TextBody"/>
        <w:spacing w:before="90" w:after="0"/>
        <w:rPr>
          <w:rFonts w:ascii="Times New Roman" w:hAnsi="Times New Roman"/>
          <w:sz w:val="20"/>
        </w:rPr>
      </w:pPr>
      <w:r>
        <w:rPr>
          <w:rFonts w:ascii="Times New Roman" w:hAnsi="Times New Roman"/>
          <w:sz w:val="20"/>
        </w:rPr>
        <w:t xml:space="preserve">3.15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1"/>
        <w:gridCol w:w="60"/>
        <w:gridCol w:w="3691"/>
      </w:tblGrid>
      <w:tr>
        <w:trPr/>
        <w:tc>
          <w:tcPr>
            <w:tcW w:w="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2"/>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1"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 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TextBody"/>
        <w:spacing w:before="0" w:after="0"/>
        <w:jc w:val="right"/>
        <w:rPr>
          <w:rFonts w:ascii="Times New Roman" w:hAnsi="Times New Roman"/>
          <w:b/>
          <w:sz w:val="20"/>
        </w:rPr>
      </w:pPr>
      <w:bookmarkStart w:id="33" w:name="dex1024.htm"/>
      <w:bookmarkStart w:id="34" w:name="ksdex1024"/>
      <w:bookmarkEnd w:id="33"/>
      <w:bookmarkEnd w:id="34"/>
      <w:r>
        <w:rPr>
          <w:rFonts w:ascii="Times New Roman" w:hAnsi="Times New Roman"/>
          <w:b/>
          <w:sz w:val="20"/>
        </w:rPr>
        <w:t xml:space="preserve">EXHIBIT 10.24 </w:t>
      </w:r>
    </w:p>
    <w:p>
      <w:pPr>
        <w:pStyle w:val="TextBody"/>
        <w:spacing w:before="180" w:after="0"/>
        <w:rPr>
          <w:rFonts w:ascii="Times New Roman" w:hAnsi="Times New Roman"/>
          <w:sz w:val="20"/>
        </w:rPr>
      </w:pPr>
      <w:r>
        <w:rPr>
          <w:rFonts w:ascii="Times New Roman" w:hAnsi="Times New Roman"/>
          <w:sz w:val="20"/>
        </w:rPr>
        <w:t xml:space="preserve">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 </w:t>
      </w:r>
    </w:p>
    <w:p>
      <w:pPr>
        <w:pStyle w:val="TextBody"/>
        <w:spacing w:before="180" w:after="0"/>
        <w:rPr>
          <w:rFonts w:ascii="Times New Roman" w:hAnsi="Times New Roman"/>
          <w:b/>
          <w:sz w:val="20"/>
        </w:rPr>
      </w:pPr>
      <w:r>
        <w:rPr>
          <w:rFonts w:ascii="Times New Roman" w:hAnsi="Times New Roman"/>
          <w:b/>
          <w:sz w:val="20"/>
        </w:rPr>
        <w:t xml:space="preserve">Notwithstanding anything herein to the contrary, (i) the obligations evidenced by this Third Amended and Restated Replacement Promissory Note are subordinated to the prior payment in full of the Senior Obligations (as defined in the Subordination Agreement hereinafter referred to) pursuant to, and to the extent provided in the Subordination Agreement, dated as of February 6, 2006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Third Amended and Restated Replacement Promissory Note, the terms of the Subordination Agreement shall govern.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THIRD AMENDED AND RESTATED REPLACEMENT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PROMISSORY NOTE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sz w:val="20"/>
              </w:rPr>
            </w:pPr>
            <w:r>
              <w:rPr>
                <w:rFonts w:ascii="Times New Roman" w:hAnsi="Times New Roman"/>
                <w:sz w:val="20"/>
              </w:rPr>
              <w:t>$500,000</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February 6, 2006</w:t>
            </w:r>
          </w:p>
        </w:tc>
      </w:tr>
    </w:tbl>
    <w:p>
      <w:pPr>
        <w:pStyle w:val="TextBody"/>
        <w:spacing w:before="180" w:after="0"/>
        <w:rPr>
          <w:rFonts w:ascii="Times New Roman" w:hAnsi="Times New Roman"/>
          <w:sz w:val="20"/>
        </w:rPr>
      </w:pPr>
      <w:r>
        <w:rPr>
          <w:rFonts w:ascii="Times New Roman" w:hAnsi="Times New Roman"/>
          <w:sz w:val="20"/>
        </w:rPr>
        <w:t xml:space="preserve">WHEREAS, ICS Trustee Services Ltd. has prior to this date advanced $500,000 (the Advance) to CECO Environmental Corp. </w:t>
      </w:r>
    </w:p>
    <w:p>
      <w:pPr>
        <w:pStyle w:val="TextBody"/>
        <w:spacing w:before="180" w:after="0"/>
        <w:rPr>
          <w:rFonts w:ascii="Times New Roman" w:hAnsi="Times New Roman"/>
          <w:sz w:val="20"/>
        </w:rPr>
      </w:pPr>
      <w:r>
        <w:rPr>
          <w:rFonts w:ascii="Times New Roman" w:hAnsi="Times New Roman"/>
          <w:sz w:val="20"/>
        </w:rPr>
        <w:t xml:space="preserve">WHEREAS, the terms of the Advance are set forth in a Second Amended and Restated Replacement Promissory Note dated May 28, 2002 (the Prior Note), which Prior Note shall be cancelled and replaced by this Third Amended and Restated Replacement Promissory Note. </w:t>
      </w:r>
    </w:p>
    <w:p>
      <w:pPr>
        <w:pStyle w:val="TextBody"/>
        <w:spacing w:before="180" w:after="0"/>
        <w:rPr>
          <w:rFonts w:ascii="Times New Roman" w:hAnsi="Times New Roman"/>
          <w:sz w:val="20"/>
        </w:rPr>
      </w:pPr>
      <w:r>
        <w:rPr>
          <w:rFonts w:ascii="Times New Roman" w:hAnsi="Times New Roman"/>
          <w:sz w:val="20"/>
        </w:rPr>
        <w:t xml:space="preserve">WHEREAS, ICS Trustee Services Ltd. has agreed to amend and restate the Prior Note and replace the Prior Note with this Note to extend the maturity date under the Prior Note and subordinate the amounts due thereunder to a new credit facility upon the terms set forth herein.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ICS Trustee Services Ltd. or registered assigns (Holder), the principal sum of FIVE HUNDRED THOUSAND DOLLARS ($500,000.00) on the Maturity Date, as defined in Section 1 below. This Note is part of a series of Notes of like tenor and effect to this Note in the original aggregate principal amount of $5,000,000 issued in connection with a mezzanine financing by the Company (the 1999 Subordinated Notes).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upon the earlier to occur of the following events (the Maturity Date): (i) April 1, 2007;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twelve percent (12%) per annum from the date of the original Advance. Accrued Interest shall be due and payable on June 30 and December 31 of each year.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w:t>
      </w:r>
    </w:p>
    <w:p>
      <w:pPr>
        <w:pStyle w:val="TextBody"/>
        <w:spacing w:before="18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13.5, then to interest and the remainder to principal.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any Note is surrendered at said office or at the place of payment named in the Note for registration of transfer or exchange (accompanied in the case of registration of transfer or exchange by a written instrument of transfer in form satisfactory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Company duly executed by or on behalf of the holder), the Company, at its expense, will deliver in exchange one or more new Notes in denominations of $10,000 or larger multiples of $1,000, as requested by the holder for the aggregate unpaid principal amount. Any Note or Notes issued in a transfer or exchange shall carry the same rights to increase Notes surrendered. The Holder agrees that prior to making any sale, transfer, pledge, assignment, hypothecation, or other disposition (each, a Transfer) of the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to the holder, in form and substance satisfactory to the Company) that the proposed Transfer complies with applicable federal and state securities laws. The Company shall have no obligation to Transfer any Notes unless the holder thereof has complied with the foregoing provisions, and any such attempted Transfer shall be null and void.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any Note is registered as the owner and holder of such Note for the purpose of receiving payment of principal of, and interest on, such Note and for all other purposes. </w:t>
      </w:r>
    </w:p>
    <w:p>
      <w:pPr>
        <w:pStyle w:val="TextBody"/>
        <w:spacing w:before="27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6.1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100% of the face value of the Note at any time; provided, however, that if the Company intends to prepay any one or more of the 1999 Subordinated Notes in part, it shall prepay the same percentage of each outstanding 1999 Subordinated Note. The Company shall, at the time of any such prepayment, pay to the holder of this Note all interest accrued and unpaid to the Prepayment Date (defined below). Notwithstanding the foregoing, once a notice of the Closing of a Sale Transaction pursuant to Section 13.4 has been sent to the Holder, the Company may not prepay this Note prior to the Closing of a Sale Transaction, or until the Sale Transaction has been formally abandoned. </w:t>
      </w:r>
    </w:p>
    <w:p>
      <w:pPr>
        <w:pStyle w:val="TextBody"/>
        <w:spacing w:before="90" w:after="0"/>
        <w:rPr>
          <w:rFonts w:ascii="Times New Roman" w:hAnsi="Times New Roman"/>
          <w:sz w:val="20"/>
        </w:rPr>
      </w:pPr>
      <w:r>
        <w:rPr>
          <w:rFonts w:ascii="Times New Roman" w:hAnsi="Times New Roman"/>
          <w:sz w:val="20"/>
        </w:rPr>
        <w:t xml:space="preserve">6.2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the Notes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the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of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6.3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27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Warrant Coverage</w:t>
      </w:r>
      <w:r>
        <w:rPr>
          <w:rFonts w:ascii="Times New Roman" w:hAnsi="Times New Roman"/>
          <w:sz w:val="20"/>
        </w:rPr>
        <w:t xml:space="preserve">. Intentionally Omitted.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29,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February 6, 2006 (as amended, restated, supplemented or modified from time to time, the Subordination Agreement) in favor of Fifth Third Bank (together with its successors and assigns, and the other holders, if any, of the Senior Obligations identified therein).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Repayment of Notes</w:t>
      </w:r>
      <w:r>
        <w:rPr>
          <w:rFonts w:ascii="Times New Roman" w:hAnsi="Times New Roman"/>
          <w:sz w:val="20"/>
        </w:rPr>
        <w:t xml:space="preserve">.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 provided such prepayment shall be made proportionately among the 1999 Subordinated Notes until the 1999 Subordinated Notes are paid in full.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Holders of a majority of the aggregate principal amount outstanding of the 1999 Subordinated Notes (Majority Holders): </w:t>
      </w:r>
    </w:p>
    <w:p>
      <w:pPr>
        <w:pStyle w:val="TextBody"/>
        <w:spacing w:before="90" w:after="0"/>
        <w:rPr>
          <w:rFonts w:ascii="Times New Roman" w:hAnsi="Times New Roman"/>
          <w:sz w:val="20"/>
        </w:rPr>
      </w:pPr>
      <w:r>
        <w:rPr>
          <w:rFonts w:ascii="Times New Roman" w:hAnsi="Times New Roman"/>
          <w:sz w:val="20"/>
        </w:rPr>
        <w:t xml:space="preserve">10.1 Obtain or incur any indebtedness or other monetary obligations that are senior to or on parity with the Notes, other than the Superior Debt. </w:t>
      </w:r>
    </w:p>
    <w:p>
      <w:pPr>
        <w:pStyle w:val="TextBody"/>
        <w:spacing w:before="90" w:after="0"/>
        <w:rPr>
          <w:rFonts w:ascii="Times New Roman" w:hAnsi="Times New Roman"/>
          <w:sz w:val="20"/>
        </w:rPr>
      </w:pPr>
      <w:r>
        <w:rPr>
          <w:rFonts w:ascii="Times New Roman" w:hAnsi="Times New Roman"/>
          <w:sz w:val="20"/>
        </w:rPr>
        <w:t xml:space="preserve">10.2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90" w:after="0"/>
        <w:rPr>
          <w:rFonts w:ascii="Times New Roman" w:hAnsi="Times New Roman"/>
          <w:sz w:val="20"/>
        </w:rPr>
      </w:pPr>
      <w:r>
        <w:rPr>
          <w:rFonts w:ascii="Times New Roman" w:hAnsi="Times New Roman"/>
          <w:sz w:val="20"/>
        </w:rPr>
        <w:t xml:space="preserve">10.3 Enter into any arrangement or agreement involving the merger or consolidation of the Company. </w:t>
      </w:r>
    </w:p>
    <w:p>
      <w:pPr>
        <w:pStyle w:val="TextBody"/>
        <w:spacing w:before="90" w:after="0"/>
        <w:rPr>
          <w:rFonts w:ascii="Times New Roman" w:hAnsi="Times New Roman"/>
          <w:sz w:val="20"/>
        </w:rPr>
      </w:pPr>
      <w:r>
        <w:rPr>
          <w:rFonts w:ascii="Times New Roman" w:hAnsi="Times New Roman"/>
          <w:sz w:val="20"/>
        </w:rPr>
        <w:t xml:space="preserve">10.4 Use the proceeds from the sale of the 1999 Subordinated Notes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Events of Default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9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9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or the Warrant Agreement; </w:t>
      </w:r>
    </w:p>
    <w:p>
      <w:pPr>
        <w:pStyle w:val="TextBody"/>
        <w:spacing w:before="9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9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90" w:after="0"/>
        <w:rPr>
          <w:rFonts w:ascii="Times New Roman" w:hAnsi="Times New Roman"/>
          <w:sz w:val="20"/>
        </w:rPr>
      </w:pPr>
      <w:r>
        <w:rPr>
          <w:rFonts w:ascii="Times New Roman" w:hAnsi="Times New Roman"/>
          <w:sz w:val="20"/>
        </w:rPr>
        <w:t xml:space="preserve">(e) if the Companys business shall fail, as determined in good faith by the Majority Holders and evidenced by the Companys inability to pay its ongoing debts as such debts become due. </w:t>
      </w:r>
    </w:p>
    <w:p>
      <w:pPr>
        <w:pStyle w:val="TextBody"/>
        <w:spacing w:before="9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the Notes shall automatically become immediately due and payable, without presentment, demand, protest or other requirements of any kind, all of which are hereby expressly waived by the Company.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Common Stock issuable upon the exercise of the Warrants (collectively, the Securities), the Holder hereby represents and warrants to the Company as follows: </w:t>
      </w:r>
    </w:p>
    <w:p>
      <w:pPr>
        <w:pStyle w:val="TextBody"/>
        <w:spacing w:before="90" w:after="0"/>
        <w:rPr>
          <w:rFonts w:ascii="Times New Roman" w:hAnsi="Times New Roman"/>
          <w:sz w:val="20"/>
        </w:rPr>
      </w:pPr>
      <w:r>
        <w:rPr>
          <w:rFonts w:ascii="Times New Roman" w:hAnsi="Times New Roman"/>
          <w:sz w:val="20"/>
        </w:rPr>
        <w:t xml:space="preserve">12.1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w:t>
      </w:r>
      <w:r>
        <w:rPr>
          <w:rFonts w:ascii="Times New Roman" w:hAnsi="Times New Roman"/>
          <w:sz w:val="20"/>
        </w:rPr>
        <w:t xml:space="preserve">. The Holder is acquiring the Securities for investment for its own account, not as a nominee or agent, and not with the view to, or for resale in connection with, any distribution thereof. The Holder understands that the Securities have not been, and will not be, registered under the Securities Act of 1933, as amended (Securities Act), by reason of a specific exemption from the registration provisions of the Securities Act, the availability of which depends upon, among other things, the bona fide nature of the investment intent and the accuracy of the Holders representations as expressed herein. The holder is an accredited investor within the meaning of Regulation D, Section 501(a), promulgated by the Securities and Exchange Commission. </w:t>
      </w:r>
    </w:p>
    <w:p>
      <w:pPr>
        <w:pStyle w:val="TextBody"/>
        <w:spacing w:before="90" w:after="0"/>
        <w:rPr>
          <w:rFonts w:ascii="Times New Roman" w:hAnsi="Times New Roman"/>
          <w:sz w:val="20"/>
        </w:rPr>
      </w:pPr>
      <w:r>
        <w:rPr>
          <w:rFonts w:ascii="Times New Roman" w:hAnsi="Times New Roman"/>
          <w:sz w:val="20"/>
        </w:rPr>
        <w:t xml:space="preserve">12.3 </w:t>
      </w:r>
      <w:r>
        <w:rPr>
          <w:rFonts w:ascii="Times New Roman" w:hAnsi="Times New Roman"/>
          <w:sz w:val="20"/>
          <w:u w:val="single"/>
        </w:rPr>
        <w:t>Rule 144</w:t>
      </w:r>
      <w:r>
        <w:rPr>
          <w:rFonts w:ascii="Times New Roman" w:hAnsi="Times New Roman"/>
          <w:sz w:val="20"/>
        </w:rPr>
        <w:t xml:space="preserve">. The Holder acknowledges that the Securities must be held indefinitely unless subsequently registered under the Securities Act, or unless an exemption from such registration is available. The Holder understands that at this time the Company is not under any obligation to register any of the Securities. The Holder is aware of the provisions of Rule 144 promulgated under the Securities Act that permit limited resale of securities purchased in a private placement subject to satisfaction of certain conditions. </w:t>
      </w:r>
    </w:p>
    <w:p>
      <w:pPr>
        <w:pStyle w:val="TextBody"/>
        <w:spacing w:before="90" w:after="0"/>
        <w:rPr>
          <w:rFonts w:ascii="Times New Roman" w:hAnsi="Times New Roman"/>
          <w:sz w:val="20"/>
        </w:rPr>
      </w:pPr>
      <w:r>
        <w:rPr>
          <w:rFonts w:ascii="Times New Roman" w:hAnsi="Times New Roman"/>
          <w:sz w:val="20"/>
        </w:rPr>
        <w:t xml:space="preserve">12.4 </w:t>
      </w:r>
      <w:r>
        <w:rPr>
          <w:rFonts w:ascii="Times New Roman" w:hAnsi="Times New Roman"/>
          <w:sz w:val="20"/>
          <w:u w:val="single"/>
        </w:rPr>
        <w:t>No Public Market</w:t>
      </w:r>
      <w:r>
        <w:rPr>
          <w:rFonts w:ascii="Times New Roman" w:hAnsi="Times New Roman"/>
          <w:sz w:val="20"/>
        </w:rPr>
        <w:t xml:space="preserve">. The Holder understands that no public market now exists for any of the Securities issued by the Company and that the Company has made no assurances that a public market will ever exist for the Securities. </w:t>
      </w:r>
    </w:p>
    <w:p>
      <w:pPr>
        <w:pStyle w:val="TextBody"/>
        <w:spacing w:before="90" w:after="0"/>
        <w:rPr>
          <w:rFonts w:ascii="Times New Roman" w:hAnsi="Times New Roman"/>
          <w:sz w:val="20"/>
        </w:rPr>
      </w:pPr>
      <w:r>
        <w:rPr>
          <w:rFonts w:ascii="Times New Roman" w:hAnsi="Times New Roman"/>
          <w:sz w:val="20"/>
        </w:rPr>
        <w:t xml:space="preserve">12.5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27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13.1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90" w:after="0"/>
        <w:rPr>
          <w:rFonts w:ascii="Times New Roman" w:hAnsi="Times New Roman"/>
          <w:sz w:val="20"/>
        </w:rPr>
      </w:pPr>
      <w:r>
        <w:rPr>
          <w:rFonts w:ascii="Times New Roman" w:hAnsi="Times New Roman"/>
          <w:sz w:val="20"/>
        </w:rPr>
        <w:t xml:space="preserve">13.2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90" w:after="0"/>
        <w:rPr>
          <w:rFonts w:ascii="Times New Roman" w:hAnsi="Times New Roman"/>
          <w:sz w:val="20"/>
        </w:rPr>
      </w:pPr>
      <w:r>
        <w:rPr>
          <w:rFonts w:ascii="Times New Roman" w:hAnsi="Times New Roman"/>
          <w:sz w:val="20"/>
        </w:rPr>
        <w:t xml:space="preserve">13.3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633"/>
        <w:gridCol w:w="121"/>
        <w:gridCol w:w="6818"/>
      </w:tblGrid>
      <w:tr>
        <w:trPr/>
        <w:tc>
          <w:tcPr>
            <w:tcW w:w="16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818" w:type="dxa"/>
            <w:tcBorders/>
            <w:shd w:fill="auto" w:val="clear"/>
            <w:vAlign w:val="center"/>
          </w:tcPr>
          <w:p>
            <w:pPr>
              <w:pStyle w:val="TableContents"/>
              <w:spacing w:before="0" w:after="283"/>
              <w:rPr>
                <w:sz w:val="4"/>
                <w:szCs w:val="4"/>
              </w:rPr>
            </w:pPr>
            <w:r>
              <w:rPr>
                <w:sz w:val="4"/>
                <w:szCs w:val="4"/>
              </w:rPr>
            </w:r>
          </w:p>
        </w:tc>
      </w:tr>
      <w:tr>
        <w:trPr/>
        <w:tc>
          <w:tcPr>
            <w:tcW w:w="1633"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63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8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Dennis W. Blazer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t>
      </w:r>
    </w:p>
    <w:p>
      <w:pPr>
        <w:pStyle w:val="TextBody"/>
        <w:spacing w:before="90" w:after="0"/>
        <w:rPr>
          <w:rFonts w:ascii="Times New Roman" w:hAnsi="Times New Roman"/>
          <w:sz w:val="20"/>
        </w:rPr>
      </w:pPr>
      <w:r>
        <w:rPr>
          <w:rFonts w:ascii="Times New Roman" w:hAnsi="Times New Roman"/>
          <w:sz w:val="20"/>
        </w:rPr>
        <w:t xml:space="preserve">13.4 </w:t>
      </w:r>
      <w:r>
        <w:rPr>
          <w:rFonts w:ascii="Times New Roman" w:hAnsi="Times New Roman"/>
          <w:sz w:val="20"/>
          <w:u w:val="single"/>
        </w:rPr>
        <w:t>Notice of a Sale Transaction</w:t>
      </w:r>
      <w:r>
        <w:rPr>
          <w:rFonts w:ascii="Times New Roman" w:hAnsi="Times New Roman"/>
          <w:sz w:val="20"/>
        </w:rPr>
        <w:t xml:space="preserve">. The Company shall give all Holders of Notes notice of the Closing of a Sale Transaction at least thirty (30) days prior to such Closing. </w:t>
      </w:r>
    </w:p>
    <w:p>
      <w:pPr>
        <w:pStyle w:val="TextBody"/>
        <w:spacing w:before="90" w:after="0"/>
        <w:rPr>
          <w:rFonts w:ascii="Times New Roman" w:hAnsi="Times New Roman"/>
          <w:sz w:val="20"/>
        </w:rPr>
      </w:pPr>
      <w:r>
        <w:rPr>
          <w:rFonts w:ascii="Times New Roman" w:hAnsi="Times New Roman"/>
          <w:sz w:val="20"/>
        </w:rPr>
        <w:t xml:space="preserve">13.5 </w:t>
      </w:r>
      <w:r>
        <w:rPr>
          <w:rFonts w:ascii="Times New Roman" w:hAnsi="Times New Roman"/>
          <w:sz w:val="20"/>
          <w:u w:val="single"/>
        </w:rPr>
        <w:t>Collection</w:t>
      </w:r>
      <w:r>
        <w:rPr>
          <w:rFonts w:ascii="Times New Roman" w:hAnsi="Times New Roman"/>
          <w:sz w:val="20"/>
        </w:rPr>
        <w:t xml:space="preserve">. If the indebtedness represented by the Note or any part thereof is collected at law or in equity or in bankruptcy, receivership or other judicial proceedings or if the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90" w:after="0"/>
        <w:rPr>
          <w:rFonts w:ascii="Times New Roman" w:hAnsi="Times New Roman"/>
          <w:sz w:val="20"/>
        </w:rPr>
      </w:pPr>
      <w:r>
        <w:rPr>
          <w:rFonts w:ascii="Times New Roman" w:hAnsi="Times New Roman"/>
          <w:sz w:val="20"/>
        </w:rPr>
        <w:t xml:space="preserve">13.6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90" w:after="0"/>
        <w:rPr>
          <w:rFonts w:ascii="Times New Roman" w:hAnsi="Times New Roman"/>
          <w:sz w:val="20"/>
        </w:rPr>
      </w:pPr>
      <w:r>
        <w:rPr>
          <w:rFonts w:ascii="Times New Roman" w:hAnsi="Times New Roman"/>
          <w:sz w:val="20"/>
        </w:rPr>
        <w:t xml:space="preserve">13.7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90" w:after="0"/>
        <w:rPr>
          <w:rFonts w:ascii="Times New Roman" w:hAnsi="Times New Roman"/>
          <w:sz w:val="20"/>
        </w:rPr>
      </w:pPr>
      <w:r>
        <w:rPr>
          <w:rFonts w:ascii="Times New Roman" w:hAnsi="Times New Roman"/>
          <w:sz w:val="20"/>
        </w:rPr>
        <w:t xml:space="preserve">13.8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90" w:after="0"/>
        <w:rPr>
          <w:rFonts w:ascii="Times New Roman" w:hAnsi="Times New Roman"/>
          <w:sz w:val="20"/>
        </w:rPr>
      </w:pPr>
      <w:r>
        <w:rPr>
          <w:rFonts w:ascii="Times New Roman" w:hAnsi="Times New Roman"/>
          <w:sz w:val="20"/>
        </w:rPr>
        <w:t xml:space="preserve">13.9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13.10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13.11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90" w:after="0"/>
        <w:rPr>
          <w:rFonts w:ascii="Times New Roman" w:hAnsi="Times New Roman"/>
          <w:sz w:val="20"/>
        </w:rPr>
      </w:pPr>
      <w:r>
        <w:rPr>
          <w:rFonts w:ascii="Times New Roman" w:hAnsi="Times New Roman"/>
          <w:sz w:val="20"/>
        </w:rPr>
        <w:t xml:space="preserve">13.12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Promissory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90" w:after="0"/>
        <w:rPr>
          <w:rFonts w:ascii="Times New Roman" w:hAnsi="Times New Roman"/>
          <w:sz w:val="20"/>
        </w:rPr>
      </w:pPr>
      <w:r>
        <w:rPr>
          <w:rFonts w:ascii="Times New Roman" w:hAnsi="Times New Roman"/>
          <w:sz w:val="20"/>
        </w:rPr>
        <w:t xml:space="preserve">13.13 </w:t>
      </w:r>
      <w:r>
        <w:rPr>
          <w:rFonts w:ascii="Times New Roman" w:hAnsi="Times New Roman"/>
          <w:sz w:val="20"/>
          <w:u w:val="single"/>
        </w:rPr>
        <w:t>Submission to Jurisdiction</w:t>
      </w:r>
      <w:r>
        <w:rPr>
          <w:rFonts w:ascii="Times New Roman" w:hAnsi="Times New Roman"/>
          <w:sz w:val="20"/>
        </w:rPr>
        <w:t xml:space="preserve">.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HAMILTON COUNTY, OHIO, OR IN THE UNITED STATES DISTRICT COURT FOR THE SOUTHERN DISTRICT OF OHIO; (B) CONSENT TO THE JURISDICTION OF EACH SUCH COURT IN ANY SUCH SUIT, ACTION OR PROCEEDING; AND (C) WAIVE ANY OBJECTION WHICH IT OR THEY MAY HAVE TO THE LAYING OF VENUE OF ANY SUCH SUIT, ACTION, OR PROCEEDING IN ANY OF SUCH COURTS. </w:t>
      </w:r>
    </w:p>
    <w:p>
      <w:pPr>
        <w:pStyle w:val="TextBody"/>
        <w:spacing w:before="90" w:after="0"/>
        <w:rPr>
          <w:rFonts w:ascii="Times New Roman" w:hAnsi="Times New Roman"/>
          <w:sz w:val="20"/>
        </w:rPr>
      </w:pPr>
      <w:r>
        <w:rPr>
          <w:rFonts w:ascii="Times New Roman" w:hAnsi="Times New Roman"/>
          <w:sz w:val="20"/>
        </w:rPr>
        <w:t xml:space="preserve">13.14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WRITTEN) OR ACTIONS OF ANY PARTY HERETO. THIS PROVISION IS A MATERIAL INDUCEMENT FOR HOLDER TO MAKE THE LOAN EVIDENCED BY THIS NOTE. </w:t>
      </w:r>
    </w:p>
    <w:p>
      <w:pPr>
        <w:pStyle w:val="TextBody"/>
        <w:spacing w:before="90" w:after="0"/>
        <w:rPr>
          <w:rFonts w:ascii="Times New Roman" w:hAnsi="Times New Roman"/>
          <w:sz w:val="20"/>
        </w:rPr>
      </w:pPr>
      <w:r>
        <w:rPr>
          <w:rFonts w:ascii="Times New Roman" w:hAnsi="Times New Roman"/>
          <w:sz w:val="20"/>
        </w:rPr>
        <w:t xml:space="preserve">3.15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708"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 Chief Executive Officer</w:t>
            </w:r>
          </w:p>
        </w:tc>
      </w:tr>
    </w:tbl>
    <w:p>
      <w:pPr>
        <w:pStyle w:val="TextBody"/>
        <w:spacing w:before="0" w:after="0"/>
        <w:jc w:val="right"/>
        <w:rPr>
          <w:rFonts w:ascii="Times New Roman" w:hAnsi="Times New Roman"/>
          <w:b/>
          <w:sz w:val="20"/>
        </w:rPr>
      </w:pPr>
      <w:r>
        <w:br w:type="page"/>
      </w:r>
      <w:bookmarkStart w:id="35" w:name="dex1032.htm"/>
      <w:bookmarkStart w:id="36" w:name="ksdex1032"/>
      <w:bookmarkEnd w:id="35"/>
      <w:bookmarkEnd w:id="36"/>
      <w:r>
        <w:rPr>
          <w:rFonts w:ascii="Times New Roman" w:hAnsi="Times New Roman"/>
          <w:b/>
          <w:sz w:val="20"/>
        </w:rPr>
        <w:t xml:space="preserve">EXHIBIT 10.32 </w:t>
      </w:r>
    </w:p>
    <w:p>
      <w:pPr>
        <w:pStyle w:val="TextBody"/>
        <w:spacing w:before="180" w:after="0"/>
        <w:rPr>
          <w:rFonts w:ascii="Times New Roman" w:hAnsi="Times New Roman"/>
          <w:b/>
          <w:sz w:val="20"/>
        </w:rPr>
      </w:pPr>
      <w:r>
        <w:rPr>
          <w:rFonts w:ascii="Times New Roman" w:hAnsi="Times New Roman"/>
          <w:b/>
          <w:sz w:val="20"/>
        </w:rPr>
        <w:t xml:space="preserve">NOTWITHSTANDING ANYTHING HEREIN TO THE CONTRARY, (I) THE OBLIGATIONS EVIDENCED BY THIS FOURTH AMENDED AND RESTATED REPLACEMENT PROMISSORY NOTE ARE SUBORDINATED TO THE PRIOR PAYMENT IN FULL OF THE SENIOR OBLIGATIONS (AS DEFINED IN THE SUBORDINATION AGREEMENT HEREINAFTER REFERRED TO) PURSUANT TO, AND TO THE EXTENT PROVIDED IN THE SUBORDINATION AGREEMENT, DATED AS OF DECEMBER /29/, 2005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FOURTH AMENDED AND RESTATED REPLACEMENT PROMISSORY NOTE, THE TERMS OF THE SUBORDINATION AGREEMENT SHALL GOVERN. </w:t>
      </w:r>
    </w:p>
    <w:p>
      <w:pPr>
        <w:pStyle w:val="TextBody"/>
        <w:spacing w:before="360" w:after="0"/>
        <w:jc w:val="center"/>
        <w:rPr>
          <w:rFonts w:ascii="Times New Roman" w:hAnsi="Times New Roman"/>
          <w:b/>
          <w:sz w:val="20"/>
        </w:rPr>
      </w:pPr>
      <w:r>
        <w:rPr>
          <w:rFonts w:ascii="Times New Roman" w:hAnsi="Times New Roman"/>
          <w:b/>
          <w:sz w:val="20"/>
          <w:u w:val="single"/>
        </w:rPr>
        <w:t>CECO Environmental Corp</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SECOND AMENDED AND RESTATED REPLACEMENT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PROMISSORY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99"/>
        <w:gridCol w:w="124"/>
        <w:gridCol w:w="4882"/>
      </w:tblGrid>
      <w:tr>
        <w:trPr/>
        <w:tc>
          <w:tcPr>
            <w:tcW w:w="519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882" w:type="dxa"/>
            <w:tcBorders/>
            <w:shd w:fill="auto" w:val="clear"/>
            <w:vAlign w:val="center"/>
          </w:tcPr>
          <w:p>
            <w:pPr>
              <w:pStyle w:val="TableContents"/>
              <w:spacing w:before="0" w:after="283"/>
              <w:rPr>
                <w:sz w:val="4"/>
                <w:szCs w:val="4"/>
              </w:rPr>
            </w:pPr>
            <w:r>
              <w:rPr>
                <w:sz w:val="4"/>
                <w:szCs w:val="4"/>
              </w:rPr>
            </w:r>
          </w:p>
        </w:tc>
      </w:tr>
      <w:tr>
        <w:trPr/>
        <w:tc>
          <w:tcPr>
            <w:tcW w:w="5199" w:type="dxa"/>
            <w:tcBorders/>
            <w:shd w:fill="auto" w:val="clear"/>
          </w:tcPr>
          <w:p>
            <w:pPr>
              <w:pStyle w:val="TableContents"/>
              <w:spacing w:before="0" w:after="283"/>
              <w:rPr>
                <w:rFonts w:ascii="Times New Roman" w:hAnsi="Times New Roman"/>
                <w:sz w:val="20"/>
              </w:rPr>
            </w:pPr>
            <w:r>
              <w:rPr>
                <w:rFonts w:ascii="Times New Roman" w:hAnsi="Times New Roman"/>
                <w:sz w:val="20"/>
              </w:rPr>
              <w:t>$1,290,477</w:t>
            </w:r>
          </w:p>
        </w:tc>
        <w:tc>
          <w:tcPr>
            <w:tcW w:w="124" w:type="dxa"/>
            <w:tcBorders/>
            <w:shd w:fill="auto" w:val="clear"/>
            <w:vAlign w:val="bottom"/>
          </w:tcPr>
          <w:p>
            <w:pPr>
              <w:pStyle w:val="TableContents"/>
              <w:spacing w:before="0" w:after="283"/>
              <w:rPr/>
            </w:pPr>
            <w:r>
              <w:rPr/>
              <w:t>  </w:t>
            </w:r>
          </w:p>
        </w:tc>
        <w:tc>
          <w:tcPr>
            <w:tcW w:w="48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December /29/, 2005</w:t>
            </w:r>
          </w:p>
        </w:tc>
      </w:tr>
    </w:tbl>
    <w:p>
      <w:pPr>
        <w:pStyle w:val="TextBody"/>
        <w:spacing w:before="180" w:after="0"/>
        <w:rPr>
          <w:rFonts w:ascii="Times New Roman" w:hAnsi="Times New Roman"/>
          <w:sz w:val="20"/>
        </w:rPr>
      </w:pPr>
      <w:r>
        <w:rPr>
          <w:rFonts w:ascii="Times New Roman" w:hAnsi="Times New Roman"/>
          <w:sz w:val="20"/>
        </w:rPr>
        <w:t xml:space="preserve">WHEREAS, Can-Med Technology, Inc. d/b/a Green Diamond Oil Corp., an Ontario corporation (Green Diamond) has prior to this date advanced sums to CECO Environmental Corp. (the Company) as evidenced by an Amended and Restated Replacement Promissory Note dated December 30, 2004 (the Prior Note), which Prior Note shall be cancelled and replaced by this Second Amended and Restated Replacement Promissory Note (the Note). </w:t>
      </w:r>
    </w:p>
    <w:p>
      <w:pPr>
        <w:pStyle w:val="TextBody"/>
        <w:spacing w:before="180" w:after="0"/>
        <w:rPr>
          <w:rFonts w:ascii="Times New Roman" w:hAnsi="Times New Roman"/>
          <w:sz w:val="20"/>
        </w:rPr>
      </w:pPr>
      <w:r>
        <w:rPr>
          <w:rFonts w:ascii="Times New Roman" w:hAnsi="Times New Roman"/>
          <w:sz w:val="20"/>
        </w:rPr>
        <w:t xml:space="preserve">WHEREAS, Green Diamond has agreed to amend and restate the Prior Note and replace the Prior Note with this Note to extend the maturity date under the Prior Note and subordinate the amounts due thereunder to a new credit facility upon the terms set forth herein. </w:t>
      </w:r>
    </w:p>
    <w:p>
      <w:pPr>
        <w:pStyle w:val="TextBody"/>
        <w:spacing w:before="18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Green Diamond Oil Corp. or registered assigns (Holder), the principal sum of ONE MILLION TWO HUNDRED NINETY THOUSAND FOUR HUNDRED SEVENTY-SEVEN DOLLARS ($1,290,477.00) on the Maturity Date, as defined in Section 1 below. This Note is subordinate to certain bank financing of the Company further described herein and to a series of promissory notes in the original principal amount of $5,000,000 originally issued on December 2, 1999 and subsequently amended and restated (the December 1999 Notes). The principal amount of the December 1999 Notes has been increased in connection with an amendment and restatement.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upon the earlier to occur of the following events (the Maturity Date): (i) April 1, 2007 or (ii)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six percent (6%) per annum from the date of the Prior Note, December 30, 2004. Accrued interest shall be due and payable on March 31 and September 30 of each year and on the Maturity Date.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(as defined herein).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Companys office in Toronto, Ontario, or such other place as the Holder hereof shall designate to the Company in writing, in lawful money of the United States of America. So long as no Event of Default has occurred in this Note, all payments hereunder shall first be applied to interest, then to principal. Upon the occurrence of an Event of Default in this Note, all payments hereunder shall first be applied to costs pursuant to Section 10.5, then to interest and the remainder to principal.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this Note is registered as the owner and holder of such Note for the purpose of receiving payment of principal of, and interest on, this Note and for all other purposes.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Prepayment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5.1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Company shall, at the time of any such prepayment, pay to the holder of this Note all interest accrued and unpaid to the Prepayment Date (defined below). Notwithstanding the foregoing, once a notice of the Closing of a Sale Transaction pursuant to Section 10.4 has been sent to the Holder, the Company may not prepay this Note prior to the Closing of a Sale Transaction, or until the Sale Transaction has been formally abandoned. </w:t>
      </w:r>
    </w:p>
    <w:p>
      <w:pPr>
        <w:pStyle w:val="TextBody"/>
        <w:spacing w:before="90" w:after="0"/>
        <w:rPr>
          <w:rFonts w:ascii="Times New Roman" w:hAnsi="Times New Roman"/>
          <w:sz w:val="20"/>
        </w:rPr>
      </w:pPr>
      <w:r>
        <w:rPr>
          <w:rFonts w:ascii="Times New Roman" w:hAnsi="Times New Roman"/>
          <w:sz w:val="20"/>
        </w:rPr>
        <w:t xml:space="preserve">5.2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this Note of the election of the Company to prepay all or a specified portion of the principal amount of the Note (the Prepayment Notice.). The Prepayment Notice shall specify the date upon (Prepayment Date) 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90" w:after="0"/>
        <w:rPr>
          <w:rFonts w:ascii="Times New Roman" w:hAnsi="Times New Roman"/>
          <w:sz w:val="20"/>
        </w:rPr>
      </w:pPr>
      <w:r>
        <w:rPr>
          <w:rFonts w:ascii="Times New Roman" w:hAnsi="Times New Roman"/>
          <w:sz w:val="20"/>
        </w:rPr>
        <w:t xml:space="preserve">5.3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w:t>
      </w:r>
      <w:r>
        <w:rPr>
          <w:rFonts w:ascii="Times New Roman" w:hAnsi="Times New Roman"/>
          <w:sz w:val="20"/>
          <w:u w:val="single"/>
        </w:rPr>
        <w:t>    </w:t>
      </w:r>
      <w:r>
        <w:rPr>
          <w:rFonts w:ascii="Times New Roman" w:hAnsi="Times New Roman"/>
          <w:sz w:val="20"/>
        </w:rPr>
        <w:t xml:space="preserve">,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December </w:t>
      </w:r>
      <w:r>
        <w:rPr>
          <w:rFonts w:ascii="Times New Roman" w:hAnsi="Times New Roman"/>
          <w:sz w:val="20"/>
          <w:u w:val="single"/>
        </w:rPr>
        <w:t>    </w:t>
      </w:r>
      <w:r>
        <w:rPr>
          <w:rFonts w:ascii="Times New Roman" w:hAnsi="Times New Roman"/>
          <w:sz w:val="20"/>
        </w:rPr>
        <w:t xml:space="preserve">, 2005 (as amended, restated, supplemented or modified from time to time, the Subordination Agreement) in favor of Fifth Third Bank (together with its successors and assigns, and the other holders, if any, of the Senior Obligations identified therein). This Note also is subordinate to the December 1999 Notes, and no payments of principal or interest shall be made under this Note, if an Event of Default (as defined in the December 1999 Notes) is existing under any of the December 1999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 </w:t>
      </w:r>
    </w:p>
    <w:p>
      <w:pPr>
        <w:pStyle w:val="TextBody"/>
        <w:spacing w:before="90" w:after="0"/>
        <w:rPr>
          <w:rFonts w:ascii="Times New Roman" w:hAnsi="Times New Roman"/>
          <w:sz w:val="20"/>
        </w:rPr>
      </w:pPr>
      <w:r>
        <w:rPr>
          <w:rFonts w:ascii="Times New Roman" w:hAnsi="Times New Roman"/>
          <w:sz w:val="20"/>
        </w:rPr>
        <w:t xml:space="preserve">7.1 Obtain or incur any indebtedness or other monetary obligations that are senior to or on parity with this Note, other than the Superior Debt and the December 1999 Notes. </w:t>
      </w:r>
    </w:p>
    <w:p>
      <w:pPr>
        <w:pStyle w:val="TextBody"/>
        <w:spacing w:before="90" w:after="0"/>
        <w:rPr>
          <w:rFonts w:ascii="Times New Roman" w:hAnsi="Times New Roman"/>
          <w:sz w:val="20"/>
        </w:rPr>
      </w:pPr>
      <w:r>
        <w:rPr>
          <w:rFonts w:ascii="Times New Roman" w:hAnsi="Times New Roman"/>
          <w:sz w:val="20"/>
        </w:rPr>
        <w:t xml:space="preserve">7.2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90" w:after="0"/>
        <w:rPr>
          <w:rFonts w:ascii="Times New Roman" w:hAnsi="Times New Roman"/>
          <w:sz w:val="20"/>
        </w:rPr>
      </w:pPr>
      <w:r>
        <w:rPr>
          <w:rFonts w:ascii="Times New Roman" w:hAnsi="Times New Roman"/>
          <w:sz w:val="20"/>
        </w:rPr>
        <w:t xml:space="preserve">7.3 Enter into any arrangement or agreement involving the merger or consolidation of the Company. </w:t>
      </w:r>
    </w:p>
    <w:p>
      <w:pPr>
        <w:pStyle w:val="TextBody"/>
        <w:spacing w:before="90" w:after="0"/>
        <w:rPr>
          <w:rFonts w:ascii="Times New Roman" w:hAnsi="Times New Roman"/>
          <w:sz w:val="20"/>
        </w:rPr>
      </w:pPr>
      <w:r>
        <w:rPr>
          <w:rFonts w:ascii="Times New Roman" w:hAnsi="Times New Roman"/>
          <w:sz w:val="20"/>
        </w:rPr>
        <w:t xml:space="preserve">7.4 Use the proceeds from this Note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Events of Default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8.1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6"/>
        <w:gridCol w:w="408"/>
        <w:gridCol w:w="8471"/>
      </w:tblGrid>
      <w:tr>
        <w:trPr/>
        <w:tc>
          <w:tcPr>
            <w:tcW w:w="132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Company fails to pay any amount payable, under this Note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Company breaches any of its representations, warranties or covenants set forth in this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406"/>
        <w:gridCol w:w="8474"/>
      </w:tblGrid>
      <w:tr>
        <w:trPr/>
        <w:tc>
          <w:tcPr>
            <w:tcW w:w="132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84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Companys business shall fail, as determined in good faith by the Holder and evidenced by the Companys inability to pay its ongoing debts as such debts become due. </w:t>
            </w:r>
          </w:p>
        </w:tc>
      </w:tr>
    </w:tbl>
    <w:p>
      <w:pPr>
        <w:pStyle w:val="TextBody"/>
        <w:spacing w:before="90" w:after="0"/>
        <w:rPr>
          <w:rFonts w:ascii="Times New Roman" w:hAnsi="Times New Roman"/>
          <w:sz w:val="20"/>
        </w:rPr>
      </w:pPr>
      <w:r>
        <w:rPr>
          <w:rFonts w:ascii="Times New Roman" w:hAnsi="Times New Roman"/>
          <w:sz w:val="20"/>
        </w:rPr>
        <w:t xml:space="preserve">8.2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this Note shall automatically become immediately due and payable, without presentment, demand, protest or other requirements of any kind, all of which are hereby expressly waived by the Company.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Holder hereby represents and warrants to the Company as follows: </w:t>
      </w:r>
    </w:p>
    <w:p>
      <w:pPr>
        <w:pStyle w:val="TextBody"/>
        <w:spacing w:before="90" w:after="0"/>
        <w:rPr>
          <w:rFonts w:ascii="Times New Roman" w:hAnsi="Times New Roman"/>
          <w:sz w:val="20"/>
        </w:rPr>
      </w:pPr>
      <w:r>
        <w:rPr>
          <w:rFonts w:ascii="Times New Roman" w:hAnsi="Times New Roman"/>
          <w:sz w:val="20"/>
        </w:rPr>
        <w:t xml:space="preserve">9.1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transactions of securities in companies similar to the Company so that it is capable of evaluating the merits and risks of its investment in the Company and has the capacity to protect its own interests. </w:t>
      </w:r>
    </w:p>
    <w:p>
      <w:pPr>
        <w:pStyle w:val="TextBody"/>
        <w:spacing w:before="90" w:after="0"/>
        <w:rPr>
          <w:rFonts w:ascii="Times New Roman" w:hAnsi="Times New Roman"/>
          <w:sz w:val="20"/>
        </w:rPr>
      </w:pPr>
      <w:r>
        <w:rPr>
          <w:rFonts w:ascii="Times New Roman" w:hAnsi="Times New Roman"/>
          <w:sz w:val="20"/>
        </w:rPr>
        <w:t xml:space="preserve">9.2 </w:t>
      </w:r>
      <w:r>
        <w:rPr>
          <w:rFonts w:ascii="Times New Roman" w:hAnsi="Times New Roman"/>
          <w:sz w:val="20"/>
          <w:u w:val="single"/>
        </w:rPr>
        <w:t>Status</w:t>
      </w:r>
      <w:r>
        <w:rPr>
          <w:rFonts w:ascii="Times New Roman" w:hAnsi="Times New Roman"/>
          <w:sz w:val="20"/>
        </w:rPr>
        <w:t xml:space="preserve">. The Holder is an accredited investor within the meaning of Regulation D, Section 501(a), promulgated by the Securities and Exchange Commission, and is acquiring this Note for investment for its own account, not as a nominee or agent, and not with a view to, or for resale or transfer. </w:t>
      </w:r>
    </w:p>
    <w:p>
      <w:pPr>
        <w:pStyle w:val="TextBody"/>
        <w:spacing w:before="90" w:after="0"/>
        <w:rPr>
          <w:rFonts w:ascii="Times New Roman" w:hAnsi="Times New Roman"/>
          <w:sz w:val="20"/>
        </w:rPr>
      </w:pPr>
      <w:r>
        <w:rPr>
          <w:rFonts w:ascii="Times New Roman" w:hAnsi="Times New Roman"/>
          <w:sz w:val="20"/>
        </w:rPr>
        <w:t xml:space="preserve">9.3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10.1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90" w:after="0"/>
        <w:rPr>
          <w:rFonts w:ascii="Times New Roman" w:hAnsi="Times New Roman"/>
          <w:sz w:val="20"/>
        </w:rPr>
      </w:pPr>
      <w:r>
        <w:rPr>
          <w:rFonts w:ascii="Times New Roman" w:hAnsi="Times New Roman"/>
          <w:sz w:val="20"/>
        </w:rPr>
        <w:t xml:space="preserve">10.2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512"/>
        <w:gridCol w:w="261"/>
        <w:gridCol w:w="6799"/>
      </w:tblGrid>
      <w:tr>
        <w:trPr/>
        <w:tc>
          <w:tcPr>
            <w:tcW w:w="151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799" w:type="dxa"/>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Holder:</w:t>
            </w:r>
          </w:p>
        </w:tc>
        <w:tc>
          <w:tcPr>
            <w:tcW w:w="261" w:type="dxa"/>
            <w:tcBorders/>
            <w:shd w:fill="auto" w:val="clear"/>
            <w:vAlign w:val="bottom"/>
          </w:tcPr>
          <w:p>
            <w:pPr>
              <w:pStyle w:val="TableContents"/>
              <w:spacing w:before="0" w:after="283"/>
              <w:rPr/>
            </w:pPr>
            <w:r>
              <w:rPr/>
              <w:t>  </w:t>
            </w:r>
          </w:p>
        </w:tc>
        <w:tc>
          <w:tcPr>
            <w:tcW w:w="6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Green Diamond Corp.</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505 University Avenue, Suite 1400</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Toronto, Ontario M5G 1X3</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Canada</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Attention: Phillip DeZwirek</w:t>
            </w:r>
          </w:p>
        </w:tc>
      </w:tr>
      <w:tr>
        <w:trPr>
          <w:trHeight w:val="240" w:hRule="atLeast"/>
        </w:trPr>
        <w:tc>
          <w:tcPr>
            <w:tcW w:w="1512" w:type="dxa"/>
            <w:tcBorders/>
            <w:shd w:fill="auto" w:val="clear"/>
            <w:vAlign w:val="center"/>
          </w:tcPr>
          <w:p>
            <w:pPr>
              <w:pStyle w:val="TableContents"/>
              <w:spacing w:before="0" w:after="283"/>
              <w:rPr>
                <w:sz w:val="4"/>
                <w:szCs w:val="4"/>
              </w:rPr>
            </w:pPr>
            <w:r>
              <w:rPr>
                <w:sz w:val="4"/>
                <w:szCs w:val="4"/>
              </w:rPr>
            </w:r>
          </w:p>
        </w:tc>
        <w:tc>
          <w:tcPr>
            <w:tcW w:w="7060" w:type="dxa"/>
            <w:gridSpan w:val="2"/>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tcPr>
          <w:p>
            <w:pPr>
              <w:pStyle w:val="TableContents"/>
              <w:spacing w:before="0" w:after="283"/>
              <w:rPr>
                <w:rFonts w:ascii="Times New Roman" w:hAnsi="Times New Roman"/>
                <w:sz w:val="20"/>
              </w:rPr>
            </w:pPr>
            <w:r>
              <w:rPr>
                <w:rFonts w:ascii="Times New Roman" w:hAnsi="Times New Roman"/>
                <w:sz w:val="20"/>
              </w:rPr>
              <w:t>Attention: Dennis W. Blazer</w:t>
            </w:r>
          </w:p>
        </w:tc>
      </w:tr>
    </w:tbl>
    <w:p>
      <w:pPr>
        <w:pStyle w:val="TextBody"/>
        <w:spacing w:before="180" w:after="0"/>
        <w:rPr>
          <w:rFonts w:ascii="Times New Roman" w:hAnsi="Times New Roman"/>
          <w:sz w:val="20"/>
        </w:rPr>
      </w:pPr>
      <w:r>
        <w:rPr>
          <w:rFonts w:ascii="Times New Roman" w:hAnsi="Times New Roman"/>
          <w:sz w:val="20"/>
        </w:rPr>
        <w:t xml:space="preserve">10.4 </w:t>
      </w:r>
      <w:r>
        <w:rPr>
          <w:rFonts w:ascii="Times New Roman" w:hAnsi="Times New Roman"/>
          <w:sz w:val="20"/>
          <w:u w:val="single"/>
        </w:rPr>
        <w:t>Notice of a Sale Transaction</w:t>
      </w:r>
      <w:r>
        <w:rPr>
          <w:rFonts w:ascii="Times New Roman" w:hAnsi="Times New Roman"/>
          <w:sz w:val="20"/>
        </w:rPr>
        <w:t xml:space="preserve">. The Company shall give the Holder of this Note notice of the Closing of a Sale Transaction at least thirty (30) days prior to such Closing. </w:t>
      </w:r>
    </w:p>
    <w:p>
      <w:pPr>
        <w:pStyle w:val="TextBody"/>
        <w:spacing w:before="90" w:after="0"/>
        <w:rPr>
          <w:rFonts w:ascii="Times New Roman" w:hAnsi="Times New Roman"/>
          <w:sz w:val="20"/>
        </w:rPr>
      </w:pPr>
      <w:r>
        <w:rPr>
          <w:rFonts w:ascii="Times New Roman" w:hAnsi="Times New Roman"/>
          <w:sz w:val="20"/>
        </w:rPr>
        <w:t xml:space="preserve">10.5 </w:t>
      </w:r>
      <w:r>
        <w:rPr>
          <w:rFonts w:ascii="Times New Roman" w:hAnsi="Times New Roman"/>
          <w:sz w:val="20"/>
          <w:u w:val="single"/>
        </w:rPr>
        <w:t>Collection.</w:t>
      </w:r>
      <w:r>
        <w:rPr>
          <w:rFonts w:ascii="Times New Roman" w:hAnsi="Times New Roman"/>
          <w:sz w:val="20"/>
        </w:rPr>
        <w:t xml:space="preserve">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90" w:after="0"/>
        <w:rPr>
          <w:rFonts w:ascii="Times New Roman" w:hAnsi="Times New Roman"/>
          <w:sz w:val="20"/>
        </w:rPr>
      </w:pPr>
      <w:r>
        <w:rPr>
          <w:rFonts w:ascii="Times New Roman" w:hAnsi="Times New Roman"/>
          <w:sz w:val="20"/>
        </w:rPr>
        <w:t xml:space="preserve">10.6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90" w:after="0"/>
        <w:rPr>
          <w:rFonts w:ascii="Times New Roman" w:hAnsi="Times New Roman"/>
          <w:sz w:val="20"/>
        </w:rPr>
      </w:pPr>
      <w:r>
        <w:rPr>
          <w:rFonts w:ascii="Times New Roman" w:hAnsi="Times New Roman"/>
          <w:sz w:val="20"/>
        </w:rPr>
        <w:t xml:space="preserve">10.7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of the foregoing (except by the express written release by Holder of any such person), the Company shall be and remain, directly and primarily liable for all sums due under this Note. </w:t>
      </w:r>
    </w:p>
    <w:p>
      <w:pPr>
        <w:pStyle w:val="TextBody"/>
        <w:spacing w:before="90" w:after="0"/>
        <w:rPr>
          <w:rFonts w:ascii="Times New Roman" w:hAnsi="Times New Roman"/>
          <w:sz w:val="20"/>
        </w:rPr>
      </w:pPr>
      <w:r>
        <w:rPr>
          <w:rFonts w:ascii="Times New Roman" w:hAnsi="Times New Roman"/>
          <w:sz w:val="20"/>
        </w:rPr>
        <w:t xml:space="preserve">10.8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90" w:after="0"/>
        <w:rPr>
          <w:rFonts w:ascii="Times New Roman" w:hAnsi="Times New Roman"/>
          <w:sz w:val="20"/>
        </w:rPr>
      </w:pPr>
      <w:r>
        <w:rPr>
          <w:rFonts w:ascii="Times New Roman" w:hAnsi="Times New Roman"/>
          <w:sz w:val="20"/>
        </w:rPr>
        <w:t xml:space="preserve">10.9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90" w:after="0"/>
        <w:rPr>
          <w:rFonts w:ascii="Times New Roman" w:hAnsi="Times New Roman"/>
          <w:sz w:val="20"/>
        </w:rPr>
      </w:pPr>
      <w:r>
        <w:rPr>
          <w:rFonts w:ascii="Times New Roman" w:hAnsi="Times New Roman"/>
          <w:sz w:val="20"/>
        </w:rPr>
        <w:t xml:space="preserve">10.10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10.11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90" w:after="0"/>
        <w:rPr>
          <w:rFonts w:ascii="Times New Roman" w:hAnsi="Times New Roman"/>
          <w:sz w:val="20"/>
        </w:rPr>
      </w:pPr>
      <w:r>
        <w:rPr>
          <w:rFonts w:ascii="Times New Roman" w:hAnsi="Times New Roman"/>
          <w:sz w:val="20"/>
        </w:rPr>
        <w:t xml:space="preserve">10.12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90" w:after="0"/>
        <w:rPr>
          <w:rFonts w:ascii="Times New Roman" w:hAnsi="Times New Roman"/>
          <w:sz w:val="20"/>
        </w:rPr>
      </w:pPr>
      <w:r>
        <w:rPr>
          <w:rFonts w:ascii="Times New Roman" w:hAnsi="Times New Roman"/>
          <w:sz w:val="20"/>
        </w:rPr>
        <w:t xml:space="preserve">10.13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10.14.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18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10"/>
        <w:gridCol w:w="60"/>
        <w:gridCol w:w="3512"/>
      </w:tblGrid>
      <w:tr>
        <w:trPr/>
        <w:tc>
          <w:tcPr>
            <w:tcW w:w="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1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510" w:type="dxa"/>
            <w:tcBorders/>
            <w:shd w:fill="auto" w:val="clear"/>
            <w:vAlign w:val="center"/>
          </w:tcPr>
          <w:p>
            <w:pPr>
              <w:pStyle w:val="TableContents"/>
              <w:spacing w:before="0" w:after="283"/>
              <w:rPr>
                <w:sz w:val="4"/>
                <w:szCs w:val="4"/>
              </w:rPr>
            </w:pPr>
            <w:r>
              <w:rPr>
                <w:sz w:val="4"/>
                <w:szCs w:val="4"/>
              </w:rPr>
            </w:r>
          </w:p>
        </w:tc>
        <w:tc>
          <w:tcPr>
            <w:tcW w:w="3572"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12"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5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rHeight w:val="240" w:hRule="atLeast"/>
        </w:trPr>
        <w:tc>
          <w:tcPr>
            <w:tcW w:w="510" w:type="dxa"/>
            <w:tcBorders/>
            <w:shd w:fill="auto" w:val="clear"/>
            <w:vAlign w:val="center"/>
          </w:tcPr>
          <w:p>
            <w:pPr>
              <w:pStyle w:val="TableContents"/>
              <w:spacing w:before="0" w:after="283"/>
              <w:rPr>
                <w:sz w:val="4"/>
                <w:szCs w:val="4"/>
              </w:rPr>
            </w:pPr>
            <w:r>
              <w:rPr>
                <w:sz w:val="4"/>
                <w:szCs w:val="4"/>
              </w:rPr>
            </w:r>
          </w:p>
        </w:tc>
        <w:tc>
          <w:tcPr>
            <w:tcW w:w="3572"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5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w:t>
            </w:r>
          </w:p>
        </w:tc>
      </w:tr>
      <w:tr>
        <w:trPr/>
        <w:tc>
          <w:tcPr>
            <w:tcW w:w="5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TextBody"/>
        <w:spacing w:before="0" w:after="0"/>
        <w:jc w:val="right"/>
        <w:rPr>
          <w:rFonts w:ascii="Times New Roman" w:hAnsi="Times New Roman"/>
          <w:b/>
          <w:sz w:val="20"/>
        </w:rPr>
      </w:pPr>
      <w:bookmarkStart w:id="37" w:name="dex1033.htm"/>
      <w:bookmarkStart w:id="38" w:name="ksdex1033"/>
      <w:bookmarkEnd w:id="37"/>
      <w:bookmarkEnd w:id="38"/>
      <w:r>
        <w:rPr>
          <w:rFonts w:ascii="Times New Roman" w:hAnsi="Times New Roman"/>
          <w:b/>
          <w:sz w:val="20"/>
        </w:rPr>
        <w:t xml:space="preserve">EXHIBIT 10.33 </w:t>
      </w:r>
    </w:p>
    <w:p>
      <w:pPr>
        <w:pStyle w:val="TextBody"/>
        <w:spacing w:before="180" w:after="0"/>
        <w:rPr>
          <w:rFonts w:ascii="Times New Roman" w:hAnsi="Times New Roman"/>
          <w:sz w:val="20"/>
        </w:rPr>
      </w:pPr>
      <w:r>
        <w:rPr>
          <w:rFonts w:ascii="Times New Roman" w:hAnsi="Times New Roman"/>
          <w:sz w:val="20"/>
        </w:rPr>
        <w:t xml:space="preserve">NEITHER THIS NOTE NOR ANY SECURITIES WHICH MAY BE ISSUED UPON THE EXERCISE OF THE WARRANTS HEREOF HAVE BEEN REGISTERED UNDER THE SECURITIES ACT OF 1933, AS AMENDED, OR REGISTERED OR OTHERWISE QUALIFIED UNDER ANY STATE SECURITIES LAW. NEITHER THIS NOTE NOR ANY SUCH SECURITIES MAY BE SOLD OR OFFERED FOR SALE IN THE ABSENCE OF AN EFFECTIVE REGISTRATION STATEMENT UNDER SAID ACT AND REGISTRATION OR OTHER QUALIFICATION UNDER ANY APPLICABLE STATE SECURITIES LAWS, OR AN OPINION OF COUNSEL SATISFACTORY TO THE COMPANY THAT SUCH REGISTRATION OR OTHER QUALIFICATION IS NOT REQUIRED. </w:t>
      </w:r>
    </w:p>
    <w:p>
      <w:pPr>
        <w:pStyle w:val="TextBody"/>
        <w:spacing w:before="180" w:after="0"/>
        <w:rPr>
          <w:rFonts w:ascii="Times New Roman" w:hAnsi="Times New Roman"/>
          <w:b/>
          <w:sz w:val="20"/>
        </w:rPr>
      </w:pPr>
      <w:r>
        <w:rPr>
          <w:rFonts w:ascii="Times New Roman" w:hAnsi="Times New Roman"/>
          <w:b/>
          <w:sz w:val="20"/>
        </w:rPr>
        <w:t xml:space="preserve">Notwithstanding anything herein to the contrary, (i) the obligations evidenced by this Fourth Amended and Restated Replacement Promissory Note are subordinated to the prior payment in full of the Senior Obligations (as defined in the Subordination Agreement hereinafter referred to) pursuant to, and to the extent provided in the Subordination Agreement, dated as of December /29/, 2005 (as amended, restated, supplemented or modified from time to time, the Subordination Agreement) in favor of Fifth Third Bank (together with its successors and assigns, and the other holders, if any, of the Senior Obligations identified therein, the Senior Lender) and (ii) the rights of the holder of this Note hereunder are subject to the limitations and provisions of the Subordination Agreement. In the event of any conflict between the terms of the Subordination Agreement and the terms of this Fourth Amended and Restated Replacement Promissory Note, the terms of the Subordination Agreement shall govern.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FOURTH AMENDED AND RESTATED REPLACEMENT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PROMISSORY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3"/>
        <w:gridCol w:w="4898"/>
      </w:tblGrid>
      <w:tr>
        <w:trPr/>
        <w:tc>
          <w:tcPr>
            <w:tcW w:w="51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sz w:val="20"/>
              </w:rPr>
            </w:pPr>
            <w:r>
              <w:rPr>
                <w:rFonts w:ascii="Times New Roman" w:hAnsi="Times New Roman"/>
                <w:sz w:val="20"/>
              </w:rPr>
              <w:t>$5,441,315</w:t>
            </w:r>
          </w:p>
        </w:tc>
        <w:tc>
          <w:tcPr>
            <w:tcW w:w="20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December /29/, 2005</w:t>
            </w:r>
          </w:p>
        </w:tc>
      </w:tr>
    </w:tbl>
    <w:p>
      <w:pPr>
        <w:pStyle w:val="TextBody"/>
        <w:spacing w:before="180" w:after="0"/>
        <w:rPr>
          <w:rFonts w:ascii="Times New Roman" w:hAnsi="Times New Roman"/>
          <w:sz w:val="20"/>
        </w:rPr>
      </w:pPr>
      <w:r>
        <w:rPr>
          <w:rFonts w:ascii="Times New Roman" w:hAnsi="Times New Roman"/>
          <w:sz w:val="20"/>
        </w:rPr>
        <w:t xml:space="preserve">WHEREAS, Can-Med Technology, Inc. d/b/a Green Diamond Oil Corp., an Ontario corporation (Green Diamond) has prior to this date advanced sums to CECO Environmental Corp. (the Company) as evidenced by a Third Amended and Restated Replacement Promissory Note dated December 30, 2004 (the Prior Note), which Prior Note shall be cancelled and replaced by this Fourth Amended and Restated Replacement Promissory Note (the Note). </w:t>
      </w:r>
    </w:p>
    <w:p>
      <w:pPr>
        <w:pStyle w:val="TextBody"/>
        <w:spacing w:before="180" w:after="0"/>
        <w:rPr>
          <w:rFonts w:ascii="Times New Roman" w:hAnsi="Times New Roman"/>
          <w:sz w:val="20"/>
        </w:rPr>
      </w:pPr>
      <w:r>
        <w:rPr>
          <w:rFonts w:ascii="Times New Roman" w:hAnsi="Times New Roman"/>
          <w:sz w:val="20"/>
        </w:rPr>
        <w:t xml:space="preserve">WHEREAS, Green Diamond has agreed to amend and restate the Prior Note and replace the Prior Note with this Note to extend the maturity date under the Prior Note and subordinate the amounts due thereunder to a new credit facility upon the terms set forth herein. </w:t>
      </w:r>
    </w:p>
    <w:p>
      <w:pPr>
        <w:pStyle w:val="TextBody"/>
        <w:spacing w:before="18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Green Diamond Oil Corp. or registered assigns (Holder), the principal sum of FIVE MILLION FOUR HUNDRED FORTY-ONE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THOUSAND THREE HUNDRED AND FIFTEEN DOLLARS ($5,441,315) on the Maturity Date, as defined in Section 1 below. This Note is part of a series of Notes of like tenor and effect to this Note in the aggregate original principal amount of $5,000,000, which aggregate principal amount has been increased to $6,441,315, that were originally issued in connection with a mezzanine financing by the Company (the 1999 Subordinated Notes).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upon the earlier to occur of the following events (the Maturity Date): (i) April 1, 2007; (ii) six (6) months after repayment of the Superior Debt (as defined in Section 8 below); or (iii) the closing (any such closing referred to as the Closing) of a Sale Transaction. For purposes of this Note, a Sale Transaction shall mean (i) a merger, consolidation, corporate reorganization, or sale of shares of stock of the Company as a result of which there is a change in control and/or the shareholders of the Company on the date hereof (Current Shareholders) own 50% or less of the outstanding shares of the Company on a fully-diluted basis immediately after the transaction and, including as outstanding for purposes of such calculation, any warrants, options or other instruments convertible or exchangeable into equity securities of the Company issued to persons other than the Current Shareholders in connection with the transaction or (ii) the sale of (A) fifty percent or more of the assets of the Company or (B) any subsidiary, division or line of business of the Company for total consideration in excess of $5 million.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simple compounded rate of twelve percent (12%) per annum from December 30, 2004, the date of the Prior Note. Accrued Interest shall be due and payable on June 30 and December 31 of each year. It shall not be a default hereunder and interest will not accrue on any portion of such interest payments deferred pursuant to the Subordination Agreement (Deferred Interest) so long as the Deferred Interest is paid at the time and in the manner allowed by the Subordination Agreement. In the Event of Default (as defined herein), interest shall accrue on all unpaid amounts due hereunder, including without limitation, interest, at the rate of fifteen percent (15%) per annum. If a judgment is entered against the Company on this Note, the amount of the judgment so entered shall bear interest at the highest rate authorized by law as of the date of the entry of the judgment.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w:t>
      </w:r>
    </w:p>
    <w:p>
      <w:pPr>
        <w:pStyle w:val="TextBody"/>
        <w:spacing w:before="180" w:after="0"/>
        <w:rPr>
          <w:rFonts w:ascii="Times New Roman" w:hAnsi="Times New Roman"/>
          <w:sz w:val="20"/>
        </w:rPr>
      </w:pPr>
      <w:r>
        <w:rPr>
          <w:rFonts w:ascii="Times New Roman" w:hAnsi="Times New Roman"/>
          <w:sz w:val="20"/>
        </w:rPr>
        <w:t xml:space="preserve">So long as no Event of Default has occurred in this Note, all payments hereunder shall first be applied to interest, then to principal. Upon the occurrence of an Event of Default in this Note, all payments hereunder shall first be applied to costs pursuant to Section 12.5, then to interest and the remainder to principal.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this Note is surrendered at said office or at the place of payment named in this Note for registration of transfer or exchange (accompanied in the case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 transfer or exchange shall carry the same rights to increase notes surrendered. The Holder agrees that prior to making any sale, transfer, pledge, assignment, hypothecation, or other disposition (each, a Transfer) of this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in form and substance satisfactory to the Company, that the proposed Transfer complies with applicable federal and state securities laws. The Company shall have no obligation to Transfer this Note unless the Holder thereof has complied with the foregoing provisions, and any such attempted Transfer shall be null and void.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this Note is registered as the owner and holder of such Note for the purpose of receiving payment of principal of, and interest on, such Note and for all other purposes. </w:t>
      </w:r>
    </w:p>
    <w:p>
      <w:pPr>
        <w:pStyle w:val="TextBody"/>
        <w:spacing w:before="27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Prepayment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6.1 </w:t>
      </w:r>
      <w:r>
        <w:rPr>
          <w:rFonts w:ascii="Times New Roman" w:hAnsi="Times New Roman"/>
          <w:sz w:val="20"/>
          <w:u w:val="single"/>
        </w:rPr>
        <w:t>Optional Prepayment</w:t>
      </w:r>
      <w:r>
        <w:rPr>
          <w:rFonts w:ascii="Times New Roman" w:hAnsi="Times New Roman"/>
          <w:sz w:val="20"/>
        </w:rPr>
        <w:t xml:space="preserve">. The Company, at its option and without any premium, may prepay in whole or in part the principal amount of this Note at 100% of the face value of this Note at any time; provided, however, that if the Company intends to prepay any one or more of the 1999 Subordinated Notes in part, it shall prepay the same percentage of each outstanding 1999 Subordinated Note. The Company shall, at the time of any such prepayment, pay to the holder of this Note all interest accrued and unpaid to the Prepayment Date (defined below). Notwithstanding the foregoing, once a notice of the Closing of a Sale Transaction pursuant to Section 12.4 has been sent to the Holder, the Company may not prepay this Note prior to the Closing of a Sale Transaction, or until the Sale Transaction has been formally abandoned. </w:t>
      </w:r>
    </w:p>
    <w:p>
      <w:pPr>
        <w:pStyle w:val="TextBody"/>
        <w:spacing w:before="90" w:after="0"/>
        <w:rPr>
          <w:rFonts w:ascii="Times New Roman" w:hAnsi="Times New Roman"/>
          <w:sz w:val="20"/>
        </w:rPr>
      </w:pPr>
      <w:r>
        <w:rPr>
          <w:rFonts w:ascii="Times New Roman" w:hAnsi="Times New Roman"/>
          <w:sz w:val="20"/>
        </w:rPr>
        <w:t xml:space="preserve">6.2 </w:t>
      </w:r>
      <w:r>
        <w:rPr>
          <w:rFonts w:ascii="Times New Roman" w:hAnsi="Times New Roman"/>
          <w:sz w:val="20"/>
          <w:u w:val="single"/>
        </w:rPr>
        <w:t>Notice of Prepayment</w:t>
      </w:r>
      <w:r>
        <w:rPr>
          <w:rFonts w:ascii="Times New Roman" w:hAnsi="Times New Roman"/>
          <w:sz w:val="20"/>
        </w:rPr>
        <w:t xml:space="preserve">. At least five (5) but not more than fifteen (15) days prior to the date fixed for any prepayment, written notice shall be given to the Holder of this Note of the election of the Company to prepay all or a specified portion of the principal amount of this Note (the Prepayment Notice). The Prepayment Notice shall specify the date upon (Prepayment Date) 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6.3 </w:t>
      </w:r>
      <w:r>
        <w:rPr>
          <w:rFonts w:ascii="Times New Roman" w:hAnsi="Times New Roman"/>
          <w:sz w:val="20"/>
          <w:u w:val="single"/>
        </w:rPr>
        <w:t>Cessation of Rights</w:t>
      </w:r>
      <w:r>
        <w:rPr>
          <w:rFonts w:ascii="Times New Roman" w:hAnsi="Times New Roman"/>
          <w:sz w:val="20"/>
        </w:rPr>
        <w:t xml:space="preserve">. From and after the Prepayment Date, unless there has been a default under the Prepayment Notice, all interest on the redeemed principal amount shall cease to accrue and all rights of Holder as a Holder of this Note shall cease with respect to the principal amount prepaid and, with respect to such amount, this Note thereafter shall not be deemed to be outstanding for any purpose whatsoever. By acceptance of this Note, Holder agrees to execute and deliver such documents as may be reasonably requested from time to time by the Company in order to implement the foregoing provisions of this Section.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Subordination</w:t>
      </w:r>
      <w:r>
        <w:rPr>
          <w:rFonts w:ascii="Times New Roman" w:hAnsi="Times New Roman"/>
          <w:sz w:val="20"/>
        </w:rPr>
        <w:t xml:space="preserve">. The indebtedness evidenced by this Note shall at all times be wholly subordinate and junior in right of payment to all obligations of the Company under or in connection with the Credit Agreement dated December </w:t>
      </w:r>
      <w:r>
        <w:rPr>
          <w:rFonts w:ascii="Times New Roman" w:hAnsi="Times New Roman"/>
          <w:sz w:val="20"/>
          <w:u w:val="single"/>
        </w:rPr>
        <w:t>    </w:t>
      </w:r>
      <w:r>
        <w:rPr>
          <w:rFonts w:ascii="Times New Roman" w:hAnsi="Times New Roman"/>
          <w:sz w:val="20"/>
        </w:rPr>
        <w:t xml:space="preserve">, 2005 (Superior Debt) among the Company, CECO Group Inc., CECO Filters, Inc., New Bush Co., Inc., The Kirk &amp; Blum Manufacturing Company, kbd/Technic, Inc., CECOAire, Inc., CECO Abatement Systems, Inc. and Fifth Third Bank, upon the terms and conditions contained in the Subordination Agreement, dated as of December </w:t>
      </w:r>
      <w:r>
        <w:rPr>
          <w:rFonts w:ascii="Times New Roman" w:hAnsi="Times New Roman"/>
          <w:sz w:val="20"/>
          <w:u w:val="single"/>
        </w:rPr>
        <w:t>    </w:t>
      </w:r>
      <w:r>
        <w:rPr>
          <w:rFonts w:ascii="Times New Roman" w:hAnsi="Times New Roman"/>
          <w:sz w:val="20"/>
        </w:rPr>
        <w:t xml:space="preserve">, 2005 (as amended, restated, supplemented or modified from time to time, the Subordination Agreement) in favor of Fifth Third Bank (together with its successors and assigns, and the other holders, if any, of the Senior Obligations identified therein).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Repayment of Notes</w:t>
      </w:r>
      <w:r>
        <w:rPr>
          <w:rFonts w:ascii="Times New Roman" w:hAnsi="Times New Roman"/>
          <w:sz w:val="20"/>
        </w:rPr>
        <w:t xml:space="preserve">. In the event the Company completes an equity financing or offering or a series of equity financing or offerings for a total consideration in excess of $10,000,000, then twenty-five percent (25%) of all such consideration in excess of $10,000,000 shall be used immediately, upon receipt by the Company, to pre-pay the 1999 Subordinated Notes, provided such prepayment shall be made proportionately among the 1999 Subordinated Notes until the 1999 Subordinated Notes are paid in full.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Covenants of the Company</w:t>
      </w:r>
      <w:r>
        <w:rPr>
          <w:rFonts w:ascii="Times New Roman" w:hAnsi="Times New Roman"/>
          <w:sz w:val="20"/>
        </w:rPr>
        <w:t xml:space="preserve">. The Company covenants and agrees that it shall not, without the prior written approval of the Holders of a majority of the aggregate principal amount outstanding of the 1999 Subordinated Notes (Majority Holders): </w:t>
      </w:r>
    </w:p>
    <w:p>
      <w:pPr>
        <w:pStyle w:val="TextBody"/>
        <w:spacing w:before="90" w:after="0"/>
        <w:rPr>
          <w:rFonts w:ascii="Times New Roman" w:hAnsi="Times New Roman"/>
          <w:sz w:val="20"/>
        </w:rPr>
      </w:pPr>
      <w:r>
        <w:rPr>
          <w:rFonts w:ascii="Times New Roman" w:hAnsi="Times New Roman"/>
          <w:sz w:val="20"/>
        </w:rPr>
        <w:t xml:space="preserve">9.1 Obtain or incur any indebtedness or other monetary obligations that are senior to or on parity with the Notes, other than the Superior Debt. </w:t>
      </w:r>
    </w:p>
    <w:p>
      <w:pPr>
        <w:pStyle w:val="TextBody"/>
        <w:spacing w:before="90" w:after="0"/>
        <w:rPr>
          <w:rFonts w:ascii="Times New Roman" w:hAnsi="Times New Roman"/>
          <w:sz w:val="20"/>
        </w:rPr>
      </w:pPr>
      <w:r>
        <w:rPr>
          <w:rFonts w:ascii="Times New Roman" w:hAnsi="Times New Roman"/>
          <w:sz w:val="20"/>
        </w:rPr>
        <w:t xml:space="preserve">9.2 Allow, suffer or cause to exist any lien, claim, security interest or encumbrance on the Companys property or assets, other than with respect to the Superior Debt and purchase money indebtedness incurred in the ordinary course of business. </w:t>
      </w:r>
    </w:p>
    <w:p>
      <w:pPr>
        <w:pStyle w:val="TextBody"/>
        <w:spacing w:before="90" w:after="0"/>
        <w:rPr>
          <w:rFonts w:ascii="Times New Roman" w:hAnsi="Times New Roman"/>
          <w:sz w:val="20"/>
        </w:rPr>
      </w:pPr>
      <w:r>
        <w:rPr>
          <w:rFonts w:ascii="Times New Roman" w:hAnsi="Times New Roman"/>
          <w:sz w:val="20"/>
        </w:rPr>
        <w:t xml:space="preserve">9.3 Enter into any arrangement or agreement involving the merger or consolidation of the Company. </w:t>
      </w:r>
    </w:p>
    <w:p>
      <w:pPr>
        <w:pStyle w:val="TextBody"/>
        <w:spacing w:before="90" w:after="0"/>
        <w:rPr>
          <w:rFonts w:ascii="Times New Roman" w:hAnsi="Times New Roman"/>
          <w:sz w:val="20"/>
        </w:rPr>
      </w:pPr>
      <w:r>
        <w:rPr>
          <w:rFonts w:ascii="Times New Roman" w:hAnsi="Times New Roman"/>
          <w:sz w:val="20"/>
        </w:rPr>
        <w:t xml:space="preserve">9.4 Use the proceeds from the sale of the 1999 Subordinated Notes other than in the ordinary course of its business for general corporate purposes including lending monies to any of its subsidiaries. The Company also covenants and agrees that it shall operate its business in the ordinary course.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Events of Default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10.1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90" w:after="0"/>
        <w:rPr>
          <w:rFonts w:ascii="Times New Roman" w:hAnsi="Times New Roman"/>
          <w:sz w:val="20"/>
        </w:rPr>
      </w:pPr>
      <w:r>
        <w:rPr>
          <w:rFonts w:ascii="Times New Roman" w:hAnsi="Times New Roman"/>
          <w:sz w:val="20"/>
        </w:rPr>
        <w:t xml:space="preserve">(a) if the Company fails to pay any amount payable, under this Note when due; </w:t>
      </w:r>
    </w:p>
    <w:p>
      <w:pPr>
        <w:pStyle w:val="TextBody"/>
        <w:spacing w:before="9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or the agreement issued to Green Diamond setting forth the terms of the warrants issued in connection with the original issuance of the note representing the debt evidenced by this Note; </w:t>
      </w:r>
    </w:p>
    <w:p>
      <w:pPr>
        <w:pStyle w:val="TextBody"/>
        <w:spacing w:before="90" w:after="0"/>
        <w:rPr>
          <w:rFonts w:ascii="Times New Roman" w:hAnsi="Times New Roman"/>
          <w:sz w:val="20"/>
        </w:rPr>
      </w:pPr>
      <w:r>
        <w:rPr>
          <w:rFonts w:ascii="Times New Roman" w:hAnsi="Times New Roman"/>
          <w:sz w:val="20"/>
        </w:rPr>
        <w:t xml:space="preserve">(c) the commencement of an involuntary case against the Company or its subsidiary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9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90" w:after="0"/>
        <w:rPr>
          <w:rFonts w:ascii="Times New Roman" w:hAnsi="Times New Roman"/>
          <w:sz w:val="20"/>
        </w:rPr>
      </w:pPr>
      <w:r>
        <w:rPr>
          <w:rFonts w:ascii="Times New Roman" w:hAnsi="Times New Roman"/>
          <w:sz w:val="20"/>
        </w:rPr>
        <w:t xml:space="preserve">(e) if the Companys business shall fail, as determined in good faith by the Majority Holders and evidenced by the Companys inability to pay its ongoing debts as such debts become due. </w:t>
      </w:r>
    </w:p>
    <w:p>
      <w:pPr>
        <w:pStyle w:val="TextBody"/>
        <w:spacing w:before="90" w:after="0"/>
        <w:rPr>
          <w:rFonts w:ascii="Times New Roman" w:hAnsi="Times New Roman"/>
          <w:sz w:val="20"/>
        </w:rPr>
      </w:pPr>
      <w:r>
        <w:rPr>
          <w:rFonts w:ascii="Times New Roman" w:hAnsi="Times New Roman"/>
          <w:sz w:val="20"/>
        </w:rPr>
        <w:t xml:space="preserve">10.2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this Note shall automatically become immediately due and payable, without presentment, demand, protest or other requirements of any kind, all of which are hereby expressly waived by the Company.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Holder hereby represents and warrants to the Company as follows: </w:t>
      </w:r>
    </w:p>
    <w:p>
      <w:pPr>
        <w:pStyle w:val="TextBody"/>
        <w:spacing w:before="9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Investment</w:t>
      </w:r>
      <w:r>
        <w:rPr>
          <w:rFonts w:ascii="Times New Roman" w:hAnsi="Times New Roman"/>
          <w:sz w:val="20"/>
        </w:rPr>
        <w:t xml:space="preserve">. The Holder is acquiring the Securities for investment for its own account, not as a nominee or agent, and not with the view to, or for resale in connection with, any distribution thereof. The Holder is an accredited investor within the meaning of Regulation D, Section 501(a), promulgated by the Securities and Exchange Commission. </w:t>
      </w:r>
    </w:p>
    <w:p>
      <w:pPr>
        <w:pStyle w:val="TextBody"/>
        <w:spacing w:before="90" w:after="0"/>
        <w:rPr>
          <w:rFonts w:ascii="Times New Roman" w:hAnsi="Times New Roman"/>
          <w:sz w:val="20"/>
        </w:rPr>
      </w:pPr>
      <w:r>
        <w:rPr>
          <w:rFonts w:ascii="Times New Roman" w:hAnsi="Times New Roman"/>
          <w:sz w:val="20"/>
        </w:rPr>
        <w:t xml:space="preserve">11.3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27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12.1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90" w:after="0"/>
        <w:rPr>
          <w:rFonts w:ascii="Times New Roman" w:hAnsi="Times New Roman"/>
          <w:sz w:val="20"/>
        </w:rPr>
      </w:pPr>
      <w:r>
        <w:rPr>
          <w:rFonts w:ascii="Times New Roman" w:hAnsi="Times New Roman"/>
          <w:sz w:val="20"/>
        </w:rPr>
        <w:t xml:space="preserve">12.2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90" w:after="0"/>
        <w:rPr>
          <w:rFonts w:ascii="Times New Roman" w:hAnsi="Times New Roman"/>
          <w:sz w:val="20"/>
        </w:rPr>
      </w:pPr>
      <w:r>
        <w:rPr>
          <w:rFonts w:ascii="Times New Roman" w:hAnsi="Times New Roman"/>
          <w:sz w:val="20"/>
        </w:rPr>
        <w:t xml:space="preserve">12.3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512"/>
        <w:gridCol w:w="261"/>
        <w:gridCol w:w="6799"/>
      </w:tblGrid>
      <w:tr>
        <w:trPr/>
        <w:tc>
          <w:tcPr>
            <w:tcW w:w="151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799" w:type="dxa"/>
            <w:tcBorders/>
            <w:shd w:fill="auto" w:val="clear"/>
            <w:vAlign w:val="center"/>
          </w:tcPr>
          <w:p>
            <w:pPr>
              <w:pStyle w:val="TableContents"/>
              <w:spacing w:before="0" w:after="283"/>
              <w:rPr>
                <w:sz w:val="4"/>
                <w:szCs w:val="4"/>
              </w:rPr>
            </w:pPr>
            <w:r>
              <w:rPr>
                <w:sz w:val="4"/>
                <w:szCs w:val="4"/>
              </w:rPr>
            </w:r>
          </w:p>
        </w:tc>
      </w:tr>
      <w:tr>
        <w:trPr/>
        <w:tc>
          <w:tcPr>
            <w:tcW w:w="1512"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261" w:type="dxa"/>
            <w:tcBorders/>
            <w:shd w:fill="auto" w:val="clear"/>
            <w:vAlign w:val="bottom"/>
          </w:tcPr>
          <w:p>
            <w:pPr>
              <w:pStyle w:val="TableContents"/>
              <w:spacing w:before="0" w:after="283"/>
              <w:rPr/>
            </w:pPr>
            <w:r>
              <w:rPr/>
              <w:t>  </w:t>
            </w:r>
          </w:p>
        </w:tc>
        <w:tc>
          <w:tcPr>
            <w:tcW w:w="6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512" w:type="dxa"/>
            <w:tcBorders/>
            <w:shd w:fill="auto" w:val="clea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7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Dennis W. Blazer</w:t>
            </w:r>
          </w:p>
        </w:tc>
      </w:tr>
    </w:tbl>
    <w:p>
      <w:pPr>
        <w:pStyle w:val="TextBody"/>
        <w:spacing w:before="18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t>
      </w:r>
    </w:p>
    <w:p>
      <w:pPr>
        <w:pStyle w:val="TextBody"/>
        <w:spacing w:before="90" w:after="0"/>
        <w:rPr>
          <w:rFonts w:ascii="Times New Roman" w:hAnsi="Times New Roman"/>
          <w:sz w:val="20"/>
        </w:rPr>
      </w:pPr>
      <w:r>
        <w:rPr>
          <w:rFonts w:ascii="Times New Roman" w:hAnsi="Times New Roman"/>
          <w:sz w:val="20"/>
        </w:rPr>
        <w:t xml:space="preserve">12.4 </w:t>
      </w:r>
      <w:r>
        <w:rPr>
          <w:rFonts w:ascii="Times New Roman" w:hAnsi="Times New Roman"/>
          <w:sz w:val="20"/>
          <w:u w:val="single"/>
        </w:rPr>
        <w:t>Notice of a Sale Transaction</w:t>
      </w:r>
      <w:r>
        <w:rPr>
          <w:rFonts w:ascii="Times New Roman" w:hAnsi="Times New Roman"/>
          <w:sz w:val="20"/>
        </w:rPr>
        <w:t xml:space="preserve">. The Company shall give the Holder of this Note notice of the Closing of a Sale Transaction at least thirty (30) days prior to such Closing.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12.5 </w:t>
      </w:r>
      <w:r>
        <w:rPr>
          <w:rFonts w:ascii="Times New Roman" w:hAnsi="Times New Roman"/>
          <w:sz w:val="20"/>
          <w:u w:val="single"/>
        </w:rPr>
        <w:t>Collection</w:t>
      </w:r>
      <w:r>
        <w:rPr>
          <w:rFonts w:ascii="Times New Roman" w:hAnsi="Times New Roman"/>
          <w:sz w:val="20"/>
        </w:rPr>
        <w:t xml:space="preserve">.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90" w:after="0"/>
        <w:rPr>
          <w:rFonts w:ascii="Times New Roman" w:hAnsi="Times New Roman"/>
          <w:sz w:val="20"/>
        </w:rPr>
      </w:pPr>
      <w:r>
        <w:rPr>
          <w:rFonts w:ascii="Times New Roman" w:hAnsi="Times New Roman"/>
          <w:sz w:val="20"/>
        </w:rPr>
        <w:t xml:space="preserve">12.6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90" w:after="0"/>
        <w:rPr>
          <w:rFonts w:ascii="Times New Roman" w:hAnsi="Times New Roman"/>
          <w:sz w:val="20"/>
        </w:rPr>
      </w:pPr>
      <w:r>
        <w:rPr>
          <w:rFonts w:ascii="Times New Roman" w:hAnsi="Times New Roman"/>
          <w:sz w:val="20"/>
        </w:rPr>
        <w:t xml:space="preserve">12.7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90" w:after="0"/>
        <w:rPr>
          <w:rFonts w:ascii="Times New Roman" w:hAnsi="Times New Roman"/>
          <w:sz w:val="20"/>
        </w:rPr>
      </w:pPr>
      <w:r>
        <w:rPr>
          <w:rFonts w:ascii="Times New Roman" w:hAnsi="Times New Roman"/>
          <w:sz w:val="20"/>
        </w:rPr>
        <w:t xml:space="preserve">12.8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90" w:after="0"/>
        <w:rPr>
          <w:rFonts w:ascii="Times New Roman" w:hAnsi="Times New Roman"/>
          <w:sz w:val="20"/>
        </w:rPr>
      </w:pPr>
      <w:r>
        <w:rPr>
          <w:rFonts w:ascii="Times New Roman" w:hAnsi="Times New Roman"/>
          <w:sz w:val="20"/>
        </w:rPr>
        <w:t xml:space="preserve">12.9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90" w:after="0"/>
        <w:rPr>
          <w:rFonts w:ascii="Times New Roman" w:hAnsi="Times New Roman"/>
          <w:sz w:val="20"/>
        </w:rPr>
      </w:pPr>
      <w:r>
        <w:rPr>
          <w:rFonts w:ascii="Times New Roman" w:hAnsi="Times New Roman"/>
          <w:sz w:val="20"/>
        </w:rPr>
        <w:t xml:space="preserve">12.10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12.11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12.12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Note may be waived, altered, modified or amended except by a written document executed by Holder and then only to the extent specifically recited therein. No course of dealing or conduct shall be effective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90" w:after="0"/>
        <w:rPr>
          <w:rFonts w:ascii="Times New Roman" w:hAnsi="Times New Roman"/>
          <w:sz w:val="20"/>
        </w:rPr>
      </w:pPr>
      <w:r>
        <w:rPr>
          <w:rFonts w:ascii="Times New Roman" w:hAnsi="Times New Roman"/>
          <w:sz w:val="20"/>
        </w:rPr>
        <w:t xml:space="preserve">12.13 </w:t>
      </w:r>
      <w:r>
        <w:rPr>
          <w:rFonts w:ascii="Times New Roman" w:hAnsi="Times New Roman"/>
          <w:sz w:val="20"/>
          <w:u w:val="single"/>
        </w:rPr>
        <w:t>Submission to Jurisdiction</w:t>
      </w:r>
      <w:r>
        <w:rPr>
          <w:rFonts w:ascii="Times New Roman" w:hAnsi="Times New Roman"/>
          <w:sz w:val="20"/>
        </w:rPr>
        <w:t xml:space="preserve">. BORROWER,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COURTS IN AND FOR HAMILTON COUNTY, OHIO, OR IN THE UNITED STATES DISTRICT COURT FOR THE SOUTHERN DISTRICT OF OHIO; (B) CONSENT TO THE EXCLUSIVE JURISDICTION OF SUCH COURTS IN ANY SUCH SUIT, ACTION OR PROCEEDING; AND (C) WAIVE ANY OBJECTION WHICH IT OR THEY MAY HAVE TO THE LAYING OF VENUE OF ANY SUCH SUIT, ACTION, OR PROCEEDING IN ANY OF SUCH COURTS. </w:t>
      </w:r>
    </w:p>
    <w:p>
      <w:pPr>
        <w:pStyle w:val="TextBody"/>
        <w:spacing w:before="90" w:after="0"/>
        <w:rPr>
          <w:rFonts w:ascii="Times New Roman" w:hAnsi="Times New Roman"/>
          <w:sz w:val="20"/>
        </w:rPr>
      </w:pPr>
      <w:r>
        <w:rPr>
          <w:rFonts w:ascii="Times New Roman" w:hAnsi="Times New Roman"/>
          <w:sz w:val="20"/>
        </w:rPr>
        <w:t xml:space="preserve">12.14 </w:t>
      </w:r>
      <w:r>
        <w:rPr>
          <w:rFonts w:ascii="Times New Roman" w:hAnsi="Times New Roman"/>
          <w:sz w:val="20"/>
          <w:u w:val="single"/>
        </w:rPr>
        <w:t>Waiver of Trial by Jury</w:t>
      </w:r>
      <w:r>
        <w:rPr>
          <w:rFonts w:ascii="Times New Roman" w:hAnsi="Times New Roman"/>
          <w:sz w:val="20"/>
        </w:rPr>
        <w:t xml:space="preserve">. HOLDER AND BORROWER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90" w:after="0"/>
        <w:rPr>
          <w:rFonts w:ascii="Times New Roman" w:hAnsi="Times New Roman"/>
          <w:sz w:val="20"/>
        </w:rPr>
      </w:pPr>
      <w:r>
        <w:rPr>
          <w:rFonts w:ascii="Times New Roman" w:hAnsi="Times New Roman"/>
          <w:sz w:val="20"/>
        </w:rPr>
        <w:t xml:space="preserve">12.15 This Note is issued, in part, in replacement of the Prior Note. The indebtedness evidenced by the Prior Note has not been paid; instead this Note is issued in substitution for the Prior Note and the unpaid indebtedness evidenced thereby continues to be outstanding and is intended to be evidenced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708"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 Finance and Administration</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TextBody"/>
        <w:spacing w:before="0" w:after="0"/>
        <w:jc w:val="right"/>
        <w:rPr>
          <w:rFonts w:ascii="Times New Roman" w:hAnsi="Times New Roman"/>
          <w:b/>
          <w:sz w:val="20"/>
        </w:rPr>
      </w:pPr>
      <w:bookmarkStart w:id="39" w:name="dex1034.htm"/>
      <w:bookmarkStart w:id="40" w:name="ksdex1034"/>
      <w:bookmarkEnd w:id="39"/>
      <w:bookmarkEnd w:id="40"/>
      <w:r>
        <w:rPr>
          <w:rFonts w:ascii="Times New Roman" w:hAnsi="Times New Roman"/>
          <w:b/>
          <w:sz w:val="20"/>
        </w:rPr>
        <w:t xml:space="preserve">EXHIBIT 10.34 </w:t>
      </w:r>
    </w:p>
    <w:p>
      <w:pPr>
        <w:pStyle w:val="TextBody"/>
        <w:spacing w:before="180" w:after="0"/>
        <w:jc w:val="center"/>
        <w:rPr>
          <w:rFonts w:ascii="Times New Roman" w:hAnsi="Times New Roman"/>
          <w:b/>
          <w:sz w:val="20"/>
        </w:rPr>
      </w:pPr>
      <w:r>
        <w:rPr>
          <w:rFonts w:ascii="Times New Roman" w:hAnsi="Times New Roman"/>
          <w:b/>
          <w:sz w:val="20"/>
        </w:rPr>
        <w:t xml:space="preserve">STOCK OPTION AGREEMENT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1997 STOCK OPTION PLAN </w:t>
      </w:r>
    </w:p>
    <w:p>
      <w:pPr>
        <w:pStyle w:val="TextBody"/>
        <w:spacing w:before="180" w:after="0"/>
        <w:rPr>
          <w:rFonts w:ascii="Times New Roman" w:hAnsi="Times New Roman"/>
          <w:sz w:val="20"/>
        </w:rPr>
      </w:pPr>
      <w:r>
        <w:rPr>
          <w:rFonts w:ascii="Times New Roman" w:hAnsi="Times New Roman"/>
          <w:sz w:val="20"/>
        </w:rPr>
        <w:t>THIS AGREEMENT is dated and made effective as of April 20, 2005 (</w:t>
      </w:r>
      <w:r>
        <w:rPr>
          <w:rFonts w:ascii="Times New Roman" w:hAnsi="Times New Roman"/>
          <w:sz w:val="20"/>
          <w:u w:val="single"/>
        </w:rPr>
        <w:t>Effective Date</w:t>
      </w:r>
      <w:r>
        <w:rPr>
          <w:rFonts w:ascii="Times New Roman" w:hAnsi="Times New Roman"/>
          <w:sz w:val="20"/>
        </w:rPr>
        <w:t>) by and between CECO ENVIRONMENTAL CORP., a Delaware corporation (the </w:t>
      </w:r>
      <w:r>
        <w:rPr>
          <w:rFonts w:ascii="Times New Roman" w:hAnsi="Times New Roman"/>
          <w:sz w:val="20"/>
          <w:u w:val="single"/>
        </w:rPr>
        <w:t>Company</w:t>
      </w:r>
      <w:r>
        <w:rPr>
          <w:rFonts w:ascii="Times New Roman" w:hAnsi="Times New Roman"/>
          <w:sz w:val="20"/>
        </w:rPr>
        <w:t>), and RONALD E. KRIEG (</w:t>
      </w:r>
      <w:r>
        <w:rPr>
          <w:rFonts w:ascii="Times New Roman" w:hAnsi="Times New Roman"/>
          <w:sz w:val="20"/>
          <w:u w:val="single"/>
        </w:rPr>
        <w:t>Optionee</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WITNESSETH: </w:t>
      </w:r>
    </w:p>
    <w:p>
      <w:pPr>
        <w:pStyle w:val="TextBody"/>
        <w:spacing w:before="180" w:after="0"/>
        <w:rPr>
          <w:rFonts w:ascii="Times New Roman" w:hAnsi="Times New Roman"/>
          <w:sz w:val="20"/>
        </w:rPr>
      </w:pPr>
      <w:r>
        <w:rPr>
          <w:rFonts w:ascii="Times New Roman" w:hAnsi="Times New Roman"/>
          <w:sz w:val="20"/>
        </w:rPr>
        <w:t xml:space="preserve">WHEREAS, Optionee on the date hereof is a Director of the Company or one of its Subsidiaries; and </w:t>
      </w:r>
    </w:p>
    <w:p>
      <w:pPr>
        <w:pStyle w:val="TextBody"/>
        <w:spacing w:before="180" w:after="0"/>
        <w:rPr>
          <w:rFonts w:ascii="Times New Roman" w:hAnsi="Times New Roman"/>
          <w:sz w:val="20"/>
        </w:rPr>
      </w:pPr>
      <w:r>
        <w:rPr>
          <w:rFonts w:ascii="Times New Roman" w:hAnsi="Times New Roman"/>
          <w:sz w:val="20"/>
        </w:rPr>
        <w:t>WHEREAS, the Company desires to grant a non-qualified stock option to Optionee to purchase shares of the Companys Common Stock pursuant to the Companys 1997 Stock Option Plan, as amended (the </w:t>
      </w:r>
      <w:r>
        <w:rPr>
          <w:rFonts w:ascii="Times New Roman" w:hAnsi="Times New Roman"/>
          <w:sz w:val="20"/>
          <w:u w:val="single"/>
        </w:rPr>
        <w:t>Plan</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sz w:val="20"/>
        </w:rPr>
        <w:t xml:space="preserve">WHEREAS, the Board of Directors of the Company has authorized the grant of a non-qualified stock option to Optionee and has determined that, on the Effective Date, the Fair Market Value of Option Stock of the Company is $2.82 per share.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premises and of the mutual covenants herein contained, the parties hereto agree as follows: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b/>
          <w:sz w:val="20"/>
          <w:u w:val="single"/>
        </w:rPr>
        <w:t>Grant of Option</w:t>
      </w:r>
      <w:r>
        <w:rPr>
          <w:rFonts w:ascii="Times New Roman" w:hAnsi="Times New Roman"/>
          <w:sz w:val="20"/>
        </w:rPr>
        <w:t>. The Company hereby grants to Optionee as of the Effective Date the right and option (the </w:t>
      </w:r>
      <w:r>
        <w:rPr>
          <w:rFonts w:ascii="Times New Roman" w:hAnsi="Times New Roman"/>
          <w:sz w:val="20"/>
          <w:u w:val="single"/>
        </w:rPr>
        <w:t>Option</w:t>
      </w:r>
      <w:r>
        <w:rPr>
          <w:rFonts w:ascii="Times New Roman" w:hAnsi="Times New Roman"/>
          <w:sz w:val="20"/>
        </w:rPr>
        <w:t>) to purchase up to twenty-five thousand (25,000) shares of Option Stock (</w:t>
      </w:r>
      <w:r>
        <w:rPr>
          <w:rFonts w:ascii="Times New Roman" w:hAnsi="Times New Roman"/>
          <w:sz w:val="20"/>
          <w:u w:val="single"/>
        </w:rPr>
        <w:t>Shares</w:t>
      </w:r>
      <w:r>
        <w:rPr>
          <w:rFonts w:ascii="Times New Roman" w:hAnsi="Times New Roman"/>
          <w:sz w:val="20"/>
        </w:rPr>
        <w:t xml:space="preserve">) at an exercise price of $2.82 per share on the terms and conditions set forth herein and subject to the terms and conditions of the Plan. </w:t>
      </w:r>
    </w:p>
    <w:p>
      <w:pPr>
        <w:pStyle w:val="TextBody"/>
        <w:spacing w:before="180" w:after="0"/>
        <w:rPr>
          <w:rFonts w:ascii="Times New Roman" w:hAnsi="Times New Roman"/>
          <w:sz w:val="20"/>
        </w:rPr>
      </w:pPr>
      <w:r>
        <w:rPr>
          <w:rFonts w:ascii="Times New Roman" w:hAnsi="Times New Roman"/>
          <w:sz w:val="20"/>
        </w:rPr>
        <w:t xml:space="preserve">All capitalized terms not defined in this Agreement shall have the meaning set forth in the Plan.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b/>
          <w:sz w:val="20"/>
          <w:u w:val="single"/>
        </w:rPr>
        <w:t>Vesting, Exercisability and Duration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Vesting and Exercise Period</w:t>
      </w:r>
      <w:r>
        <w:rPr>
          <w:rFonts w:ascii="Times New Roman" w:hAnsi="Times New Roman"/>
          <w:sz w:val="20"/>
        </w:rPr>
        <w:t xml:space="preserve">. The Option shall vest and become exercisable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7"/>
        <w:gridCol w:w="405"/>
        <w:gridCol w:w="8473"/>
      </w:tblGrid>
      <w:tr>
        <w:trPr/>
        <w:tc>
          <w:tcPr>
            <w:tcW w:w="1327"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April 20, 2006, provided that the Optionee is a member of the Board of Directors of the Company as of such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6"/>
        <w:gridCol w:w="406"/>
        <w:gridCol w:w="8473"/>
      </w:tblGrid>
      <w:tr>
        <w:trPr/>
        <w:tc>
          <w:tcPr>
            <w:tcW w:w="132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April 20, 2007, provided that the Optionee is a member of the Board of Directors of the Company as of such date; </w:t>
            </w:r>
          </w:p>
        </w:tc>
      </w:tr>
    </w:tbl>
    <w:p>
      <w:pPr>
        <w:pStyle w:val="HorizontalLine"/>
        <w:pBdr>
          <w:bottom w:val="double" w:sz="6" w:space="0" w:color="999999"/>
        </w:pBdr>
        <w:rPr/>
      </w:pPr>
      <w:r>
        <w:br w:type="page"/>
      </w:r>
      <w:r>
        <w:rPr/>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April 20, 2008, provided that the Optionee is a member of the Board of Directors of the Company as of such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6"/>
        <w:gridCol w:w="408"/>
        <w:gridCol w:w="8471"/>
      </w:tblGrid>
      <w:tr>
        <w:trPr/>
        <w:tc>
          <w:tcPr>
            <w:tcW w:w="132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(iv)</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April 20, 2009, provided that the Optionee is a member of the Board of Directors of the Company as of such date;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April 20, 2010, provided that the Optionee is a member of the Board of Directors of the Company as of such date. </w:t>
            </w:r>
          </w:p>
        </w:tc>
      </w:tr>
    </w:tbl>
    <w:p>
      <w:pPr>
        <w:pStyle w:val="TextBody"/>
        <w:spacing w:before="90" w:after="0"/>
        <w:rPr>
          <w:rFonts w:ascii="Times New Roman" w:hAnsi="Times New Roman"/>
          <w:sz w:val="20"/>
        </w:rPr>
      </w:pPr>
      <w:r>
        <w:rPr>
          <w:rFonts w:ascii="Times New Roman" w:hAnsi="Times New Roman"/>
          <w:sz w:val="20"/>
        </w:rPr>
        <w:t xml:space="preserve">Unvested options may not be exercised.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Expiration</w:t>
      </w:r>
      <w:r>
        <w:rPr>
          <w:rFonts w:ascii="Times New Roman" w:hAnsi="Times New Roman"/>
          <w:sz w:val="20"/>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April 19, 2015 (the </w:t>
      </w:r>
      <w:r>
        <w:rPr>
          <w:rFonts w:ascii="Times New Roman" w:hAnsi="Times New Roman"/>
          <w:sz w:val="20"/>
          <w:u w:val="single"/>
        </w:rPr>
        <w:t>Expiration Date</w:t>
      </w:r>
      <w:r>
        <w:rPr>
          <w:rFonts w:ascii="Times New Roman" w:hAnsi="Times New Roman"/>
          <w:sz w:val="20"/>
        </w:rPr>
        <w:t xml:space="preserve">) and must be exercised, if at all, on or before the Expiration Date.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Lapse Upon Expiration</w:t>
      </w:r>
      <w:r>
        <w:rPr>
          <w:rFonts w:ascii="Times New Roman" w:hAnsi="Times New Roman"/>
          <w:sz w:val="20"/>
        </w:rPr>
        <w:t xml:space="preserve">. To the extent that this Option is not exercised prior to the Expiration Date, all rights of Optionee under this Option shall thereupon be forfeited. </w:t>
      </w:r>
    </w:p>
    <w:p>
      <w:pPr>
        <w:pStyle w:val="TextBody"/>
        <w:spacing w:before="27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Manner of Exercise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Form of Payment</w:t>
      </w:r>
      <w:r>
        <w:rPr>
          <w:rFonts w:ascii="Times New Roman" w:hAnsi="Times New Roman"/>
          <w:sz w:val="20"/>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Times New Roman" w:hAnsi="Times New Roman"/>
          <w:sz w:val="20"/>
          <w:u w:val="single"/>
        </w:rPr>
        <w:t>NASD Dealer</w:t>
      </w:r>
      <w:r>
        <w:rPr>
          <w:rFonts w:ascii="Times New Roman" w:hAnsi="Times New Roman"/>
          <w:sz w:val="20"/>
        </w:rPr>
        <w:t xml:space="preserve">)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Transfer Records</w:t>
      </w:r>
      <w:r>
        <w:rPr>
          <w:rFonts w:ascii="Times New Roman" w:hAnsi="Times New Roman"/>
          <w:sz w:val="20"/>
        </w:rPr>
        <w:t xml:space="preserve">.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 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 </w:t>
      </w:r>
    </w:p>
    <w:p>
      <w:pPr>
        <w:pStyle w:val="TextBody"/>
        <w:spacing w:before="180" w:after="0"/>
        <w:rPr>
          <w:rFonts w:ascii="Times New Roman" w:hAnsi="Times New Roman"/>
          <w:sz w:val="20"/>
        </w:rPr>
      </w:pPr>
      <w:r>
        <w:rPr>
          <w:rFonts w:ascii="Times New Roman" w:hAnsi="Times New Roman"/>
          <w:sz w:val="20"/>
        </w:rPr>
        <w:t xml:space="preserve">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 </w:t>
      </w:r>
    </w:p>
    <w:p>
      <w:pPr>
        <w:pStyle w:val="TextBody"/>
        <w:spacing w:before="270" w:after="0"/>
        <w:rPr>
          <w:rFonts w:ascii="Times New Roman" w:hAnsi="Times New Roman"/>
          <w:sz w:val="20"/>
        </w:rPr>
      </w:pPr>
      <w:r>
        <w:rPr>
          <w:rFonts w:ascii="Times New Roman" w:hAnsi="Times New Roman"/>
          <w:sz w:val="20"/>
        </w:rPr>
        <w:t xml:space="preserve">4. </w:t>
      </w:r>
      <w:r>
        <w:rPr>
          <w:rFonts w:ascii="Times New Roman" w:hAnsi="Times New Roman"/>
          <w:b/>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Rights to Employment and Rights as Shareholder</w:t>
      </w:r>
      <w:r>
        <w:rPr>
          <w:rFonts w:ascii="Times New Roman" w:hAnsi="Times New Roman"/>
          <w:sz w:val="20"/>
        </w:rPr>
        <w:t xml:space="preserve">.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Law Compliance</w:t>
      </w:r>
      <w:r>
        <w:rPr>
          <w:rFonts w:ascii="Times New Roman" w:hAnsi="Times New Roman"/>
          <w:sz w:val="20"/>
        </w:rPr>
        <w:t xml:space="preserve">.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Recapitalization, Stock Splits, Etc.</w:t>
      </w:r>
      <w:r>
        <w:rPr>
          <w:rFonts w:ascii="Times New Roman" w:hAnsi="Times New Roman"/>
          <w:sz w:val="20"/>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Nontransferability</w:t>
      </w:r>
      <w:r>
        <w:rPr>
          <w:rFonts w:ascii="Times New Roman" w:hAnsi="Times New Roman"/>
          <w:sz w:val="20"/>
        </w:rPr>
        <w:t xml:space="preserve">.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1997 Stock Option Plan</w:t>
      </w:r>
      <w:r>
        <w:rPr>
          <w:rFonts w:ascii="Times New Roman" w:hAnsi="Times New Roman"/>
          <w:sz w:val="20"/>
        </w:rPr>
        <w:t xml:space="preserve">.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w:t>
      </w:r>
      <w:r>
        <w:rPr>
          <w:rFonts w:ascii="Times New Roman" w:hAnsi="Times New Roman"/>
          <w:sz w:val="20"/>
        </w:rPr>
        <w:t xml:space="preserve">.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Scope of Agreement</w:t>
      </w:r>
      <w:r>
        <w:rPr>
          <w:rFonts w:ascii="Times New Roman" w:hAnsi="Times New Roman"/>
          <w:sz w:val="20"/>
        </w:rPr>
        <w:t xml:space="preserve">. This Agreement shall bind and inure to the benefit of the Company and its successors and assigns and Optionee and any successor or successors of Optionee permitted Section 4(d) of this Agreement.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Interpretation</w:t>
      </w:r>
      <w:r>
        <w:rPr>
          <w:rFonts w:ascii="Times New Roman" w:hAnsi="Times New Roman"/>
          <w:sz w:val="20"/>
        </w:rPr>
        <w:t xml:space="preserve">.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Entire Option</w:t>
      </w:r>
      <w:r>
        <w:rPr>
          <w:rFonts w:ascii="Times New Roman" w:hAnsi="Times New Roman"/>
          <w:sz w:val="20"/>
        </w:rPr>
        <w:t xml:space="preserve">.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sz w:val="20"/>
          <w:u w:val="single"/>
        </w:rPr>
        <w:t>Successors and Assigns</w:t>
      </w:r>
      <w:r>
        <w:rPr>
          <w:rFonts w:ascii="Times New Roman" w:hAnsi="Times New Roman"/>
          <w:sz w:val="20"/>
        </w:rPr>
        <w:t xml:space="preserve">.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sz w:val="20"/>
          <w:u w:val="single"/>
        </w:rPr>
        <w:t>Market Standoff Agreement</w:t>
      </w:r>
      <w:r>
        <w:rPr>
          <w:rFonts w:ascii="Times New Roman" w:hAnsi="Times New Roman"/>
          <w:sz w:val="20"/>
        </w:rPr>
        <w:t xml:space="preserve">.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sz w:val="20"/>
          <w:u w:val="single"/>
        </w:rPr>
        <w:t>Governing Law</w:t>
      </w:r>
      <w:r>
        <w:rPr>
          <w:rFonts w:ascii="Times New Roman" w:hAnsi="Times New Roman"/>
          <w:sz w:val="20"/>
        </w:rPr>
        <w:t xml:space="preserve">. The Option shall be governed by and construed in accordance with the internal laws of the State of Delaware, without regard to that body of law pertaining to choice of law or conflict of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Agreement to be executed on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37"/>
        <w:gridCol w:w="326"/>
        <w:gridCol w:w="3756"/>
        <w:gridCol w:w="206"/>
        <w:gridCol w:w="4680"/>
      </w:tblGrid>
      <w:tr>
        <w:trPr/>
        <w:tc>
          <w:tcPr>
            <w:tcW w:w="123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375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4680" w:type="dxa"/>
            <w:tcBorders/>
            <w:shd w:fill="auto" w:val="clear"/>
            <w:vAlign w:val="center"/>
          </w:tcPr>
          <w:p>
            <w:pPr>
              <w:pStyle w:val="TableContents"/>
              <w:spacing w:before="0" w:after="283"/>
              <w:rPr>
                <w:sz w:val="4"/>
                <w:szCs w:val="4"/>
              </w:rPr>
            </w:pPr>
            <w:r>
              <w:rPr>
                <w:sz w:val="4"/>
                <w:szCs w:val="4"/>
              </w:rPr>
            </w:r>
          </w:p>
        </w:tc>
      </w:tr>
      <w:tr>
        <w:trPr/>
        <w:tc>
          <w:tcPr>
            <w:tcW w:w="53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206" w:type="dxa"/>
            <w:tcBorders/>
            <w:shd w:fill="auto" w:val="clear"/>
            <w:vAlign w:val="bottom"/>
          </w:tcPr>
          <w:p>
            <w:pPr>
              <w:pStyle w:val="TableContents"/>
              <w:spacing w:before="0" w:after="283"/>
              <w:rPr/>
            </w:pPr>
            <w:r>
              <w:rPr/>
              <w:t> </w:t>
            </w:r>
          </w:p>
        </w:tc>
        <w:tc>
          <w:tcPr>
            <w:tcW w:w="468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OPTIONEE</w:t>
            </w:r>
          </w:p>
        </w:tc>
      </w:tr>
      <w:tr>
        <w:trPr>
          <w:trHeight w:val="240" w:hRule="atLeast"/>
        </w:trPr>
        <w:tc>
          <w:tcPr>
            <w:tcW w:w="123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4886" w:type="dxa"/>
            <w:gridSpan w:val="2"/>
            <w:tcBorders/>
            <w:shd w:fill="auto" w:val="clear"/>
            <w:vAlign w:val="center"/>
          </w:tcPr>
          <w:p>
            <w:pPr>
              <w:pStyle w:val="TableContents"/>
              <w:spacing w:before="0" w:after="283"/>
              <w:rPr>
                <w:sz w:val="4"/>
                <w:szCs w:val="4"/>
              </w:rPr>
            </w:pPr>
            <w:r>
              <w:rPr>
                <w:sz w:val="4"/>
                <w:szCs w:val="4"/>
              </w:rPr>
            </w:r>
          </w:p>
        </w:tc>
      </w:tr>
      <w:tr>
        <w:trPr/>
        <w:tc>
          <w:tcPr>
            <w:tcW w:w="123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26" w:type="dxa"/>
            <w:tcBorders/>
            <w:shd w:fill="auto" w:val="clear"/>
            <w:vAlign w:val="bottom"/>
          </w:tcPr>
          <w:p>
            <w:pPr>
              <w:pStyle w:val="TableContents"/>
              <w:spacing w:before="0" w:after="283"/>
              <w:rPr/>
            </w:pPr>
            <w:r>
              <w:rPr/>
              <w:t> </w:t>
            </w:r>
          </w:p>
        </w:tc>
        <w:tc>
          <w:tcPr>
            <w:tcW w:w="3756" w:type="dxa"/>
            <w:tcBorders/>
            <w:shd w:fill="auto" w:val="clear"/>
          </w:tcPr>
          <w:p>
            <w:pPr>
              <w:pStyle w:val="TableContents"/>
              <w:pBdr>
                <w:bottom w:val="single" w:sz="2" w:space="1" w:color="000000"/>
              </w:pBdr>
              <w:spacing w:before="0" w:after="15"/>
              <w:rPr/>
            </w:pPr>
            <w:r>
              <w:rPr/>
              <w:t> </w:t>
            </w:r>
          </w:p>
        </w:tc>
        <w:tc>
          <w:tcPr>
            <w:tcW w:w="206" w:type="dxa"/>
            <w:tcBorders/>
            <w:shd w:fill="auto" w:val="clear"/>
            <w:vAlign w:val="bottom"/>
          </w:tcPr>
          <w:p>
            <w:pPr>
              <w:pStyle w:val="TableContents"/>
              <w:spacing w:before="0" w:after="283"/>
              <w:rPr/>
            </w:pPr>
            <w:r>
              <w:rPr/>
              <w:t> </w:t>
            </w:r>
          </w:p>
        </w:tc>
        <w:tc>
          <w:tcPr>
            <w:tcW w:w="4680"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Ronald E. Krieg</w:t>
            </w:r>
          </w:p>
        </w:tc>
      </w:tr>
      <w:tr>
        <w:trPr/>
        <w:tc>
          <w:tcPr>
            <w:tcW w:w="1237" w:type="dxa"/>
            <w:tcBorders/>
            <w:shd w:fill="auto" w:val="clea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3756" w:type="dxa"/>
            <w:tcBorders/>
            <w:shd w:fill="auto" w:val="clea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46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Ronald E. Krieg</w:t>
            </w:r>
          </w:p>
        </w:tc>
      </w:tr>
      <w:tr>
        <w:trPr/>
        <w:tc>
          <w:tcPr>
            <w:tcW w:w="1237"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326" w:type="dxa"/>
            <w:tcBorders/>
            <w:shd w:fill="auto" w:val="clear"/>
            <w:vAlign w:val="bottom"/>
          </w:tcPr>
          <w:p>
            <w:pPr>
              <w:pStyle w:val="TableContents"/>
              <w:spacing w:before="0" w:after="283"/>
              <w:rPr/>
            </w:pPr>
            <w:r>
              <w:rPr/>
              <w:t> </w:t>
            </w:r>
          </w:p>
        </w:tc>
        <w:tc>
          <w:tcPr>
            <w:tcW w:w="3756" w:type="dxa"/>
            <w:tcBorders/>
            <w:shd w:fill="auto" w:val="clear"/>
          </w:tcPr>
          <w:p>
            <w:pPr>
              <w:pStyle w:val="TableContents"/>
              <w:pBdr>
                <w:bottom w:val="single" w:sz="2" w:space="1" w:color="000000"/>
              </w:pBdr>
              <w:spacing w:before="0" w:after="15"/>
              <w:rPr/>
            </w:pPr>
            <w:r>
              <w:rPr/>
              <w:t> </w:t>
            </w:r>
          </w:p>
        </w:tc>
        <w:tc>
          <w:tcPr>
            <w:tcW w:w="206" w:type="dxa"/>
            <w:tcBorders/>
            <w:shd w:fill="auto" w:val="clear"/>
            <w:vAlign w:val="bottom"/>
          </w:tcPr>
          <w:p>
            <w:pPr>
              <w:pStyle w:val="TableContents"/>
              <w:spacing w:before="0" w:after="283"/>
              <w:rPr/>
            </w:pPr>
            <w:r>
              <w:rPr/>
              <w:t> </w:t>
            </w:r>
          </w:p>
        </w:tc>
        <w:tc>
          <w:tcPr>
            <w:tcW w:w="4680"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The Grant set forth in this Agreement </w:t>
      </w:r>
    </w:p>
    <w:p>
      <w:pPr>
        <w:pStyle w:val="TextBody"/>
        <w:spacing w:before="0" w:after="0"/>
        <w:rPr>
          <w:rFonts w:ascii="Times New Roman" w:hAnsi="Times New Roman"/>
          <w:sz w:val="20"/>
        </w:rPr>
      </w:pPr>
      <w:r>
        <w:rPr>
          <w:rFonts w:ascii="Times New Roman" w:hAnsi="Times New Roman"/>
          <w:sz w:val="20"/>
        </w:rPr>
        <w:t xml:space="preserve">has been approved by Administrators of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1997 Stock Option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1997 STOCK OPTION PLAN (the Plan) </w:t>
      </w:r>
    </w:p>
    <w:p>
      <w:pPr>
        <w:pStyle w:val="TextBody"/>
        <w:spacing w:before="0" w:after="0"/>
        <w:jc w:val="center"/>
        <w:rPr>
          <w:rFonts w:ascii="Times New Roman" w:hAnsi="Times New Roman"/>
          <w:b/>
          <w:sz w:val="20"/>
        </w:rPr>
      </w:pPr>
      <w:r>
        <w:rPr>
          <w:rFonts w:ascii="Times New Roman" w:hAnsi="Times New Roman"/>
          <w:b/>
          <w:sz w:val="20"/>
        </w:rPr>
        <w:t xml:space="preserve">STOCK OPTION EXERCISE AGREEMENT </w:t>
      </w:r>
    </w:p>
    <w:p>
      <w:pPr>
        <w:pStyle w:val="TextBody"/>
        <w:spacing w:before="180" w:after="0"/>
        <w:rPr>
          <w:rFonts w:ascii="Times New Roman" w:hAnsi="Times New Roman"/>
          <w:sz w:val="20"/>
        </w:rPr>
      </w:pPr>
      <w:r>
        <w:rPr>
          <w:rFonts w:ascii="Times New Roman" w:hAnsi="Times New Roman"/>
          <w:sz w:val="20"/>
        </w:rPr>
        <w:t xml:space="preserve">I hereby elect to purchase the number of shares of Common Stock of CECO ENVIRONMENTAL CORP. (the Company) as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68"/>
        <w:gridCol w:w="89"/>
        <w:gridCol w:w="2650"/>
        <w:gridCol w:w="134"/>
        <w:gridCol w:w="2713"/>
        <w:gridCol w:w="134"/>
        <w:gridCol w:w="3217"/>
      </w:tblGrid>
      <w:tr>
        <w:trPr/>
        <w:tc>
          <w:tcPr>
            <w:tcW w:w="126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26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3217" w:type="dxa"/>
            <w:tcBorders/>
            <w:shd w:fill="auto" w:val="clear"/>
            <w:vAlign w:val="center"/>
          </w:tcPr>
          <w:p>
            <w:pPr>
              <w:pStyle w:val="TableContents"/>
              <w:spacing w:before="0" w:after="283"/>
              <w:rPr>
                <w:sz w:val="4"/>
                <w:szCs w:val="4"/>
              </w:rPr>
            </w:pPr>
            <w:r>
              <w:rPr>
                <w:sz w:val="4"/>
                <w:szCs w:val="4"/>
              </w:rPr>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Optionee: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Number of Shares Purchased:</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Social Security Number: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per Share:</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Purchase Price:</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u w:val="single"/>
              </w:rPr>
            </w:pPr>
            <w:r>
              <w:rPr>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Date of Option Agreement:</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1268" w:type="dxa"/>
            <w:tcBorders/>
            <w:shd w:fill="auto" w:val="clear"/>
          </w:tcPr>
          <w:p>
            <w:pPr>
              <w:pStyle w:val="TableContents"/>
              <w:spacing w:before="0" w:after="283"/>
              <w:rPr>
                <w:rFonts w:ascii="Times New Roman" w:hAnsi="Times New Roman"/>
                <w:sz w:val="20"/>
              </w:rPr>
            </w:pPr>
            <w:r>
              <w:rPr>
                <w:rFonts w:ascii="Times New Roman" w:hAnsi="Times New Roman"/>
                <w:sz w:val="20"/>
              </w:rPr>
              <w:t>Type of Option:</w:t>
            </w:r>
          </w:p>
        </w:tc>
        <w:tc>
          <w:tcPr>
            <w:tcW w:w="89" w:type="dxa"/>
            <w:tcBorders/>
            <w:shd w:fill="auto" w:val="clear"/>
            <w:vAlign w:val="bottom"/>
          </w:tcPr>
          <w:p>
            <w:pPr>
              <w:pStyle w:val="TableContents"/>
              <w:spacing w:before="0" w:after="283"/>
              <w:rPr/>
            </w:pPr>
            <w:r>
              <w:rPr/>
              <w:t> </w:t>
            </w:r>
          </w:p>
        </w:tc>
        <w:tc>
          <w:tcPr>
            <w:tcW w:w="2650" w:type="dxa"/>
            <w:tcBorders/>
            <w:shd w:fill="auto" w:val="clear"/>
          </w:tcPr>
          <w:p>
            <w:pPr>
              <w:pStyle w:val="TableContents"/>
              <w:spacing w:before="0" w:after="283"/>
              <w:rPr/>
            </w:pPr>
            <w:r>
              <w:rPr>
                <w:color w:val="000000"/>
              </w:rPr>
              <w:t>☐</w:t>
            </w:r>
            <w:r>
              <w:rPr/>
              <w:t>  </w:t>
            </w:r>
            <w:r>
              <w:rPr>
                <w:rFonts w:ascii="Times New Roman" w:hAnsi="Times New Roman"/>
                <w:sz w:val="20"/>
              </w:rPr>
              <w:t>Incentive Stock Option</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Exact Name of Title to Shares:</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1268"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2650" w:type="dxa"/>
            <w:tcBorders/>
            <w:shd w:fill="auto" w:val="clear"/>
          </w:tcPr>
          <w:p>
            <w:pPr>
              <w:pStyle w:val="TableContents"/>
              <w:spacing w:before="0" w:after="283"/>
              <w:rPr/>
            </w:pPr>
            <w:r>
              <w:rPr>
                <w:color w:val="000000"/>
              </w:rPr>
              <w:t>☐</w:t>
            </w:r>
            <w:r>
              <w:rPr/>
              <w:t>  </w:t>
            </w:r>
            <w:r>
              <w:rPr>
                <w:rFonts w:ascii="Times New Roman" w:hAnsi="Times New Roman"/>
                <w:sz w:val="20"/>
              </w:rPr>
              <w:t>Nonqualified Stock Option</w:t>
            </w:r>
          </w:p>
        </w:tc>
        <w:tc>
          <w:tcPr>
            <w:tcW w:w="134" w:type="dxa"/>
            <w:tcBorders/>
            <w:shd w:fill="auto" w:val="clear"/>
            <w:vAlign w:val="bottom"/>
          </w:tcPr>
          <w:p>
            <w:pPr>
              <w:pStyle w:val="TableContents"/>
              <w:spacing w:before="0" w:after="283"/>
              <w:rPr/>
            </w:pPr>
            <w:r>
              <w:rPr/>
              <w:t>  </w:t>
            </w:r>
          </w:p>
        </w:tc>
        <w:tc>
          <w:tcPr>
            <w:tcW w:w="6064" w:type="dxa"/>
            <w:gridSpan w:val="3"/>
            <w:tcBorders/>
            <w:shd w:fill="auto" w:val="clear"/>
          </w:tcPr>
          <w:p>
            <w:pPr>
              <w:pStyle w:val="TableContents"/>
              <w:spacing w:before="0" w:after="283"/>
              <w:rPr>
                <w:u w:val="single"/>
              </w:rPr>
            </w:pPr>
            <w:r>
              <w:rPr>
                <w:u w:val="single"/>
              </w:rPr>
              <w:t>                                                                                          </w:t>
            </w:r>
          </w:p>
        </w:tc>
      </w:tr>
    </w:tbl>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Delivery of Purchase Price</w:t>
      </w:r>
      <w:r>
        <w:rPr>
          <w:rFonts w:ascii="Times New Roman" w:hAnsi="Times New Roman"/>
          <w:sz w:val="20"/>
        </w:rPr>
        <w:t xml:space="preserve">. Optionee hereby delivers to the Company the Aggregate Purchase Price, to the extent permitted in the Option Agreement (the Option Agreement), as follows (check as applicable and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in cash (by check) in the amount of $</w:t>
            </w:r>
            <w:r>
              <w:rPr>
                <w:rFonts w:ascii="Times New Roman" w:hAnsi="Times New Roman"/>
                <w:sz w:val="20"/>
                <w:u w:val="single"/>
              </w:rPr>
              <w:t>            </w:t>
            </w:r>
            <w:r>
              <w:rPr>
                <w:rFonts w:ascii="Times New Roman" w:hAnsi="Times New Roman"/>
                <w:sz w:val="20"/>
              </w:rPr>
              <w:t xml:space="preserve">, receipt of which is acknowledged by the Company; </w:t>
            </w:r>
          </w:p>
        </w:tc>
      </w:tr>
    </w:tbl>
    <w:p>
      <w:pPr>
        <w:pStyle w:val="TextBody"/>
        <w:spacing w:before="180" w:after="0"/>
        <w:rPr>
          <w:rFonts w:ascii="Times New Roman" w:hAnsi="Times New Roman"/>
          <w:sz w:val="20"/>
        </w:rPr>
      </w:pPr>
      <w:r>
        <w:rPr>
          <w:rFonts w:ascii="Times New Roman" w:hAnsi="Times New Roman"/>
          <w:sz w:val="20"/>
        </w:rPr>
        <w:t xml:space="preserve">If the Committee allowed payment by other means in the Stock Option Agreement, add one or more of the following, as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by delivery of </w:t>
            </w:r>
            <w:r>
              <w:rPr>
                <w:rFonts w:ascii="Times New Roman" w:hAnsi="Times New Roman"/>
                <w:sz w:val="20"/>
                <w:u w:val="single"/>
              </w:rPr>
              <w:t>            </w:t>
            </w:r>
            <w:r>
              <w:rPr>
                <w:rFonts w:ascii="Times New Roman" w:hAnsi="Times New Roman"/>
                <w:sz w:val="20"/>
              </w:rPr>
              <w:t xml:space="preserve"> fully-paid, nonassessable and vested shares of the Common Stock of the Company owned by Optionee for at least six (6) months prior to the date hereof (and which have been paid for within the meaning of SEC Rule 144), or obtained by Optionee in the open public market, and owned free and clear of all liens, claims, encumbrances or security interests, valued at the current Fair Market Value of $</w:t>
            </w:r>
            <w:r>
              <w:rPr>
                <w:rFonts w:ascii="Times New Roman" w:hAnsi="Times New Roman"/>
                <w:sz w:val="20"/>
                <w:u w:val="single"/>
              </w:rPr>
              <w:t>            </w:t>
            </w:r>
            <w:r>
              <w:rPr>
                <w:rFonts w:ascii="Times New Roman" w:hAnsi="Times New Roman"/>
                <w:sz w:val="20"/>
              </w:rPr>
              <w:t xml:space="preserv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through a same-day-sale commitment, delivered herewith, from Optionee and the NASD Dealer named therein, in the amount of $</w:t>
            </w:r>
            <w:r>
              <w:rPr>
                <w:rFonts w:ascii="Times New Roman" w:hAnsi="Times New Roman"/>
                <w:sz w:val="20"/>
                <w:u w:val="single"/>
              </w:rPr>
              <w:t>            </w:t>
            </w:r>
            <w:r>
              <w:rPr>
                <w:rFonts w:ascii="Times New Roman" w:hAnsi="Times New Roman"/>
                <w:sz w:val="20"/>
              </w:rPr>
              <w:t xml:space="preserv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through a margin commitment, delivered herewith from Optionee and the NASD Dealer named therein, in the amount of $</w:t>
            </w:r>
            <w:r>
              <w:rPr>
                <w:rFonts w:ascii="Times New Roman" w:hAnsi="Times New Roman"/>
                <w:sz w:val="20"/>
                <w:u w:val="single"/>
              </w:rPr>
              <w:t>            </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Market Standoff Agreement</w:t>
      </w:r>
      <w:r>
        <w:rPr>
          <w:rFonts w:ascii="Times New Roman" w:hAnsi="Times New Roman"/>
          <w:sz w:val="20"/>
        </w:rPr>
        <w:t xml:space="preserve">.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Tax Consequences</w:t>
      </w:r>
      <w:r>
        <w:rPr>
          <w:rFonts w:ascii="Times New Roman" w:hAnsi="Times New Roman"/>
          <w:sz w:val="20"/>
        </w:rPr>
        <w:t xml:space="preserve">.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Entire Agreement</w:t>
      </w:r>
      <w:r>
        <w:rPr>
          <w:rFonts w:ascii="Times New Roman" w:hAnsi="Times New Roman"/>
          <w:sz w:val="20"/>
        </w:rPr>
        <w:t xml:space="preserve">.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23"/>
        <w:gridCol w:w="121"/>
        <w:gridCol w:w="4861"/>
      </w:tblGrid>
      <w:tr>
        <w:trPr/>
        <w:tc>
          <w:tcPr>
            <w:tcW w:w="52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861" w:type="dxa"/>
            <w:tcBorders/>
            <w:shd w:fill="auto" w:val="clear"/>
            <w:vAlign w:val="center"/>
          </w:tcPr>
          <w:p>
            <w:pPr>
              <w:pStyle w:val="TableContents"/>
              <w:spacing w:before="0" w:after="283"/>
              <w:rPr>
                <w:sz w:val="4"/>
                <w:szCs w:val="4"/>
              </w:rPr>
            </w:pPr>
            <w:r>
              <w:rPr>
                <w:sz w:val="4"/>
                <w:szCs w:val="4"/>
              </w:rPr>
            </w:r>
          </w:p>
        </w:tc>
      </w:tr>
      <w:tr>
        <w:trPr/>
        <w:tc>
          <w:tcPr>
            <w:tcW w:w="5223"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r>
              <w:rPr>
                <w:rFonts w:ascii="Times New Roman" w:hAnsi="Times New Roman"/>
                <w:sz w:val="20"/>
                <w:u w:val="single"/>
              </w:rPr>
              <w:t>                        </w:t>
            </w:r>
          </w:p>
        </w:tc>
        <w:tc>
          <w:tcPr>
            <w:tcW w:w="121"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pBdr>
                <w:bottom w:val="single" w:sz="2" w:space="1" w:color="000000"/>
              </w:pBdr>
              <w:spacing w:before="0" w:after="15"/>
              <w:rPr/>
            </w:pPr>
            <w:r>
              <w:rPr/>
              <w:t> </w:t>
            </w:r>
          </w:p>
        </w:tc>
      </w:tr>
      <w:tr>
        <w:trPr/>
        <w:tc>
          <w:tcPr>
            <w:tcW w:w="52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of Optionee</w:t>
            </w:r>
          </w:p>
        </w:tc>
      </w:tr>
    </w:tbl>
    <w:p>
      <w:pPr>
        <w:pStyle w:val="TextBody"/>
        <w:spacing w:before="0" w:after="0"/>
        <w:jc w:val="right"/>
        <w:rPr>
          <w:rFonts w:ascii="Times New Roman" w:hAnsi="Times New Roman"/>
          <w:b/>
          <w:sz w:val="20"/>
        </w:rPr>
      </w:pPr>
      <w:r>
        <w:br w:type="page"/>
      </w:r>
      <w:bookmarkStart w:id="41" w:name="dex1035.htm"/>
      <w:bookmarkStart w:id="42" w:name="ksdex1035"/>
      <w:bookmarkEnd w:id="41"/>
      <w:bookmarkEnd w:id="42"/>
      <w:r>
        <w:rPr>
          <w:rFonts w:ascii="Times New Roman" w:hAnsi="Times New Roman"/>
          <w:b/>
          <w:sz w:val="20"/>
        </w:rPr>
        <w:t xml:space="preserve">EXHIBIT 10.35 </w:t>
      </w:r>
    </w:p>
    <w:p>
      <w:pPr>
        <w:pStyle w:val="TextBody"/>
        <w:spacing w:before="90" w:after="0"/>
        <w:jc w:val="center"/>
        <w:rPr>
          <w:rFonts w:ascii="Times New Roman" w:hAnsi="Times New Roman"/>
          <w:b/>
          <w:sz w:val="20"/>
        </w:rPr>
      </w:pPr>
      <w:r>
        <w:rPr>
          <w:rFonts w:ascii="Times New Roman" w:hAnsi="Times New Roman"/>
          <w:b/>
          <w:sz w:val="20"/>
        </w:rPr>
        <w:t xml:space="preserve">STOCK OPTION AGREEMENT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1997 STOCK OPTION PLAN </w:t>
      </w:r>
    </w:p>
    <w:p>
      <w:pPr>
        <w:pStyle w:val="TextBody"/>
        <w:spacing w:before="180" w:after="0"/>
        <w:rPr>
          <w:rFonts w:ascii="Times New Roman" w:hAnsi="Times New Roman"/>
          <w:sz w:val="20"/>
        </w:rPr>
      </w:pPr>
      <w:r>
        <w:rPr>
          <w:rFonts w:ascii="Times New Roman" w:hAnsi="Times New Roman"/>
          <w:sz w:val="20"/>
        </w:rPr>
        <w:t>THIS AGREEMENT is dated and made effective as of May 25, 2005 (</w:t>
      </w:r>
      <w:r>
        <w:rPr>
          <w:rFonts w:ascii="Times New Roman" w:hAnsi="Times New Roman"/>
          <w:sz w:val="20"/>
          <w:u w:val="single"/>
        </w:rPr>
        <w:t>Effective Date</w:t>
      </w:r>
      <w:r>
        <w:rPr>
          <w:rFonts w:ascii="Times New Roman" w:hAnsi="Times New Roman"/>
          <w:sz w:val="20"/>
        </w:rPr>
        <w:t>) by and between CECO ENVIRONMENTAL CORP., a Delaware corporation (the </w:t>
      </w:r>
      <w:r>
        <w:rPr>
          <w:rFonts w:ascii="Times New Roman" w:hAnsi="Times New Roman"/>
          <w:sz w:val="20"/>
          <w:u w:val="single"/>
        </w:rPr>
        <w:t>Company</w:t>
      </w:r>
      <w:r>
        <w:rPr>
          <w:rFonts w:ascii="Times New Roman" w:hAnsi="Times New Roman"/>
          <w:sz w:val="20"/>
        </w:rPr>
        <w:t>), and ARTHUR CAPE (</w:t>
      </w:r>
      <w:r>
        <w:rPr>
          <w:rFonts w:ascii="Times New Roman" w:hAnsi="Times New Roman"/>
          <w:sz w:val="20"/>
          <w:u w:val="single"/>
        </w:rPr>
        <w:t>Optionee</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WITNESSETH: </w:t>
      </w:r>
    </w:p>
    <w:p>
      <w:pPr>
        <w:pStyle w:val="TextBody"/>
        <w:spacing w:before="180" w:after="0"/>
        <w:rPr>
          <w:rFonts w:ascii="Times New Roman" w:hAnsi="Times New Roman"/>
          <w:sz w:val="20"/>
        </w:rPr>
      </w:pPr>
      <w:r>
        <w:rPr>
          <w:rFonts w:ascii="Times New Roman" w:hAnsi="Times New Roman"/>
          <w:sz w:val="20"/>
        </w:rPr>
        <w:t xml:space="preserve">WHEREAS, Optionee on the date hereof is a Director of the Company or one of its Subsidiaries; and </w:t>
      </w:r>
    </w:p>
    <w:p>
      <w:pPr>
        <w:pStyle w:val="TextBody"/>
        <w:spacing w:before="180" w:after="0"/>
        <w:rPr>
          <w:rFonts w:ascii="Times New Roman" w:hAnsi="Times New Roman"/>
          <w:sz w:val="20"/>
        </w:rPr>
      </w:pPr>
      <w:r>
        <w:rPr>
          <w:rFonts w:ascii="Times New Roman" w:hAnsi="Times New Roman"/>
          <w:sz w:val="20"/>
        </w:rPr>
        <w:t>WHEREAS, the Company desires to grant a non-qualified stock option to Optionee to purchase shares of the Companys Common Stock pursuant to the Companys 1997 Stock Option Plan, as amended (the </w:t>
      </w:r>
      <w:r>
        <w:rPr>
          <w:rFonts w:ascii="Times New Roman" w:hAnsi="Times New Roman"/>
          <w:sz w:val="20"/>
          <w:u w:val="single"/>
        </w:rPr>
        <w:t>Plan</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sz w:val="20"/>
        </w:rPr>
        <w:t xml:space="preserve">WHEREAS, the Board of Directors of the Company has authorized the grant of a non-qualified stock option to Optionee at a price of $2.50 per share.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premises and of the mutual covenants herein contained, the parties hereto agree as follows: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b/>
          <w:sz w:val="20"/>
          <w:u w:val="single"/>
        </w:rPr>
        <w:t>Grant of Option</w:t>
      </w:r>
      <w:r>
        <w:rPr>
          <w:rFonts w:ascii="Times New Roman" w:hAnsi="Times New Roman"/>
          <w:sz w:val="20"/>
        </w:rPr>
        <w:t>. The Company hereby grants to Optionee as of the Effective Date the right and option (the </w:t>
      </w:r>
      <w:r>
        <w:rPr>
          <w:rFonts w:ascii="Times New Roman" w:hAnsi="Times New Roman"/>
          <w:sz w:val="20"/>
          <w:u w:val="single"/>
        </w:rPr>
        <w:t>Option</w:t>
      </w:r>
      <w:r>
        <w:rPr>
          <w:rFonts w:ascii="Times New Roman" w:hAnsi="Times New Roman"/>
          <w:sz w:val="20"/>
        </w:rPr>
        <w:t>) to purchase up to fifteen thousand (15,000) shares of Option Stock (</w:t>
      </w:r>
      <w:r>
        <w:rPr>
          <w:rFonts w:ascii="Times New Roman" w:hAnsi="Times New Roman"/>
          <w:sz w:val="20"/>
          <w:u w:val="single"/>
        </w:rPr>
        <w:t>Shares</w:t>
      </w:r>
      <w:r>
        <w:rPr>
          <w:rFonts w:ascii="Times New Roman" w:hAnsi="Times New Roman"/>
          <w:sz w:val="20"/>
        </w:rPr>
        <w:t xml:space="preserve">) at an exercise price of $2.50 per share on the terms and conditions set forth herein and subject to the terms and conditions of the Plan. </w:t>
      </w:r>
    </w:p>
    <w:p>
      <w:pPr>
        <w:pStyle w:val="TextBody"/>
        <w:spacing w:before="180" w:after="0"/>
        <w:rPr>
          <w:rFonts w:ascii="Times New Roman" w:hAnsi="Times New Roman"/>
          <w:sz w:val="20"/>
        </w:rPr>
      </w:pPr>
      <w:r>
        <w:rPr>
          <w:rFonts w:ascii="Times New Roman" w:hAnsi="Times New Roman"/>
          <w:sz w:val="20"/>
        </w:rPr>
        <w:t xml:space="preserve">All capitalized terms not defined in this Agreement shall have the meaning set forth in the Plan. </w:t>
      </w:r>
    </w:p>
    <w:p>
      <w:pPr>
        <w:pStyle w:val="TextBody"/>
        <w:spacing w:before="270" w:after="0"/>
        <w:rPr>
          <w:rFonts w:ascii="Times New Roman" w:hAnsi="Times New Roman"/>
          <w:sz w:val="20"/>
        </w:rPr>
      </w:pPr>
      <w:r>
        <w:rPr>
          <w:rFonts w:ascii="Times New Roman" w:hAnsi="Times New Roman"/>
          <w:sz w:val="20"/>
        </w:rPr>
        <w:t xml:space="preserve">2. </w:t>
      </w:r>
      <w:r>
        <w:rPr>
          <w:rFonts w:ascii="Times New Roman" w:hAnsi="Times New Roman"/>
          <w:b/>
          <w:sz w:val="20"/>
          <w:u w:val="single"/>
        </w:rPr>
        <w:t>Vesting, Exercisability and Duration</w:t>
      </w:r>
      <w:r>
        <w:rPr>
          <w:rFonts w:ascii="Times New Roman" w:hAnsi="Times New Roman"/>
          <w:sz w:val="20"/>
          <w:u w:val="single"/>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Vesting and Exercise Period</w:t>
      </w:r>
      <w:r>
        <w:rPr>
          <w:rFonts w:ascii="Times New Roman" w:hAnsi="Times New Roman"/>
          <w:sz w:val="20"/>
        </w:rPr>
        <w:t xml:space="preserve">. The Option shall vest and become exercisable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7"/>
        <w:gridCol w:w="405"/>
        <w:gridCol w:w="8473"/>
      </w:tblGrid>
      <w:tr>
        <w:trPr/>
        <w:tc>
          <w:tcPr>
            <w:tcW w:w="1327"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May 25, 2006, provided that the Optionee is a member of the Board of Directors of the Company as of such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6"/>
        <w:gridCol w:w="406"/>
        <w:gridCol w:w="8473"/>
      </w:tblGrid>
      <w:tr>
        <w:trPr/>
        <w:tc>
          <w:tcPr>
            <w:tcW w:w="132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May 25, 2007, provided that the Optionee is a member of the Board of Directors of the Company as of such date; and </w:t>
            </w:r>
          </w:p>
        </w:tc>
      </w:tr>
    </w:tbl>
    <w:p>
      <w:pPr>
        <w:pStyle w:val="HorizontalLine"/>
        <w:pBdr>
          <w:bottom w:val="double" w:sz="6" w:space="0" w:color="999999"/>
        </w:pBdr>
        <w:rPr/>
      </w:pPr>
      <w:r>
        <w:br w:type="page"/>
      </w:r>
      <w:r>
        <w:rPr/>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 options shall vest and become exercisable on May 25, 2008, provided that the Optionee is a member of the Board of Directors of the Company as of such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Unvested options may not be exercised. </w:t>
            </w:r>
          </w:p>
        </w:tc>
      </w:tr>
    </w:tbl>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Expiration</w:t>
      </w:r>
      <w:r>
        <w:rPr>
          <w:rFonts w:ascii="Times New Roman" w:hAnsi="Times New Roman"/>
          <w:sz w:val="20"/>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May 24, 2015 (the </w:t>
      </w:r>
      <w:r>
        <w:rPr>
          <w:rFonts w:ascii="Times New Roman" w:hAnsi="Times New Roman"/>
          <w:sz w:val="20"/>
          <w:u w:val="single"/>
        </w:rPr>
        <w:t>Expiration Date</w:t>
      </w:r>
      <w:r>
        <w:rPr>
          <w:rFonts w:ascii="Times New Roman" w:hAnsi="Times New Roman"/>
          <w:sz w:val="20"/>
        </w:rPr>
        <w:t xml:space="preserve">) and must be exercised, if at all, on or before the Expiration Date.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Lapse Upon Expiration</w:t>
      </w:r>
      <w:r>
        <w:rPr>
          <w:rFonts w:ascii="Times New Roman" w:hAnsi="Times New Roman"/>
          <w:sz w:val="20"/>
        </w:rPr>
        <w:t xml:space="preserve">. To the extent that this Option is not exercised prior to the Expiration Date, all rights of Optionee under this Option shall thereupon be forfeited. </w:t>
      </w:r>
    </w:p>
    <w:p>
      <w:pPr>
        <w:pStyle w:val="TextBody"/>
        <w:spacing w:before="27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Manner of Exercise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Form of Payment</w:t>
      </w:r>
      <w:r>
        <w:rPr>
          <w:rFonts w:ascii="Times New Roman" w:hAnsi="Times New Roman"/>
          <w:sz w:val="20"/>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Times New Roman" w:hAnsi="Times New Roman"/>
          <w:sz w:val="20"/>
          <w:u w:val="single"/>
        </w:rPr>
        <w:t>NASD Dealer</w:t>
      </w:r>
      <w:r>
        <w:rPr>
          <w:rFonts w:ascii="Times New Roman" w:hAnsi="Times New Roman"/>
          <w:sz w:val="20"/>
        </w:rPr>
        <w:t xml:space="preserve">)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Transfer Records</w:t>
      </w:r>
      <w:r>
        <w:rPr>
          <w:rFonts w:ascii="Times New Roman" w:hAnsi="Times New Roman"/>
          <w:sz w:val="20"/>
        </w:rPr>
        <w:t xml:space="preserve">. Provided that the notice of exercise and payment are in form and substance satisfactory to counsel for the Company, as soon as practicable after the effective exercise of all or any part of the Option, Optionee shall be recorded on the stock transfer books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Company as the owner of the Shares purchased, and the Company shall deliver to 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 </w:t>
      </w:r>
    </w:p>
    <w:p>
      <w:pPr>
        <w:pStyle w:val="TextBody"/>
        <w:spacing w:before="180" w:after="0"/>
        <w:rPr>
          <w:rFonts w:ascii="Times New Roman" w:hAnsi="Times New Roman"/>
          <w:sz w:val="20"/>
        </w:rPr>
      </w:pPr>
      <w:r>
        <w:rPr>
          <w:rFonts w:ascii="Times New Roman" w:hAnsi="Times New Roman"/>
          <w:sz w:val="20"/>
        </w:rPr>
        <w:t xml:space="preserve">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 </w:t>
      </w:r>
    </w:p>
    <w:p>
      <w:pPr>
        <w:pStyle w:val="TextBody"/>
        <w:spacing w:before="270" w:after="0"/>
        <w:rPr>
          <w:rFonts w:ascii="Times New Roman" w:hAnsi="Times New Roman"/>
          <w:sz w:val="20"/>
        </w:rPr>
      </w:pPr>
      <w:r>
        <w:rPr>
          <w:rFonts w:ascii="Times New Roman" w:hAnsi="Times New Roman"/>
          <w:sz w:val="20"/>
        </w:rPr>
        <w:t xml:space="preserve">4. </w:t>
      </w:r>
      <w:r>
        <w:rPr>
          <w:rFonts w:ascii="Times New Roman" w:hAnsi="Times New Roman"/>
          <w:b/>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Rights to Employment and Rights as Shareholder</w:t>
      </w:r>
      <w:r>
        <w:rPr>
          <w:rFonts w:ascii="Times New Roman" w:hAnsi="Times New Roman"/>
          <w:sz w:val="20"/>
        </w:rPr>
        <w:t xml:space="preserve">.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Law Compliance</w:t>
      </w:r>
      <w:r>
        <w:rPr>
          <w:rFonts w:ascii="Times New Roman" w:hAnsi="Times New Roman"/>
          <w:sz w:val="20"/>
        </w:rPr>
        <w:t xml:space="preserve">.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Recapitalization, Stock Splits, Etc.</w:t>
      </w:r>
      <w:r>
        <w:rPr>
          <w:rFonts w:ascii="Times New Roman" w:hAnsi="Times New Roman"/>
          <w:sz w:val="20"/>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Nontransferability</w:t>
      </w:r>
      <w:r>
        <w:rPr>
          <w:rFonts w:ascii="Times New Roman" w:hAnsi="Times New Roman"/>
          <w:sz w:val="20"/>
        </w:rPr>
        <w:t xml:space="preserve">.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1997 Stock Option Plan</w:t>
      </w:r>
      <w:r>
        <w:rPr>
          <w:rFonts w:ascii="Times New Roman" w:hAnsi="Times New Roman"/>
          <w:sz w:val="20"/>
        </w:rPr>
        <w:t xml:space="preserve">.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w:t>
      </w:r>
      <w:r>
        <w:rPr>
          <w:rFonts w:ascii="Times New Roman" w:hAnsi="Times New Roman"/>
          <w:sz w:val="20"/>
        </w:rPr>
        <w:t xml:space="preserve">.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Scope of Agreement</w:t>
      </w:r>
      <w:r>
        <w:rPr>
          <w:rFonts w:ascii="Times New Roman" w:hAnsi="Times New Roman"/>
          <w:sz w:val="20"/>
        </w:rPr>
        <w:t xml:space="preserve">. This Agreement shall bind and inure to the benefit of the Company and its successors and assigns and Optionee and any successor or successors of Optionee permitted Section 4(d) of this Agreement.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Interpretation</w:t>
      </w:r>
      <w:r>
        <w:rPr>
          <w:rFonts w:ascii="Times New Roman" w:hAnsi="Times New Roman"/>
          <w:sz w:val="20"/>
        </w:rPr>
        <w:t xml:space="preserve">.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Entire Option</w:t>
      </w:r>
      <w:r>
        <w:rPr>
          <w:rFonts w:ascii="Times New Roman" w:hAnsi="Times New Roman"/>
          <w:sz w:val="20"/>
        </w:rPr>
        <w:t xml:space="preserve">.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sz w:val="20"/>
          <w:u w:val="single"/>
        </w:rPr>
        <w:t>Successors and Assigns</w:t>
      </w:r>
      <w:r>
        <w:rPr>
          <w:rFonts w:ascii="Times New Roman" w:hAnsi="Times New Roman"/>
          <w:sz w:val="20"/>
        </w:rPr>
        <w:t xml:space="preserve">.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sz w:val="20"/>
          <w:u w:val="single"/>
        </w:rPr>
        <w:t>Market Standoff Agreement</w:t>
      </w:r>
      <w:r>
        <w:rPr>
          <w:rFonts w:ascii="Times New Roman" w:hAnsi="Times New Roman"/>
          <w:sz w:val="20"/>
        </w:rPr>
        <w:t xml:space="preserve">.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sz w:val="20"/>
          <w:u w:val="single"/>
        </w:rPr>
        <w:t>Governing Law</w:t>
      </w:r>
      <w:r>
        <w:rPr>
          <w:rFonts w:ascii="Times New Roman" w:hAnsi="Times New Roman"/>
          <w:sz w:val="20"/>
        </w:rPr>
        <w:t xml:space="preserve">. The Option shall be governed by and construed in accordance with the internal laws of the State of Delaware, without regard to that body of law pertaining to choice of law or conflict of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Agreement to be executed on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50"/>
        <w:gridCol w:w="146"/>
        <w:gridCol w:w="4953"/>
        <w:gridCol w:w="115"/>
        <w:gridCol w:w="368"/>
        <w:gridCol w:w="115"/>
        <w:gridCol w:w="3958"/>
      </w:tblGrid>
      <w:tr>
        <w:trPr/>
        <w:tc>
          <w:tcPr>
            <w:tcW w:w="5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495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564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1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OPTIONEE</w:t>
            </w:r>
          </w:p>
        </w:tc>
      </w:tr>
      <w:tr>
        <w:trPr>
          <w:trHeight w:val="240" w:hRule="atLeast"/>
        </w:trPr>
        <w:tc>
          <w:tcPr>
            <w:tcW w:w="550" w:type="dxa"/>
            <w:tcBorders/>
            <w:shd w:fill="auto" w:val="clear"/>
            <w:vAlign w:val="center"/>
          </w:tcPr>
          <w:p>
            <w:pPr>
              <w:pStyle w:val="TableContents"/>
              <w:spacing w:before="0" w:after="283"/>
              <w:rPr>
                <w:sz w:val="4"/>
                <w:szCs w:val="4"/>
              </w:rPr>
            </w:pPr>
            <w:r>
              <w:rPr>
                <w:sz w:val="4"/>
                <w:szCs w:val="4"/>
              </w:rPr>
            </w:r>
          </w:p>
        </w:tc>
        <w:tc>
          <w:tcPr>
            <w:tcW w:w="5099" w:type="dxa"/>
            <w:gridSpan w:val="2"/>
            <w:tcBorders/>
            <w:shd w:fill="auto" w:val="clear"/>
            <w:vAlign w:val="center"/>
          </w:tcPr>
          <w:p>
            <w:pPr>
              <w:pStyle w:val="TableContents"/>
              <w:spacing w:before="0" w:after="283"/>
              <w:rPr>
                <w:sz w:val="4"/>
                <w:szCs w:val="4"/>
              </w:rPr>
            </w:pPr>
            <w:r>
              <w:rPr>
                <w:sz w:val="4"/>
                <w:szCs w:val="4"/>
              </w:rPr>
            </w:r>
          </w:p>
        </w:tc>
        <w:tc>
          <w:tcPr>
            <w:tcW w:w="483"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55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46" w:type="dxa"/>
            <w:tcBorders/>
            <w:shd w:fill="auto" w:val="clear"/>
            <w:vAlign w:val="bottom"/>
          </w:tcPr>
          <w:p>
            <w:pPr>
              <w:pStyle w:val="TableContents"/>
              <w:spacing w:before="0" w:after="283"/>
              <w:rPr/>
            </w:pPr>
            <w:r>
              <w:rPr/>
              <w:t> </w:t>
            </w:r>
          </w:p>
        </w:tc>
        <w:tc>
          <w:tcPr>
            <w:tcW w:w="495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c>
          <w:tcPr>
            <w:tcW w:w="1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Arthur Cape</w:t>
            </w:r>
          </w:p>
        </w:tc>
      </w:tr>
      <w:tr>
        <w:trPr/>
        <w:tc>
          <w:tcPr>
            <w:tcW w:w="550"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46" w:type="dxa"/>
            <w:tcBorders/>
            <w:shd w:fill="auto" w:val="clear"/>
            <w:vAlign w:val="bottom"/>
          </w:tcPr>
          <w:p>
            <w:pPr>
              <w:pStyle w:val="TableContents"/>
              <w:spacing w:before="0" w:after="283"/>
              <w:rPr/>
            </w:pPr>
            <w:r>
              <w:rPr/>
              <w:t> </w:t>
            </w:r>
          </w:p>
        </w:tc>
        <w:tc>
          <w:tcPr>
            <w:tcW w:w="49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and CEO</w:t>
            </w:r>
          </w:p>
        </w:tc>
        <w:tc>
          <w:tcPr>
            <w:tcW w:w="1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Arthur Cape</w:t>
            </w:r>
          </w:p>
        </w:tc>
      </w:tr>
      <w:tr>
        <w:trPr>
          <w:trHeight w:val="240" w:hRule="atLeast"/>
        </w:trPr>
        <w:tc>
          <w:tcPr>
            <w:tcW w:w="5649" w:type="dxa"/>
            <w:gridSpan w:val="3"/>
            <w:tcBorders/>
            <w:shd w:fill="auto" w:val="clear"/>
            <w:vAlign w:val="center"/>
          </w:tcPr>
          <w:p>
            <w:pPr>
              <w:pStyle w:val="TableContents"/>
              <w:spacing w:before="0" w:after="283"/>
              <w:rPr>
                <w:sz w:val="4"/>
                <w:szCs w:val="4"/>
              </w:rPr>
            </w:pPr>
            <w:r>
              <w:rPr>
                <w:sz w:val="4"/>
                <w:szCs w:val="4"/>
              </w:rPr>
            </w:r>
          </w:p>
        </w:tc>
        <w:tc>
          <w:tcPr>
            <w:tcW w:w="483"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564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Grant set forth in this Agreement</w:t>
              <w:br/>
              <w:t>has been approved by Administrators</w:t>
              <w:br/>
              <w:t>of CECO Environmental Corp.</w:t>
              <w:br/>
              <w:t>1997 Stock Option Plan</w:t>
            </w:r>
          </w:p>
        </w:tc>
        <w:tc>
          <w:tcPr>
            <w:tcW w:w="11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1997 STOCK OPTION PLAN (the Plan) </w:t>
      </w:r>
    </w:p>
    <w:p>
      <w:pPr>
        <w:pStyle w:val="TextBody"/>
        <w:spacing w:before="0" w:after="0"/>
        <w:jc w:val="center"/>
        <w:rPr>
          <w:rFonts w:ascii="Times New Roman" w:hAnsi="Times New Roman"/>
          <w:b/>
          <w:sz w:val="20"/>
        </w:rPr>
      </w:pPr>
      <w:r>
        <w:rPr>
          <w:rFonts w:ascii="Times New Roman" w:hAnsi="Times New Roman"/>
          <w:b/>
          <w:sz w:val="20"/>
        </w:rPr>
        <w:t xml:space="preserve">STOCK OPTION EXERCISE AGREEMENT </w:t>
      </w:r>
    </w:p>
    <w:p>
      <w:pPr>
        <w:pStyle w:val="TextBody"/>
        <w:spacing w:before="180" w:after="0"/>
        <w:rPr>
          <w:rFonts w:ascii="Times New Roman" w:hAnsi="Times New Roman"/>
          <w:sz w:val="20"/>
        </w:rPr>
      </w:pPr>
      <w:r>
        <w:rPr>
          <w:rFonts w:ascii="Times New Roman" w:hAnsi="Times New Roman"/>
          <w:sz w:val="20"/>
        </w:rPr>
        <w:t xml:space="preserve">I hereby elect to purchase the number of shares of Common Stock of CECO ENVIRONMENTAL CORP. (the Company) as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68"/>
        <w:gridCol w:w="89"/>
        <w:gridCol w:w="2650"/>
        <w:gridCol w:w="134"/>
        <w:gridCol w:w="2713"/>
        <w:gridCol w:w="134"/>
        <w:gridCol w:w="3217"/>
      </w:tblGrid>
      <w:tr>
        <w:trPr/>
        <w:tc>
          <w:tcPr>
            <w:tcW w:w="126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26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3217" w:type="dxa"/>
            <w:tcBorders/>
            <w:shd w:fill="auto" w:val="clear"/>
            <w:vAlign w:val="center"/>
          </w:tcPr>
          <w:p>
            <w:pPr>
              <w:pStyle w:val="TableContents"/>
              <w:spacing w:before="0" w:after="283"/>
              <w:rPr>
                <w:sz w:val="4"/>
                <w:szCs w:val="4"/>
              </w:rPr>
            </w:pPr>
            <w:r>
              <w:rPr>
                <w:sz w:val="4"/>
                <w:szCs w:val="4"/>
              </w:rPr>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Optionee: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Number of Shares Purchased:</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Social Security Number: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per Share:</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Purchase Price:</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4007" w:type="dxa"/>
            <w:gridSpan w:val="3"/>
            <w:tcBorders/>
            <w:shd w:fill="auto" w:val="clear"/>
          </w:tcPr>
          <w:p>
            <w:pPr>
              <w:pStyle w:val="TableContents"/>
              <w:spacing w:before="0" w:after="283"/>
              <w:rPr>
                <w:u w:val="single"/>
              </w:rPr>
            </w:pPr>
            <w:r>
              <w:rPr>
                <w:u w:val="single"/>
              </w:rPr>
              <w:t>                                                                                  </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Date of Option Agreement:</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1268" w:type="dxa"/>
            <w:tcBorders/>
            <w:shd w:fill="auto" w:val="clear"/>
          </w:tcPr>
          <w:p>
            <w:pPr>
              <w:pStyle w:val="TableContents"/>
              <w:spacing w:before="0" w:after="283"/>
              <w:rPr>
                <w:rFonts w:ascii="Times New Roman" w:hAnsi="Times New Roman"/>
                <w:sz w:val="20"/>
              </w:rPr>
            </w:pPr>
            <w:r>
              <w:rPr>
                <w:rFonts w:ascii="Times New Roman" w:hAnsi="Times New Roman"/>
                <w:sz w:val="20"/>
              </w:rPr>
              <w:t>Type of Option:</w:t>
            </w:r>
          </w:p>
        </w:tc>
        <w:tc>
          <w:tcPr>
            <w:tcW w:w="89" w:type="dxa"/>
            <w:tcBorders/>
            <w:shd w:fill="auto" w:val="clear"/>
            <w:vAlign w:val="bottom"/>
          </w:tcPr>
          <w:p>
            <w:pPr>
              <w:pStyle w:val="TableContents"/>
              <w:spacing w:before="0" w:after="283"/>
              <w:rPr/>
            </w:pPr>
            <w:r>
              <w:rPr/>
              <w:t> </w:t>
            </w:r>
          </w:p>
        </w:tc>
        <w:tc>
          <w:tcPr>
            <w:tcW w:w="2650" w:type="dxa"/>
            <w:tcBorders/>
            <w:shd w:fill="auto" w:val="clear"/>
          </w:tcPr>
          <w:p>
            <w:pPr>
              <w:pStyle w:val="TableContents"/>
              <w:spacing w:before="0" w:after="283"/>
              <w:rPr/>
            </w:pPr>
            <w:r>
              <w:rPr>
                <w:color w:val="000000"/>
              </w:rPr>
              <w:t>☐</w:t>
            </w:r>
            <w:r>
              <w:rPr/>
              <w:t>  </w:t>
            </w:r>
            <w:r>
              <w:rPr>
                <w:rFonts w:ascii="Times New Roman" w:hAnsi="Times New Roman"/>
                <w:sz w:val="20"/>
              </w:rPr>
              <w:t>Incentive Stock Option</w:t>
            </w:r>
          </w:p>
        </w:tc>
        <w:tc>
          <w:tcPr>
            <w:tcW w:w="134" w:type="dxa"/>
            <w:tcBorders/>
            <w:shd w:fill="auto" w:val="clear"/>
            <w:vAlign w:val="bottom"/>
          </w:tcPr>
          <w:p>
            <w:pPr>
              <w:pStyle w:val="TableContents"/>
              <w:spacing w:before="0" w:after="283"/>
              <w:rPr/>
            </w:pPr>
            <w:r>
              <w:rPr/>
              <w:t>  </w:t>
            </w:r>
          </w:p>
        </w:tc>
        <w:tc>
          <w:tcPr>
            <w:tcW w:w="2713" w:type="dxa"/>
            <w:tcBorders/>
            <w:shd w:fill="auto" w:val="clear"/>
          </w:tcPr>
          <w:p>
            <w:pPr>
              <w:pStyle w:val="TableContents"/>
              <w:spacing w:before="0" w:after="283"/>
              <w:rPr>
                <w:rFonts w:ascii="Times New Roman" w:hAnsi="Times New Roman"/>
                <w:sz w:val="20"/>
              </w:rPr>
            </w:pPr>
            <w:r>
              <w:rPr>
                <w:rFonts w:ascii="Times New Roman" w:hAnsi="Times New Roman"/>
                <w:sz w:val="20"/>
              </w:rPr>
              <w:t>Exact Name of Title to Shares:</w:t>
            </w:r>
          </w:p>
        </w:tc>
        <w:tc>
          <w:tcPr>
            <w:tcW w:w="134" w:type="dxa"/>
            <w:tcBorders/>
            <w:shd w:fill="auto" w:val="clear"/>
            <w:vAlign w:val="bottom"/>
          </w:tcPr>
          <w:p>
            <w:pPr>
              <w:pStyle w:val="TableContents"/>
              <w:spacing w:before="0" w:after="283"/>
              <w:rPr/>
            </w:pPr>
            <w:r>
              <w:rPr/>
              <w:t>  </w:t>
            </w:r>
          </w:p>
        </w:tc>
        <w:tc>
          <w:tcPr>
            <w:tcW w:w="3217" w:type="dxa"/>
            <w:tcBorders/>
            <w:shd w:fill="auto" w:val="clear"/>
          </w:tcPr>
          <w:p>
            <w:pPr>
              <w:pStyle w:val="TableContents"/>
              <w:spacing w:before="0" w:after="283"/>
              <w:rPr>
                <w:u w:val="single"/>
              </w:rPr>
            </w:pPr>
            <w:r>
              <w:rPr>
                <w:u w:val="single"/>
              </w:rPr>
              <w:t>                                                                 </w:t>
            </w:r>
          </w:p>
        </w:tc>
      </w:tr>
      <w:tr>
        <w:trPr/>
        <w:tc>
          <w:tcPr>
            <w:tcW w:w="1268" w:type="dxa"/>
            <w:tcBorders/>
            <w:shd w:fill="auto" w:val="clea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2650" w:type="dxa"/>
            <w:tcBorders/>
            <w:shd w:fill="auto" w:val="clear"/>
          </w:tcPr>
          <w:p>
            <w:pPr>
              <w:pStyle w:val="TableContents"/>
              <w:spacing w:before="0" w:after="283"/>
              <w:rPr/>
            </w:pPr>
            <w:r>
              <w:rPr>
                <w:color w:val="000000"/>
              </w:rPr>
              <w:t>☐</w:t>
            </w:r>
            <w:r>
              <w:rPr/>
              <w:t>  </w:t>
            </w:r>
            <w:r>
              <w:rPr>
                <w:rFonts w:ascii="Times New Roman" w:hAnsi="Times New Roman"/>
                <w:sz w:val="20"/>
              </w:rPr>
              <w:t>Nonqualified Stock Option</w:t>
            </w:r>
          </w:p>
        </w:tc>
        <w:tc>
          <w:tcPr>
            <w:tcW w:w="134" w:type="dxa"/>
            <w:tcBorders/>
            <w:shd w:fill="auto" w:val="clear"/>
            <w:vAlign w:val="bottom"/>
          </w:tcPr>
          <w:p>
            <w:pPr>
              <w:pStyle w:val="TableContents"/>
              <w:spacing w:before="0" w:after="283"/>
              <w:rPr/>
            </w:pPr>
            <w:r>
              <w:rPr/>
              <w:t>  </w:t>
            </w:r>
          </w:p>
        </w:tc>
        <w:tc>
          <w:tcPr>
            <w:tcW w:w="6064" w:type="dxa"/>
            <w:gridSpan w:val="3"/>
            <w:tcBorders/>
            <w:shd w:fill="auto" w:val="clear"/>
          </w:tcPr>
          <w:p>
            <w:pPr>
              <w:pStyle w:val="TableContents"/>
              <w:spacing w:before="0" w:after="283"/>
              <w:rPr>
                <w:u w:val="single"/>
              </w:rPr>
            </w:pPr>
            <w:r>
              <w:rPr>
                <w:u w:val="single"/>
              </w:rPr>
              <w:t>                                                                                          </w:t>
            </w:r>
          </w:p>
        </w:tc>
      </w:tr>
    </w:tbl>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Delivery of Purchase Price</w:t>
      </w:r>
      <w:r>
        <w:rPr>
          <w:rFonts w:ascii="Times New Roman" w:hAnsi="Times New Roman"/>
          <w:sz w:val="20"/>
        </w:rPr>
        <w:t xml:space="preserve">. Optionee hereby delivers to the Company the Aggregate Purchase Price, to the extent permitted in the Option Agreement (the Option Agreement), as follows (check as applicable and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in cash (by check) in the amount of $</w:t>
            </w:r>
            <w:r>
              <w:rPr>
                <w:rFonts w:ascii="Times New Roman" w:hAnsi="Times New Roman"/>
                <w:sz w:val="20"/>
                <w:u w:val="single"/>
              </w:rPr>
              <w:t>            </w:t>
            </w:r>
            <w:r>
              <w:rPr>
                <w:rFonts w:ascii="Times New Roman" w:hAnsi="Times New Roman"/>
                <w:sz w:val="20"/>
              </w:rPr>
              <w:t xml:space="preserve">, receipt of which is acknowledged by the Company; </w:t>
            </w:r>
          </w:p>
        </w:tc>
      </w:tr>
    </w:tbl>
    <w:p>
      <w:pPr>
        <w:pStyle w:val="TextBody"/>
        <w:spacing w:before="180" w:after="0"/>
        <w:rPr>
          <w:rFonts w:ascii="Times New Roman" w:hAnsi="Times New Roman"/>
          <w:sz w:val="20"/>
        </w:rPr>
      </w:pPr>
      <w:r>
        <w:rPr>
          <w:rFonts w:ascii="Times New Roman" w:hAnsi="Times New Roman"/>
          <w:sz w:val="20"/>
        </w:rPr>
        <w:t xml:space="preserve">If the Committee allowed payment by other means in the Stock Option Agreement, add one or more of the following, as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by delivery of </w:t>
            </w:r>
            <w:r>
              <w:rPr>
                <w:rFonts w:ascii="Times New Roman" w:hAnsi="Times New Roman"/>
                <w:sz w:val="20"/>
                <w:u w:val="single"/>
              </w:rPr>
              <w:t>            </w:t>
            </w:r>
            <w:r>
              <w:rPr>
                <w:rFonts w:ascii="Times New Roman" w:hAnsi="Times New Roman"/>
                <w:sz w:val="20"/>
              </w:rPr>
              <w:t xml:space="preserve"> fully-paid, nonassessable and vested shares of the Common Stock of the Company owned by Optionee for at least six (6) months prior to the date hereof (and which have been paid for within the meaning of SEC Rule 144), or obtained by Optionee in the open public market, and owned free and clear of all liens, claims, encumbrances or security interests, valued at the current Fair Market Value of $</w:t>
            </w:r>
            <w:r>
              <w:rPr>
                <w:rFonts w:ascii="Times New Roman" w:hAnsi="Times New Roman"/>
                <w:sz w:val="20"/>
                <w:u w:val="single"/>
              </w:rPr>
              <w:t>            </w:t>
            </w:r>
            <w:r>
              <w:rPr>
                <w:rFonts w:ascii="Times New Roman" w:hAnsi="Times New Roman"/>
                <w:sz w:val="20"/>
              </w:rPr>
              <w:t xml:space="preserv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through a same-day-sale commitment, delivered herewith, from Optionee and the NASD Dealer named therein, in the amount of $</w:t>
            </w:r>
            <w:r>
              <w:rPr>
                <w:rFonts w:ascii="Times New Roman" w:hAnsi="Times New Roman"/>
                <w:sz w:val="20"/>
                <w:u w:val="single"/>
              </w:rPr>
              <w:t>            </w:t>
            </w:r>
            <w:r>
              <w:rPr>
                <w:rFonts w:ascii="Times New Roman" w:hAnsi="Times New Roman"/>
                <w:sz w:val="20"/>
              </w:rPr>
              <w:t xml:space="preserv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color w:val="000000"/>
              </w:rPr>
            </w:pPr>
            <w:r>
              <w:rPr>
                <w:color w:val="00000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through a margin commitment, delivered herewith from Optionee and the NASD Dealer named therein, in the amount of $</w:t>
            </w:r>
            <w:r>
              <w:rPr>
                <w:rFonts w:ascii="Times New Roman" w:hAnsi="Times New Roman"/>
                <w:sz w:val="20"/>
                <w:u w:val="single"/>
              </w:rPr>
              <w:t>            </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Market Standoff Agreement</w:t>
      </w:r>
      <w:r>
        <w:rPr>
          <w:rFonts w:ascii="Times New Roman" w:hAnsi="Times New Roman"/>
          <w:sz w:val="20"/>
        </w:rPr>
        <w:t xml:space="preserve">.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Tax Consequences</w:t>
      </w:r>
      <w:r>
        <w:rPr>
          <w:rFonts w:ascii="Times New Roman" w:hAnsi="Times New Roman"/>
          <w:sz w:val="20"/>
        </w:rPr>
        <w:t xml:space="preserve">.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Entire Agreement</w:t>
      </w:r>
      <w:r>
        <w:rPr>
          <w:rFonts w:ascii="Times New Roman" w:hAnsi="Times New Roman"/>
          <w:sz w:val="20"/>
        </w:rPr>
        <w:t xml:space="preserve">.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23"/>
        <w:gridCol w:w="121"/>
        <w:gridCol w:w="4861"/>
      </w:tblGrid>
      <w:tr>
        <w:trPr/>
        <w:tc>
          <w:tcPr>
            <w:tcW w:w="52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861" w:type="dxa"/>
            <w:tcBorders/>
            <w:shd w:fill="auto" w:val="clear"/>
            <w:vAlign w:val="center"/>
          </w:tcPr>
          <w:p>
            <w:pPr>
              <w:pStyle w:val="TableContents"/>
              <w:spacing w:before="0" w:after="283"/>
              <w:rPr>
                <w:sz w:val="4"/>
                <w:szCs w:val="4"/>
              </w:rPr>
            </w:pPr>
            <w:r>
              <w:rPr>
                <w:sz w:val="4"/>
                <w:szCs w:val="4"/>
              </w:rPr>
            </w:r>
          </w:p>
        </w:tc>
      </w:tr>
      <w:tr>
        <w:trPr/>
        <w:tc>
          <w:tcPr>
            <w:tcW w:w="5223"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r>
              <w:rPr>
                <w:rFonts w:ascii="Times New Roman" w:hAnsi="Times New Roman"/>
                <w:sz w:val="20"/>
                <w:u w:val="single"/>
              </w:rPr>
              <w:t>                        </w:t>
            </w:r>
          </w:p>
        </w:tc>
        <w:tc>
          <w:tcPr>
            <w:tcW w:w="121"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pBdr>
                <w:bottom w:val="single" w:sz="2" w:space="1" w:color="000000"/>
              </w:pBdr>
              <w:spacing w:before="0" w:after="15"/>
              <w:rPr/>
            </w:pPr>
            <w:r>
              <w:rPr/>
              <w:t> </w:t>
            </w:r>
          </w:p>
        </w:tc>
      </w:tr>
      <w:tr>
        <w:trPr/>
        <w:tc>
          <w:tcPr>
            <w:tcW w:w="522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 of Optionee</w:t>
            </w:r>
          </w:p>
        </w:tc>
      </w:tr>
    </w:tbl>
    <w:p>
      <w:pPr>
        <w:pStyle w:val="TextBody"/>
        <w:spacing w:before="0" w:after="0"/>
        <w:jc w:val="right"/>
        <w:rPr>
          <w:rFonts w:ascii="Times New Roman" w:hAnsi="Times New Roman"/>
          <w:b/>
          <w:sz w:val="20"/>
        </w:rPr>
      </w:pPr>
      <w:r>
        <w:br w:type="page"/>
      </w:r>
      <w:bookmarkStart w:id="43" w:name="dex1038.htm"/>
      <w:bookmarkStart w:id="44" w:name="ksdex1038"/>
      <w:bookmarkEnd w:id="43"/>
      <w:bookmarkEnd w:id="44"/>
      <w:r>
        <w:rPr>
          <w:rFonts w:ascii="Times New Roman" w:hAnsi="Times New Roman"/>
          <w:b/>
          <w:sz w:val="20"/>
        </w:rPr>
        <w:t xml:space="preserve">EXHIBIT 10.38 </w:t>
      </w:r>
    </w:p>
    <w:p>
      <w:pPr>
        <w:pStyle w:val="TextBody"/>
        <w:spacing w:before="180" w:after="0"/>
        <w:jc w:val="center"/>
        <w:rPr>
          <w:rFonts w:ascii="Times New Roman" w:hAnsi="Times New Roman"/>
          <w:b/>
          <w:sz w:val="20"/>
        </w:rPr>
      </w:pPr>
      <w:r>
        <w:rPr>
          <w:rFonts w:ascii="Times New Roman" w:hAnsi="Times New Roman"/>
          <w:b/>
          <w:sz w:val="20"/>
        </w:rPr>
        <w:t xml:space="preserve">PURCHASE AGREEMENT </w:t>
      </w:r>
    </w:p>
    <w:p>
      <w:pPr>
        <w:pStyle w:val="TextBody"/>
        <w:spacing w:before="180" w:after="0"/>
        <w:rPr/>
      </w:pPr>
      <w:r>
        <w:rPr>
          <w:rFonts w:ascii="Times New Roman" w:hAnsi="Times New Roman"/>
          <w:b/>
          <w:sz w:val="20"/>
        </w:rPr>
        <w:t>THIS PURCHASE AGREEMENT</w:t>
      </w:r>
      <w:r>
        <w:rPr>
          <w:rFonts w:ascii="Times New Roman" w:hAnsi="Times New Roman"/>
          <w:sz w:val="20"/>
        </w:rPr>
        <w:t xml:space="preserve"> (this Agreement) is made as of this 6</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September, 2005 (the Effective Date) by and between The Kirk &amp; Blum Manufacturing Company, whose address is 3120 Forrer Street, Cincinnati, OH 45209 (Purchaser), and Buckley Properties Co., whose address is 10333 Wayne Avenue, Cincinnati, Ohio 45215 (Seller). </w:t>
      </w:r>
    </w:p>
    <w:p>
      <w:pPr>
        <w:pStyle w:val="TextBody"/>
        <w:spacing w:before="360" w:after="0"/>
        <w:jc w:val="center"/>
        <w:rPr>
          <w:rFonts w:ascii="Times New Roman" w:hAnsi="Times New Roman"/>
          <w:b/>
          <w:sz w:val="20"/>
        </w:rPr>
      </w:pPr>
      <w:r>
        <w:rPr>
          <w:rFonts w:ascii="Times New Roman" w:hAnsi="Times New Roman"/>
          <w:b/>
          <w:sz w:val="20"/>
        </w:rPr>
        <w:t xml:space="preserve">PRELIMINARY STATEMENT </w:t>
      </w:r>
    </w:p>
    <w:p>
      <w:pPr>
        <w:pStyle w:val="TextBody"/>
        <w:spacing w:before="180" w:after="0"/>
        <w:rPr>
          <w:rFonts w:ascii="Times New Roman" w:hAnsi="Times New Roman"/>
          <w:sz w:val="20"/>
        </w:rPr>
      </w:pPr>
      <w:r>
        <w:rPr>
          <w:rFonts w:ascii="Times New Roman" w:hAnsi="Times New Roman"/>
          <w:sz w:val="20"/>
        </w:rPr>
        <w:t xml:space="preserve">Seller is the owner in fee simple of certain real property and improvements located on Wayne Avenue in Woodlawn, Ohio (said real property in its entirety contains approximately 5.6 acres, as further described in Exhibit A attached hereto, and 145,870 square feet of improvements, and referred to herein as the Property). Purchaser desires to purchase the Property and Seller desires to sell the Property in accordance with the terms and conditions set forth below. </w:t>
      </w:r>
    </w:p>
    <w:p>
      <w:pPr>
        <w:pStyle w:val="TextBody"/>
        <w:spacing w:before="360" w:after="0"/>
        <w:jc w:val="center"/>
        <w:rPr>
          <w:rFonts w:ascii="Times New Roman" w:hAnsi="Times New Roman"/>
          <w:b/>
          <w:sz w:val="20"/>
        </w:rPr>
      </w:pPr>
      <w:r>
        <w:rPr>
          <w:rFonts w:ascii="Times New Roman" w:hAnsi="Times New Roman"/>
          <w:b/>
          <w:sz w:val="20"/>
        </w:rPr>
        <w:t xml:space="preserve">AGREEMENT </w:t>
      </w:r>
    </w:p>
    <w:p>
      <w:pPr>
        <w:pStyle w:val="TextBody"/>
        <w:spacing w:before="180" w:after="0"/>
        <w:rPr>
          <w:rFonts w:ascii="Times New Roman" w:hAnsi="Times New Roman"/>
          <w:sz w:val="20"/>
        </w:rPr>
      </w:pPr>
      <w:r>
        <w:rPr>
          <w:rFonts w:ascii="Times New Roman" w:hAnsi="Times New Roman"/>
          <w:sz w:val="20"/>
        </w:rPr>
        <w:t xml:space="preserve">In consideration of the mutual covenants and provisions of this Agreement, the parties agree as follows: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b/>
          <w:i/>
          <w:sz w:val="20"/>
        </w:rPr>
        <w:t>Purchase and Sale</w:t>
      </w:r>
      <w:r>
        <w:rPr>
          <w:rFonts w:ascii="Times New Roman" w:hAnsi="Times New Roman"/>
          <w:sz w:val="20"/>
        </w:rPr>
        <w:t xml:space="preserve">. Purchaser agrees to purchase from Seller, and Seller agrees to sell to Purchaser or its nominee, the Property, subject to and in accordance with the terms and conditions set forth herein. </w:t>
      </w:r>
    </w:p>
    <w:p>
      <w:pPr>
        <w:pStyle w:val="TextBody"/>
        <w:spacing w:before="270" w:after="0"/>
        <w:rPr>
          <w:rFonts w:ascii="Times New Roman" w:hAnsi="Times New Roman"/>
          <w:sz w:val="20"/>
        </w:rPr>
      </w:pPr>
      <w:r>
        <w:rPr>
          <w:rFonts w:ascii="Times New Roman" w:hAnsi="Times New Roman"/>
          <w:sz w:val="20"/>
        </w:rPr>
        <w:t xml:space="preserve">2. </w:t>
      </w:r>
      <w:r>
        <w:rPr>
          <w:rFonts w:ascii="Times New Roman" w:hAnsi="Times New Roman"/>
          <w:b/>
          <w:i/>
          <w:sz w:val="20"/>
        </w:rPr>
        <w:t>Consideration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purchase price for the Property shall be Three Million Three Hundred Thousand Dollars ($3,300,000) (the Property Price). Within three business days after the Effective Date, Purchaser shall deposit with Mercantile Title Agency, Inc., as Escrow Agent, the sum of Fifty Thousand Dollars ($50,000) (the Earnest Money) in cash or by check, which amount shall be held by Escrow Agent and shall be disbursed as provided in this Agreement. </w:t>
      </w:r>
    </w:p>
    <w:p>
      <w:pPr>
        <w:pStyle w:val="TextBody"/>
        <w:spacing w:before="180" w:after="0"/>
        <w:rPr>
          <w:rFonts w:ascii="Times New Roman" w:hAnsi="Times New Roman"/>
          <w:sz w:val="20"/>
        </w:rPr>
      </w:pPr>
      <w:r>
        <w:rPr>
          <w:rFonts w:ascii="Times New Roman" w:hAnsi="Times New Roman"/>
          <w:sz w:val="20"/>
        </w:rPr>
        <w:t xml:space="preserve">(b) The Earnest Money shall be credited to the Property Price if the Closing occurs. If Purchaser defaults, the Earnest Money shall be paid to Seller as liquidated damages and Sellers sole remedy. If Seller defaults, or if Purchaser terminates this Agreement due to failure of any contingency or any other reason permitted by this Agreement, then the Earnest Money shall be refunded to Purchaser.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b/>
          <w:i/>
          <w:sz w:val="20"/>
        </w:rPr>
        <w:t>Title; Survey; Zoning; Environmental</w:t>
      </w:r>
      <w:r>
        <w:rPr>
          <w:rFonts w:ascii="Times New Roman" w:hAnsi="Times New Roman"/>
          <w:sz w:val="20"/>
        </w:rPr>
        <w:t xml:space="preserve">. Within 5 days after the Effective Date, Seller shall deliver to Purchaser any title insurance policy or other title examination of the Property,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survey or other information concerning the physical condition or zoning of the Property, any environmental report concerning the Property and a Board of Directors resolution authorizing the transaction contemplated by this Agreement. Within 45 days after the Effective Date (Inspection Period), Purchaser shall have the right to have an ALTA/ACSM Land Title Survey of the Property (the Survey) at Purchasers cost. Purchaser shall also have the right to have any other information provided by Seller updated or to obtain a new title examination, survey, environmental report or physical condition report, or any other report and if the Survey or any other information or report discloses any conditions which make title unmarketable or are otherwise inconsistent with Purchasers intended use of the Property in a manner substantially similar to its operations at its existing facility on Forrer Street, then Purchaser shall give written notice to Seller, and Seller shall have the right, but not the obligation, to cure such matters to Purchasers satisfaction; provided, that Seller shall have the obligation to remove mortgages or other liens on the Property, other than non-delinquent real estate taxes, at or before the Closing. Seller shall notify Purchaser, in writing, of which objectionable matters it will cure and how within five (5) days after receipt of Purchasers notice of objection. If Seller decides not to cure any objectionable matter to Purchasers satisfaction, whether Sellers notice is given to Purchaser before or after expiration of the Inspection Period, then Purchaser may thereafter terminate this Agreement by written notice given to Seller within five (5) days after receipt of Sellers notice that it is unable or unwilling to cure such objectionable matter and receive a refund of the Earnest Money. If Purchaser fails to give such termination notice, Purchaser shall be deemed to have waived such matter and the parties shall proceed to Closing. </w:t>
      </w:r>
    </w:p>
    <w:p>
      <w:pPr>
        <w:pStyle w:val="TextBody"/>
        <w:spacing w:before="270" w:after="0"/>
        <w:rPr>
          <w:rFonts w:ascii="Times New Roman" w:hAnsi="Times New Roman"/>
          <w:sz w:val="20"/>
        </w:rPr>
      </w:pPr>
      <w:r>
        <w:rPr>
          <w:rFonts w:ascii="Times New Roman" w:hAnsi="Times New Roman"/>
          <w:sz w:val="20"/>
        </w:rPr>
        <w:t xml:space="preserve">4. </w:t>
      </w:r>
      <w:r>
        <w:rPr>
          <w:rFonts w:ascii="Times New Roman" w:hAnsi="Times New Roman"/>
          <w:b/>
          <w:i/>
          <w:sz w:val="20"/>
        </w:rPr>
        <w:t>Escrow; Fees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consummation of the transaction including payment of the Purchase Price in exchange for a general warranty deed to the Property is referred to as the Closing. The Closing shall occur on November 15, 2005, or such earlier date as determined by Purchaser, the date so established referred to as the Closing Date. The general warranty deed shall transfer marketable title in fee simple to the Property to Purchaser or its nominee, free and clear of all liens and encumbrances other than easements and restrictions of record, and non-delinquent ad valorem real estate taxes. Seller shall be responsible for state and county conveyance fees and the cost of recording any mortgage releases or other documents necessary to clear title, and Purchaser shall be responsible for deed recording fees. Purchaser shall pay any escrow fees and any costs associated with the preparation of the title commitment and the title policy. Each party shall be responsible for its own attorneys fees. At Closing, each party shall execute and deliver all documents reasonably necessary to effectuate the transaction contemplated by this Agreement including such affidavits of title and citizenship that the Escrow Agent may require, and all other documents reasonably necessary to consummate the transaction contemplated by this Agreement. Additionally, each party shall execute and deliver the License attached hereto as Exhibit B which shall be effective as of the date of Closing (License).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b/>
          <w:i/>
          <w:sz w:val="20"/>
        </w:rPr>
        <w:t>Holdback</w:t>
      </w:r>
      <w:r>
        <w:rPr>
          <w:rFonts w:ascii="Times New Roman" w:hAnsi="Times New Roman"/>
          <w:sz w:val="20"/>
        </w:rPr>
        <w:t xml:space="preserve">. Escrow Agent shall pay all of the Purchase Price to Seller at Closing except for Three Hundred Thousand and 00/100 Dollars ($300,000.00) (Holdback) which Escrow Agent shall continue to hold in trust in an interest bearing account. Escrow Agent shall pay the Holdback to Seller not less than five (5) working days, and not more than fifteen (15) working days, after Seller notifies Purchaser and Escrow Agent, in writing, that Seller has fully vacated the Property in accordance with the terms of the License. If the parties cannot agree as to when or if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Seller has vacated the Property, the Escrow Agent shall follow the provisions of Section 4(c) relating to disposition of the Holdback. Any interest accumulated on the Holdback shall be paid to the recipient of the Holdback. The provisions of this Section 4(b) shall survive the Closing. </w:t>
      </w:r>
    </w:p>
    <w:p>
      <w:pPr>
        <w:pStyle w:val="TextBody"/>
        <w:spacing w:before="180" w:after="0"/>
        <w:rPr>
          <w:rFonts w:ascii="Times New Roman" w:hAnsi="Times New Roman"/>
          <w:sz w:val="20"/>
        </w:rPr>
      </w:pPr>
      <w:r>
        <w:rPr>
          <w:rFonts w:ascii="Times New Roman" w:hAnsi="Times New Roman"/>
          <w:sz w:val="20"/>
        </w:rPr>
        <w:t xml:space="preserve">(c) Escrow Agent hereby accepts its designation as Escrow Agent hereunder and agrees to hold and disburse the Earnest Money as herein provided. Escrow Agent shall not be liable for any acts taken in good faith, shall only be liable for its willful or gross negligence. In the event of a dispute between Purchaser and Seller under this Agreement sufficient in the discretion of Escrow Agent to justify its doing so, Escrow Agent shall be entitled to tender into the registry or custody of any court of competent jurisdiction all money or property in its hands under the terms of this Agreement, together with such legal proceedings as it deems appropriate, and thereupon to be discharged from all further duties under this Agreement. Any such legal action may be brought in any such court as Escrow Agent shall determine to have jurisdiction thereof. Seller and Purchaser hereby agree to indemnify and hold harmless Escrow Agent against any and all losses, claims, damages, liabilities and expenses, including, without limitation, reasonable costs of investigation and counsel fees and disbursements which may be imposed upon Escrow Agent or incurred by it in connection with its acceptance of this appointment as Escrow Agent hereunder or the performance of its duties hereunder, including, without limitation, any litigation arising from this Agreement or involving the subject matter hereof; provided, however, that if Escrow Agent shall be found guilty of willful default or gross negligence under this Agreement, then, in such event, Escrow Agent shall bear all such losses, claims, damages and expenses; and provided further, that neither Seller nor Purchaser shall have any liability to Escrow Agent under this indemnity provision for any cost of litigation incurred by Escrow Agent, including, without limitation, attorney fees, arising or caused solely by the conduct of the other party which results in a dispute solely between the other party and Escrow Agent. The provisions of this Section 4(c) shall survive the Closing.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b/>
          <w:i/>
          <w:sz w:val="20"/>
        </w:rPr>
        <w:t>Inspections and Tests</w:t>
      </w:r>
      <w:r>
        <w:rPr>
          <w:rFonts w:ascii="Times New Roman" w:hAnsi="Times New Roman"/>
          <w:sz w:val="20"/>
        </w:rPr>
        <w:t xml:space="preserve">. Within the Inspection Period, Purchaser, at its own expense, shall have the privilege of access to the Property for the purpose of making inspections, environmental assessments, surveys, test borings, soil analyses, physical inspection and other tests and surveys thereon commensurate with determining in Purchasers sole discretion the suitability of said Property for Purchasers purposes. All entries onto the Property by Purchaser shall be upon not less than 48 hours verbal notice to Seller and Sellers lessee, and at such times and under such circumstances as to minimize interference with Sellers use of the Property to the extent reasonably possible. Purchaser shall repair any damage to the Property resulting from such activities. From and after the Effective Date Seller shall not, without Purchasers consent, enter into any leases or other encumbrances of the Property that could survive the Closing hereunder.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b/>
          <w:i/>
          <w:sz w:val="20"/>
        </w:rPr>
        <w:t>Sellers Covenants</w:t>
      </w:r>
      <w:r>
        <w:rPr>
          <w:rFonts w:ascii="Times New Roman" w:hAnsi="Times New Roman"/>
          <w:sz w:val="20"/>
        </w:rPr>
        <w:t xml:space="preserve">. Seller, to the best of Sellers knowledge, represents, covenants and warrants to Purchaser as follows: </w:t>
      </w:r>
    </w:p>
    <w:p>
      <w:pPr>
        <w:pStyle w:val="TextBody"/>
        <w:spacing w:before="90" w:after="0"/>
        <w:rPr>
          <w:rFonts w:ascii="Times New Roman" w:hAnsi="Times New Roman"/>
          <w:sz w:val="20"/>
        </w:rPr>
      </w:pPr>
      <w:r>
        <w:rPr>
          <w:rFonts w:ascii="Times New Roman" w:hAnsi="Times New Roman"/>
          <w:sz w:val="20"/>
        </w:rPr>
        <w:t xml:space="preserve">(a) All taxes for all prior years, other than any not yet due and payable, have been paid. Further, all taxes and assessments paid in installments for the current year are to be prorated as of Closing, subject to adjustment when final bills are received if current year taxes are not finally determined at the time of Closing. Purchaser is to receive the full benefit of any real estate tax abatement that has been arranged by Seller.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All existing assessments and/or governmental charges, both recorded and unrecorded, which exist as of Closing, that could be or are chargeable before or after Closing, either as a result of applying for any construction, building development or utility service permits or as a result of delayed, installment or extended billing for any utility service or connection, have been paid or will be paid by Seller at Closing provided, however, that any assessment payable in installments shall be prorated at Closing. </w:t>
      </w:r>
    </w:p>
    <w:p>
      <w:pPr>
        <w:pStyle w:val="TextBody"/>
        <w:spacing w:before="180" w:after="0"/>
        <w:rPr>
          <w:rFonts w:ascii="Times New Roman" w:hAnsi="Times New Roman"/>
          <w:sz w:val="20"/>
        </w:rPr>
      </w:pPr>
      <w:r>
        <w:rPr>
          <w:rFonts w:ascii="Times New Roman" w:hAnsi="Times New Roman"/>
          <w:sz w:val="20"/>
        </w:rPr>
        <w:t xml:space="preserve">(c) Seller is solvent and not involved in any bankruptcy proceedings. There are no suits, actions, judgments, proceedings or investigations pending or threatened against the Seller or the Property before any court, arbitrator, or administrative or governmental body. </w:t>
      </w:r>
    </w:p>
    <w:p>
      <w:pPr>
        <w:pStyle w:val="TextBody"/>
        <w:spacing w:before="180" w:after="0"/>
        <w:rPr>
          <w:rFonts w:ascii="Times New Roman" w:hAnsi="Times New Roman"/>
          <w:sz w:val="20"/>
        </w:rPr>
      </w:pPr>
      <w:r>
        <w:rPr>
          <w:rFonts w:ascii="Times New Roman" w:hAnsi="Times New Roman"/>
          <w:sz w:val="20"/>
        </w:rPr>
        <w:t xml:space="preserve">(d) No condemnation or eminent domain proceedings affecting the Property have been commenced or, to the best of Sellers knowledge, are contemplated. </w:t>
      </w:r>
    </w:p>
    <w:p>
      <w:pPr>
        <w:pStyle w:val="TextBody"/>
        <w:spacing w:before="180" w:after="0"/>
        <w:rPr>
          <w:rFonts w:ascii="Times New Roman" w:hAnsi="Times New Roman"/>
          <w:sz w:val="20"/>
        </w:rPr>
      </w:pPr>
      <w:r>
        <w:rPr>
          <w:rFonts w:ascii="Times New Roman" w:hAnsi="Times New Roman"/>
          <w:sz w:val="20"/>
        </w:rPr>
        <w:t xml:space="preserve">(e) Neither Seller nor the Property is subject to any commitment, obligation, or agreement, including, but not limited to, any leasehold interest, right of first refusal or option to purchase or lease granted to a third party, which could or would prevent Seller from completing or impair Sellers ability to complete the sale of the Property under this Agreement or which would bind Purchaser subsequent to consummation of the transaction contemplated in this Agreement. Seller shall terminate any existing leasehold or other possessory interests upon the Property, or any part thereof, prior to Closing, and shall be solely responsible for any liability which may arise as a result of such termination. </w:t>
      </w:r>
    </w:p>
    <w:p>
      <w:pPr>
        <w:pStyle w:val="TextBody"/>
        <w:spacing w:before="180" w:after="0"/>
        <w:rPr>
          <w:rFonts w:ascii="Times New Roman" w:hAnsi="Times New Roman"/>
          <w:sz w:val="20"/>
        </w:rPr>
      </w:pPr>
      <w:r>
        <w:rPr>
          <w:rFonts w:ascii="Times New Roman" w:hAnsi="Times New Roman"/>
          <w:sz w:val="20"/>
        </w:rPr>
        <w:t xml:space="preserve">(f) Seller holds good and indefeasible fee simple title to all the Property and has all necessary power and authority to enter into this Agreement and to bind the Property and its operation. The Property is properly zoned for industrial uses and there are no encumbrances on the Property which materially interfere with the use of the Property for its current use or which will impede Sellers use of the Property for its intended use. There are no existing leases or other agreements permitting third-party occupancy of any part of the Property except for a lease to Buckley Manufacturing which will be terminated at or before Closing. </w:t>
      </w:r>
    </w:p>
    <w:p>
      <w:pPr>
        <w:pStyle w:val="TextBody"/>
        <w:spacing w:before="180" w:after="0"/>
        <w:rPr>
          <w:rFonts w:ascii="Times New Roman" w:hAnsi="Times New Roman"/>
          <w:sz w:val="20"/>
        </w:rPr>
      </w:pPr>
      <w:r>
        <w:rPr>
          <w:rFonts w:ascii="Times New Roman" w:hAnsi="Times New Roman"/>
          <w:sz w:val="20"/>
        </w:rPr>
        <w:t xml:space="preserve">(g) The Property and its operation are in compliance with all Environmental Laws and there is not on the Property any hazardous, toxic or dangerous waste, substance or material within the meaning of any Environmental Law. Environmental Laws shall mean any federal, state or local statute, law, rule, regulation, ordinance, code, policy or rule of common law now or hereafter in effect and in each case as amended, and any judicial or administrative interpretation thereof, including any judicial or administrative order, consent, decree or judgment relating to the environment, health, safety or hazardous materials. </w:t>
      </w:r>
    </w:p>
    <w:p>
      <w:pPr>
        <w:pStyle w:val="TextBody"/>
        <w:spacing w:before="180" w:after="0"/>
        <w:rPr>
          <w:rFonts w:ascii="Times New Roman" w:hAnsi="Times New Roman"/>
          <w:sz w:val="20"/>
        </w:rPr>
      </w:pPr>
      <w:r>
        <w:rPr>
          <w:rFonts w:ascii="Times New Roman" w:hAnsi="Times New Roman"/>
          <w:sz w:val="20"/>
        </w:rPr>
        <w:t xml:space="preserve">(h) All improvements on the Property are in good and working condition, including all structural, electrical, mechanical and HVAC components thereof. </w:t>
      </w:r>
    </w:p>
    <w:p>
      <w:pPr>
        <w:pStyle w:val="TextBody"/>
        <w:spacing w:before="180" w:after="0"/>
        <w:rPr>
          <w:rFonts w:ascii="Times New Roman" w:hAnsi="Times New Roman"/>
          <w:sz w:val="20"/>
        </w:rPr>
      </w:pPr>
      <w:r>
        <w:rPr>
          <w:rFonts w:ascii="Times New Roman" w:hAnsi="Times New Roman"/>
          <w:sz w:val="20"/>
        </w:rPr>
        <w:t xml:space="preserve">(i) The Property consists of a two tax parcels, each with immediate access to a contiguous public right of way.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b/>
          <w:i/>
          <w:sz w:val="20"/>
        </w:rPr>
        <w:t>Obligations of Seller</w:t>
      </w:r>
      <w:r>
        <w:rPr>
          <w:rFonts w:ascii="Times New Roman" w:hAnsi="Times New Roman"/>
          <w:sz w:val="20"/>
        </w:rPr>
        <w:t xml:space="preserve">. During the pendency of this Agreement, Seller shall not make any changes in the improvements on the Property, nor create any additional encumbrances on the title to the Property, nor initiate or consent to any change in the zoning or other regulatory controls applicable to the Property, without Purchasers consent in each instance.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b/>
          <w:i/>
          <w:sz w:val="20"/>
        </w:rPr>
        <w:t>Contingencies</w:t>
      </w:r>
      <w:r>
        <w:rPr>
          <w:rFonts w:ascii="Times New Roman" w:hAnsi="Times New Roman"/>
          <w:sz w:val="20"/>
        </w:rPr>
        <w:t xml:space="preserve">. Purchasers obligations to purchase the Property shall be contingent upon satisfaction of the following contingencies (unless Purchaser waives in writing all unsatisfied contingencies), and Purchaser may terminate this Agreement at any time prior to Closing (up to and including the Closing Date) by written notice to Seller if any contingency is unsatisfied: </w:t>
      </w:r>
    </w:p>
    <w:p>
      <w:pPr>
        <w:pStyle w:val="TextBody"/>
        <w:spacing w:before="90" w:after="0"/>
        <w:rPr>
          <w:rFonts w:ascii="Times New Roman" w:hAnsi="Times New Roman"/>
          <w:sz w:val="20"/>
        </w:rPr>
      </w:pPr>
      <w:r>
        <w:rPr>
          <w:rFonts w:ascii="Times New Roman" w:hAnsi="Times New Roman"/>
          <w:sz w:val="20"/>
        </w:rPr>
        <w:t xml:space="preserve">(a) Purchasers approval of the survey obtained under Section 3 as acceptable in Purchasers good faith discretion. </w:t>
      </w:r>
    </w:p>
    <w:p>
      <w:pPr>
        <w:pStyle w:val="TextBody"/>
        <w:spacing w:before="180" w:after="0"/>
        <w:rPr>
          <w:rFonts w:ascii="Times New Roman" w:hAnsi="Times New Roman"/>
          <w:sz w:val="20"/>
        </w:rPr>
      </w:pPr>
      <w:r>
        <w:rPr>
          <w:rFonts w:ascii="Times New Roman" w:hAnsi="Times New Roman"/>
          <w:sz w:val="20"/>
        </w:rPr>
        <w:t xml:space="preserve">(b) Purchasers approval of title to the Property pursuant to Section 3 as acceptable in Purchasers good faith discretion. Purchaser need not object to any lien, lease, or other matter which Seller is obligated to remove at Closing under other terms of this Agreement. </w:t>
      </w:r>
    </w:p>
    <w:p>
      <w:pPr>
        <w:pStyle w:val="TextBody"/>
        <w:spacing w:before="180" w:after="0"/>
        <w:rPr>
          <w:rFonts w:ascii="Times New Roman" w:hAnsi="Times New Roman"/>
          <w:sz w:val="20"/>
        </w:rPr>
      </w:pPr>
      <w:r>
        <w:rPr>
          <w:rFonts w:ascii="Times New Roman" w:hAnsi="Times New Roman"/>
          <w:sz w:val="20"/>
        </w:rPr>
        <w:t xml:space="preserve">(c) Receipt by Purchaser, at Purchasers expense, of an inspection report or reports showing the condition of the Property to be satisfactory in Purchasers good faith discretion, and covering the soundness of the soil, structure, environmental matters, availability of utilities and access, and such other matters as Purchaser may reasonably require. </w:t>
      </w:r>
    </w:p>
    <w:p>
      <w:pPr>
        <w:pStyle w:val="TextBody"/>
        <w:spacing w:before="180" w:after="0"/>
        <w:rPr>
          <w:rFonts w:ascii="Times New Roman" w:hAnsi="Times New Roman"/>
          <w:sz w:val="20"/>
        </w:rPr>
      </w:pPr>
      <w:r>
        <w:rPr>
          <w:rFonts w:ascii="Times New Roman" w:hAnsi="Times New Roman"/>
          <w:sz w:val="20"/>
        </w:rPr>
        <w:t xml:space="preserve">(d) Seller shall have complied with Sellers obligations under this Agreement in all material respects. </w:t>
      </w:r>
    </w:p>
    <w:p>
      <w:pPr>
        <w:pStyle w:val="TextBody"/>
        <w:spacing w:before="180" w:after="0"/>
        <w:rPr>
          <w:rFonts w:ascii="Times New Roman" w:hAnsi="Times New Roman"/>
          <w:sz w:val="20"/>
        </w:rPr>
      </w:pPr>
      <w:r>
        <w:rPr>
          <w:rFonts w:ascii="Times New Roman" w:hAnsi="Times New Roman"/>
          <w:sz w:val="20"/>
        </w:rPr>
        <w:t xml:space="preserve">(e) Purchaser selling and closing upon the sale of its facility located at 3120 Forrer Street, Cincinnati, Ohio 45209. </w:t>
      </w:r>
    </w:p>
    <w:p>
      <w:pPr>
        <w:pStyle w:val="TextBody"/>
        <w:spacing w:before="180" w:after="0"/>
        <w:rPr>
          <w:rFonts w:ascii="Times New Roman" w:hAnsi="Times New Roman"/>
          <w:sz w:val="20"/>
        </w:rPr>
      </w:pPr>
      <w:r>
        <w:rPr>
          <w:rFonts w:ascii="Times New Roman" w:hAnsi="Times New Roman"/>
          <w:sz w:val="20"/>
        </w:rPr>
        <w:t xml:space="preserve">(f) The Purchaser obtaining a loan commitment from a lender at current prevailing market rates and terms and funding of such loan. </w:t>
      </w:r>
    </w:p>
    <w:p>
      <w:pPr>
        <w:pStyle w:val="TextBody"/>
        <w:spacing w:before="180" w:after="0"/>
        <w:rPr>
          <w:rFonts w:ascii="Times New Roman" w:hAnsi="Times New Roman"/>
          <w:sz w:val="20"/>
        </w:rPr>
      </w:pPr>
      <w:r>
        <w:rPr>
          <w:rFonts w:ascii="Times New Roman" w:hAnsi="Times New Roman"/>
          <w:sz w:val="20"/>
        </w:rPr>
        <w:t xml:space="preserve">(g) The Purchaser finding and obtaining land near or adjacent to the Property for additional parking. </w:t>
      </w:r>
    </w:p>
    <w:p>
      <w:pPr>
        <w:pStyle w:val="TextBody"/>
        <w:spacing w:before="180" w:after="0"/>
        <w:rPr>
          <w:rFonts w:ascii="Times New Roman" w:hAnsi="Times New Roman"/>
          <w:sz w:val="20"/>
        </w:rPr>
      </w:pPr>
      <w:r>
        <w:rPr>
          <w:rFonts w:ascii="Times New Roman" w:hAnsi="Times New Roman"/>
          <w:sz w:val="20"/>
        </w:rPr>
        <w:t xml:space="preserve">(h) The Purchaser obtaining acceptable incentives from Ohio, Hamilton County, and Woodlawn for relocating its business operations on the property. </w:t>
      </w:r>
    </w:p>
    <w:p>
      <w:pPr>
        <w:pStyle w:val="TextBody"/>
        <w:spacing w:before="180" w:after="0"/>
        <w:rPr>
          <w:rFonts w:ascii="Times New Roman" w:hAnsi="Times New Roman"/>
          <w:sz w:val="20"/>
        </w:rPr>
      </w:pPr>
      <w:r>
        <w:rPr>
          <w:rFonts w:ascii="Times New Roman" w:hAnsi="Times New Roman"/>
          <w:sz w:val="20"/>
        </w:rPr>
        <w:t xml:space="preserve">If any contingencies are not satisfied, or will not be satisfied, as of the Closing Date, Purchaser may terminate this Agreement by notice to Seller in writing and receive the return of the Earnest Money. Notwithstanding the foregoing, Purchaser shall satisfy itself or waive the contingencies in (a) - (c) above within the Inspection Period as contemplated by Section 3 of this Agreement. Thereafter, contingencies (a) - (c) will be deemed modified so that only a change in such matters between the date each contingency is satisfied or waived and the Closing, or Sellers failure to actually cure an identified objectionable matter shall be a contingency to Closing.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b/>
          <w:i/>
          <w:sz w:val="20"/>
        </w:rPr>
        <w:t>Eminent Domain; Damage</w:t>
      </w:r>
      <w:r>
        <w:rPr>
          <w:rFonts w:ascii="Times New Roman" w:hAnsi="Times New Roman"/>
          <w:sz w:val="20"/>
        </w:rPr>
        <w:t xml:space="preserve">. If prior to Closing all or any part of the Property is condemned or appropriated by public authority or any party exercising the right of eminent domain, or is threatened thereby, Seller shall give Purchaser written notice thereof and Purchaser shall either,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at its option: (a) terminate this Agreement and the amounts paid to Seller pursuant to this Agreement shall be refunded immediately and the parties shall be released from further liability; or (b) elect to proceed under this Agreement and the Property Price shall be reduced by the amount of Sellers award.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b/>
          <w:i/>
          <w:sz w:val="20"/>
        </w:rPr>
        <w:t>Risk of Loss</w:t>
      </w:r>
      <w:r>
        <w:rPr>
          <w:rFonts w:ascii="Times New Roman" w:hAnsi="Times New Roman"/>
          <w:sz w:val="20"/>
        </w:rPr>
        <w:t xml:space="preserve">. Prior to Closing, Seller shall retain the risk of loss or damage to the Property. If the Property is damaged or destroyed and not restored, the Purchase Price shall be reduced by the amount of any insurance proceeds received by Seller. It shall be a condition of Purchasers obligation to proceed to Closing that the Property be in substantially the same condition as on the Effective Date, other than changes caused or approved by Purchaser.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b/>
          <w:i/>
          <w:sz w:val="20"/>
        </w:rPr>
        <w:t>Notices</w:t>
      </w:r>
      <w:r>
        <w:rPr>
          <w:rFonts w:ascii="Times New Roman" w:hAnsi="Times New Roman"/>
          <w:sz w:val="20"/>
        </w:rPr>
        <w:t xml:space="preserve">. All notices or other communications required or permitted to be given under this Agreement shall be in writing (unless specified otherwise) and shall be deemed to have been delivered to a party upon personal delivery to that party or: (a) on the day of delivery by facsimile transmission to any telephone number provided by the party for such purposes, if simultaneously mailed as provided herein; (b) on the day of deposit for overnight delivery with Federal Express, with charges prepaid; or (c) on the fourth (4th) business day following deposit with the United States Postal Service, certified mail, return receipt requested, postage prepaid, and in any case addressed to the partys address set forth at the beginning of this Agreement, or to any other address that the party provides by notice, in accordance with this paragraph, to the other party.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b/>
          <w:i/>
          <w:sz w:val="20"/>
        </w:rPr>
        <w:t>Governing Law</w:t>
      </w:r>
      <w:r>
        <w:rPr>
          <w:rFonts w:ascii="Times New Roman" w:hAnsi="Times New Roman"/>
          <w:sz w:val="20"/>
        </w:rPr>
        <w:t xml:space="preserve">. This Agreement shall be governed by and construed in accordance with the laws of the State of Ohio applicable to agreements made and to be performed wholly within that state, irrespective of such states choice-of-law principles.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b/>
          <w:i/>
          <w:sz w:val="20"/>
        </w:rPr>
        <w:t>Confidentiality</w:t>
      </w:r>
      <w:r>
        <w:rPr>
          <w:rFonts w:ascii="Times New Roman" w:hAnsi="Times New Roman"/>
          <w:sz w:val="20"/>
        </w:rPr>
        <w:t xml:space="preserve">. Seller understands, acknowledges and agrees that this Agreement, the terms, specifications, covenants and conditions set forth herein, the parties negotiations concerning this Agreement, and all other information exchanged between the parties hereto, are and shall remain confidential, and that neither Seller nor Sellers representatives shall disclose, directly or indirectly, such confidential information to any third person without the express written consent of the Purchaser; provided, however, that the Seller shall be permitted to disclose such confidential information to Sellers accounting, legal and other professional advisers having similar obligations of confidentiality and non-disclosure, as may be required for purposes contemplated herein, and as may otherwise be required by applicable law.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b/>
          <w:i/>
          <w:sz w:val="20"/>
        </w:rPr>
        <w:t>Commissions</w:t>
      </w:r>
      <w:r>
        <w:rPr>
          <w:rFonts w:ascii="Times New Roman" w:hAnsi="Times New Roman"/>
          <w:sz w:val="20"/>
        </w:rPr>
        <w:t xml:space="preserve">. Seller and Purchaser mutually covenant each unto the other that no agent, broker or other person or entity acting pursuant to authority of the Seller or Purchaser is entitled to any commission or finders fee in connection with the transaction(s) contemplated by this Agreement, other than West Shell Commercial which has been retained by Seller, nor have Seller or Purchaser otherwise dealt with anyone else purporting to act in the capacity of finder, broker or agent with respect to such transactions whereby Seller or Purchaser may be obligated to pay any brokers fee, finders fee or commission. Seller shall be solely responsible for payment of any commission or fee. Seller and Purchaser further agree to indemnify and hold the other harmless from and against the claims of any other broker or agent claiming compensation by, through, or under the indemnifying party.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15. </w:t>
      </w:r>
      <w:r>
        <w:rPr>
          <w:rFonts w:ascii="Times New Roman" w:hAnsi="Times New Roman"/>
          <w:b/>
          <w:i/>
          <w:sz w:val="20"/>
        </w:rPr>
        <w:t>Recording of Agreement</w:t>
      </w:r>
      <w:r>
        <w:rPr>
          <w:rFonts w:ascii="Times New Roman" w:hAnsi="Times New Roman"/>
          <w:sz w:val="20"/>
        </w:rPr>
        <w:t xml:space="preserve">. This Agreement shall not be recorded.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b/>
          <w:i/>
          <w:sz w:val="20"/>
        </w:rPr>
        <w:t>Counterparts; Entire Agreement</w:t>
      </w:r>
      <w:r>
        <w:rPr>
          <w:rFonts w:ascii="Times New Roman" w:hAnsi="Times New Roman"/>
          <w:sz w:val="20"/>
        </w:rPr>
        <w:t xml:space="preserve">. This Agreement may be executed in two or more counterparts, each of which shall be deemed an original, but all of which taken together shall constitute one and the same instrument. It is understood that this document constitutes the entire Agreement. Any changes, alterations, extensions or deletions shall be in writing and executed by all parties in order to be effective. All covenants, agreements, representations and warranties, shall survive any Closing.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b/>
          <w:i/>
          <w:sz w:val="20"/>
        </w:rPr>
        <w:t>Like-Kind Exchange</w:t>
      </w:r>
      <w:r>
        <w:rPr>
          <w:rFonts w:ascii="Times New Roman" w:hAnsi="Times New Roman"/>
          <w:sz w:val="20"/>
        </w:rPr>
        <w:t xml:space="preserve">. Each party acknowledges that the other may determine to treat this transaction as a like-kind exchange pursuant to Section 1031 of the Internal Revenue Code. Therefore, each party agrees to reasonably cooperate with the other, at no cost to the cooperating party, to facilitate such a like-kind exchange including without limitation execution of any documents reasonably necessary to memorialize such a like-kind exchange transaction. </w:t>
      </w:r>
    </w:p>
    <w:p>
      <w:pPr>
        <w:pStyle w:val="TextBody"/>
        <w:spacing w:before="18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have entered into this Agreement.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62"/>
        <w:gridCol w:w="61"/>
        <w:gridCol w:w="3459"/>
      </w:tblGrid>
      <w:tr>
        <w:trPr/>
        <w:tc>
          <w:tcPr>
            <w:tcW w:w="56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45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562" w:type="dxa"/>
            <w:tcBorders/>
            <w:shd w:fill="auto" w:val="clear"/>
            <w:vAlign w:val="center"/>
          </w:tcPr>
          <w:p>
            <w:pPr>
              <w:pStyle w:val="TableContents"/>
              <w:spacing w:before="0" w:after="283"/>
              <w:rPr>
                <w:sz w:val="4"/>
                <w:szCs w:val="4"/>
              </w:rPr>
            </w:pPr>
            <w:r>
              <w:rPr>
                <w:sz w:val="4"/>
                <w:szCs w:val="4"/>
              </w:rPr>
            </w:r>
          </w:p>
        </w:tc>
        <w:tc>
          <w:tcPr>
            <w:tcW w:w="3520" w:type="dxa"/>
            <w:gridSpan w:val="2"/>
            <w:tcBorders/>
            <w:shd w:fill="auto" w:val="clear"/>
            <w:vAlign w:val="center"/>
          </w:tcPr>
          <w:p>
            <w:pPr>
              <w:pStyle w:val="TableContents"/>
              <w:spacing w:before="0" w:after="283"/>
              <w:rPr>
                <w:sz w:val="4"/>
                <w:szCs w:val="4"/>
              </w:rPr>
            </w:pPr>
            <w:r>
              <w:rPr>
                <w:sz w:val="4"/>
                <w:szCs w:val="4"/>
              </w:rPr>
            </w:r>
          </w:p>
        </w:tc>
      </w:tr>
      <w:tr>
        <w:trPr/>
        <w:tc>
          <w:tcPr>
            <w:tcW w:w="5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shd w:fill="auto" w:val="clear"/>
            <w:vAlign w:val="bottom"/>
          </w:tcPr>
          <w:p>
            <w:pPr>
              <w:pStyle w:val="TableContents"/>
              <w:spacing w:before="0" w:after="283"/>
              <w:rPr/>
            </w:pPr>
            <w:r>
              <w:rPr/>
              <w:t> </w:t>
            </w:r>
          </w:p>
        </w:tc>
        <w:tc>
          <w:tcPr>
            <w:tcW w:w="345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w:t>
            </w:r>
          </w:p>
        </w:tc>
      </w:tr>
      <w:tr>
        <w:trPr/>
        <w:tc>
          <w:tcPr>
            <w:tcW w:w="56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shd w:fill="auto" w:val="clear"/>
            <w:vAlign w:val="bottom"/>
          </w:tcPr>
          <w:p>
            <w:pPr>
              <w:pStyle w:val="TableContents"/>
              <w:spacing w:before="0" w:after="283"/>
              <w:rPr/>
            </w:pPr>
            <w:r>
              <w:rPr/>
              <w:t> </w:t>
            </w:r>
          </w:p>
        </w:tc>
        <w:tc>
          <w:tcPr>
            <w:tcW w:w="34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w:t>
            </w:r>
          </w:p>
        </w:tc>
      </w:tr>
      <w:tr>
        <w:trPr/>
        <w:tc>
          <w:tcPr>
            <w:tcW w:w="562"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61" w:type="dxa"/>
            <w:tcBorders/>
            <w:shd w:fill="auto" w:val="clear"/>
            <w:vAlign w:val="bottom"/>
          </w:tcPr>
          <w:p>
            <w:pPr>
              <w:pStyle w:val="TableContents"/>
              <w:spacing w:before="0" w:after="283"/>
              <w:rPr/>
            </w:pPr>
            <w:r>
              <w:rPr/>
              <w:t> </w:t>
            </w:r>
          </w:p>
        </w:tc>
        <w:tc>
          <w:tcPr>
            <w:tcW w:w="34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Agreed and accepted: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53"/>
        <w:gridCol w:w="60"/>
        <w:gridCol w:w="3469"/>
      </w:tblGrid>
      <w:tr>
        <w:trPr/>
        <w:tc>
          <w:tcPr>
            <w:tcW w:w="5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553" w:type="dxa"/>
            <w:tcBorders/>
            <w:shd w:fill="auto" w:val="clear"/>
            <w:vAlign w:val="center"/>
          </w:tcPr>
          <w:p>
            <w:pPr>
              <w:pStyle w:val="TableContents"/>
              <w:spacing w:before="0" w:after="283"/>
              <w:rPr>
                <w:sz w:val="4"/>
                <w:szCs w:val="4"/>
              </w:rPr>
            </w:pPr>
            <w:r>
              <w:rPr>
                <w:sz w:val="4"/>
                <w:szCs w:val="4"/>
              </w:rPr>
            </w:r>
          </w:p>
        </w:tc>
        <w:tc>
          <w:tcPr>
            <w:tcW w:w="3529" w:type="dxa"/>
            <w:gridSpan w:val="2"/>
            <w:tcBorders/>
            <w:shd w:fill="auto" w:val="clear"/>
            <w:vAlign w:val="center"/>
          </w:tcPr>
          <w:p>
            <w:pPr>
              <w:pStyle w:val="TableContents"/>
              <w:spacing w:before="0" w:after="283"/>
              <w:rPr>
                <w:sz w:val="4"/>
                <w:szCs w:val="4"/>
              </w:rPr>
            </w:pPr>
            <w:r>
              <w:rPr>
                <w:sz w:val="4"/>
                <w:szCs w:val="4"/>
              </w:rPr>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pBdr>
                <w:bottom w:val="single" w:sz="2" w:space="1" w:color="000000"/>
              </w:pBdr>
              <w:spacing w:before="0" w:after="15"/>
              <w:rPr/>
            </w:pPr>
            <w:r>
              <w:rPr/>
              <w:t> </w:t>
            </w:r>
          </w:p>
        </w:tc>
      </w:tr>
      <w:tr>
        <w:trPr>
          <w:trHeight w:val="120" w:hRule="atLeast"/>
        </w:trPr>
        <w:tc>
          <w:tcPr>
            <w:tcW w:w="553" w:type="dxa"/>
            <w:tcBorders/>
            <w:shd w:fill="auto" w:val="clear"/>
            <w:vAlign w:val="center"/>
          </w:tcPr>
          <w:p>
            <w:pPr>
              <w:pStyle w:val="TableContents"/>
              <w:spacing w:before="0" w:after="283"/>
              <w:rPr>
                <w:sz w:val="4"/>
                <w:szCs w:val="4"/>
              </w:rPr>
            </w:pPr>
            <w:r>
              <w:rPr>
                <w:sz w:val="4"/>
                <w:szCs w:val="4"/>
              </w:rPr>
            </w:r>
          </w:p>
        </w:tc>
        <w:tc>
          <w:tcPr>
            <w:tcW w:w="3529" w:type="dxa"/>
            <w:gridSpan w:val="2"/>
            <w:tcBorders/>
            <w:shd w:fill="auto" w:val="clear"/>
            <w:vAlign w:val="center"/>
          </w:tcPr>
          <w:p>
            <w:pPr>
              <w:pStyle w:val="TableContents"/>
              <w:spacing w:before="0" w:after="283"/>
              <w:rPr>
                <w:sz w:val="4"/>
                <w:szCs w:val="4"/>
              </w:rPr>
            </w:pPr>
            <w:r>
              <w:rPr>
                <w:sz w:val="4"/>
                <w:szCs w:val="4"/>
              </w:rPr>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pBdr>
                <w:bottom w:val="single" w:sz="2" w:space="1" w:color="000000"/>
              </w:pBdr>
              <w:spacing w:before="0" w:after="15"/>
              <w:rPr/>
            </w:pPr>
            <w:r>
              <w:rPr/>
              <w:t> </w:t>
            </w:r>
          </w:p>
        </w:tc>
      </w:tr>
      <w:tr>
        <w:trPr>
          <w:trHeight w:val="120" w:hRule="atLeast"/>
        </w:trPr>
        <w:tc>
          <w:tcPr>
            <w:tcW w:w="553" w:type="dxa"/>
            <w:tcBorders/>
            <w:shd w:fill="auto" w:val="clear"/>
            <w:vAlign w:val="center"/>
          </w:tcPr>
          <w:p>
            <w:pPr>
              <w:pStyle w:val="TableContents"/>
              <w:spacing w:before="0" w:after="283"/>
              <w:rPr>
                <w:sz w:val="4"/>
                <w:szCs w:val="4"/>
              </w:rPr>
            </w:pPr>
            <w:r>
              <w:rPr>
                <w:sz w:val="4"/>
                <w:szCs w:val="4"/>
              </w:rPr>
            </w:r>
          </w:p>
        </w:tc>
        <w:tc>
          <w:tcPr>
            <w:tcW w:w="3529" w:type="dxa"/>
            <w:gridSpan w:val="2"/>
            <w:tcBorders/>
            <w:shd w:fill="auto" w:val="clear"/>
            <w:vAlign w:val="center"/>
          </w:tcPr>
          <w:p>
            <w:pPr>
              <w:pStyle w:val="TableContents"/>
              <w:spacing w:before="0" w:after="283"/>
              <w:rPr>
                <w:sz w:val="4"/>
                <w:szCs w:val="4"/>
              </w:rPr>
            </w:pPr>
            <w:r>
              <w:rPr>
                <w:sz w:val="4"/>
                <w:szCs w:val="4"/>
              </w:rPr>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pBdr>
                <w:bottom w:val="single" w:sz="2" w:space="1" w:color="000000"/>
              </w:pBdr>
              <w:spacing w:before="0" w:after="15"/>
              <w:rPr/>
            </w:pPr>
            <w:r>
              <w:rPr/>
              <w:t> </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ESCROW AGENT: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Mercantile Title Agency, Inc.</w:t>
            </w:r>
          </w:p>
        </w:tc>
      </w:tr>
      <w:tr>
        <w:trPr>
          <w:trHeight w:val="240" w:hRule="atLeast"/>
        </w:trPr>
        <w:tc>
          <w:tcPr>
            <w:tcW w:w="553" w:type="dxa"/>
            <w:tcBorders/>
            <w:shd w:fill="auto" w:val="clear"/>
            <w:vAlign w:val="center"/>
          </w:tcPr>
          <w:p>
            <w:pPr>
              <w:pStyle w:val="TableContents"/>
              <w:spacing w:before="0" w:after="283"/>
              <w:rPr>
                <w:sz w:val="4"/>
                <w:szCs w:val="4"/>
              </w:rPr>
            </w:pPr>
            <w:r>
              <w:rPr>
                <w:sz w:val="4"/>
                <w:szCs w:val="4"/>
              </w:rPr>
            </w:r>
          </w:p>
        </w:tc>
        <w:tc>
          <w:tcPr>
            <w:tcW w:w="3529" w:type="dxa"/>
            <w:gridSpan w:val="2"/>
            <w:tcBorders/>
            <w:shd w:fill="auto" w:val="clear"/>
            <w:vAlign w:val="center"/>
          </w:tcPr>
          <w:p>
            <w:pPr>
              <w:pStyle w:val="TableContents"/>
              <w:spacing w:before="0" w:after="283"/>
              <w:rPr>
                <w:sz w:val="4"/>
                <w:szCs w:val="4"/>
              </w:rPr>
            </w:pPr>
            <w:r>
              <w:rPr>
                <w:sz w:val="4"/>
                <w:szCs w:val="4"/>
              </w:rPr>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Steven H. Schreiber</w:t>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Steven H. Schreiber</w:t>
            </w:r>
          </w:p>
        </w:tc>
      </w:tr>
      <w:tr>
        <w:trPr/>
        <w:tc>
          <w:tcPr>
            <w:tcW w:w="553"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60" w:type="dxa"/>
            <w:tcBorders/>
            <w:shd w:fill="auto" w:val="clear"/>
            <w:vAlign w:val="bottom"/>
          </w:tcPr>
          <w:p>
            <w:pPr>
              <w:pStyle w:val="TableContents"/>
              <w:spacing w:before="0" w:after="283"/>
              <w:rPr/>
            </w:pPr>
            <w:r>
              <w:rPr/>
              <w:t> </w:t>
            </w:r>
          </w:p>
        </w:tc>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jc w:val="center"/>
        <w:rPr>
          <w:rFonts w:ascii="Times New Roman" w:hAnsi="Times New Roman"/>
          <w:b/>
          <w:sz w:val="20"/>
        </w:rPr>
      </w:pPr>
      <w:r>
        <w:rPr>
          <w:rFonts w:ascii="Times New Roman" w:hAnsi="Times New Roman"/>
          <w:b/>
          <w:sz w:val="20"/>
        </w:rPr>
        <w:t xml:space="preserve">PROPERTY DESCRIPTION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0" w:after="0"/>
        <w:jc w:val="center"/>
        <w:rPr>
          <w:rFonts w:ascii="Times New Roman" w:hAnsi="Times New Roman"/>
          <w:b/>
          <w:sz w:val="20"/>
        </w:rPr>
      </w:pPr>
      <w:r>
        <w:rPr>
          <w:rFonts w:ascii="Times New Roman" w:hAnsi="Times New Roman"/>
          <w:b/>
          <w:sz w:val="20"/>
        </w:rPr>
        <w:t xml:space="preserve">LICENSE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b/>
          <w:sz w:val="20"/>
          <w:u w:val="single"/>
        </w:rPr>
        <w:t>LICENSE AGREEMENT</w:t>
      </w:r>
      <w:r>
        <w:rPr>
          <w:rFonts w:ascii="Times New Roman" w:hAnsi="Times New Roman"/>
          <w:sz w:val="20"/>
        </w:rPr>
        <w:t xml:space="preserve"> </w:t>
      </w:r>
    </w:p>
    <w:p>
      <w:pPr>
        <w:pStyle w:val="TextBody"/>
        <w:spacing w:before="180" w:after="0"/>
        <w:rPr/>
      </w:pPr>
      <w:r>
        <w:rPr>
          <w:rFonts w:ascii="Times New Roman" w:hAnsi="Times New Roman"/>
          <w:sz w:val="20"/>
        </w:rPr>
        <w:t>THIS LICENSE AGREEMENT (the License) is made this 6</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September, 2005, which date is contemporaneous with the execution of a certain Purchase Agreement by and between THE KIRK &amp; BLUM MANUFACTURING COMPANY, whose address is 3120 Forrer Street, Cincinnati, Ohio, 45209 (Licensor) and BUCKLEY PROPERTIES CO., whose address is 10333 Wayne Avenue, Cincinnati, Ohio, 45215 (Licensee), and is in contemplation of occupation of the Premises Licensor defined, after closing of the transaction contemplated in the aforesaid Purchase. </w:t>
      </w:r>
    </w:p>
    <w:p>
      <w:pPr>
        <w:pStyle w:val="TextBody"/>
        <w:spacing w:before="270" w:after="0"/>
        <w:rPr>
          <w:rFonts w:ascii="Times New Roman" w:hAnsi="Times New Roman"/>
          <w:b/>
          <w:sz w:val="20"/>
        </w:rPr>
      </w:pPr>
      <w:r>
        <w:rPr>
          <w:rFonts w:ascii="Times New Roman" w:hAnsi="Times New Roman"/>
          <w:b/>
          <w:sz w:val="20"/>
        </w:rPr>
        <w:t xml:space="preserve">WITNESSETH: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Premises Licensed/Term</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Licensor hereby irrevocably grants a license to Licensee, and Licensee hereby licenses from Licensor, as hereinafter provided, the entire Premises and improvements contained thereon, all as set forth in the heretofore referenced Purchase Agreement (Premises), for a four (4) month period (Initial License), commencing on the closing date of Licensors purchase of the property set forth in the aforesaid Purchase Agreement (Effective Date), subject to the following: </w:t>
      </w:r>
    </w:p>
    <w:p>
      <w:pPr>
        <w:pStyle w:val="TextBody"/>
        <w:spacing w:before="90" w:after="0"/>
        <w:rPr>
          <w:rFonts w:ascii="Times New Roman" w:hAnsi="Times New Roman"/>
          <w:sz w:val="20"/>
        </w:rPr>
      </w:pPr>
      <w:r>
        <w:rPr>
          <w:rFonts w:ascii="Times New Roman" w:hAnsi="Times New Roman"/>
          <w:sz w:val="20"/>
        </w:rPr>
        <w:t xml:space="preserve">(i) Licensor shall have complete access to the offices located on the second floor of the Premises for purposes of its renovation. Licensor shall not interfere with Licensees first floor office. </w:t>
      </w:r>
    </w:p>
    <w:p>
      <w:pPr>
        <w:pStyle w:val="TextBody"/>
        <w:spacing w:before="180" w:after="0"/>
        <w:rPr>
          <w:rFonts w:ascii="Times New Roman" w:hAnsi="Times New Roman"/>
          <w:sz w:val="20"/>
        </w:rPr>
      </w:pPr>
      <w:r>
        <w:rPr>
          <w:rFonts w:ascii="Times New Roman" w:hAnsi="Times New Roman"/>
          <w:sz w:val="20"/>
        </w:rPr>
        <w:t xml:space="preserve">(ii) Licensor shall have access to the Premises for purposes of extending the existing dock bay number 6 into bay G-H. </w:t>
      </w:r>
    </w:p>
    <w:p>
      <w:pPr>
        <w:pStyle w:val="TextBody"/>
        <w:spacing w:before="180" w:after="0"/>
        <w:rPr>
          <w:rFonts w:ascii="Times New Roman" w:hAnsi="Times New Roman"/>
          <w:sz w:val="20"/>
        </w:rPr>
      </w:pPr>
      <w:r>
        <w:rPr>
          <w:rFonts w:ascii="Times New Roman" w:hAnsi="Times New Roman"/>
          <w:sz w:val="20"/>
        </w:rPr>
        <w:t xml:space="preserve">(iii) Licensor shall have limited access to the Premises to install machine pits and bases in an area contained by existing bay areas G18 and G19, together with crane bay H-2 to G-21. Licensor will install plates over the completed pits upon completion. </w:t>
      </w:r>
    </w:p>
    <w:p>
      <w:pPr>
        <w:pStyle w:val="TextBody"/>
        <w:spacing w:before="180" w:after="0"/>
        <w:rPr>
          <w:rFonts w:ascii="Times New Roman" w:hAnsi="Times New Roman"/>
          <w:sz w:val="20"/>
        </w:rPr>
      </w:pPr>
      <w:r>
        <w:rPr>
          <w:rFonts w:ascii="Times New Roman" w:hAnsi="Times New Roman"/>
          <w:sz w:val="20"/>
        </w:rPr>
        <w:t xml:space="preserve">(iv) Licensor shall have non-exclusive use to the entire Premises for purposes of ingress and egress to install necessary utilities and electrical drops for equipment, provided such improvements do not materially hinder Licensee from its continuing operations. </w:t>
      </w:r>
    </w:p>
    <w:p>
      <w:pPr>
        <w:pStyle w:val="TextBody"/>
        <w:spacing w:before="180" w:after="0"/>
        <w:rPr>
          <w:rFonts w:ascii="Times New Roman" w:hAnsi="Times New Roman"/>
          <w:sz w:val="20"/>
        </w:rPr>
      </w:pPr>
      <w:r>
        <w:rPr>
          <w:rFonts w:ascii="Times New Roman" w:hAnsi="Times New Roman"/>
          <w:sz w:val="20"/>
        </w:rPr>
        <w:t xml:space="preserve">(v) Licensor shall have reasonable access to the entire bay from B-2/H-1 (front high bay) and E-2 to D-14 (original high bay) to install or modify new and existing crane runs. </w:t>
      </w:r>
    </w:p>
    <w:p>
      <w:pPr>
        <w:pStyle w:val="TextBody"/>
        <w:spacing w:before="180" w:after="0"/>
        <w:rPr>
          <w:rFonts w:ascii="Times New Roman" w:hAnsi="Times New Roman"/>
          <w:sz w:val="20"/>
        </w:rPr>
      </w:pPr>
      <w:r>
        <w:rPr>
          <w:rFonts w:ascii="Times New Roman" w:hAnsi="Times New Roman"/>
          <w:sz w:val="20"/>
        </w:rPr>
        <w:t xml:space="preserve">(vi) Licensor may, as needed, remove the door and wall separating the east and west sides of the Premises to facilitate the installation of a crane. Notwithstanding the foregoing, the cost of heating the Premises to a working temperature of 65 degrees is to be shared equally between Licensor and Licensee. Licensor can avoid the sharing of the heating cost if a suitable temporary barrier is installed in the new opening, allowing the same difference in heating as when the door was in place.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All items relative to access to the Premises set forth in subparagraphs (ii) through (iv) shall be restricted to Licensees normal operating hours (7:30 a.m. to 4:00 p.m.), and all such areas utilized by Licensor hereunder shall be maintained broom-clean during the installation/construction period, so as not to adversely affect Licensees continuing manufacturing operations. Licensee agrees to cooperate with Licensor to facilitate Licensors work at, and use of, the Premises during the term of this License. </w:t>
      </w:r>
    </w:p>
    <w:p>
      <w:pPr>
        <w:pStyle w:val="TextBody"/>
        <w:spacing w:before="180" w:after="0"/>
        <w:rPr>
          <w:rFonts w:ascii="Times New Roman" w:hAnsi="Times New Roman"/>
          <w:sz w:val="20"/>
        </w:rPr>
      </w:pPr>
      <w:r>
        <w:rPr>
          <w:rFonts w:ascii="Times New Roman" w:hAnsi="Times New Roman"/>
          <w:sz w:val="20"/>
        </w:rPr>
        <w:t xml:space="preserve">B. At the conclusion of the Initial License, Licensor grants to Licensee a license to use a portion of the Premises shown on Exhibit A for an additional period of up to two (2) months (Extended License) on a shared basis with Licensor, subject to the following: </w:t>
      </w:r>
    </w:p>
    <w:p>
      <w:pPr>
        <w:pStyle w:val="TextBody"/>
        <w:spacing w:before="180" w:after="0"/>
        <w:rPr>
          <w:rFonts w:ascii="Times New Roman" w:hAnsi="Times New Roman"/>
          <w:sz w:val="20"/>
        </w:rPr>
      </w:pPr>
      <w:r>
        <w:rPr>
          <w:rFonts w:ascii="Times New Roman" w:hAnsi="Times New Roman"/>
          <w:sz w:val="20"/>
        </w:rPr>
        <w:t xml:space="preserve">(i) During the term of the Extended License, the parties hereto anticipate that Licensee will continue its normal manufacturing operation, including but not limited to operation of one fuel tank line in the area of bays F16/B16 to F17/B17. Licensee will operate small presses and spot welders in bays B8/D8 to B15/D15. Licensee will maintain presence in the Quality control office and first floor office. Licensee will move storage of inventory to bays D2/G2 to D14/G14. Licensee will move inventory if needed to facilitate Licensors installation of equipment. In any event, Licensee shall not materially interfere with Licensors operations. </w:t>
      </w:r>
    </w:p>
    <w:p>
      <w:pPr>
        <w:pStyle w:val="TextBody"/>
        <w:spacing w:before="180" w:after="0"/>
        <w:rPr>
          <w:rFonts w:ascii="Times New Roman" w:hAnsi="Times New Roman"/>
          <w:sz w:val="20"/>
        </w:rPr>
      </w:pPr>
      <w:r>
        <w:rPr>
          <w:rFonts w:ascii="Times New Roman" w:hAnsi="Times New Roman"/>
          <w:sz w:val="20"/>
        </w:rPr>
        <w:t xml:space="preserve">(ii) Licensee shall have access to its inventory and shall be afforded proper dock use for loading and unloading its product and racks (in docks/doors 7 or 11). In any event, Licensee shall not materially interfere with Licensors operations.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Rent</w:t>
      </w:r>
      <w:r>
        <w:rPr>
          <w:rFonts w:ascii="Times New Roman" w:hAnsi="Times New Roman"/>
          <w:sz w:val="20"/>
        </w:rPr>
        <w:t xml:space="preserve">. The granting of the within License interest to Licensee in and to the Premises is an integral part of the Purchase Agreement by and between the parties hereto, and requires no payment of rent or additional consideration during the term of the license.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Compliance with Laws</w:t>
      </w:r>
      <w:r>
        <w:rPr>
          <w:rFonts w:ascii="Times New Roman" w:hAnsi="Times New Roman"/>
          <w:sz w:val="20"/>
        </w:rPr>
        <w:t xml:space="preserve">. Licensees use of the Premises shall, subject to the right of diligent contest, comply with all laws, ordinances, orders, regulations or zoning classifications of any lawful governmental authority, agency or other regulatory authority having jurisdiction over the property; provided, however, that Licensor, without cost or expense to Licensee, shall make or cause to be made all alterations, additions and improvements requiring expenditures in the nature of capital expenditures, where such are required to be made under any applicable laws, ordinances, rules or regulations, now or hereinafter adopted or enacted unless due to Licensees specific use of the Premises or such alteration, addition or improvement is required prior to the date of this License, in which event such alteration, repair or improvement shall be at Licensees cost. Licensee shall not do any act or follow any practice relating to the property which shall constitute a nuisance.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Licensors Covenant to Repair</w:t>
      </w:r>
      <w:r>
        <w:rPr>
          <w:rFonts w:ascii="Times New Roman" w:hAnsi="Times New Roman"/>
          <w:sz w:val="20"/>
        </w:rPr>
        <w:t xml:space="preserve">. Except as provided hereinafter, Licensor at its expense shall be responsible for all maintenance, repairs or replacements to the roof, exterior walls, structural members of the property and major components of the systems located in the property, including but not limited to the plumbing, wiring, electrical, heating and air conditioning systems unless due to the act or omission of Licensee which shall be Licensees obligation and responsibility.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Licensees Covenant to Repair</w:t>
      </w:r>
      <w:r>
        <w:rPr>
          <w:rFonts w:ascii="Times New Roman" w:hAnsi="Times New Roman"/>
          <w:sz w:val="20"/>
        </w:rPr>
        <w:t xml:space="preserve">. During the Initial License, Licensee shall, at its sole expense, be responsible for maintaining the existing security and fire protection systems and door locks of the property, excepting the second floor offices, which remain under Licensors complete control and are not subject to this License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Surrender</w:t>
      </w:r>
      <w:r>
        <w:rPr>
          <w:rFonts w:ascii="Times New Roman" w:hAnsi="Times New Roman"/>
          <w:sz w:val="20"/>
        </w:rPr>
        <w:t xml:space="preserve">. Licensee shall, upon termination of this License, peaceably and quietly surrender the property to Licensor, broom-clean, in as good condition as the property was when received, ordinary wear and tear and damage by casualty excepted.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Alterations</w:t>
      </w:r>
      <w:r>
        <w:rPr>
          <w:rFonts w:ascii="Times New Roman" w:hAnsi="Times New Roman"/>
          <w:sz w:val="20"/>
        </w:rPr>
        <w:t xml:space="preserve">. No structural alteration, addition or improvement to the property shall be made by Licensee without the consent of Licensor. Any alteration, addition or improvement made by Licensee and any fixtures installed as part thereof may, at Licensees sole option, remain the property of Licensee or become a part of Licensors property upon surrender of the property.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Utilities and Other Services</w:t>
      </w:r>
      <w:r>
        <w:rPr>
          <w:rFonts w:ascii="Times New Roman" w:hAnsi="Times New Roman"/>
          <w:sz w:val="20"/>
        </w:rPr>
        <w:t xml:space="preserve">. Licensee shall pay upon receipt of a statement for, all water, heat, gas, electricity, light and other utilities used on the Premises during the Initial License, excepting therefrom utilities furnished to the office on the second floor, which shall be the sole responsibility of Licensor. Provided known in advance, Licensor shall give Licensee at least twenty-four (24) hours prior written notice of any interruption or discontinuance of utility service, except in the case of an emergency. Licensor shall pay or cause to be paid the cost of all utilities as provided for herein during the Extended License, excepting therefrom the parties agreement to share the cost of heating the Premises as set forth below. </w:t>
      </w:r>
    </w:p>
    <w:p>
      <w:pPr>
        <w:pStyle w:val="TextBody"/>
        <w:spacing w:before="180" w:after="0"/>
        <w:rPr>
          <w:rFonts w:ascii="Times New Roman" w:hAnsi="Times New Roman"/>
          <w:sz w:val="20"/>
        </w:rPr>
      </w:pPr>
      <w:r>
        <w:rPr>
          <w:rFonts w:ascii="Times New Roman" w:hAnsi="Times New Roman"/>
          <w:sz w:val="20"/>
        </w:rPr>
        <w:t xml:space="preserve">During the Extended License, the rear of the building will be maintained at approximately sixty-five (65º) degrees Fahrenheit, and the front of the building will be maintained at a minimum of forty (40º) degrees Fahrenheit, and the cost of such utility usage shall be shared 25% by Licensee, and 75% by Licensor.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Assignment and Subletting</w:t>
      </w:r>
      <w:r>
        <w:rPr>
          <w:rFonts w:ascii="Times New Roman" w:hAnsi="Times New Roman"/>
          <w:sz w:val="20"/>
        </w:rPr>
        <w:t xml:space="preserve">. The parties hereto acknowledge that Licensee will sublet Premises during both License terms to Buckley Manufacturing Company per the prior consent of Licensor, but shall not otherwise assign, sublet or permit the property or any part thereof to be used by any third party without Licensors written consent. Any reference to Licensee also includes Buckley Manufacturing Company.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Taxes and Assessments</w:t>
      </w:r>
      <w:r>
        <w:rPr>
          <w:rFonts w:ascii="Times New Roman" w:hAnsi="Times New Roman"/>
          <w:sz w:val="20"/>
        </w:rPr>
        <w:t xml:space="preserve">. Licensor shall pay all taxes, including but not limited to real property taxes assessed or assessable on or attributed to the property during the License. Licensee shall pay all personal property taxes assessed against Licensees property within the Premises.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Casualty</w:t>
      </w:r>
      <w:r>
        <w:rPr>
          <w:rFonts w:ascii="Times New Roman" w:hAnsi="Times New Roman"/>
          <w:sz w:val="20"/>
        </w:rPr>
        <w:t xml:space="preserve">. In case of damage to or destruction of any building forming part of the Premises or of any machinery, fixtures or equipment (except equipment and furnishings owned by Licensee) used in the operation and maintenance of the Premises, by fire or otherwise, which renders the Premises unusable or unsuitable for Licensees continued use thereof, this License shall terminate.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Insurance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During this License, Licensor shall maintain casualty insurance on the Premises at its sole cost and expense, including the building service, at its full replacement cost. </w:t>
      </w:r>
    </w:p>
    <w:p>
      <w:pPr>
        <w:pStyle w:val="TextBody"/>
        <w:spacing w:before="180" w:after="0"/>
        <w:rPr>
          <w:rFonts w:ascii="Times New Roman" w:hAnsi="Times New Roman"/>
          <w:sz w:val="20"/>
        </w:rPr>
      </w:pPr>
      <w:r>
        <w:rPr>
          <w:rFonts w:ascii="Times New Roman" w:hAnsi="Times New Roman"/>
          <w:sz w:val="20"/>
        </w:rPr>
        <w:t xml:space="preserve">B. During this License, Licensee shall maintain insurance on its personal property located on the Premises and commercial public liability insurance coverage, at its sole cost and expense. </w:t>
      </w:r>
    </w:p>
    <w:p>
      <w:pPr>
        <w:pStyle w:val="TextBody"/>
        <w:spacing w:before="180" w:after="0"/>
        <w:rPr>
          <w:rFonts w:ascii="Times New Roman" w:hAnsi="Times New Roman"/>
          <w:sz w:val="20"/>
        </w:rPr>
      </w:pPr>
      <w:r>
        <w:rPr>
          <w:rFonts w:ascii="Times New Roman" w:hAnsi="Times New Roman"/>
          <w:sz w:val="20"/>
        </w:rPr>
        <w:t xml:space="preserve">C. All policies of insurance required to be maintained by Licensee shall name Licensee as the insured and Licensor as an additional insured, as their respective interests may appear, and shall be endorsed with standard mortgagee clause with loss payable to any mortgagee(s) for the Premises as their interests may appear. All such policies shall, to the extent obtainable, contain an agreement by the insurers that such policies shall not be cancelled without at least thirty (30) days prior written notice to Licensor and to the holder of any mortgage to whom loss hereunder may be payable. </w:t>
      </w:r>
    </w:p>
    <w:p>
      <w:pPr>
        <w:pStyle w:val="TextBody"/>
        <w:spacing w:before="180" w:after="0"/>
        <w:rPr>
          <w:rFonts w:ascii="Times New Roman" w:hAnsi="Times New Roman"/>
          <w:sz w:val="20"/>
        </w:rPr>
      </w:pPr>
      <w:r>
        <w:rPr>
          <w:rFonts w:ascii="Times New Roman" w:hAnsi="Times New Roman"/>
          <w:sz w:val="20"/>
        </w:rPr>
        <w:t xml:space="preserve">D. Neither Licensor nor Licensee shall be liable to the other or to any insurance company (by way of subrogation or otherwise) insuring the other party for any loss or damage to any building, structure or other tangible property, or any resulting loss of income, or losses under workers compensation laws and benefits, even though such loss or damage might have been occasioned by the negligence of such party, its agents or employees, to the extent that any such loss or damage is covered by insurance benefiting the party suffering such loss or damage or was required to be covered by insurance pursuant to this License. Each party shall cause each insurance policy obtained by it as required by this License to provide that such insurance company waives all right of recovery by way of subrogation in connection with any damage or loss covered by such policy. </w:t>
      </w:r>
    </w:p>
    <w:p>
      <w:pPr>
        <w:pStyle w:val="TextBody"/>
        <w:spacing w:before="27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Indemnity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Licensee agrees to indemnify, defend and hold Licensor harmless against and from any and all claims, liabilities, expenses, demands, damages, costs, losses, fees and charges by or on behalf of any person, firm or corporation arising by reason of injury to person or property occurring on the Premises to the extent resulting from any act or omission caused by the gross negligence or intentional misconduct of Licensee or any servant, agent, employee or licensee of Licensee, or by reason of any unlawful use of the Premises, or by reason of any breach, violation or non-performance of any covenant in this License on the part of Licensee to be observed or performed. Licensee agrees in any event to reimburse and compensate Licensor within thirty (30) days of rendition of any statement to Licensee by Licensor for reasonable expenditures made by Licensor or for fines sustained or incurred by Licensor due to non-performance or non-compliance with or breach or failure to observe any term, covenant or condition of this License upon Licensees part to be kept, observed, performed or complied with. </w:t>
      </w:r>
    </w:p>
    <w:p>
      <w:pPr>
        <w:pStyle w:val="TextBody"/>
        <w:spacing w:before="180" w:after="0"/>
        <w:rPr>
          <w:rFonts w:ascii="Times New Roman" w:hAnsi="Times New Roman"/>
          <w:sz w:val="20"/>
        </w:rPr>
      </w:pPr>
      <w:r>
        <w:rPr>
          <w:rFonts w:ascii="Times New Roman" w:hAnsi="Times New Roman"/>
          <w:sz w:val="20"/>
        </w:rPr>
        <w:t xml:space="preserve">B. Licensor agrees to indemnify, defend and hold Licensee harmless against and from any and all claims, liabilities, expenses, demands, damages, costs, losses, fees and charges by or on behalf of any person, firm or corporation arising by reason of injury to person or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occurring on the Premises to the extent resulting from any act or omission caused by the gross negligence or intentional misconduct of Licensor or any servant, agent, employee or licensee of Licensor, or by reason of any unlawful use of the Premises, or by reason of any breach, violation or non-performance of any covenant in this License on the part of Licensor to be observed or performed. Licensor agrees in any event to reimburse and compensate Licensee within thirty (30) days of rendition of any statement to Licensor by Licensee for reasonable expenditures made by Licensee or for fines sustained or incurred by Licensee due to non-performance or non-compliance with or breach or failure to observe any term, covenant or condition of this License upon Licensors part to be kept, observed, performed or complied with. </w:t>
      </w:r>
    </w:p>
    <w:p>
      <w:pPr>
        <w:pStyle w:val="TextBody"/>
        <w:spacing w:before="27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Default; Remedies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Upon the occurrence of any one or more of the following events (the Events of Default), the party not in default shall have, at its option, the right to exercise any rights of remedies available in this License, at law or in equity. Events of Default shall be: </w:t>
      </w:r>
    </w:p>
    <w:p>
      <w:pPr>
        <w:pStyle w:val="TextBody"/>
        <w:spacing w:before="90" w:after="0"/>
        <w:rPr>
          <w:rFonts w:ascii="Times New Roman" w:hAnsi="Times New Roman"/>
          <w:sz w:val="20"/>
        </w:rPr>
      </w:pPr>
      <w:r>
        <w:rPr>
          <w:rFonts w:ascii="Times New Roman" w:hAnsi="Times New Roman"/>
          <w:sz w:val="20"/>
        </w:rPr>
        <w:t xml:space="preserve">(i) Failure to perform any of the terms, covenants or conditions contained in this License if not remedied within seven (7) days after receipt of written notice thereof, or, if such default cannot reasonably be remedied within such period, such party does not within seven (7) days after written notice thereof commence such act or acts as shall be necessary to remedy the default and shall not thereafter complete such act or acts within a reasonable time; and </w:t>
      </w:r>
    </w:p>
    <w:p>
      <w:pPr>
        <w:pStyle w:val="TextBody"/>
        <w:spacing w:before="180" w:after="0"/>
        <w:rPr>
          <w:rFonts w:ascii="Times New Roman" w:hAnsi="Times New Roman"/>
          <w:sz w:val="20"/>
        </w:rPr>
      </w:pPr>
      <w:r>
        <w:rPr>
          <w:rFonts w:ascii="Times New Roman" w:hAnsi="Times New Roman"/>
          <w:sz w:val="20"/>
        </w:rPr>
        <w:t xml:space="preserve">(ii) Either party becomes bankrupt or insolvent, or files any debtor proceedings, or files pursuant to any statute a petition in bankruptcy or insolvency or for reorganization, or files a petition for the appointment of a receiver or trustee for all or substantially all of its assets, or if such party makes an assignment for the benefit of creditors, or if its interest in this License is attached, seized or made subject to any other judicial seizure. </w:t>
      </w:r>
    </w:p>
    <w:p>
      <w:pPr>
        <w:pStyle w:val="TextBody"/>
        <w:spacing w:before="180" w:after="0"/>
        <w:rPr>
          <w:rFonts w:ascii="Times New Roman" w:hAnsi="Times New Roman"/>
          <w:sz w:val="20"/>
        </w:rPr>
      </w:pPr>
      <w:r>
        <w:rPr>
          <w:rFonts w:ascii="Times New Roman" w:hAnsi="Times New Roman"/>
          <w:sz w:val="20"/>
        </w:rPr>
        <w:t xml:space="preserve">B. In addition to its other remedies, either party, upon an Event of Default by the other party, shall have the immediate right, after any applicable grace period expressed herein, to (i) pay or perform any obligation on the part of the defaulting party to be paid or performed, upon demand, including all costs and expenses incurred, and/or (ii) the right to pursue any other legal or equitable remedy available to it.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Eminent Domain</w:t>
      </w:r>
      <w:r>
        <w:rPr>
          <w:rFonts w:ascii="Times New Roman" w:hAnsi="Times New Roman"/>
          <w:sz w:val="20"/>
        </w:rPr>
        <w:t xml:space="preserve">. If all or any portion of the Premises is taken under the power of eminent domain (including any conveyance made in lieu thereof), then this License shall terminate. All compensation awarded for any taking (or the proceeds of a private sale in lieu thereof) shall be the property of the Licensor, whether such award is for compensation for damages to the Licensors or Licensees interest in the Premises, and Licensee hereby assigns all of its interest in any such award to Licensor; provided, however, Licensor shall not have any interest in any separate aware made to Licensee for loss of business, moving expenses or the taking of Licensees trade fixtures or equipment if a separate aware for such items are made to Licensee.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Notices</w:t>
      </w:r>
      <w:r>
        <w:rPr>
          <w:rFonts w:ascii="Times New Roman" w:hAnsi="Times New Roman"/>
          <w:sz w:val="20"/>
        </w:rPr>
        <w:t xml:space="preserve">. All notices required or permitted to be given under this License shall be in writing and shall be deemed given and delivered, whether or not received, when deposited in the United States certified mail, return receipt requested, postage prepaid and properly addressed,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the addresses set forth below, or at such other address as either party may designate for itself by at least ten (10) days prior written notice to the other party.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371"/>
        <w:gridCol w:w="257"/>
        <w:gridCol w:w="3944"/>
      </w:tblGrid>
      <w:tr>
        <w:trPr/>
        <w:tc>
          <w:tcPr>
            <w:tcW w:w="437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3944" w:type="dxa"/>
            <w:tcBorders/>
            <w:shd w:fill="auto" w:val="clear"/>
            <w:vAlign w:val="center"/>
          </w:tcPr>
          <w:p>
            <w:pPr>
              <w:pStyle w:val="TableContents"/>
              <w:spacing w:before="0" w:after="283"/>
              <w:rPr>
                <w:sz w:val="4"/>
                <w:szCs w:val="4"/>
              </w:rPr>
            </w:pPr>
            <w:r>
              <w:rPr>
                <w:sz w:val="4"/>
                <w:szCs w:val="4"/>
              </w:rPr>
            </w:r>
          </w:p>
        </w:tc>
      </w:tr>
      <w:tr>
        <w:trPr/>
        <w:tc>
          <w:tcPr>
            <w:tcW w:w="4371" w:type="dxa"/>
            <w:tcBorders/>
            <w:shd w:fill="auto" w:val="clear"/>
          </w:tcPr>
          <w:p>
            <w:pPr>
              <w:pStyle w:val="TableContents"/>
              <w:spacing w:before="0" w:after="283"/>
              <w:rPr>
                <w:rFonts w:ascii="Times New Roman" w:hAnsi="Times New Roman"/>
                <w:sz w:val="20"/>
              </w:rPr>
            </w:pPr>
            <w:r>
              <w:rPr>
                <w:rFonts w:ascii="Times New Roman" w:hAnsi="Times New Roman"/>
                <w:sz w:val="20"/>
              </w:rPr>
              <w:t>To Licensee:</w:t>
            </w:r>
          </w:p>
        </w:tc>
        <w:tc>
          <w:tcPr>
            <w:tcW w:w="257" w:type="dxa"/>
            <w:tcBorders/>
            <w:shd w:fill="auto" w:val="clear"/>
            <w:vAlign w:val="bottom"/>
          </w:tcPr>
          <w:p>
            <w:pPr>
              <w:pStyle w:val="TableContents"/>
              <w:spacing w:before="0" w:after="283"/>
              <w:rPr/>
            </w:pPr>
            <w:r>
              <w:rPr/>
              <w:t>  </w:t>
            </w:r>
          </w:p>
        </w:tc>
        <w:tc>
          <w:tcPr>
            <w:tcW w:w="39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 Licensor:</w:t>
            </w:r>
          </w:p>
        </w:tc>
      </w:tr>
      <w:tr>
        <w:trPr>
          <w:trHeight w:val="120" w:hRule="atLeast"/>
        </w:trPr>
        <w:tc>
          <w:tcPr>
            <w:tcW w:w="4371" w:type="dxa"/>
            <w:tcBorders/>
            <w:shd w:fill="auto" w:val="clear"/>
            <w:vAlign w:val="center"/>
          </w:tcPr>
          <w:p>
            <w:pPr>
              <w:pStyle w:val="TableContents"/>
              <w:spacing w:before="0" w:after="283"/>
              <w:rPr>
                <w:sz w:val="4"/>
                <w:szCs w:val="4"/>
              </w:rPr>
            </w:pPr>
            <w:r>
              <w:rPr>
                <w:sz w:val="4"/>
                <w:szCs w:val="4"/>
              </w:rPr>
            </w:r>
          </w:p>
        </w:tc>
        <w:tc>
          <w:tcPr>
            <w:tcW w:w="4201" w:type="dxa"/>
            <w:gridSpan w:val="2"/>
            <w:tcBorders/>
            <w:shd w:fill="auto" w:val="clear"/>
            <w:vAlign w:val="center"/>
          </w:tcPr>
          <w:p>
            <w:pPr>
              <w:pStyle w:val="TableContents"/>
              <w:spacing w:before="0" w:after="283"/>
              <w:rPr>
                <w:sz w:val="4"/>
                <w:szCs w:val="4"/>
              </w:rPr>
            </w:pPr>
            <w:r>
              <w:rPr>
                <w:sz w:val="4"/>
                <w:szCs w:val="4"/>
              </w:rPr>
            </w:r>
          </w:p>
        </w:tc>
      </w:tr>
      <w:tr>
        <w:trPr/>
        <w:tc>
          <w:tcPr>
            <w:tcW w:w="4371" w:type="dxa"/>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c>
          <w:tcPr>
            <w:tcW w:w="257" w:type="dxa"/>
            <w:tcBorders/>
            <w:shd w:fill="auto" w:val="clear"/>
            <w:vAlign w:val="bottom"/>
          </w:tcPr>
          <w:p>
            <w:pPr>
              <w:pStyle w:val="TableContents"/>
              <w:spacing w:before="0" w:after="283"/>
              <w:rPr/>
            </w:pPr>
            <w:r>
              <w:rPr/>
              <w:t>  </w:t>
            </w:r>
          </w:p>
        </w:tc>
        <w:tc>
          <w:tcPr>
            <w:tcW w:w="39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Kirk &amp; Blum Company</w:t>
            </w:r>
          </w:p>
        </w:tc>
      </w:tr>
      <w:tr>
        <w:trPr/>
        <w:tc>
          <w:tcPr>
            <w:tcW w:w="4371" w:type="dxa"/>
            <w:tcBorders/>
            <w:shd w:fill="auto" w:val="clear"/>
          </w:tcPr>
          <w:p>
            <w:pPr>
              <w:pStyle w:val="TableContents"/>
              <w:spacing w:before="0" w:after="283"/>
              <w:rPr>
                <w:rFonts w:ascii="Times New Roman" w:hAnsi="Times New Roman"/>
                <w:sz w:val="20"/>
              </w:rPr>
            </w:pPr>
            <w:r>
              <w:rPr>
                <w:rFonts w:ascii="Times New Roman" w:hAnsi="Times New Roman"/>
                <w:sz w:val="20"/>
              </w:rPr>
              <w:t>10333 Wayne Avenue</w:t>
            </w:r>
          </w:p>
        </w:tc>
        <w:tc>
          <w:tcPr>
            <w:tcW w:w="257" w:type="dxa"/>
            <w:tcBorders/>
            <w:shd w:fill="auto" w:val="clear"/>
            <w:vAlign w:val="bottom"/>
          </w:tcPr>
          <w:p>
            <w:pPr>
              <w:pStyle w:val="TableContents"/>
              <w:spacing w:before="0" w:after="283"/>
              <w:rPr/>
            </w:pPr>
            <w:r>
              <w:rPr/>
              <w:t>  </w:t>
            </w:r>
          </w:p>
        </w:tc>
        <w:tc>
          <w:tcPr>
            <w:tcW w:w="39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4371"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 45215</w:t>
            </w:r>
          </w:p>
        </w:tc>
        <w:tc>
          <w:tcPr>
            <w:tcW w:w="257" w:type="dxa"/>
            <w:tcBorders/>
            <w:shd w:fill="auto" w:val="clear"/>
            <w:vAlign w:val="bottom"/>
          </w:tcPr>
          <w:p>
            <w:pPr>
              <w:pStyle w:val="TableContents"/>
              <w:spacing w:before="0" w:after="283"/>
              <w:rPr/>
            </w:pPr>
            <w:r>
              <w:rPr/>
              <w:t>  </w:t>
            </w:r>
          </w:p>
        </w:tc>
        <w:tc>
          <w:tcPr>
            <w:tcW w:w="39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 45209</w:t>
            </w:r>
          </w:p>
        </w:tc>
      </w:tr>
      <w:tr>
        <w:trPr/>
        <w:tc>
          <w:tcPr>
            <w:tcW w:w="4371" w:type="dxa"/>
            <w:tcBorders/>
            <w:shd w:fill="auto" w:val="clear"/>
          </w:tcPr>
          <w:p>
            <w:pPr>
              <w:pStyle w:val="TableContents"/>
              <w:spacing w:before="0" w:after="283"/>
              <w:rPr>
                <w:rFonts w:ascii="Times New Roman" w:hAnsi="Times New Roman"/>
                <w:sz w:val="20"/>
              </w:rPr>
            </w:pPr>
            <w:r>
              <w:rPr>
                <w:rFonts w:ascii="Times New Roman" w:hAnsi="Times New Roman"/>
                <w:sz w:val="20"/>
              </w:rPr>
              <w:t>Attn: Tom Strotman</w:t>
            </w:r>
          </w:p>
        </w:tc>
        <w:tc>
          <w:tcPr>
            <w:tcW w:w="257" w:type="dxa"/>
            <w:tcBorders/>
            <w:shd w:fill="auto" w:val="clear"/>
            <w:vAlign w:val="bottom"/>
          </w:tcPr>
          <w:p>
            <w:pPr>
              <w:pStyle w:val="TableContents"/>
              <w:spacing w:before="0" w:after="283"/>
              <w:rPr/>
            </w:pPr>
            <w:r>
              <w:rPr/>
              <w:t>  </w:t>
            </w:r>
          </w:p>
        </w:tc>
        <w:tc>
          <w:tcPr>
            <w:tcW w:w="39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Dave Blum</w:t>
            </w:r>
          </w:p>
        </w:tc>
      </w:tr>
    </w:tbl>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No Waiver</w:t>
      </w:r>
      <w:r>
        <w:rPr>
          <w:rFonts w:ascii="Times New Roman" w:hAnsi="Times New Roman"/>
          <w:sz w:val="20"/>
        </w:rPr>
        <w:t xml:space="preserve">. No course of dealing between Licensor and Licensee, or any delay or omission of Licensor or Licensee to insist upon a strict performance of any term or condition of this License, shall be deemed a waiver of any right or remedy that such party may have, and shall not be deemed a waiver of any subsequent breach of such term or condition. </w:t>
      </w:r>
    </w:p>
    <w:p>
      <w:pPr>
        <w:pStyle w:val="TextBody"/>
        <w:spacing w:before="18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Quiet Enjoyment</w:t>
      </w:r>
      <w:r>
        <w:rPr>
          <w:rFonts w:ascii="Times New Roman" w:hAnsi="Times New Roman"/>
          <w:sz w:val="20"/>
        </w:rPr>
        <w:t xml:space="preserve">. Licensor covenants and agrees that Licensee, upon paying the rent and observing and keeping the covenants, agreements and stipulations of this License on its part to be kept, shall lawfully, peaceably and quietly hold, occupy and enjoy the Premises during the term without hindrance, ejection or molestation. Licensor covenants and warrants that it is lawfully seized of the Premises and has good, right and lawful authority to enter into this License for the full term aforesaid, that the Premises are free and clear of all encumbrances, and that Licensor will put Licensee in actual possession of the Premises on the Effective Date. </w:t>
      </w:r>
    </w:p>
    <w:p>
      <w:pPr>
        <w:pStyle w:val="TextBody"/>
        <w:spacing w:before="180" w:after="0"/>
        <w:rPr>
          <w:rFonts w:ascii="Times New Roman" w:hAnsi="Times New Roman"/>
          <w:sz w:val="20"/>
        </w:rPr>
      </w:pPr>
      <w:r>
        <w:rPr>
          <w:rFonts w:ascii="Times New Roman" w:hAnsi="Times New Roman"/>
          <w:sz w:val="20"/>
        </w:rPr>
        <w:t xml:space="preserve">19. </w:t>
      </w:r>
      <w:r>
        <w:rPr>
          <w:rFonts w:ascii="Times New Roman" w:hAnsi="Times New Roman"/>
          <w:sz w:val="20"/>
          <w:u w:val="single"/>
        </w:rPr>
        <w:t>Subordination</w:t>
      </w:r>
      <w:r>
        <w:rPr>
          <w:rFonts w:ascii="Times New Roman" w:hAnsi="Times New Roman"/>
          <w:sz w:val="20"/>
        </w:rPr>
        <w:t xml:space="preserve">. This License is subject and subordinate to any and all mortgages or deeds of trust now on the Premises, and this clause shall be self-operative without any further instrument necessary to effect such subordination; provided, however, that such subordination of this License is conditional upon the mortgagee under such mortgage, or the trustee and the beneficiary under such deed of trust, executing and delivering to Licensee a commercially reasonable written instrument in recordable form providing that this License will not be affected by any foreclosure or other default proceeding under such mortgage or deed of trust, so long as Licensee is not in default hereunder. Licensor shall be responsible for paying all legal fees and expenses incurred in obtaining any subordination, non-disturbance and attornment agreement described herein. </w:t>
      </w:r>
    </w:p>
    <w:p>
      <w:pPr>
        <w:pStyle w:val="TextBody"/>
        <w:spacing w:before="180" w:after="0"/>
        <w:rPr>
          <w:rFonts w:ascii="Times New Roman" w:hAnsi="Times New Roman"/>
          <w:sz w:val="20"/>
        </w:rPr>
      </w:pPr>
      <w:r>
        <w:rPr>
          <w:rFonts w:ascii="Times New Roman" w:hAnsi="Times New Roman"/>
          <w:sz w:val="20"/>
        </w:rPr>
        <w:t xml:space="preserve">20. </w:t>
      </w:r>
      <w:r>
        <w:rPr>
          <w:rFonts w:ascii="Times New Roman" w:hAnsi="Times New Roman"/>
          <w:sz w:val="20"/>
          <w:u w:val="single"/>
        </w:rPr>
        <w:t>Invalidity</w:t>
      </w:r>
      <w:r>
        <w:rPr>
          <w:rFonts w:ascii="Times New Roman" w:hAnsi="Times New Roman"/>
          <w:sz w:val="20"/>
        </w:rPr>
        <w:t xml:space="preserve">. If any provision of this License shall be declared invalid or unenforceable, the remainder of the License shall continue in full force and effect. </w:t>
      </w:r>
    </w:p>
    <w:p>
      <w:pPr>
        <w:pStyle w:val="TextBody"/>
        <w:spacing w:before="180" w:after="0"/>
        <w:rPr>
          <w:rFonts w:ascii="Times New Roman" w:hAnsi="Times New Roman"/>
          <w:sz w:val="20"/>
        </w:rPr>
      </w:pPr>
      <w:r>
        <w:rPr>
          <w:rFonts w:ascii="Times New Roman" w:hAnsi="Times New Roman"/>
          <w:sz w:val="20"/>
        </w:rPr>
        <w:t xml:space="preserve">21. </w:t>
      </w:r>
      <w:r>
        <w:rPr>
          <w:rFonts w:ascii="Times New Roman" w:hAnsi="Times New Roman"/>
          <w:sz w:val="20"/>
          <w:u w:val="single"/>
        </w:rPr>
        <w:t>Counterparts</w:t>
      </w:r>
      <w:r>
        <w:rPr>
          <w:rFonts w:ascii="Times New Roman" w:hAnsi="Times New Roman"/>
          <w:sz w:val="20"/>
        </w:rPr>
        <w:t xml:space="preserve">. This License may be executed in two (2) or more counterparts, which taken together shall be deemed one (1) original. </w:t>
      </w:r>
    </w:p>
    <w:p>
      <w:pPr>
        <w:pStyle w:val="TextBody"/>
        <w:spacing w:before="180" w:after="0"/>
        <w:rPr>
          <w:rFonts w:ascii="Times New Roman" w:hAnsi="Times New Roman"/>
          <w:sz w:val="20"/>
        </w:rPr>
      </w:pPr>
      <w:r>
        <w:rPr>
          <w:rFonts w:ascii="Times New Roman" w:hAnsi="Times New Roman"/>
          <w:sz w:val="20"/>
        </w:rPr>
        <w:t xml:space="preserve">22. </w:t>
      </w:r>
      <w:r>
        <w:rPr>
          <w:rFonts w:ascii="Times New Roman" w:hAnsi="Times New Roman"/>
          <w:sz w:val="20"/>
          <w:u w:val="single"/>
        </w:rPr>
        <w:t>Time</w:t>
      </w:r>
      <w:r>
        <w:rPr>
          <w:rFonts w:ascii="Times New Roman" w:hAnsi="Times New Roman"/>
          <w:sz w:val="20"/>
        </w:rPr>
        <w:t xml:space="preserve">. Time is of the essence in each and every provision regarding the parties respective performances under this License. </w:t>
      </w:r>
    </w:p>
    <w:p>
      <w:pPr>
        <w:pStyle w:val="TextBody"/>
        <w:spacing w:before="180" w:after="0"/>
        <w:rPr>
          <w:rFonts w:ascii="Times New Roman" w:hAnsi="Times New Roman"/>
          <w:sz w:val="20"/>
        </w:rPr>
      </w:pPr>
      <w:r>
        <w:rPr>
          <w:rFonts w:ascii="Times New Roman" w:hAnsi="Times New Roman"/>
          <w:sz w:val="20"/>
        </w:rPr>
        <w:t xml:space="preserve">23. </w:t>
      </w:r>
      <w:r>
        <w:rPr>
          <w:rFonts w:ascii="Times New Roman" w:hAnsi="Times New Roman"/>
          <w:sz w:val="20"/>
          <w:u w:val="single"/>
        </w:rPr>
        <w:t>Cumulative</w:t>
      </w:r>
      <w:r>
        <w:rPr>
          <w:rFonts w:ascii="Times New Roman" w:hAnsi="Times New Roman"/>
          <w:sz w:val="20"/>
        </w:rPr>
        <w:t xml:space="preserve">. All rights and remedies of Licensor and Licensee herein shall be cumulative and none shall be exclusive of any other or of any rights and remedies allowed by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24. </w:t>
      </w:r>
      <w:r>
        <w:rPr>
          <w:rFonts w:ascii="Times New Roman" w:hAnsi="Times New Roman"/>
          <w:sz w:val="20"/>
          <w:u w:val="single"/>
        </w:rPr>
        <w:t>Governing Law</w:t>
      </w:r>
      <w:r>
        <w:rPr>
          <w:rFonts w:ascii="Times New Roman" w:hAnsi="Times New Roman"/>
          <w:sz w:val="20"/>
        </w:rPr>
        <w:t xml:space="preserve">. This License shall be governed by, construed and enforced in accordance with the laws of the State of Ohio. </w:t>
      </w:r>
    </w:p>
    <w:p>
      <w:pPr>
        <w:pStyle w:val="TextBody"/>
        <w:spacing w:before="180" w:after="0"/>
        <w:rPr>
          <w:rFonts w:ascii="Times New Roman" w:hAnsi="Times New Roman"/>
          <w:sz w:val="20"/>
        </w:rPr>
      </w:pPr>
      <w:r>
        <w:rPr>
          <w:rFonts w:ascii="Times New Roman" w:hAnsi="Times New Roman"/>
          <w:sz w:val="20"/>
        </w:rPr>
        <w:t xml:space="preserve">25. </w:t>
      </w:r>
      <w:r>
        <w:rPr>
          <w:rFonts w:ascii="Times New Roman" w:hAnsi="Times New Roman"/>
          <w:sz w:val="20"/>
          <w:u w:val="single"/>
        </w:rPr>
        <w:t>Successors and Assigns</w:t>
      </w:r>
      <w:r>
        <w:rPr>
          <w:rFonts w:ascii="Times New Roman" w:hAnsi="Times New Roman"/>
          <w:sz w:val="20"/>
        </w:rPr>
        <w:t xml:space="preserve">. The covenants, terms, conditions, provisions and undertakings in this License shall extend to and be binding upon the heirs, executors, administrators, successors and assigns of the respective parties hereto, and shall be construed as covenants running with the land. </w:t>
      </w:r>
    </w:p>
    <w:p>
      <w:pPr>
        <w:pStyle w:val="TextBody"/>
        <w:spacing w:before="180" w:after="0"/>
        <w:rPr>
          <w:rFonts w:ascii="Times New Roman" w:hAnsi="Times New Roman"/>
          <w:sz w:val="20"/>
        </w:rPr>
      </w:pPr>
      <w:r>
        <w:rPr>
          <w:rFonts w:ascii="Times New Roman" w:hAnsi="Times New Roman"/>
          <w:sz w:val="20"/>
        </w:rPr>
        <w:t xml:space="preserve">26. </w:t>
      </w:r>
      <w:r>
        <w:rPr>
          <w:rFonts w:ascii="Times New Roman" w:hAnsi="Times New Roman"/>
          <w:sz w:val="20"/>
          <w:u w:val="single"/>
        </w:rPr>
        <w:t>Entire Agreement</w:t>
      </w:r>
      <w:r>
        <w:rPr>
          <w:rFonts w:ascii="Times New Roman" w:hAnsi="Times New Roman"/>
          <w:sz w:val="20"/>
        </w:rPr>
        <w:t xml:space="preserve">. This License, together with any exhibits attached hereto, contains the entire agreement and understanding between the parties. There are no oral understandings, terms or conditions, and neither party has relied upon any representations, express or implied, not contained in this License. All prior understandings, terms or conditions are deemed merged in this License. This License cannot be changed or supplemented orally, but may be modified or amended only by a written instrument executed by the parties. </w:t>
      </w:r>
    </w:p>
    <w:p>
      <w:pPr>
        <w:pStyle w:val="TextBody"/>
        <w:spacing w:before="180" w:after="0"/>
        <w:rPr>
          <w:rFonts w:ascii="Times New Roman" w:hAnsi="Times New Roman"/>
          <w:sz w:val="20"/>
        </w:rPr>
      </w:pPr>
      <w:r>
        <w:rPr>
          <w:rFonts w:ascii="Times New Roman" w:hAnsi="Times New Roman"/>
          <w:sz w:val="20"/>
        </w:rPr>
        <w:t xml:space="preserve">27. </w:t>
      </w:r>
      <w:r>
        <w:rPr>
          <w:rFonts w:ascii="Times New Roman" w:hAnsi="Times New Roman"/>
          <w:sz w:val="20"/>
          <w:u w:val="single"/>
        </w:rPr>
        <w:t>Use of Premises</w:t>
      </w:r>
      <w:r>
        <w:rPr>
          <w:rFonts w:ascii="Times New Roman" w:hAnsi="Times New Roman"/>
          <w:sz w:val="20"/>
        </w:rPr>
        <w:t xml:space="preserve">. During the term of this License, Licensee shall use and occupy the Premises for manufacturing, warehousing and/or business operations in connection therewith, and no other use shall be made thereof without the express written consent of Licensor. Licensee at its own expense shall materially conform its usage of the Premises with all present and future laws, ordinances, rules and regulations of all governmental authority applicable thereto; provided, however, that if Licensee is required by any such authority to make any expenditure under this provision, Licensee may terminate this License immediately.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have hereunto executed this Agreement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98"/>
        <w:gridCol w:w="112"/>
        <w:gridCol w:w="433"/>
        <w:gridCol w:w="112"/>
        <w:gridCol w:w="320"/>
        <w:gridCol w:w="112"/>
        <w:gridCol w:w="4918"/>
      </w:tblGrid>
      <w:tr>
        <w:trPr/>
        <w:tc>
          <w:tcPr>
            <w:tcW w:w="419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918" w:type="dxa"/>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35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LICENSOR:</w:t>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5462" w:type="dxa"/>
            <w:gridSpan w:val="4"/>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spacing w:before="0" w:after="283"/>
              <w:rPr>
                <w:rFonts w:ascii="Times New Roman" w:hAnsi="Times New Roman"/>
                <w:sz w:val="20"/>
              </w:rPr>
            </w:pPr>
            <w:r>
              <w:rPr>
                <w:rFonts w:ascii="Times New Roman" w:hAnsi="Times New Roman"/>
                <w:sz w:val="20"/>
              </w:rPr>
              <w:t>Witnesses:</w:t>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35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KIRK &amp; BLUM COMPANY</w:t>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432" w:type="dxa"/>
            <w:gridSpan w:val="2"/>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pBdr>
                <w:bottom w:val="single" w:sz="2" w:space="1" w:color="000000"/>
              </w:pBdr>
              <w:spacing w:before="0" w:after="15"/>
              <w:rPr/>
            </w:pPr>
            <w:r>
              <w:rPr/>
              <w:t> </w:t>
            </w:r>
          </w:p>
        </w:tc>
        <w:tc>
          <w:tcPr>
            <w:tcW w:w="112" w:type="dxa"/>
            <w:tcBorders/>
            <w:shd w:fill="auto" w:val="clear"/>
            <w:vAlign w:val="bottom"/>
          </w:tcPr>
          <w:p>
            <w:pPr>
              <w:pStyle w:val="TableContents"/>
              <w:spacing w:before="0" w:after="283"/>
              <w:rPr/>
            </w:pPr>
            <w:r>
              <w:rPr/>
              <w:t> </w:t>
            </w:r>
          </w:p>
        </w:tc>
        <w:tc>
          <w:tcPr>
            <w:tcW w:w="433"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918" w:type="dxa"/>
            <w:tcBorders/>
            <w:shd w:fill="auto" w:val="clear"/>
          </w:tcPr>
          <w:p>
            <w:pPr>
              <w:pStyle w:val="TableContents"/>
              <w:pBdr>
                <w:bottom w:val="single" w:sz="2" w:space="1" w:color="000000"/>
              </w:pBdr>
              <w:spacing w:before="0" w:after="15"/>
              <w:rPr/>
            </w:pPr>
            <w:r>
              <w:rPr/>
              <w:t> </w:t>
            </w:r>
          </w:p>
        </w:tc>
      </w:tr>
      <w:tr>
        <w:trPr>
          <w:trHeight w:val="75"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432" w:type="dxa"/>
            <w:gridSpan w:val="2"/>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pBdr>
                <w:bottom w:val="single" w:sz="2" w:space="1" w:color="000000"/>
              </w:pBdr>
              <w:spacing w:before="0" w:after="15"/>
              <w:rPr/>
            </w:pPr>
            <w:r>
              <w:rPr/>
              <w:t> </w:t>
            </w:r>
          </w:p>
        </w:tc>
        <w:tc>
          <w:tcPr>
            <w:tcW w:w="112" w:type="dxa"/>
            <w:tcBorders/>
            <w:shd w:fill="auto" w:val="clear"/>
            <w:vAlign w:val="bottom"/>
          </w:tcPr>
          <w:p>
            <w:pPr>
              <w:pStyle w:val="TableContents"/>
              <w:spacing w:before="0" w:after="283"/>
              <w:rPr/>
            </w:pPr>
            <w:r>
              <w:rPr/>
              <w:t> </w:t>
            </w:r>
          </w:p>
        </w:tc>
        <w:tc>
          <w:tcPr>
            <w:tcW w:w="433"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918" w:type="dxa"/>
            <w:tcBorders/>
            <w:shd w:fill="auto" w:val="clear"/>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5462" w:type="dxa"/>
            <w:gridSpan w:val="4"/>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35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LICENSEE:</w:t>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5462" w:type="dxa"/>
            <w:gridSpan w:val="4"/>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spacing w:before="0" w:after="283"/>
              <w:rPr>
                <w:rFonts w:ascii="Times New Roman" w:hAnsi="Times New Roman"/>
                <w:sz w:val="20"/>
              </w:rPr>
            </w:pPr>
            <w:r>
              <w:rPr>
                <w:rFonts w:ascii="Times New Roman" w:hAnsi="Times New Roman"/>
                <w:sz w:val="20"/>
              </w:rPr>
              <w:t>Witnesses:</w:t>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35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5462" w:type="dxa"/>
            <w:gridSpan w:val="4"/>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350" w:type="dxa"/>
            <w:gridSpan w:val="3"/>
            <w:tcBorders/>
            <w:shd w:fill="auto" w:val="clear"/>
            <w:vAlign w:val="bottom"/>
          </w:tcPr>
          <w:p>
            <w:pPr>
              <w:pStyle w:val="TableContents"/>
              <w:spacing w:before="0" w:after="283"/>
              <w:rPr>
                <w:sz w:val="4"/>
                <w:szCs w:val="4"/>
              </w:rPr>
            </w:pPr>
            <w:r>
              <w:rPr>
                <w:sz w:val="4"/>
                <w:szCs w:val="4"/>
              </w:rPr>
            </w:r>
          </w:p>
        </w:tc>
      </w:tr>
      <w:tr>
        <w:trPr>
          <w:trHeight w:val="240" w:hRule="atLeast"/>
        </w:trPr>
        <w:tc>
          <w:tcPr>
            <w:tcW w:w="4198" w:type="dxa"/>
            <w:tcBorders/>
            <w:shd w:fill="auto" w:val="clear"/>
            <w:vAlign w:val="center"/>
          </w:tcPr>
          <w:p>
            <w:pPr>
              <w:pStyle w:val="TableContents"/>
              <w:spacing w:before="0" w:after="283"/>
              <w:rPr>
                <w:sz w:val="4"/>
                <w:szCs w:val="4"/>
              </w:rPr>
            </w:pPr>
            <w:r>
              <w:rPr>
                <w:sz w:val="4"/>
                <w:szCs w:val="4"/>
              </w:rPr>
            </w:r>
          </w:p>
        </w:tc>
        <w:tc>
          <w:tcPr>
            <w:tcW w:w="545" w:type="dxa"/>
            <w:gridSpan w:val="2"/>
            <w:tcBorders/>
            <w:shd w:fill="auto" w:val="clear"/>
            <w:vAlign w:val="center"/>
          </w:tcPr>
          <w:p>
            <w:pPr>
              <w:pStyle w:val="TableContents"/>
              <w:spacing w:before="0" w:after="283"/>
              <w:rPr>
                <w:sz w:val="4"/>
                <w:szCs w:val="4"/>
              </w:rPr>
            </w:pPr>
            <w:r>
              <w:rPr>
                <w:sz w:val="4"/>
                <w:szCs w:val="4"/>
              </w:rPr>
            </w:r>
          </w:p>
        </w:tc>
        <w:tc>
          <w:tcPr>
            <w:tcW w:w="432" w:type="dxa"/>
            <w:gridSpan w:val="2"/>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4198" w:type="dxa"/>
            <w:tcBorders/>
            <w:shd w:fill="auto" w:val="clear"/>
          </w:tcPr>
          <w:p>
            <w:pPr>
              <w:pStyle w:val="TableContents"/>
              <w:pBdr>
                <w:bottom w:val="single" w:sz="2" w:space="1" w:color="000000"/>
              </w:pBdr>
              <w:spacing w:before="0" w:after="15"/>
              <w:rPr/>
            </w:pPr>
            <w:r>
              <w:rPr/>
              <w:t> </w:t>
            </w:r>
          </w:p>
        </w:tc>
        <w:tc>
          <w:tcPr>
            <w:tcW w:w="112" w:type="dxa"/>
            <w:tcBorders/>
            <w:shd w:fill="auto" w:val="clear"/>
            <w:vAlign w:val="bottom"/>
          </w:tcPr>
          <w:p>
            <w:pPr>
              <w:pStyle w:val="TableContents"/>
              <w:spacing w:before="0" w:after="283"/>
              <w:rPr/>
            </w:pPr>
            <w:r>
              <w:rPr/>
              <w:t> </w:t>
            </w:r>
          </w:p>
        </w:tc>
        <w:tc>
          <w:tcPr>
            <w:tcW w:w="433"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918" w:type="dxa"/>
            <w:tcBorders/>
            <w:shd w:fill="auto" w:val="clear"/>
          </w:tcPr>
          <w:p>
            <w:pPr>
              <w:pStyle w:val="TableContents"/>
              <w:pBdr>
                <w:bottom w:val="single" w:sz="2" w:space="1" w:color="000000"/>
              </w:pBdr>
              <w:spacing w:before="0" w:after="15"/>
              <w:rPr/>
            </w:pPr>
            <w:r>
              <w:rPr/>
              <w:t> </w:t>
            </w:r>
          </w:p>
        </w:tc>
      </w:tr>
      <w:tr>
        <w:trPr/>
        <w:tc>
          <w:tcPr>
            <w:tcW w:w="4198" w:type="dxa"/>
            <w:tcBorders/>
            <w:shd w:fill="auto" w:val="clear"/>
          </w:tcPr>
          <w:p>
            <w:pPr>
              <w:pStyle w:val="TableContents"/>
              <w:pBdr>
                <w:bottom w:val="single" w:sz="2" w:space="1" w:color="000000"/>
              </w:pBdr>
              <w:spacing w:before="0" w:after="15"/>
              <w:rPr/>
            </w:pPr>
            <w:r>
              <w:rPr/>
              <w:t> </w:t>
            </w:r>
          </w:p>
        </w:tc>
        <w:tc>
          <w:tcPr>
            <w:tcW w:w="112"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9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2218"/>
        <w:gridCol w:w="105"/>
        <w:gridCol w:w="7882"/>
      </w:tblGrid>
      <w:tr>
        <w:trPr/>
        <w:tc>
          <w:tcPr>
            <w:tcW w:w="221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7882" w:type="dxa"/>
            <w:tcBorders/>
            <w:shd w:fill="auto" w:val="clear"/>
            <w:vAlign w:val="center"/>
          </w:tcPr>
          <w:p>
            <w:pPr>
              <w:pStyle w:val="TableContents"/>
              <w:spacing w:before="0" w:after="283"/>
              <w:rPr>
                <w:sz w:val="4"/>
                <w:szCs w:val="4"/>
              </w:rPr>
            </w:pPr>
            <w:r>
              <w:rPr>
                <w:sz w:val="4"/>
                <w:szCs w:val="4"/>
              </w:rPr>
            </w:r>
          </w:p>
        </w:tc>
      </w:tr>
      <w:tr>
        <w:trPr/>
        <w:tc>
          <w:tcPr>
            <w:tcW w:w="2218" w:type="dxa"/>
            <w:tcBorders/>
            <w:shd w:fill="auto" w:val="clear"/>
          </w:tcPr>
          <w:p>
            <w:pPr>
              <w:pStyle w:val="TableContents"/>
              <w:spacing w:before="0" w:after="283"/>
              <w:rPr>
                <w:rFonts w:ascii="Times New Roman" w:hAnsi="Times New Roman"/>
                <w:sz w:val="20"/>
              </w:rPr>
            </w:pPr>
            <w:r>
              <w:rPr>
                <w:rFonts w:ascii="Times New Roman" w:hAnsi="Times New Roman"/>
                <w:sz w:val="20"/>
              </w:rPr>
              <w:t>STATE OF OHIO</w:t>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18"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SS:</w:t>
            </w:r>
          </w:p>
        </w:tc>
      </w:tr>
      <w:tr>
        <w:trPr/>
        <w:tc>
          <w:tcPr>
            <w:tcW w:w="2218" w:type="dxa"/>
            <w:tcBorders/>
            <w:shd w:fill="auto" w:val="clear"/>
          </w:tcPr>
          <w:p>
            <w:pPr>
              <w:pStyle w:val="TableContents"/>
              <w:spacing w:before="0" w:after="283"/>
              <w:rPr>
                <w:rFonts w:ascii="Times New Roman" w:hAnsi="Times New Roman"/>
                <w:sz w:val="20"/>
              </w:rPr>
            </w:pPr>
            <w:r>
              <w:rPr>
                <w:rFonts w:ascii="Times New Roman" w:hAnsi="Times New Roman"/>
                <w:sz w:val="20"/>
              </w:rPr>
              <w:t>COUNTY OF HAMILTON</w:t>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BE IT REMEMBERED that on the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xml:space="preserve">, 2005, before me, a Notary Public in and for said County and State, personally came L. John Bertoli, III, Vice President, of THE KIRK &amp; BLUM COMPANY, Licensor in the foregoing License Agreement and Option to Purchase, and acknowledged the signing thereof to be his/her free and voluntary act and deed on behalf of said Company. </w:t>
      </w:r>
    </w:p>
    <w:p>
      <w:pPr>
        <w:pStyle w:val="TextBody"/>
        <w:spacing w:before="180" w:after="0"/>
        <w:rPr>
          <w:rFonts w:ascii="Times New Roman" w:hAnsi="Times New Roman"/>
          <w:sz w:val="20"/>
        </w:rPr>
      </w:pPr>
      <w:r>
        <w:rPr>
          <w:rFonts w:ascii="Times New Roman" w:hAnsi="Times New Roman"/>
          <w:sz w:val="20"/>
        </w:rPr>
        <w:t xml:space="preserve">IN TESTIMONY WHEREOF, I have hereunto subscribed my name and affixed my notarial seal on the day and year aforesaid.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pPr>
            <w:r>
              <w:rPr/>
              <w:t> </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Notary Public</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18"/>
        <w:gridCol w:w="105"/>
        <w:gridCol w:w="7882"/>
      </w:tblGrid>
      <w:tr>
        <w:trPr/>
        <w:tc>
          <w:tcPr>
            <w:tcW w:w="221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7882" w:type="dxa"/>
            <w:tcBorders/>
            <w:shd w:fill="auto" w:val="clear"/>
            <w:vAlign w:val="center"/>
          </w:tcPr>
          <w:p>
            <w:pPr>
              <w:pStyle w:val="TableContents"/>
              <w:spacing w:before="0" w:after="283"/>
              <w:rPr>
                <w:sz w:val="4"/>
                <w:szCs w:val="4"/>
              </w:rPr>
            </w:pPr>
            <w:r>
              <w:rPr>
                <w:sz w:val="4"/>
                <w:szCs w:val="4"/>
              </w:rPr>
            </w:r>
          </w:p>
        </w:tc>
      </w:tr>
      <w:tr>
        <w:trPr/>
        <w:tc>
          <w:tcPr>
            <w:tcW w:w="2218" w:type="dxa"/>
            <w:tcBorders/>
            <w:shd w:fill="auto" w:val="clear"/>
          </w:tcPr>
          <w:p>
            <w:pPr>
              <w:pStyle w:val="TableContents"/>
              <w:spacing w:before="0" w:after="283"/>
              <w:rPr>
                <w:rFonts w:ascii="Times New Roman" w:hAnsi="Times New Roman"/>
                <w:sz w:val="20"/>
              </w:rPr>
            </w:pPr>
            <w:r>
              <w:rPr>
                <w:rFonts w:ascii="Times New Roman" w:hAnsi="Times New Roman"/>
                <w:sz w:val="20"/>
              </w:rPr>
              <w:t>STATE OF OHIO</w:t>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18"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SS:</w:t>
            </w:r>
          </w:p>
        </w:tc>
      </w:tr>
      <w:tr>
        <w:trPr/>
        <w:tc>
          <w:tcPr>
            <w:tcW w:w="2218" w:type="dxa"/>
            <w:tcBorders/>
            <w:shd w:fill="auto" w:val="clear"/>
          </w:tcPr>
          <w:p>
            <w:pPr>
              <w:pStyle w:val="TableContents"/>
              <w:spacing w:before="0" w:after="283"/>
              <w:rPr>
                <w:rFonts w:ascii="Times New Roman" w:hAnsi="Times New Roman"/>
                <w:sz w:val="20"/>
              </w:rPr>
            </w:pPr>
            <w:r>
              <w:rPr>
                <w:rFonts w:ascii="Times New Roman" w:hAnsi="Times New Roman"/>
                <w:sz w:val="20"/>
              </w:rPr>
              <w:t>COUNTY OF HAMILTON</w:t>
            </w:r>
          </w:p>
        </w:tc>
        <w:tc>
          <w:tcPr>
            <w:tcW w:w="105" w:type="dxa"/>
            <w:tcBorders/>
            <w:shd w:fill="auto" w:val="clear"/>
            <w:vAlign w:val="bottom"/>
          </w:tcPr>
          <w:p>
            <w:pPr>
              <w:pStyle w:val="TableContents"/>
              <w:spacing w:before="0" w:after="283"/>
              <w:rPr/>
            </w:pPr>
            <w:r>
              <w:rPr/>
              <w:t> </w:t>
            </w:r>
          </w:p>
        </w:tc>
        <w:tc>
          <w:tcPr>
            <w:tcW w:w="78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BE IT REMEMBERED that on the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xml:space="preserve">, 2005, before me, a Notary Public in and for said County and State, personally came Tom Strotman, Treasurer of BUCKLEY PROPERTIES CO., Licensee in the foregoing License Agreement, and acknowledged the signing thereof to be his free and voluntary act and deed on behalf of said Company. </w:t>
      </w:r>
    </w:p>
    <w:p>
      <w:pPr>
        <w:pStyle w:val="TextBody"/>
        <w:spacing w:before="180" w:after="0"/>
        <w:rPr>
          <w:rFonts w:ascii="Times New Roman" w:hAnsi="Times New Roman"/>
          <w:sz w:val="20"/>
        </w:rPr>
      </w:pPr>
      <w:r>
        <w:rPr>
          <w:rFonts w:ascii="Times New Roman" w:hAnsi="Times New Roman"/>
          <w:sz w:val="20"/>
        </w:rPr>
        <w:t xml:space="preserve">IN TESTIMONY WHEREOF, I have hereunto subscribed my name and affixed my notarial seal on the day and year aforesaid.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pPr>
            <w:r>
              <w:rPr/>
              <w:t> </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Notary Public</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TextBody"/>
        <w:spacing w:before="0" w:after="0"/>
        <w:jc w:val="right"/>
        <w:rPr>
          <w:rFonts w:ascii="Times New Roman" w:hAnsi="Times New Roman"/>
          <w:b/>
          <w:sz w:val="20"/>
        </w:rPr>
      </w:pPr>
      <w:bookmarkStart w:id="45" w:name="dex1043.htm"/>
      <w:bookmarkStart w:id="46" w:name="ksdex1043"/>
      <w:bookmarkEnd w:id="45"/>
      <w:bookmarkEnd w:id="46"/>
      <w:r>
        <w:rPr>
          <w:rFonts w:ascii="Times New Roman" w:hAnsi="Times New Roman"/>
          <w:b/>
          <w:sz w:val="20"/>
        </w:rPr>
        <w:t xml:space="preserve">EXHIBIT 10.43 </w:t>
      </w:r>
    </w:p>
    <w:p>
      <w:pPr>
        <w:pStyle w:val="TextBody"/>
        <w:spacing w:before="180" w:after="0"/>
        <w:jc w:val="center"/>
        <w:rPr>
          <w:rFonts w:ascii="Times New Roman" w:hAnsi="Times New Roman"/>
          <w:sz w:val="20"/>
        </w:rPr>
      </w:pPr>
      <w:r>
        <w:rPr>
          <w:rFonts w:ascii="Times New Roman" w:hAnsi="Times New Roman"/>
          <w:sz w:val="20"/>
        </w:rPr>
        <w:t xml:space="preserve">January 9, 2006 </w:t>
      </w:r>
    </w:p>
    <w:p>
      <w:pPr>
        <w:pStyle w:val="TextBody"/>
        <w:spacing w:before="180" w:after="0"/>
        <w:rPr>
          <w:rFonts w:ascii="Times New Roman" w:hAnsi="Times New Roman"/>
          <w:sz w:val="20"/>
          <w:u w:val="single"/>
        </w:rPr>
      </w:pPr>
      <w:r>
        <w:rPr>
          <w:rFonts w:ascii="Times New Roman" w:hAnsi="Times New Roman"/>
          <w:sz w:val="20"/>
          <w:u w:val="single"/>
        </w:rPr>
        <w:t xml:space="preserve">Via Facsimile </w:t>
      </w:r>
    </w:p>
    <w:p>
      <w:pPr>
        <w:pStyle w:val="TextBody"/>
        <w:spacing w:before="9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CECO Group, Inc. </w:t>
      </w:r>
    </w:p>
    <w:p>
      <w:pPr>
        <w:pStyle w:val="TextBody"/>
        <w:spacing w:before="0" w:after="0"/>
        <w:rPr>
          <w:rFonts w:ascii="Times New Roman" w:hAnsi="Times New Roman"/>
          <w:sz w:val="20"/>
        </w:rPr>
      </w:pPr>
      <w:r>
        <w:rPr>
          <w:rFonts w:ascii="Times New Roman" w:hAnsi="Times New Roman"/>
          <w:sz w:val="20"/>
        </w:rPr>
        <w:t xml:space="preserve">CECO Filters, Inc. </w:t>
      </w:r>
    </w:p>
    <w:p>
      <w:pPr>
        <w:pStyle w:val="TextBody"/>
        <w:spacing w:before="0" w:after="0"/>
        <w:rPr>
          <w:rFonts w:ascii="Times New Roman" w:hAnsi="Times New Roman"/>
          <w:sz w:val="20"/>
        </w:rPr>
      </w:pPr>
      <w:r>
        <w:rPr>
          <w:rFonts w:ascii="Times New Roman" w:hAnsi="Times New Roman"/>
          <w:sz w:val="20"/>
        </w:rPr>
        <w:t xml:space="preserve">New Busch Co., Inc. </w:t>
      </w:r>
    </w:p>
    <w:p>
      <w:pPr>
        <w:pStyle w:val="TextBody"/>
        <w:spacing w:before="0" w:after="0"/>
        <w:rPr>
          <w:rFonts w:ascii="Times New Roman" w:hAnsi="Times New Roman"/>
          <w:sz w:val="20"/>
        </w:rPr>
      </w:pPr>
      <w:r>
        <w:rPr>
          <w:rFonts w:ascii="Times New Roman" w:hAnsi="Times New Roman"/>
          <w:sz w:val="20"/>
        </w:rPr>
        <w:t xml:space="preserve">The Kirk &amp; Blum Manufacturing Company </w:t>
      </w:r>
    </w:p>
    <w:p>
      <w:pPr>
        <w:pStyle w:val="TextBody"/>
        <w:spacing w:before="0" w:after="0"/>
        <w:rPr>
          <w:rFonts w:ascii="Times New Roman" w:hAnsi="Times New Roman"/>
          <w:sz w:val="20"/>
        </w:rPr>
      </w:pPr>
      <w:r>
        <w:rPr>
          <w:rFonts w:ascii="Times New Roman" w:hAnsi="Times New Roman"/>
          <w:sz w:val="20"/>
        </w:rPr>
        <w:t xml:space="preserve">KBD/Technic, Inc. </w:t>
      </w:r>
    </w:p>
    <w:p>
      <w:pPr>
        <w:pStyle w:val="TextBody"/>
        <w:spacing w:before="0" w:after="0"/>
        <w:rPr>
          <w:rFonts w:ascii="Times New Roman" w:hAnsi="Times New Roman"/>
          <w:sz w:val="20"/>
        </w:rPr>
      </w:pPr>
      <w:r>
        <w:rPr>
          <w:rFonts w:ascii="Times New Roman" w:hAnsi="Times New Roman"/>
          <w:sz w:val="20"/>
        </w:rPr>
        <w:t xml:space="preserve">CECOaire, Inc. </w:t>
      </w:r>
    </w:p>
    <w:p>
      <w:pPr>
        <w:pStyle w:val="TextBody"/>
        <w:spacing w:before="0" w:after="0"/>
        <w:rPr>
          <w:rFonts w:ascii="Times New Roman" w:hAnsi="Times New Roman"/>
          <w:sz w:val="20"/>
        </w:rPr>
      </w:pPr>
      <w:r>
        <w:rPr>
          <w:rFonts w:ascii="Times New Roman" w:hAnsi="Times New Roman"/>
          <w:sz w:val="20"/>
        </w:rPr>
        <w:t xml:space="preserve">CECO Abatement Systems, Inc.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rFonts w:ascii="Times New Roman" w:hAnsi="Times New Roman"/>
          <w:sz w:val="20"/>
        </w:rPr>
      </w:pPr>
      <w:r>
        <w:rPr>
          <w:rFonts w:ascii="Times New Roman" w:hAnsi="Times New Roman"/>
          <w:sz w:val="20"/>
        </w:rPr>
        <w:t xml:space="preserve">Ann: Mr. Richard J. Blum, President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Credit Agreement dated as of December 29, 2005 (the </w:t>
            </w:r>
            <w:r>
              <w:rPr>
                <w:rFonts w:ascii="Times New Roman" w:hAnsi="Times New Roman"/>
                <w:sz w:val="20"/>
                <w:u w:val="single"/>
              </w:rPr>
              <w:t>Credit Agreement</w:t>
            </w:r>
            <w:r>
              <w:rPr>
                <w:rFonts w:ascii="Times New Roman" w:hAnsi="Times New Roman"/>
                <w:sz w:val="20"/>
              </w:rPr>
              <w:t>) among CECO Environmental Corp., CECO Group, Inc., and their respective subsidiaries which are Borrowers thereunder: CECO Filters, Inc., New Busch Co., Inc., The Kirk &amp; Blum Manufacturing Company, KBD/Technic, Inc., CECOaire, Inc. and CECO Abatement Systems, Inc. (collectively, the </w:t>
            </w:r>
            <w:r>
              <w:rPr>
                <w:rFonts w:ascii="Times New Roman" w:hAnsi="Times New Roman"/>
                <w:sz w:val="20"/>
                <w:u w:val="single"/>
              </w:rPr>
              <w:t>Borrowers</w:t>
            </w:r>
            <w:r>
              <w:rPr>
                <w:rFonts w:ascii="Times New Roman" w:hAnsi="Times New Roman"/>
                <w:sz w:val="20"/>
              </w:rPr>
              <w:t xml:space="preserve">) and Fifth Third Bank (Lender) (capitalized terms used, but not defined, in this letter will have the meanings given to them in the Credit Agreement). </w:t>
            </w:r>
          </w:p>
        </w:tc>
      </w:tr>
    </w:tbl>
    <w:p>
      <w:pPr>
        <w:pStyle w:val="TextBody"/>
        <w:spacing w:before="180" w:after="0"/>
        <w:rPr>
          <w:rFonts w:ascii="Times New Roman" w:hAnsi="Times New Roman"/>
          <w:sz w:val="20"/>
        </w:rPr>
      </w:pPr>
      <w:r>
        <w:rPr>
          <w:rFonts w:ascii="Times New Roman" w:hAnsi="Times New Roman"/>
          <w:sz w:val="20"/>
        </w:rPr>
        <w:t xml:space="preserve">Dear Mr. Blum: </w:t>
      </w:r>
    </w:p>
    <w:p>
      <w:pPr>
        <w:pStyle w:val="TextBody"/>
        <w:spacing w:before="90" w:after="0"/>
        <w:rPr>
          <w:rFonts w:ascii="Times New Roman" w:hAnsi="Times New Roman"/>
          <w:sz w:val="20"/>
        </w:rPr>
      </w:pPr>
      <w:r>
        <w:rPr>
          <w:rFonts w:ascii="Times New Roman" w:hAnsi="Times New Roman"/>
          <w:sz w:val="20"/>
        </w:rPr>
        <w:t>Lender has been advised that, in connection with the exercise (</w:t>
      </w:r>
      <w:r>
        <w:rPr>
          <w:rFonts w:ascii="Times New Roman" w:hAnsi="Times New Roman"/>
          <w:sz w:val="20"/>
          <w:u w:val="single"/>
        </w:rPr>
        <w:t>Warrant Exercise</w:t>
      </w:r>
      <w:r>
        <w:rPr>
          <w:rFonts w:ascii="Times New Roman" w:hAnsi="Times New Roman"/>
          <w:sz w:val="20"/>
        </w:rPr>
        <w:t>) of certain warrants issued to Phillip DeZwirek to purchase the capital stock of CECO Environmental Corp. (the </w:t>
      </w:r>
      <w:r>
        <w:rPr>
          <w:rFonts w:ascii="Times New Roman" w:hAnsi="Times New Roman"/>
          <w:sz w:val="20"/>
          <w:u w:val="single"/>
        </w:rPr>
        <w:t>Company</w:t>
      </w:r>
      <w:r>
        <w:rPr>
          <w:rFonts w:ascii="Times New Roman" w:hAnsi="Times New Roman"/>
          <w:sz w:val="20"/>
        </w:rPr>
        <w:t>), the Company will receive net cash proceeds in the aggregate approximate amount of $1,700,000 (the </w:t>
      </w:r>
      <w:r>
        <w:rPr>
          <w:rFonts w:ascii="Times New Roman" w:hAnsi="Times New Roman"/>
          <w:sz w:val="20"/>
          <w:u w:val="single"/>
        </w:rPr>
        <w:t>Proceeds</w:t>
      </w:r>
      <w:r>
        <w:rPr>
          <w:rFonts w:ascii="Times New Roman" w:hAnsi="Times New Roman"/>
          <w:sz w:val="20"/>
        </w:rPr>
        <w:t>). Lender has been further advised that the Company desires to use the Proceeds to pay accrued and unpaid interest on and/or principal of (</w:t>
      </w:r>
      <w:r>
        <w:rPr>
          <w:rFonts w:ascii="Times New Roman" w:hAnsi="Times New Roman"/>
          <w:sz w:val="20"/>
          <w:u w:val="single"/>
        </w:rPr>
        <w:t>CECO Note Payment</w:t>
      </w:r>
      <w:r>
        <w:rPr>
          <w:rFonts w:ascii="Times New Roman" w:hAnsi="Times New Roman"/>
          <w:sz w:val="20"/>
        </w:rPr>
        <w:t>) any or all of the following Indebtedness (collectively, the </w:t>
      </w:r>
      <w:r>
        <w:rPr>
          <w:rFonts w:ascii="Times New Roman" w:hAnsi="Times New Roman"/>
          <w:sz w:val="20"/>
          <w:u w:val="single"/>
        </w:rPr>
        <w:t>CECO Parent Notes</w:t>
      </w:r>
      <w:r>
        <w:rPr>
          <w:rFonts w:ascii="Times New Roman" w:hAnsi="Times New Roman"/>
          <w:sz w:val="20"/>
        </w:rPr>
        <w:t xml:space="preserve">) evidenced by that certain: (i) Fourth Amended and Restated Replacement Promissory Note, dated December 29, 2005, from the Company to Green Diamond in the original principal amount of $5,441,315, (ii) Second Amended and Restated Replacement Promissory Note, dated December 29, 2005, from the Company to Green Diamond in the original principal amount of $1,290,477, (iii) Amended and Restated Replacement Promissory Note, dated May 1, 2001, in the original principal amount of $500,000 from the Company to Mr. Sandler, and (iv) Second Amended and Restated Replacement Promissory Note, dated May 28, 2002, in the original principal amount of $500,000 from the Company to ICS. Borrowers represent to Lender that no Event of Default, and no event which could become an Event of Default with the passage of time or the giving of notice, or both, under the Credit Agreement or the other Loan Documents exists on the date hereof or will be created by the transactions contemplated hereby. </w:t>
      </w:r>
    </w:p>
    <w:p>
      <w:pPr>
        <w:pStyle w:val="TextBody"/>
        <w:spacing w:before="180" w:after="0"/>
        <w:rPr>
          <w:rFonts w:ascii="Times New Roman" w:hAnsi="Times New Roman"/>
          <w:sz w:val="20"/>
        </w:rPr>
      </w:pPr>
      <w:r>
        <w:rPr>
          <w:rFonts w:ascii="Times New Roman" w:hAnsi="Times New Roman"/>
          <w:sz w:val="20"/>
        </w:rPr>
        <w:t xml:space="preserve">Lender hereby consents, without representation, warranty or recourse and upon the conditions hereof, to the application of the Proceeds as a CECO Note Payment on the CECO Parent Notes. Notwithstanding anything to the contrary in the foregoing, Lenders consent to the application of the Proceeds as a CECO Note Payment on the CECO Parent Notes, all as contemplated herein, is expressly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conditioned upon (i) the Proceeds being first deposited by the Company into the Companys Scotiabank account and then used to make the CECO Note Payment on the CECO Parent Notes out of those same funds in that Scotiabank account, (ii) the Proceeds from the Warrant Exercise receiving accounting treatment as equity in the Company, (iii) any Proceeds remaining after making the CECO Note Payment being contributed by the Company into Borrowers to be used by them to pay down the Revolving Loans, and (iv) the Companys providing to Lender an allocation of principal and interest paid on the CECO Parent Notes (by promissory note). </w:t>
      </w:r>
    </w:p>
    <w:p>
      <w:pPr>
        <w:pStyle w:val="TextBody"/>
        <w:spacing w:before="180" w:after="0"/>
        <w:rPr>
          <w:rFonts w:ascii="Times New Roman" w:hAnsi="Times New Roman"/>
          <w:sz w:val="20"/>
        </w:rPr>
      </w:pPr>
      <w:r>
        <w:rPr>
          <w:rFonts w:ascii="Times New Roman" w:hAnsi="Times New Roman"/>
          <w:sz w:val="20"/>
        </w:rPr>
        <w:t xml:space="preserve">Under no circumstances should this letter be interpreted to constitute or be deemed to be a modification or amendment of the Credit Agreement or of any other Loan Document or any commitment by Lender to provide any future consent to the Company, Group or Borrowers. </w:t>
      </w:r>
    </w:p>
    <w:p>
      <w:pPr>
        <w:pStyle w:val="TextBody"/>
        <w:spacing w:before="180" w:after="0"/>
        <w:rPr>
          <w:rFonts w:ascii="Times New Roman" w:hAnsi="Times New Roman"/>
          <w:sz w:val="20"/>
        </w:rPr>
      </w:pPr>
      <w:r>
        <w:rPr>
          <w:rFonts w:ascii="Times New Roman" w:hAnsi="Times New Roman"/>
          <w:sz w:val="20"/>
        </w:rPr>
        <w:t xml:space="preserve">This letter may be signed by facsimile signatures or other electronic delivery of an image file reflecting the execution hereof, and, if so signed: (i) may be relied on by each party as if the document were a manually signed original and (ii) will be binding on each party for all purposes.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Donald K. Mitchell</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Donald K. Mitchell, Vice President</w:t>
            </w:r>
          </w:p>
        </w:tc>
      </w:tr>
    </w:tbl>
    <w:p>
      <w:pPr>
        <w:pStyle w:val="TextBody"/>
        <w:spacing w:before="0" w:after="0"/>
        <w:rPr/>
      </w:pPr>
      <w:r>
        <w:rPr/>
        <w:t> </w:t>
      </w:r>
    </w:p>
    <w:tbl>
      <w:tblPr>
        <w:tblW w:w="2150" w:type="pct"/>
        <w:jc w:val="left"/>
        <w:tblInd w:w="0" w:type="dxa"/>
        <w:tblCellMar>
          <w:top w:w="0" w:type="dxa"/>
          <w:left w:w="0" w:type="dxa"/>
          <w:bottom w:w="0" w:type="dxa"/>
          <w:right w:w="0" w:type="dxa"/>
        </w:tblCellMar>
      </w:tblPr>
      <w:tblGrid>
        <w:gridCol w:w="1536"/>
        <w:gridCol w:w="101"/>
        <w:gridCol w:w="2751"/>
      </w:tblGrid>
      <w:tr>
        <w:trPr/>
        <w:tc>
          <w:tcPr>
            <w:tcW w:w="153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751" w:type="dxa"/>
            <w:tcBorders/>
            <w:shd w:fill="auto" w:val="clear"/>
            <w:vAlign w:val="center"/>
          </w:tcPr>
          <w:p>
            <w:pPr>
              <w:pStyle w:val="TableContents"/>
              <w:spacing w:before="0" w:after="283"/>
              <w:rPr>
                <w:sz w:val="4"/>
                <w:szCs w:val="4"/>
              </w:rPr>
            </w:pPr>
            <w:r>
              <w:rPr>
                <w:sz w:val="4"/>
                <w:szCs w:val="4"/>
              </w:rPr>
            </w:r>
          </w:p>
        </w:tc>
      </w:tr>
      <w:tr>
        <w:trPr/>
        <w:tc>
          <w:tcPr>
            <w:tcW w:w="43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Accepted and Agreed to as of January 9, 2006:</w:t>
            </w:r>
          </w:p>
        </w:tc>
      </w:tr>
      <w:tr>
        <w:trPr>
          <w:trHeight w:val="240" w:hRule="atLeast"/>
        </w:trPr>
        <w:tc>
          <w:tcPr>
            <w:tcW w:w="4388" w:type="dxa"/>
            <w:gridSpan w:val="3"/>
            <w:tcBorders/>
            <w:shd w:fill="auto" w:val="clear"/>
            <w:vAlign w:val="center"/>
          </w:tcPr>
          <w:p>
            <w:pPr>
              <w:pStyle w:val="TableContents"/>
              <w:spacing w:before="0" w:after="283"/>
              <w:rPr>
                <w:sz w:val="4"/>
                <w:szCs w:val="4"/>
              </w:rPr>
            </w:pPr>
            <w:r>
              <w:rPr>
                <w:sz w:val="4"/>
                <w:szCs w:val="4"/>
              </w:rPr>
            </w:r>
          </w:p>
        </w:tc>
      </w:tr>
      <w:tr>
        <w:trPr/>
        <w:tc>
          <w:tcPr>
            <w:tcW w:w="43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240" w:hRule="atLeast"/>
        </w:trPr>
        <w:tc>
          <w:tcPr>
            <w:tcW w:w="4388" w:type="dxa"/>
            <w:gridSpan w:val="3"/>
            <w:tcBorders/>
            <w:shd w:fill="auto" w:val="clear"/>
            <w:vAlign w:val="center"/>
          </w:tcPr>
          <w:p>
            <w:pPr>
              <w:pStyle w:val="TableContents"/>
              <w:spacing w:before="0" w:after="283"/>
              <w:rPr>
                <w:sz w:val="4"/>
                <w:szCs w:val="4"/>
              </w:rPr>
            </w:pPr>
            <w:r>
              <w:rPr>
                <w:sz w:val="4"/>
                <w:szCs w:val="4"/>
              </w:rPr>
            </w:r>
          </w:p>
        </w:tc>
      </w:tr>
      <w:tr>
        <w:trPr/>
        <w:tc>
          <w:tcPr>
            <w:tcW w:w="43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r>
      <w:tr>
        <w:trPr>
          <w:trHeight w:val="24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240" w:hRule="atLeast"/>
        </w:trPr>
        <w:tc>
          <w:tcPr>
            <w:tcW w:w="4388" w:type="dxa"/>
            <w:gridSpan w:val="3"/>
            <w:tcBorders/>
            <w:shd w:fill="auto" w:val="clear"/>
            <w:vAlign w:val="center"/>
          </w:tcPr>
          <w:p>
            <w:pPr>
              <w:pStyle w:val="TableContents"/>
              <w:spacing w:before="0" w:after="283"/>
              <w:rPr>
                <w:sz w:val="4"/>
                <w:szCs w:val="4"/>
              </w:rPr>
            </w:pPr>
            <w:r>
              <w:rPr>
                <w:sz w:val="4"/>
                <w:szCs w:val="4"/>
              </w:rPr>
            </w:r>
          </w:p>
        </w:tc>
      </w:tr>
      <w:tr>
        <w:trPr/>
        <w:tc>
          <w:tcPr>
            <w:tcW w:w="43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r>
      <w:tr>
        <w:trPr>
          <w:trHeight w:val="24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240" w:hRule="atLeast"/>
        </w:trPr>
        <w:tc>
          <w:tcPr>
            <w:tcW w:w="4388" w:type="dxa"/>
            <w:gridSpan w:val="3"/>
            <w:tcBorders/>
            <w:shd w:fill="auto" w:val="clear"/>
            <w:vAlign w:val="center"/>
          </w:tcPr>
          <w:p>
            <w:pPr>
              <w:pStyle w:val="TableContents"/>
              <w:spacing w:before="0" w:after="283"/>
              <w:rPr>
                <w:sz w:val="4"/>
                <w:szCs w:val="4"/>
              </w:rPr>
            </w:pPr>
            <w:r>
              <w:rPr>
                <w:sz w:val="4"/>
                <w:szCs w:val="4"/>
              </w:rPr>
            </w:r>
          </w:p>
        </w:tc>
      </w:tr>
      <w:tr>
        <w:trPr/>
        <w:tc>
          <w:tcPr>
            <w:tcW w:w="438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NEW BUSH CO., INC.</w:t>
            </w:r>
          </w:p>
        </w:tc>
      </w:tr>
      <w:tr>
        <w:trPr>
          <w:trHeight w:val="24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r>
        <w:trPr>
          <w:trHeight w:val="120" w:hRule="atLeast"/>
        </w:trPr>
        <w:tc>
          <w:tcPr>
            <w:tcW w:w="1536" w:type="dxa"/>
            <w:tcBorders/>
            <w:shd w:fill="auto" w:val="clear"/>
            <w:vAlign w:val="center"/>
          </w:tcPr>
          <w:p>
            <w:pPr>
              <w:pStyle w:val="TableContents"/>
              <w:spacing w:before="0" w:after="283"/>
              <w:rPr>
                <w:sz w:val="4"/>
                <w:szCs w:val="4"/>
              </w:rPr>
            </w:pPr>
            <w:r>
              <w:rPr>
                <w:sz w:val="4"/>
                <w:szCs w:val="4"/>
              </w:rPr>
            </w:r>
          </w:p>
        </w:tc>
        <w:tc>
          <w:tcPr>
            <w:tcW w:w="2852" w:type="dxa"/>
            <w:gridSpan w:val="2"/>
            <w:tcBorders/>
            <w:shd w:fill="auto" w:val="clear"/>
            <w:vAlign w:val="center"/>
          </w:tcPr>
          <w:p>
            <w:pPr>
              <w:pStyle w:val="TableContents"/>
              <w:spacing w:before="0" w:after="283"/>
              <w:rPr>
                <w:sz w:val="4"/>
                <w:szCs w:val="4"/>
              </w:rPr>
            </w:pPr>
            <w:r>
              <w:rPr>
                <w:sz w:val="4"/>
                <w:szCs w:val="4"/>
              </w:rPr>
            </w:r>
          </w:p>
        </w:tc>
      </w:tr>
      <w:tr>
        <w:trPr/>
        <w:tc>
          <w:tcPr>
            <w:tcW w:w="153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1" w:type="dxa"/>
            <w:tcBorders/>
            <w:shd w:fill="auto" w:val="clear"/>
            <w:vAlign w:val="bottom"/>
          </w:tcPr>
          <w:p>
            <w:pPr>
              <w:pStyle w:val="TableContents"/>
              <w:spacing w:before="0" w:after="283"/>
              <w:rPr/>
            </w:pPr>
            <w:r>
              <w:rPr/>
              <w:t> </w:t>
            </w:r>
          </w:p>
        </w:tc>
        <w:tc>
          <w:tcPr>
            <w:tcW w:w="2751" w:type="dxa"/>
            <w:tcBorders/>
            <w:shd w:fill="auto" w:val="clear"/>
          </w:tcPr>
          <w:p>
            <w:pPr>
              <w:pStyle w:val="TableContents"/>
              <w:pBdr>
                <w:bottom w:val="single" w:sz="2" w:space="1" w:color="000000"/>
              </w:pBdr>
              <w:spacing w:before="0" w:after="15"/>
              <w:rPr/>
            </w:pPr>
            <w:r>
              <w:rPr/>
              <w:t> </w:t>
            </w:r>
          </w:p>
        </w:tc>
      </w:tr>
    </w:tbl>
    <w:p>
      <w:pPr>
        <w:pStyle w:val="HorizontalLine"/>
        <w:pBdr>
          <w:bottom w:val="double" w:sz="6" w:space="0" w:color="999999"/>
        </w:pBdr>
        <w:rPr/>
      </w:pPr>
      <w:r>
        <w:br w:type="page"/>
      </w:r>
      <w:r>
        <w:rPr/>
      </w:r>
    </w:p>
    <w:tbl>
      <w:tblPr>
        <w:tblW w:w="4445" w:type="dxa"/>
        <w:jc w:val="left"/>
        <w:tblInd w:w="0" w:type="dxa"/>
        <w:tblCellMar>
          <w:top w:w="0" w:type="dxa"/>
          <w:left w:w="0" w:type="dxa"/>
          <w:bottom w:w="0" w:type="dxa"/>
          <w:right w:w="0" w:type="dxa"/>
        </w:tblCellMar>
      </w:tblPr>
      <w:tblGrid>
        <w:gridCol w:w="3563"/>
        <w:gridCol w:w="440"/>
        <w:gridCol w:w="442"/>
      </w:tblGrid>
      <w:tr>
        <w:trPr/>
        <w:tc>
          <w:tcPr>
            <w:tcW w:w="356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r>
      <w:tr>
        <w:trPr>
          <w:trHeight w:val="24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CECOAIRE, INC.</w:t>
            </w:r>
          </w:p>
        </w:tc>
      </w:tr>
      <w:tr>
        <w:trPr>
          <w:trHeight w:val="24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r>
      <w:tr>
        <w:trPr>
          <w:trHeight w:val="24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120" w:hRule="atLeast"/>
        </w:trPr>
        <w:tc>
          <w:tcPr>
            <w:tcW w:w="3563" w:type="dxa"/>
            <w:tcBorders/>
            <w:shd w:fill="auto" w:val="clear"/>
            <w:vAlign w:val="center"/>
          </w:tcPr>
          <w:p>
            <w:pPr>
              <w:pStyle w:val="TableContents"/>
              <w:spacing w:before="0" w:after="283"/>
              <w:rPr>
                <w:sz w:val="4"/>
                <w:szCs w:val="4"/>
              </w:rPr>
            </w:pPr>
            <w:r>
              <w:rPr>
                <w:sz w:val="4"/>
                <w:szCs w:val="4"/>
              </w:rPr>
            </w:r>
          </w:p>
        </w:tc>
        <w:tc>
          <w:tcPr>
            <w:tcW w:w="882" w:type="dxa"/>
            <w:gridSpan w:val="2"/>
            <w:tcBorders/>
            <w:shd w:fill="auto" w:val="clear"/>
            <w:vAlign w:val="center"/>
          </w:tcPr>
          <w:p>
            <w:pPr>
              <w:pStyle w:val="TableContents"/>
              <w:spacing w:before="0" w:after="283"/>
              <w:rPr>
                <w:sz w:val="4"/>
                <w:szCs w:val="4"/>
              </w:rPr>
            </w:pPr>
            <w:r>
              <w:rPr>
                <w:sz w:val="4"/>
                <w:szCs w:val="4"/>
              </w:rPr>
            </w:r>
          </w:p>
        </w:tc>
      </w:tr>
      <w:tr>
        <w:trPr/>
        <w:tc>
          <w:tcPr>
            <w:tcW w:w="356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440" w:type="dxa"/>
            <w:tcBorders/>
            <w:shd w:fill="auto" w:val="clear"/>
            <w:vAlign w:val="bottom"/>
          </w:tcPr>
          <w:p>
            <w:pPr>
              <w:pStyle w:val="TableContents"/>
              <w:spacing w:before="0" w:after="283"/>
              <w:rPr/>
            </w:pPr>
            <w:r>
              <w:rPr/>
              <w:t> </w:t>
            </w:r>
          </w:p>
        </w:tc>
        <w:tc>
          <w:tcPr>
            <w:tcW w:w="442" w:type="dxa"/>
            <w:tcBorders/>
            <w:shd w:fill="auto" w:val="clear"/>
          </w:tcPr>
          <w:p>
            <w:pPr>
              <w:pStyle w:val="TableContents"/>
              <w:pBdr>
                <w:bottom w:val="single" w:sz="2" w:space="1" w:color="000000"/>
              </w:pBdr>
              <w:spacing w:before="0" w:after="15"/>
              <w:rPr/>
            </w:pPr>
            <w:r>
              <w:rPr/>
              <w:t> </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Consented to as of January 9, 2006:</w:t>
            </w:r>
          </w:p>
        </w:tc>
      </w:tr>
      <w:tr>
        <w:trPr>
          <w:trHeight w:val="240" w:hRule="atLeast"/>
        </w:trPr>
        <w:tc>
          <w:tcPr>
            <w:tcW w:w="4445" w:type="dxa"/>
            <w:gridSpan w:val="3"/>
            <w:tcBorders/>
            <w:shd w:fill="auto" w:val="clear"/>
            <w:vAlign w:val="center"/>
          </w:tcPr>
          <w:p>
            <w:pPr>
              <w:pStyle w:val="TableContents"/>
              <w:spacing w:before="0" w:after="283"/>
              <w:rPr>
                <w:sz w:val="4"/>
                <w:szCs w:val="4"/>
              </w:rPr>
            </w:pPr>
            <w:r>
              <w:rPr>
                <w:sz w:val="4"/>
                <w:szCs w:val="4"/>
              </w:rPr>
            </w:r>
          </w:p>
        </w:tc>
      </w:tr>
      <w:tr>
        <w:trPr/>
        <w:tc>
          <w:tcPr>
            <w:tcW w:w="4445" w:type="dxa"/>
            <w:gridSpan w:val="3"/>
            <w:tcBorders/>
            <w:shd w:fill="auto" w:val="clear"/>
          </w:tcPr>
          <w:p>
            <w:pPr>
              <w:pStyle w:val="TableContents"/>
              <w:pBdr>
                <w:bottom w:val="single" w:sz="2" w:space="1" w:color="000000"/>
              </w:pBdr>
              <w:spacing w:before="0" w:after="15"/>
              <w:rPr/>
            </w:pPr>
            <w:r>
              <w:rPr/>
              <w:t> </w:t>
            </w:r>
          </w:p>
        </w:tc>
      </w:tr>
      <w:tr>
        <w:trPr/>
        <w:tc>
          <w:tcPr>
            <w:tcW w:w="44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bl>
    <w:p>
      <w:pPr>
        <w:pStyle w:val="TextBody"/>
        <w:spacing w:before="0" w:after="0"/>
        <w:jc w:val="right"/>
        <w:rPr>
          <w:rFonts w:ascii="Times New Roman" w:hAnsi="Times New Roman"/>
          <w:b/>
          <w:sz w:val="20"/>
        </w:rPr>
      </w:pPr>
      <w:r>
        <w:br w:type="page"/>
      </w:r>
      <w:bookmarkStart w:id="47" w:name="dex1045.htm"/>
      <w:bookmarkStart w:id="48" w:name="ksdex1045"/>
      <w:bookmarkEnd w:id="47"/>
      <w:bookmarkEnd w:id="48"/>
      <w:r>
        <w:rPr>
          <w:rFonts w:ascii="Times New Roman" w:hAnsi="Times New Roman"/>
          <w:b/>
          <w:sz w:val="20"/>
        </w:rPr>
        <w:t xml:space="preserve">EXHIBIT 10.45 </w:t>
      </w:r>
    </w:p>
    <w:p>
      <w:pPr>
        <w:pStyle w:val="TextBody"/>
        <w:spacing w:before="180" w:after="0"/>
        <w:jc w:val="center"/>
        <w:rPr>
          <w:rFonts w:ascii="Times New Roman" w:hAnsi="Times New Roman"/>
          <w:b/>
          <w:sz w:val="20"/>
        </w:rPr>
      </w:pPr>
      <w:r>
        <w:rPr>
          <w:rFonts w:ascii="Times New Roman" w:hAnsi="Times New Roman"/>
          <w:b/>
          <w:sz w:val="20"/>
        </w:rPr>
        <w:t xml:space="preserve">FIRST AMENDMENT TO PURCHASE AGREEMENT </w:t>
      </w:r>
    </w:p>
    <w:p>
      <w:pPr>
        <w:pStyle w:val="TextBody"/>
        <w:spacing w:before="180" w:after="0"/>
        <w:rPr>
          <w:rFonts w:ascii="Times New Roman" w:hAnsi="Times New Roman"/>
          <w:sz w:val="20"/>
        </w:rPr>
      </w:pPr>
      <w:r>
        <w:rPr>
          <w:rFonts w:ascii="Times New Roman" w:hAnsi="Times New Roman"/>
          <w:sz w:val="20"/>
        </w:rPr>
        <w:t xml:space="preserve">This First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each desire to enter into this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is amended by deleting the date November 15, 2005 and replacing it with the date November 30, 2005, and any reference to Closing or date of Closing shall mean November 30, 2005.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November 30, 2005. </w:t>
      </w:r>
    </w:p>
    <w:p>
      <w:pPr>
        <w:pStyle w:val="TextBody"/>
        <w:spacing w:before="180" w:after="0"/>
        <w:rPr>
          <w:rFonts w:ascii="Times New Roman" w:hAnsi="Times New Roman"/>
          <w:sz w:val="20"/>
        </w:rPr>
      </w:pPr>
      <w:r>
        <w:rPr>
          <w:rFonts w:ascii="Times New Roman" w:hAnsi="Times New Roman"/>
          <w:sz w:val="20"/>
        </w:rPr>
        <w:t xml:space="preserve">4. Except as amended, modified or altered hereby, the Purchase Agreement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14</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November, 2005.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47"/>
        <w:gridCol w:w="60"/>
        <w:gridCol w:w="3675"/>
      </w:tblGrid>
      <w:tr>
        <w:trPr/>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49" w:name="dex1046.htm"/>
      <w:bookmarkStart w:id="50" w:name="ksdex1046"/>
      <w:bookmarkEnd w:id="49"/>
      <w:bookmarkEnd w:id="50"/>
      <w:r>
        <w:rPr>
          <w:rFonts w:ascii="Times New Roman" w:hAnsi="Times New Roman"/>
          <w:b/>
          <w:sz w:val="20"/>
        </w:rPr>
        <w:t xml:space="preserve">EXHIBIT 10.46 </w:t>
      </w:r>
    </w:p>
    <w:p>
      <w:pPr>
        <w:pStyle w:val="TextBody"/>
        <w:spacing w:before="180" w:after="0"/>
        <w:jc w:val="center"/>
        <w:rPr>
          <w:rFonts w:ascii="Times New Roman" w:hAnsi="Times New Roman"/>
          <w:b/>
          <w:sz w:val="20"/>
        </w:rPr>
      </w:pPr>
      <w:r>
        <w:rPr>
          <w:rFonts w:ascii="Times New Roman" w:hAnsi="Times New Roman"/>
          <w:b/>
          <w:sz w:val="20"/>
        </w:rPr>
        <w:t xml:space="preserve">SECOND AMENDMENT TO PURCHASE AGREEMENT </w:t>
      </w:r>
    </w:p>
    <w:p>
      <w:pPr>
        <w:pStyle w:val="TextBody"/>
        <w:spacing w:before="180" w:after="0"/>
        <w:rPr>
          <w:rFonts w:ascii="Times New Roman" w:hAnsi="Times New Roman"/>
          <w:sz w:val="20"/>
        </w:rPr>
      </w:pPr>
      <w:r>
        <w:rPr>
          <w:rFonts w:ascii="Times New Roman" w:hAnsi="Times New Roman"/>
          <w:sz w:val="20"/>
        </w:rPr>
        <w:t xml:space="preserve">This Second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 dated November 15, 2005;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Second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November 30, 2005 and replacing it with the date December 19, 2005, and any reference to Closing or date of Closing shall mean December 19, 2005.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December 19, 2005.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30</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November, 2005.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83"/>
        <w:gridCol w:w="60"/>
        <w:gridCol w:w="3639"/>
      </w:tblGrid>
      <w:tr>
        <w:trPr/>
        <w:tc>
          <w:tcPr>
            <w:tcW w:w="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51" w:name="dex1047.htm"/>
      <w:bookmarkStart w:id="52" w:name="ksdex1047"/>
      <w:bookmarkEnd w:id="51"/>
      <w:bookmarkEnd w:id="52"/>
      <w:r>
        <w:rPr>
          <w:rFonts w:ascii="Times New Roman" w:hAnsi="Times New Roman"/>
          <w:b/>
          <w:sz w:val="20"/>
        </w:rPr>
        <w:t xml:space="preserve">EXHIBIT 10.47 </w:t>
      </w:r>
    </w:p>
    <w:p>
      <w:pPr>
        <w:pStyle w:val="TextBody"/>
        <w:spacing w:before="180" w:after="0"/>
        <w:jc w:val="center"/>
        <w:rPr>
          <w:rFonts w:ascii="Times New Roman" w:hAnsi="Times New Roman"/>
          <w:b/>
          <w:sz w:val="20"/>
        </w:rPr>
      </w:pPr>
      <w:r>
        <w:rPr>
          <w:rFonts w:ascii="Times New Roman" w:hAnsi="Times New Roman"/>
          <w:b/>
          <w:sz w:val="20"/>
        </w:rPr>
        <w:t xml:space="preserve">THIRD AMENDMENT TO PURCHASE AGREEMENT </w:t>
      </w:r>
    </w:p>
    <w:p>
      <w:pPr>
        <w:pStyle w:val="TextBody"/>
        <w:spacing w:before="180" w:after="0"/>
        <w:rPr>
          <w:rFonts w:ascii="Times New Roman" w:hAnsi="Times New Roman"/>
          <w:sz w:val="20"/>
        </w:rPr>
      </w:pPr>
      <w:r>
        <w:rPr>
          <w:rFonts w:ascii="Times New Roman" w:hAnsi="Times New Roman"/>
          <w:sz w:val="20"/>
        </w:rPr>
        <w:t xml:space="preserve">This Third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amendments dated November 15, 2005 and November 30, 2005;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Third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December 19, 2005 and replacing it with the date January 20, 2006, and any reference to Closing or date of Closing shall mean January 20, 2006.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January 20, 2006.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/15</w:t>
      </w:r>
      <w:r>
        <w:rPr>
          <w:rFonts w:ascii="Times New Roman" w:hAnsi="Times New Roman"/>
          <w:color w:val="000000"/>
          <w:position w:val="5"/>
          <w:sz w:val="11"/>
          <w:sz w:val="14"/>
        </w:rPr>
        <w:t>th</w:t>
      </w:r>
      <w:r>
        <w:rPr>
          <w:rFonts w:ascii="Times New Roman" w:hAnsi="Times New Roman"/>
          <w:color w:val="000000"/>
          <w:sz w:val="20"/>
        </w:rPr>
        <w:t xml:space="preserve">/ day of December, 2005.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83"/>
        <w:gridCol w:w="60"/>
        <w:gridCol w:w="3639"/>
      </w:tblGrid>
      <w:tr>
        <w:trPr/>
        <w:tc>
          <w:tcPr>
            <w:tcW w:w="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53" w:name="dex1048.htm"/>
      <w:bookmarkStart w:id="54" w:name="ksdex1048"/>
      <w:bookmarkEnd w:id="53"/>
      <w:bookmarkEnd w:id="54"/>
      <w:r>
        <w:rPr>
          <w:rFonts w:ascii="Times New Roman" w:hAnsi="Times New Roman"/>
          <w:b/>
          <w:sz w:val="20"/>
        </w:rPr>
        <w:t xml:space="preserve">EXHIBIT 10.48 </w:t>
      </w:r>
    </w:p>
    <w:p>
      <w:pPr>
        <w:pStyle w:val="TextBody"/>
        <w:spacing w:before="180" w:after="0"/>
        <w:jc w:val="center"/>
        <w:rPr>
          <w:rFonts w:ascii="Times New Roman" w:hAnsi="Times New Roman"/>
          <w:b/>
          <w:sz w:val="20"/>
        </w:rPr>
      </w:pPr>
      <w:r>
        <w:rPr>
          <w:rFonts w:ascii="Times New Roman" w:hAnsi="Times New Roman"/>
          <w:b/>
          <w:sz w:val="20"/>
        </w:rPr>
        <w:t xml:space="preserve">FOURTH AMENDMENT TO PURCHASE AGREEMENT </w:t>
      </w:r>
    </w:p>
    <w:p>
      <w:pPr>
        <w:pStyle w:val="TextBody"/>
        <w:spacing w:before="180" w:after="0"/>
        <w:rPr>
          <w:rFonts w:ascii="Times New Roman" w:hAnsi="Times New Roman"/>
          <w:sz w:val="20"/>
        </w:rPr>
      </w:pPr>
      <w:r>
        <w:rPr>
          <w:rFonts w:ascii="Times New Roman" w:hAnsi="Times New Roman"/>
          <w:sz w:val="20"/>
        </w:rPr>
        <w:t xml:space="preserve">This Fourth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amendments dated November 15, 2005, November 30, 2005 and December 15, 2005;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Fourth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January 20, 2006 and replacing it with the date February 3, 2006, and any reference to Closing or date of Closing shall mean February 3, 2006.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February 3, 2006.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/13</w:t>
      </w:r>
      <w:r>
        <w:rPr>
          <w:rFonts w:ascii="Times New Roman" w:hAnsi="Times New Roman"/>
          <w:color w:val="000000"/>
          <w:position w:val="5"/>
          <w:sz w:val="11"/>
          <w:sz w:val="14"/>
        </w:rPr>
        <w:t>th</w:t>
      </w:r>
      <w:r>
        <w:rPr>
          <w:rFonts w:ascii="Times New Roman" w:hAnsi="Times New Roman"/>
          <w:color w:val="000000"/>
          <w:sz w:val="20"/>
        </w:rPr>
        <w:t xml:space="preserve">/ day of January,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83"/>
        <w:gridCol w:w="60"/>
        <w:gridCol w:w="3639"/>
      </w:tblGrid>
      <w:tr>
        <w:trPr/>
        <w:tc>
          <w:tcPr>
            <w:tcW w:w="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55" w:name="dex1049.htm"/>
      <w:bookmarkStart w:id="56" w:name="ksdex1049"/>
      <w:bookmarkEnd w:id="55"/>
      <w:bookmarkEnd w:id="56"/>
      <w:r>
        <w:rPr>
          <w:rFonts w:ascii="Times New Roman" w:hAnsi="Times New Roman"/>
          <w:b/>
          <w:sz w:val="20"/>
        </w:rPr>
        <w:t xml:space="preserve">EXHIBIT 10.49 </w:t>
      </w:r>
    </w:p>
    <w:p>
      <w:pPr>
        <w:pStyle w:val="TextBody"/>
        <w:spacing w:before="180" w:after="0"/>
        <w:jc w:val="center"/>
        <w:rPr>
          <w:rFonts w:ascii="Times New Roman" w:hAnsi="Times New Roman"/>
          <w:b/>
          <w:sz w:val="20"/>
        </w:rPr>
      </w:pPr>
      <w:r>
        <w:rPr>
          <w:rFonts w:ascii="Times New Roman" w:hAnsi="Times New Roman"/>
          <w:b/>
          <w:sz w:val="20"/>
        </w:rPr>
        <w:t xml:space="preserve">FIFTH AMENDMENT TO PURCHASE AGREEMENT </w:t>
      </w:r>
    </w:p>
    <w:p>
      <w:pPr>
        <w:pStyle w:val="TextBody"/>
        <w:spacing w:before="180" w:after="0"/>
        <w:rPr>
          <w:rFonts w:ascii="Times New Roman" w:hAnsi="Times New Roman"/>
          <w:sz w:val="20"/>
        </w:rPr>
      </w:pPr>
      <w:r>
        <w:rPr>
          <w:rFonts w:ascii="Times New Roman" w:hAnsi="Times New Roman"/>
          <w:sz w:val="20"/>
        </w:rPr>
        <w:t xml:space="preserve">This Fifth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amendments dated November 15, 2005, November 30, 2005, December 15, 2005 and January 13, 2006;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Fifth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February 3, 2006 and replacing it with the date February 17, 2006, and any reference to Closing or date of Closing shall mean February 17, 2006.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February 17, 2006.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/1</w:t>
      </w:r>
      <w:r>
        <w:rPr>
          <w:rFonts w:ascii="Times New Roman" w:hAnsi="Times New Roman"/>
          <w:color w:val="000000"/>
          <w:position w:val="5"/>
          <w:sz w:val="11"/>
          <w:sz w:val="14"/>
        </w:rPr>
        <w:t>st</w:t>
      </w:r>
      <w:r>
        <w:rPr>
          <w:rFonts w:ascii="Times New Roman" w:hAnsi="Times New Roman"/>
          <w:color w:val="000000"/>
          <w:sz w:val="20"/>
        </w:rPr>
        <w:t xml:space="preserve">/ day of February,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47"/>
        <w:gridCol w:w="60"/>
        <w:gridCol w:w="3675"/>
      </w:tblGrid>
      <w:tr>
        <w:trPr/>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57" w:name="dex1050.htm"/>
      <w:bookmarkStart w:id="58" w:name="ksdex1050"/>
      <w:bookmarkEnd w:id="57"/>
      <w:bookmarkEnd w:id="58"/>
      <w:r>
        <w:rPr>
          <w:rFonts w:ascii="Times New Roman" w:hAnsi="Times New Roman"/>
          <w:b/>
          <w:sz w:val="20"/>
        </w:rPr>
        <w:t xml:space="preserve">EXHIBIT 10.50 </w:t>
      </w:r>
    </w:p>
    <w:p>
      <w:pPr>
        <w:pStyle w:val="TextBody"/>
        <w:spacing w:before="180" w:after="0"/>
        <w:jc w:val="center"/>
        <w:rPr>
          <w:rFonts w:ascii="Times New Roman" w:hAnsi="Times New Roman"/>
          <w:b/>
          <w:sz w:val="20"/>
        </w:rPr>
      </w:pPr>
      <w:r>
        <w:rPr>
          <w:rFonts w:ascii="Times New Roman" w:hAnsi="Times New Roman"/>
          <w:b/>
          <w:sz w:val="20"/>
        </w:rPr>
        <w:t xml:space="preserve">SIXTH AMENDMENT TO PURCHASE AGREEMENT </w:t>
      </w:r>
    </w:p>
    <w:p>
      <w:pPr>
        <w:pStyle w:val="TextBody"/>
        <w:spacing w:before="180" w:after="0"/>
        <w:rPr>
          <w:rFonts w:ascii="Times New Roman" w:hAnsi="Times New Roman"/>
          <w:sz w:val="20"/>
        </w:rPr>
      </w:pPr>
      <w:r>
        <w:rPr>
          <w:rFonts w:ascii="Times New Roman" w:hAnsi="Times New Roman"/>
          <w:sz w:val="20"/>
        </w:rPr>
        <w:t xml:space="preserve">This Sixth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amendments dated November 15, 2005, November 30, 2005, December 15, 2005, January 13, 2006 and February 1, 2006;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Sixth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February 17, 2006 and replacing it with the date March 10, 2006, and any reference to Closing or date of Closing shall mean March 10, 2006.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March 10, 2006.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/15</w:t>
      </w:r>
      <w:r>
        <w:rPr>
          <w:rFonts w:ascii="Times New Roman" w:hAnsi="Times New Roman"/>
          <w:color w:val="000000"/>
          <w:position w:val="5"/>
          <w:sz w:val="11"/>
          <w:sz w:val="14"/>
        </w:rPr>
        <w:t>th</w:t>
      </w:r>
      <w:r>
        <w:rPr>
          <w:rFonts w:ascii="Times New Roman" w:hAnsi="Times New Roman"/>
          <w:color w:val="000000"/>
          <w:sz w:val="20"/>
        </w:rPr>
        <w:t xml:space="preserve">/ day of February,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47"/>
        <w:gridCol w:w="60"/>
        <w:gridCol w:w="3675"/>
      </w:tblGrid>
      <w:tr>
        <w:trPr/>
        <w:tc>
          <w:tcPr>
            <w:tcW w:w="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47" w:type="dxa"/>
            <w:tcBorders/>
            <w:shd w:fill="auto" w:val="clear"/>
            <w:vAlign w:val="center"/>
          </w:tcPr>
          <w:p>
            <w:pPr>
              <w:pStyle w:val="TableContents"/>
              <w:spacing w:before="0" w:after="283"/>
              <w:rPr>
                <w:sz w:val="4"/>
                <w:szCs w:val="4"/>
              </w:rPr>
            </w:pPr>
            <w:r>
              <w:rPr>
                <w:sz w:val="4"/>
                <w:szCs w:val="4"/>
              </w:rPr>
            </w:r>
          </w:p>
        </w:tc>
        <w:tc>
          <w:tcPr>
            <w:tcW w:w="3735" w:type="dxa"/>
            <w:gridSpan w:val="2"/>
            <w:tcBorders/>
            <w:shd w:fill="auto" w:val="clear"/>
            <w:vAlign w:val="center"/>
          </w:tcPr>
          <w:p>
            <w:pPr>
              <w:pStyle w:val="TableContents"/>
              <w:spacing w:before="0" w:after="283"/>
              <w:rPr>
                <w:sz w:val="4"/>
                <w:szCs w:val="4"/>
              </w:rPr>
            </w:pPr>
            <w:r>
              <w:rPr>
                <w:sz w:val="4"/>
                <w:szCs w:val="4"/>
              </w:rPr>
            </w:r>
          </w:p>
        </w:tc>
      </w:tr>
      <w:tr>
        <w:trPr/>
        <w:tc>
          <w:tcPr>
            <w:tcW w:w="34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4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59" w:name="dex1051.htm"/>
      <w:bookmarkStart w:id="60" w:name="ksdex1051"/>
      <w:bookmarkEnd w:id="59"/>
      <w:bookmarkEnd w:id="60"/>
      <w:r>
        <w:rPr>
          <w:rFonts w:ascii="Times New Roman" w:hAnsi="Times New Roman"/>
          <w:b/>
          <w:sz w:val="20"/>
        </w:rPr>
        <w:t xml:space="preserve">EXHIBIT 10.51 </w:t>
      </w:r>
    </w:p>
    <w:p>
      <w:pPr>
        <w:pStyle w:val="TextBody"/>
        <w:spacing w:before="180" w:after="0"/>
        <w:jc w:val="center"/>
        <w:rPr>
          <w:rFonts w:ascii="Times New Roman" w:hAnsi="Times New Roman"/>
          <w:b/>
          <w:sz w:val="20"/>
        </w:rPr>
      </w:pPr>
      <w:r>
        <w:rPr>
          <w:rFonts w:ascii="Times New Roman" w:hAnsi="Times New Roman"/>
          <w:b/>
          <w:sz w:val="20"/>
        </w:rPr>
        <w:t xml:space="preserve">SEVENTH AMENDMENT TO PURCHASE AGREEMENT </w:t>
      </w:r>
    </w:p>
    <w:p>
      <w:pPr>
        <w:pStyle w:val="TextBody"/>
        <w:spacing w:before="180" w:after="0"/>
        <w:rPr>
          <w:rFonts w:ascii="Times New Roman" w:hAnsi="Times New Roman"/>
          <w:sz w:val="20"/>
        </w:rPr>
      </w:pPr>
      <w:r>
        <w:rPr>
          <w:rFonts w:ascii="Times New Roman" w:hAnsi="Times New Roman"/>
          <w:sz w:val="20"/>
        </w:rPr>
        <w:t xml:space="preserve">This Seventh Amendment to Purchase Agreement (Amendment) is made by and between the Kirk &amp; Blum Manufacturing Company (Purchaser) and Buckley Properties Co. (Seller) under the following circumstances: </w:t>
      </w:r>
    </w:p>
    <w:p>
      <w:pPr>
        <w:pStyle w:val="TextBody"/>
        <w:spacing w:before="90" w:after="0"/>
        <w:rPr>
          <w:rFonts w:ascii="Times New Roman" w:hAnsi="Times New Roman"/>
          <w:sz w:val="20"/>
        </w:rPr>
      </w:pPr>
      <w:r>
        <w:rPr>
          <w:rFonts w:ascii="Times New Roman" w:hAnsi="Times New Roman"/>
          <w:sz w:val="20"/>
        </w:rPr>
        <w:t xml:space="preserve">A. Purchase and Seller are parties to that certain Purchase Agreement dated September 6, 2005 (Purchase Agreement) pursuant to which Seller agreed to sell, and Purchaser agreed to purchase, certain real property more particularly described in the Purchase Agreement, all upon the terms and conditions contained therein; </w:t>
      </w:r>
    </w:p>
    <w:p>
      <w:pPr>
        <w:pStyle w:val="TextBody"/>
        <w:spacing w:before="180" w:after="0"/>
        <w:rPr>
          <w:rFonts w:ascii="Times New Roman" w:hAnsi="Times New Roman"/>
          <w:sz w:val="20"/>
        </w:rPr>
      </w:pPr>
      <w:r>
        <w:rPr>
          <w:rFonts w:ascii="Times New Roman" w:hAnsi="Times New Roman"/>
          <w:sz w:val="20"/>
        </w:rPr>
        <w:t xml:space="preserve">B. Pursuant to Section 8(d) through (h) of the Purchase Agreement, Purchasers obligation to close the transaction contemplated by the Purchase Agreement is subject to certain contingencies, none of which have occurred; and </w:t>
      </w:r>
    </w:p>
    <w:p>
      <w:pPr>
        <w:pStyle w:val="TextBody"/>
        <w:spacing w:before="180" w:after="0"/>
        <w:rPr>
          <w:rFonts w:ascii="Times New Roman" w:hAnsi="Times New Roman"/>
          <w:sz w:val="20"/>
        </w:rPr>
      </w:pPr>
      <w:r>
        <w:rPr>
          <w:rFonts w:ascii="Times New Roman" w:hAnsi="Times New Roman"/>
          <w:sz w:val="20"/>
        </w:rPr>
        <w:t xml:space="preserve">C. Purchaser and Seller heretofore amended the Purchase Agreement by written amendments dated November 15, 2005, November 30, 2005, December 15, 2005, January 13, 2006, February 1, 2006 and February 15, 2006; and </w:t>
      </w:r>
    </w:p>
    <w:p>
      <w:pPr>
        <w:pStyle w:val="TextBody"/>
        <w:spacing w:before="180" w:after="0"/>
        <w:rPr>
          <w:rFonts w:ascii="Times New Roman" w:hAnsi="Times New Roman"/>
          <w:sz w:val="20"/>
        </w:rPr>
      </w:pPr>
      <w:r>
        <w:rPr>
          <w:rFonts w:ascii="Times New Roman" w:hAnsi="Times New Roman"/>
          <w:sz w:val="20"/>
        </w:rPr>
        <w:t xml:space="preserve">D. Purchaser and Seller each desire to enter into this Seventh Amendment to extend the period of time within which Purchaser may satisfy the contingencies contained in Section 8(d) through (h) of the Purchase Agreement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premises, and other good and valuable consideration, the receipt and sufficiency of which is hereby acknowledged, Purchase and Seller hereby agree as follows: </w:t>
      </w:r>
    </w:p>
    <w:p>
      <w:pPr>
        <w:pStyle w:val="TextBody"/>
        <w:spacing w:before="90" w:after="0"/>
        <w:rPr>
          <w:rFonts w:ascii="Times New Roman" w:hAnsi="Times New Roman"/>
          <w:sz w:val="20"/>
        </w:rPr>
      </w:pPr>
      <w:r>
        <w:rPr>
          <w:rFonts w:ascii="Times New Roman" w:hAnsi="Times New Roman"/>
          <w:sz w:val="20"/>
        </w:rPr>
        <w:t xml:space="preserve">1. Purchaser waives the contingencies contained in Sections 8(a), (b), and (c) of the Purchase Agreement, provided Seller cures Purchasers objections contained in Purchasers correspondence dated October 20, 2005 and October 21, 2005 to Purchasers sole satisfaction. </w:t>
      </w:r>
    </w:p>
    <w:p>
      <w:pPr>
        <w:pStyle w:val="TextBody"/>
        <w:spacing w:before="180" w:after="0"/>
        <w:rPr>
          <w:rFonts w:ascii="Times New Roman" w:hAnsi="Times New Roman"/>
          <w:sz w:val="20"/>
        </w:rPr>
      </w:pPr>
      <w:r>
        <w:rPr>
          <w:rFonts w:ascii="Times New Roman" w:hAnsi="Times New Roman"/>
          <w:sz w:val="20"/>
        </w:rPr>
        <w:t xml:space="preserve">2. Section 4(a) of the Purchase Agreement as previously amended is further amended by deleting the date March 10, 2006 and replacing it with the date March 29, 2006, and any reference to Closing or date of Closing shall mean March 29, 2006. </w:t>
      </w:r>
    </w:p>
    <w:p>
      <w:pPr>
        <w:pStyle w:val="TextBody"/>
        <w:spacing w:before="180" w:after="0"/>
        <w:rPr>
          <w:rFonts w:ascii="Times New Roman" w:hAnsi="Times New Roman"/>
          <w:sz w:val="20"/>
        </w:rPr>
      </w:pPr>
      <w:r>
        <w:rPr>
          <w:rFonts w:ascii="Times New Roman" w:hAnsi="Times New Roman"/>
          <w:sz w:val="20"/>
        </w:rPr>
        <w:t xml:space="preserve">3. The period of time in which Seller has to notify Purchaser of which matters it will cure and how of those previously objected to by Purchaser following the Inspection Period, as set forth in the subject Agreement, is hereby further extended through March 29, 2006. </w:t>
      </w:r>
    </w:p>
    <w:p>
      <w:pPr>
        <w:pStyle w:val="TextBody"/>
        <w:spacing w:before="180" w:after="0"/>
        <w:rPr>
          <w:rFonts w:ascii="Times New Roman" w:hAnsi="Times New Roman"/>
          <w:sz w:val="20"/>
        </w:rPr>
      </w:pPr>
      <w:r>
        <w:rPr>
          <w:rFonts w:ascii="Times New Roman" w:hAnsi="Times New Roman"/>
          <w:sz w:val="20"/>
        </w:rPr>
        <w:t xml:space="preserve">4. Except as further amended, modified or altered hereby, the Purchase Agreement as heretofore amended is not otherwise amended, modified or altered, and each of the parties hereto ratifies, affirms and confirms each and every provision of the Purchase Agreement, as amended hereby. </w:t>
      </w:r>
      <w:r>
        <w:br w:type="page"/>
      </w:r>
    </w:p>
    <w:p>
      <w:pPr>
        <w:pStyle w:val="HorizontalLine"/>
        <w:pBdr>
          <w:bottom w:val="double" w:sz="6" w:space="0" w:color="999999"/>
        </w:pBdr>
        <w:rPr/>
      </w:pPr>
      <w:r>
        <w:rPr/>
      </w:r>
    </w:p>
    <w:p>
      <w:pPr>
        <w:pStyle w:val="TextBody"/>
        <w:spacing w:before="0" w:after="0"/>
        <w:rPr/>
      </w:pPr>
      <w:r>
        <w:rPr>
          <w:rFonts w:ascii="Times New Roman" w:hAnsi="Times New Roman"/>
          <w:sz w:val="20"/>
        </w:rPr>
        <w:t>Dated this /8</w:t>
      </w:r>
      <w:r>
        <w:rPr>
          <w:rFonts w:ascii="Times New Roman" w:hAnsi="Times New Roman"/>
          <w:color w:val="000000"/>
          <w:position w:val="5"/>
          <w:sz w:val="11"/>
          <w:sz w:val="14"/>
        </w:rPr>
        <w:t>th</w:t>
      </w:r>
      <w:r>
        <w:rPr>
          <w:rFonts w:ascii="Times New Roman" w:hAnsi="Times New Roman"/>
          <w:color w:val="000000"/>
          <w:sz w:val="20"/>
        </w:rPr>
        <w:t xml:space="preserve">/ day of March,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83"/>
        <w:gridCol w:w="60"/>
        <w:gridCol w:w="3639"/>
      </w:tblGrid>
      <w:tr>
        <w:trPr/>
        <w:tc>
          <w:tcPr>
            <w:tcW w:w="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PURCHASER: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 John Bertoli, III</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 John Bertoli, III,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SELLER: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Buckley Properties Co.</w:t>
            </w:r>
          </w:p>
        </w:tc>
      </w:tr>
      <w:tr>
        <w:trPr>
          <w:trHeight w:val="240" w:hRule="atLeast"/>
        </w:trPr>
        <w:tc>
          <w:tcPr>
            <w:tcW w:w="383" w:type="dxa"/>
            <w:tcBorders/>
            <w:shd w:fill="auto" w:val="clear"/>
            <w:vAlign w:val="center"/>
          </w:tcPr>
          <w:p>
            <w:pPr>
              <w:pStyle w:val="TableContents"/>
              <w:spacing w:before="0" w:after="283"/>
              <w:rPr>
                <w:sz w:val="4"/>
                <w:szCs w:val="4"/>
              </w:rPr>
            </w:pPr>
            <w:r>
              <w:rPr>
                <w:sz w:val="4"/>
                <w:szCs w:val="4"/>
              </w:rPr>
            </w:r>
          </w:p>
        </w:tc>
        <w:tc>
          <w:tcPr>
            <w:tcW w:w="3699" w:type="dxa"/>
            <w:gridSpan w:val="2"/>
            <w:tcBorders/>
            <w:shd w:fill="auto" w:val="clear"/>
            <w:vAlign w:val="center"/>
          </w:tcPr>
          <w:p>
            <w:pPr>
              <w:pStyle w:val="TableContents"/>
              <w:spacing w:before="0" w:after="283"/>
              <w:rPr>
                <w:sz w:val="4"/>
                <w:szCs w:val="4"/>
              </w:rPr>
            </w:pPr>
            <w:r>
              <w:rPr>
                <w:sz w:val="4"/>
                <w:szCs w:val="4"/>
              </w:rPr>
            </w:r>
          </w:p>
        </w:tc>
      </w:tr>
      <w:tr>
        <w:trPr/>
        <w:tc>
          <w:tcPr>
            <w:tcW w:w="3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Strotman</w:t>
            </w:r>
          </w:p>
        </w:tc>
      </w:tr>
      <w:tr>
        <w:trPr/>
        <w:tc>
          <w:tcPr>
            <w:tcW w:w="38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Tom Strotman, Treasurer</w:t>
            </w:r>
          </w:p>
        </w:tc>
      </w:tr>
    </w:tbl>
    <w:p>
      <w:pPr>
        <w:pStyle w:val="TextBody"/>
        <w:spacing w:before="0" w:after="0"/>
        <w:jc w:val="right"/>
        <w:rPr>
          <w:rFonts w:ascii="Times New Roman" w:hAnsi="Times New Roman"/>
          <w:b/>
          <w:sz w:val="20"/>
        </w:rPr>
      </w:pPr>
      <w:r>
        <w:br w:type="page"/>
      </w:r>
      <w:bookmarkStart w:id="61" w:name="dex14.htm"/>
      <w:bookmarkStart w:id="62" w:name="ksdex14"/>
      <w:bookmarkEnd w:id="61"/>
      <w:bookmarkEnd w:id="62"/>
      <w:r>
        <w:rPr>
          <w:rFonts w:ascii="Times New Roman" w:hAnsi="Times New Roman"/>
          <w:b/>
          <w:sz w:val="20"/>
        </w:rPr>
        <w:t xml:space="preserve">EXHIBIT 14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CODE OF ETHICS </w:t>
      </w:r>
    </w:p>
    <w:p>
      <w:pPr>
        <w:pStyle w:val="TextBody"/>
        <w:spacing w:before="180" w:after="0"/>
        <w:rPr>
          <w:rFonts w:ascii="Times New Roman" w:hAnsi="Times New Roman"/>
          <w:b/>
          <w:sz w:val="20"/>
        </w:rPr>
      </w:pPr>
      <w:r>
        <w:rPr>
          <w:rFonts w:ascii="Times New Roman" w:hAnsi="Times New Roman"/>
          <w:b/>
          <w:sz w:val="20"/>
        </w:rPr>
        <w:t xml:space="preserve">Purpose and Scope </w:t>
      </w:r>
    </w:p>
    <w:p>
      <w:pPr>
        <w:pStyle w:val="TextBody"/>
        <w:spacing w:before="90" w:after="0"/>
        <w:rPr>
          <w:rFonts w:ascii="Times New Roman" w:hAnsi="Times New Roman"/>
          <w:sz w:val="20"/>
        </w:rPr>
      </w:pPr>
      <w:r>
        <w:rPr>
          <w:rFonts w:ascii="Times New Roman" w:hAnsi="Times New Roman"/>
          <w:sz w:val="20"/>
        </w:rPr>
        <w:t xml:space="preserve">CECO Environmental Corp. (the Company) is committed to conducting its business in compliance with applicable laws, rules and regulations and in accordance with the highest ethical standards of business conduct. All of the Companys employees are expected to conduct their activities and the operations for which they are responsible in accordance with such standards. </w:t>
      </w:r>
    </w:p>
    <w:p>
      <w:pPr>
        <w:pStyle w:val="TextBody"/>
        <w:spacing w:before="180" w:after="0"/>
        <w:rPr>
          <w:rFonts w:ascii="Times New Roman" w:hAnsi="Times New Roman"/>
          <w:sz w:val="20"/>
        </w:rPr>
      </w:pPr>
      <w:r>
        <w:rPr>
          <w:rFonts w:ascii="Times New Roman" w:hAnsi="Times New Roman"/>
          <w:sz w:val="20"/>
        </w:rPr>
        <w:t xml:space="preserve">Additionally, this Code of Ethics is established in order to comply with Section 406 of the Sarbanes-Oxley Act of 2002, related rules promulgated by the Securities and Exchange Commission (SEC) and the listing standards for Nasdaq listed companies. </w:t>
      </w:r>
    </w:p>
    <w:p>
      <w:pPr>
        <w:pStyle w:val="TextBody"/>
        <w:spacing w:before="180" w:after="0"/>
        <w:rPr>
          <w:rFonts w:ascii="Times New Roman" w:hAnsi="Times New Roman"/>
          <w:sz w:val="20"/>
        </w:rPr>
      </w:pPr>
      <w:r>
        <w:rPr>
          <w:rFonts w:ascii="Times New Roman" w:hAnsi="Times New Roman"/>
          <w:sz w:val="20"/>
        </w:rPr>
        <w:t xml:space="preserve">This Code applies to all of our directors, officers, employees and agents, wherever they are located and whether they work for the Company on a full or part-time basis. In addition, certain provisions specifically apply to the Companys principal executive officer and to the Companys principal financial officer, principal accounting officer or controller, or persons performing similar functions (the 406 Officers). We refer to all persons covered by this Code, including the 406 Officers, as employees. </w:t>
      </w:r>
    </w:p>
    <w:p>
      <w:pPr>
        <w:pStyle w:val="TextBody"/>
        <w:spacing w:before="180" w:after="0"/>
        <w:rPr>
          <w:rFonts w:ascii="Times New Roman" w:hAnsi="Times New Roman"/>
          <w:sz w:val="20"/>
        </w:rPr>
      </w:pPr>
      <w:r>
        <w:rPr>
          <w:rFonts w:ascii="Times New Roman" w:hAnsi="Times New Roman"/>
          <w:sz w:val="20"/>
        </w:rPr>
        <w:t xml:space="preserve">This Code contains general guidelines for conducting the business of the Company. This Code is not intended to be a comprehensive rulebook and cannot address every situation that you may face. </w:t>
      </w:r>
    </w:p>
    <w:p>
      <w:pPr>
        <w:pStyle w:val="TextBody"/>
        <w:spacing w:before="180" w:after="0"/>
        <w:rPr>
          <w:rFonts w:ascii="Times New Roman" w:hAnsi="Times New Roman"/>
          <w:sz w:val="20"/>
        </w:rPr>
      </w:pPr>
      <w:r>
        <w:rPr>
          <w:rFonts w:ascii="Times New Roman" w:hAnsi="Times New Roman"/>
          <w:sz w:val="20"/>
        </w:rPr>
        <w:t xml:space="preserve">If you have questions about the laws governing your activities on behalf of the Company, please talk to your supervisor or David Blum, Senior Vice President of the Company (the Compliance Officer). </w:t>
      </w:r>
    </w:p>
    <w:p>
      <w:pPr>
        <w:pStyle w:val="TextBody"/>
        <w:spacing w:before="270" w:after="0"/>
        <w:rPr>
          <w:rFonts w:ascii="Times New Roman" w:hAnsi="Times New Roman"/>
          <w:b/>
          <w:sz w:val="20"/>
        </w:rPr>
      </w:pPr>
      <w:r>
        <w:rPr>
          <w:rFonts w:ascii="Times New Roman" w:hAnsi="Times New Roman"/>
          <w:b/>
          <w:sz w:val="20"/>
        </w:rPr>
        <w:t xml:space="preserve">Conflicts of Interest </w:t>
      </w:r>
    </w:p>
    <w:p>
      <w:pPr>
        <w:pStyle w:val="TextBody"/>
        <w:spacing w:before="90" w:after="0"/>
        <w:rPr>
          <w:rFonts w:ascii="Times New Roman" w:hAnsi="Times New Roman"/>
          <w:sz w:val="20"/>
        </w:rPr>
      </w:pPr>
      <w:r>
        <w:rPr>
          <w:rFonts w:ascii="Times New Roman" w:hAnsi="Times New Roman"/>
          <w:sz w:val="20"/>
        </w:rPr>
        <w:t xml:space="preserve">A conflict of interest occurs when an employees private interests interfere, or appear to interfere, with the interests of the Company as a whole. It is important for all employees to avoid not only conflicts of interest, but also the appearance of a conflict of interest. </w:t>
      </w:r>
    </w:p>
    <w:p>
      <w:pPr>
        <w:pStyle w:val="TextBody"/>
        <w:spacing w:before="180" w:after="0"/>
        <w:rPr>
          <w:rFonts w:ascii="Times New Roman" w:hAnsi="Times New Roman"/>
          <w:sz w:val="20"/>
        </w:rPr>
      </w:pPr>
      <w:r>
        <w:rPr>
          <w:rFonts w:ascii="Times New Roman" w:hAnsi="Times New Roman"/>
          <w:sz w:val="20"/>
        </w:rPr>
        <w:t xml:space="preserve">If a potential conflict of interest in the affairs of any employee either exists currently or arises in the future, it is the individuals responsibility to report details of the situation at once in order that the facts may be properly evaluated and a decision made as to what, if any, action should be taken in connection with the matter. Should there be a question as to whether a conflict in fact exists, any doubt should be resolved in favor of assuming that there is a potential conflict and the circumstances must then be reported in writing to the Compliance Officer.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Examples of potential conflicts of interest include accepting concurrent employment with, or acting as a consultant or contractor to, any Company competitor, customer or supplier; serving on the board of directors or technical advisory board of another entity; or holding a significant financial interest in any competitor, customer or supplier of the Company. </w:t>
      </w:r>
    </w:p>
    <w:p>
      <w:pPr>
        <w:pStyle w:val="TextBody"/>
        <w:spacing w:before="180" w:after="0"/>
        <w:rPr>
          <w:rFonts w:ascii="Times New Roman" w:hAnsi="Times New Roman"/>
          <w:sz w:val="20"/>
        </w:rPr>
      </w:pPr>
      <w:r>
        <w:rPr>
          <w:rFonts w:ascii="Times New Roman" w:hAnsi="Times New Roman"/>
          <w:sz w:val="20"/>
        </w:rPr>
        <w:t xml:space="preserve">Although not exhaustive, conflicts of interest commonly arise in the following situations: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or a relative has a significant direct or indirect financial interest in, or obligation to, an actual or potential competitor, supplier or customer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has a significant personal relationship (such as a family relationship) with a competitor, supplier or customer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conducts business on behalf of the Company with a supplier or customer when a relative is an employee, principal, officer or representative of such supplier or customer;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relative or agent of an employee accepts gifts of more than nominal value or excessive entertainment from a current or potential competitor, supplier or customer (please see Gifts and Gratuities below for additional guidelines);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When an employee misuses the information obtained in the course of his or her employment. </w:t>
            </w:r>
          </w:p>
        </w:tc>
      </w:tr>
    </w:tbl>
    <w:p>
      <w:pPr>
        <w:pStyle w:val="TextBody"/>
        <w:spacing w:before="180" w:after="0"/>
        <w:rPr>
          <w:rFonts w:ascii="Times New Roman" w:hAnsi="Times New Roman"/>
          <w:sz w:val="20"/>
        </w:rPr>
      </w:pPr>
      <w:r>
        <w:rPr>
          <w:rFonts w:ascii="Times New Roman" w:hAnsi="Times New Roman"/>
          <w:sz w:val="20"/>
        </w:rPr>
        <w:t xml:space="preserve">It is recognized, however, that directors of Company and any of its subsidiaries who are not employees may engage in outside activities with, or have duties to, other entities, as employees, directors, consultants or otherwise. Such activities and duties generally do not in and of themselves constitute a conflict of interest, and in fact are valuable to the Company because of the experience and perspective that outside directors offer to the Company as a result of these activities. Directors are expected to exercise sound judgment with respect to the relationship between their outside activities and their responsibilities to the Company, and at all times to act in a manner consistent with their duties of care and loyalty, as well as other applicable legal standards governing the responsibilities of directors. Directors should err on the side of caution in disclosing to the Board relationships that may constitute, or may appear to constitute, an actual or potential conflict of interest, and may be required to abstain from involvement as a Board member or as an employee, director, consultant or other affiliation with another entity, in a particular matter. Outside directors also should fully disclose their relationship with the Company to other entities with whom they have a relationship. </w:t>
      </w:r>
    </w:p>
    <w:p>
      <w:pPr>
        <w:pStyle w:val="TextBody"/>
        <w:spacing w:before="180" w:after="0"/>
        <w:rPr>
          <w:rFonts w:ascii="Times New Roman" w:hAnsi="Times New Roman"/>
          <w:sz w:val="20"/>
        </w:rPr>
      </w:pPr>
      <w:r>
        <w:rPr>
          <w:rFonts w:ascii="Times New Roman" w:hAnsi="Times New Roman"/>
          <w:sz w:val="20"/>
        </w:rPr>
        <w:t xml:space="preserve">The Companys business must be kept separate and apart from the personal activities of its employees. Employee participation in outside activities must not be presented in a manner as to appear that the Company is endorsing the activity. Company personnel and assets are to be used solely for the business purposes of the Company. An employee must not use the Companys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corporate name, any trademark owned or associated with the Company, any Company letterhead, or any Company property, confidential information, resources, supplies or assets for personal purposes. </w:t>
      </w:r>
    </w:p>
    <w:p>
      <w:pPr>
        <w:pStyle w:val="TextBody"/>
        <w:spacing w:before="270" w:after="0"/>
        <w:rPr>
          <w:rFonts w:ascii="Times New Roman" w:hAnsi="Times New Roman"/>
          <w:b/>
          <w:sz w:val="20"/>
        </w:rPr>
      </w:pPr>
      <w:r>
        <w:rPr>
          <w:rFonts w:ascii="Times New Roman" w:hAnsi="Times New Roman"/>
          <w:b/>
          <w:sz w:val="20"/>
        </w:rPr>
        <w:t xml:space="preserve">Compliance with Corporate Policies and Applicable Laws and Regulations </w:t>
      </w:r>
    </w:p>
    <w:p>
      <w:pPr>
        <w:pStyle w:val="TextBody"/>
        <w:spacing w:before="90" w:after="0"/>
        <w:rPr>
          <w:rFonts w:ascii="Times New Roman" w:hAnsi="Times New Roman"/>
          <w:sz w:val="20"/>
        </w:rPr>
      </w:pPr>
      <w:r>
        <w:rPr>
          <w:rFonts w:ascii="Times New Roman" w:hAnsi="Times New Roman"/>
          <w:sz w:val="20"/>
        </w:rPr>
        <w:t xml:space="preserve">Each employee is expected to comply with both the spirit and letter of all of the Companys corporate policies and all applicable governmental laws, rules and regulations. </w:t>
      </w:r>
    </w:p>
    <w:p>
      <w:pPr>
        <w:pStyle w:val="TextBody"/>
        <w:spacing w:before="270" w:after="0"/>
        <w:rPr>
          <w:rFonts w:ascii="Times New Roman" w:hAnsi="Times New Roman"/>
          <w:b/>
          <w:sz w:val="20"/>
        </w:rPr>
      </w:pPr>
      <w:r>
        <w:rPr>
          <w:rFonts w:ascii="Times New Roman" w:hAnsi="Times New Roman"/>
          <w:b/>
          <w:sz w:val="20"/>
        </w:rPr>
        <w:t xml:space="preserve">Gifts and Gratuities </w:t>
      </w:r>
    </w:p>
    <w:p>
      <w:pPr>
        <w:pStyle w:val="TextBody"/>
        <w:spacing w:before="90" w:after="0"/>
        <w:rPr>
          <w:rFonts w:ascii="Times New Roman" w:hAnsi="Times New Roman"/>
          <w:sz w:val="20"/>
        </w:rPr>
      </w:pPr>
      <w:r>
        <w:rPr>
          <w:rFonts w:ascii="Times New Roman" w:hAnsi="Times New Roman"/>
          <w:sz w:val="20"/>
        </w:rPr>
        <w:t xml:space="preserve">Appropriate business gifts and entertainment are courtesies designed to build relationships and understanding among business partners. However, common sense and good judgment should always be exercised in providing or accepting business meals, entertainment or nominal gifts. While individual circumstances differ, the overriding principle concerning gratuities is not to give or accept anything of value that could be perceived as creating an obligation on the part of the recipient to act other than in the best interests of his or her employer or otherwise taint the objectivity of the individuals involvement. It is the employees responsibility to use good judgment in this area. All gifts and entertainment expenses must be properly accounted for on expense reports. </w:t>
      </w:r>
    </w:p>
    <w:p>
      <w:pPr>
        <w:pStyle w:val="TextBody"/>
        <w:spacing w:before="270" w:after="0"/>
        <w:rPr>
          <w:rFonts w:ascii="Times New Roman" w:hAnsi="Times New Roman"/>
          <w:b/>
          <w:sz w:val="20"/>
        </w:rPr>
      </w:pPr>
      <w:r>
        <w:rPr>
          <w:rFonts w:ascii="Times New Roman" w:hAnsi="Times New Roman"/>
          <w:b/>
          <w:sz w:val="20"/>
        </w:rPr>
        <w:t xml:space="preserve">Use of Company Resources / Computer E-Mail </w:t>
      </w:r>
    </w:p>
    <w:p>
      <w:pPr>
        <w:pStyle w:val="TextBody"/>
        <w:spacing w:before="90" w:after="0"/>
        <w:rPr>
          <w:rFonts w:ascii="Times New Roman" w:hAnsi="Times New Roman"/>
          <w:sz w:val="20"/>
        </w:rPr>
      </w:pPr>
      <w:r>
        <w:rPr>
          <w:rFonts w:ascii="Times New Roman" w:hAnsi="Times New Roman"/>
          <w:sz w:val="20"/>
        </w:rPr>
        <w:t xml:space="preserve">Company resources, including time, materials, equipment and information, are provided for Company business use. Employees are trusted to use good judgment to conserve Company resources. Personal use of Company resources is inappropriate. In no event may an employee use Company funds or assets for an unlawful purpose. </w:t>
      </w:r>
    </w:p>
    <w:p>
      <w:pPr>
        <w:pStyle w:val="TextBody"/>
        <w:spacing w:before="180" w:after="0"/>
        <w:rPr>
          <w:rFonts w:ascii="Times New Roman" w:hAnsi="Times New Roman"/>
          <w:sz w:val="20"/>
        </w:rPr>
      </w:pPr>
      <w:r>
        <w:rPr>
          <w:rFonts w:ascii="Times New Roman" w:hAnsi="Times New Roman"/>
          <w:sz w:val="20"/>
        </w:rPr>
        <w:t xml:space="preserve">The Companys computer resources, which include the electronic mail system, are not intended to be used for amusement, solicitation or other non-business purposes. E-mail messages should be treated as any other written business communication. The Company may monitor employees e-mail and other computer use. </w:t>
      </w:r>
    </w:p>
    <w:p>
      <w:pPr>
        <w:pStyle w:val="TextBody"/>
        <w:spacing w:before="270" w:after="0"/>
        <w:rPr>
          <w:rFonts w:ascii="Times New Roman" w:hAnsi="Times New Roman"/>
          <w:b/>
          <w:sz w:val="20"/>
        </w:rPr>
      </w:pPr>
      <w:r>
        <w:rPr>
          <w:rFonts w:ascii="Times New Roman" w:hAnsi="Times New Roman"/>
          <w:b/>
          <w:sz w:val="20"/>
        </w:rPr>
        <w:t xml:space="preserve">Confidential Information </w:t>
      </w:r>
    </w:p>
    <w:p>
      <w:pPr>
        <w:pStyle w:val="TextBody"/>
        <w:spacing w:before="90" w:after="0"/>
        <w:rPr>
          <w:rFonts w:ascii="Times New Roman" w:hAnsi="Times New Roman"/>
          <w:sz w:val="20"/>
        </w:rPr>
      </w:pPr>
      <w:r>
        <w:rPr>
          <w:rFonts w:ascii="Times New Roman" w:hAnsi="Times New Roman"/>
          <w:sz w:val="20"/>
        </w:rPr>
        <w:t xml:space="preserve">Employees may from time to time have access to confidential or proprietary information (which includes any non-public information, whether of a business, financial, personnel, technological or commercial nature) of the Company or third parties, such as customers and suppliers of the Company, that an employee has learned, generated or acquired. Each employee has a fiduciary and a legal obligation to the Company and such third parties to treat such information in confidence and not to disclose it to any other party or use it, directly or indirectly, for ones own purpose, whether during or after employment with the Company. </w:t>
      </w:r>
    </w:p>
    <w:p>
      <w:pPr>
        <w:pStyle w:val="TextBody"/>
        <w:spacing w:before="270" w:after="0"/>
        <w:rPr>
          <w:rFonts w:ascii="Times New Roman" w:hAnsi="Times New Roman"/>
          <w:b/>
          <w:sz w:val="20"/>
        </w:rPr>
      </w:pPr>
      <w:r>
        <w:rPr>
          <w:rFonts w:ascii="Times New Roman" w:hAnsi="Times New Roman"/>
          <w:b/>
          <w:sz w:val="20"/>
        </w:rPr>
        <w:t xml:space="preserve">Insider Trading </w:t>
      </w:r>
    </w:p>
    <w:p>
      <w:pPr>
        <w:pStyle w:val="TextBody"/>
        <w:spacing w:before="90" w:after="0"/>
        <w:rPr>
          <w:rFonts w:ascii="Times New Roman" w:hAnsi="Times New Roman"/>
          <w:sz w:val="20"/>
        </w:rPr>
      </w:pPr>
      <w:r>
        <w:rPr>
          <w:rFonts w:ascii="Times New Roman" w:hAnsi="Times New Roman"/>
          <w:sz w:val="20"/>
        </w:rPr>
        <w:t xml:space="preserve">The Companys employees are prohibited from engaging in insider trading. Prohibitions are based on federal securities laws and deal with the possession and use of material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Employees who have material non-public information about the Company or other companies as a result of their Company connections are prohibited from trading in securities of those Companies, as well as from communicating such information to family or friends. Material information is information that might affect a reasonable investors decision to purchase or sell a security. Non-public information is information that is not available to the general public. </w:t>
      </w:r>
    </w:p>
    <w:p>
      <w:pPr>
        <w:pStyle w:val="TextBody"/>
        <w:spacing w:before="270" w:after="0"/>
        <w:rPr>
          <w:rFonts w:ascii="Times New Roman" w:hAnsi="Times New Roman"/>
          <w:b/>
          <w:sz w:val="20"/>
        </w:rPr>
      </w:pPr>
      <w:r>
        <w:rPr>
          <w:rFonts w:ascii="Times New Roman" w:hAnsi="Times New Roman"/>
          <w:b/>
          <w:sz w:val="20"/>
        </w:rPr>
        <w:t xml:space="preserve">Supplementary Ethical Standards of Conduct For 406 Officers </w:t>
      </w:r>
    </w:p>
    <w:p>
      <w:pPr>
        <w:pStyle w:val="TextBody"/>
        <w:spacing w:before="90" w:after="0"/>
        <w:rPr>
          <w:rFonts w:ascii="Times New Roman" w:hAnsi="Times New Roman"/>
          <w:sz w:val="20"/>
        </w:rPr>
      </w:pPr>
      <w:r>
        <w:rPr>
          <w:rFonts w:ascii="Times New Roman" w:hAnsi="Times New Roman"/>
          <w:sz w:val="20"/>
        </w:rPr>
        <w:t xml:space="preserve">The 406 Officers are expected to abide by the following tenets in addition to the rest of this Code. Each 406 Officer will: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 with honesty and integrity and in an ethical manner, avoiding actual or apparent conflicts of interest in their personal and professional relationships;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shareholders with information that is accurate, complete, objective, fair, relevant, timely and understandable, including in Company filings with and other submissions to the SEC;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rules and regulations of federal, state, applicable and local governments, and other appropriate private and public regulatory agencies;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 in good faith, responsibly, with due care, competence and diligence, without misrepresenting material facts or allowing ones independent judgment to be subordinated;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Respect the confidentiality of information acquired in the Companys business except when authorized or otherwise legally obligated to disclose such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 use confidential information acquired in the course of performance of ones duties to the Company for personal advantage;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Achieve responsible use of and control over all Company assets and resources that are employed or entrusted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 unduly or fraudulently influence, coerce, manipulate or mislead any authorized audit or interfere with any auditor engaged in the performance of an internal or independent audit of the Companys financial statements or accounting books and records;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Promptly report to the Compliance Officer or a member of the Audit Committee any known or suspected violation of this Code or other Company policies or guidelines. Failure of the 406 Officers to comply with this Code will not be tolerated by the Company. Any deviations therefrom or violations hereof will result in serious consequences, which may include, but may not be limited to, serious reprimand, dismissal or other legal actions.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Administration of the Code of Ethics </w:t>
      </w:r>
    </w:p>
    <w:p>
      <w:pPr>
        <w:pStyle w:val="TextBody"/>
        <w:spacing w:before="90" w:after="0"/>
        <w:rPr>
          <w:rFonts w:ascii="Times New Roman" w:hAnsi="Times New Roman"/>
          <w:sz w:val="20"/>
        </w:rPr>
      </w:pPr>
      <w:r>
        <w:rPr>
          <w:rFonts w:ascii="Times New Roman" w:hAnsi="Times New Roman"/>
          <w:sz w:val="20"/>
        </w:rPr>
        <w:t xml:space="preserve">This Code shall be administered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Responsibility for Administration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Board or the Audit Committee, to the extent empowered by the Board (the Administrator), shall be responsible for interpreting and administering this Code. In discharging its responsibilities, the Administrator may engage such agents and advisors as it shall deem necessary or desirable, including but not limited to, attorneys and accountants. </w:t>
      </w:r>
    </w:p>
    <w:p>
      <w:pPr>
        <w:pStyle w:val="TextBody"/>
        <w:spacing w:before="90" w:after="0"/>
        <w:rPr>
          <w:rFonts w:ascii="Times New Roman" w:hAnsi="Times New Roman"/>
          <w:sz w:val="20"/>
        </w:rPr>
      </w:pPr>
      <w:r>
        <w:rPr>
          <w:rFonts w:ascii="Times New Roman" w:hAnsi="Times New Roman"/>
          <w:sz w:val="20"/>
        </w:rPr>
        <w:t xml:space="preserve">The Compliance Officer is David Blum. David Blum is the Senior Vice President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Procedure for Reporting Violations of the Code </w:t>
            </w:r>
          </w:p>
        </w:tc>
      </w:tr>
    </w:tbl>
    <w:p>
      <w:pPr>
        <w:pStyle w:val="TextBody"/>
        <w:spacing w:before="90" w:after="0"/>
        <w:rPr>
          <w:rFonts w:ascii="Times New Roman" w:hAnsi="Times New Roman"/>
          <w:sz w:val="20"/>
        </w:rPr>
      </w:pPr>
      <w:r>
        <w:rPr>
          <w:rFonts w:ascii="Times New Roman" w:hAnsi="Times New Roman"/>
          <w:sz w:val="20"/>
        </w:rPr>
        <w:t xml:space="preserve">If you suspect any activity or conduct to be in violation of this Code or any applicable corporate policies, governmental laws, rules or regulations, you should immediately report the circumstances to your supervisor or the Compliance Officer, or if you are a 406 Officer, immediately report the circumstances to the Compliance Officer or a member of the Audit Committee.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Confidentiality and Policy Against Retaliation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All questions and reports of known or suspected violations of the law or this Code will be treated with sensitivity and discretion. Reports of unethical or illegal conduct shall be promptly investigated by the Administrator. The Company strictly prohibits retaliation against an employee who, in good faith, seeks help or reports known or suspected violations. Retaliation in any form against an individual who reports a suspected violation in good faith, even if the report is mistaken, or who assists in the investigation of a reported violation, is strictly prohibited. Any act or threatened act of retaliation should be reported immediately to the Compliance Officer.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Waivers of the Code and Disclosures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Waivers of this Code will be granted on a case-by-case basis and only in extraordinary circumstances. Waivers of this Code for employees (other than 406 Officers) may be made only by an executive officer of the Company with the concurrence of the Compliance Officer or the Administrator. Any waiver of this Code for our directors, executive officers or other principal officers, including the 406 Officers, may be made only by our Board of Directors and will be promptly disclosed to the public as required by applicable laws, rules or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Compliance and Violations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All Company employees are expected to comply fully with this Code. The Administrator shall enforce this Code through appropriate disciplinary actions. The Administrator shall determine whether violations of this Code have occurred and, if so, shall determine the disciplinary actions to be taken against any individual who has violated this Code. </w:t>
      </w:r>
    </w:p>
    <w:p>
      <w:pPr>
        <w:pStyle w:val="TextBody"/>
        <w:spacing w:before="90" w:after="0"/>
        <w:rPr>
          <w:rFonts w:ascii="Times New Roman" w:hAnsi="Times New Roman"/>
          <w:sz w:val="20"/>
        </w:rPr>
      </w:pPr>
      <w:r>
        <w:rPr>
          <w:rFonts w:ascii="Times New Roman" w:hAnsi="Times New Roman"/>
          <w:sz w:val="20"/>
        </w:rPr>
        <w:t xml:space="preserve">It is the Companys policy that any employee who violates this Code will be subject to appropriate discipline, including potential termination of employment, determined based upon the facts and circumstances of each particular situation. The disciplinary actions available to the Administrator include counseling, oral or written reprimands, warnings, probations or suspensions (with or without pay), demotions, reductions in salary, terminations of employment and restitution. </w:t>
      </w:r>
    </w:p>
    <w:p>
      <w:pPr>
        <w:pStyle w:val="TextBody"/>
        <w:spacing w:before="90" w:after="0"/>
        <w:rPr>
          <w:rFonts w:ascii="Times New Roman" w:hAnsi="Times New Roman"/>
          <w:sz w:val="20"/>
        </w:rPr>
      </w:pPr>
      <w:r>
        <w:rPr>
          <w:rFonts w:ascii="Times New Roman" w:hAnsi="Times New Roman"/>
          <w:sz w:val="20"/>
        </w:rPr>
        <w:t xml:space="preserve">Nothing in this Code prohibits or restricts the Company from taking disciplinary action on any matters pertaining to employee conduct, whether or not they are expressly discussed in this Code. This Code is not intended to create any expressed or implied contract with any employee or third party. In particular, nothing in this Code creates any employment contract between the Company and any employee.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TextBody"/>
        <w:spacing w:before="0" w:after="0"/>
        <w:jc w:val="right"/>
        <w:rPr>
          <w:rFonts w:ascii="Times New Roman" w:hAnsi="Times New Roman"/>
          <w:b/>
          <w:sz w:val="20"/>
        </w:rPr>
      </w:pPr>
      <w:bookmarkStart w:id="63" w:name="dex21.htm"/>
      <w:bookmarkStart w:id="64" w:name="ksdex21"/>
      <w:bookmarkEnd w:id="63"/>
      <w:bookmarkEnd w:id="64"/>
      <w:r>
        <w:rPr>
          <w:rFonts w:ascii="Times New Roman" w:hAnsi="Times New Roman"/>
          <w:b/>
          <w:sz w:val="20"/>
        </w:rPr>
        <w:t xml:space="preserve">EXHIBIT 21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SUBSIDIARIES OF THE COMPANY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99"/>
        <w:gridCol w:w="508"/>
        <w:gridCol w:w="4798"/>
      </w:tblGrid>
      <w:tr>
        <w:trPr/>
        <w:tc>
          <w:tcPr>
            <w:tcW w:w="489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CECO Group, Inc.</w:t>
            </w:r>
          </w:p>
        </w:tc>
        <w:tc>
          <w:tcPr>
            <w:tcW w:w="508"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CECO Abatement Systems,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H.M. White, Inc. (f/k/a CECO Energy,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CECOaire,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The Kirk &amp; Blum Manufacturing Company</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(Ohio,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kbd/Technic,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(Indiana, subsidiary of CECO Group,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India Pvt. Ltd.</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(India, subsidiary of CECO Filters, Inc.)</w:t>
            </w:r>
          </w:p>
        </w:tc>
      </w:tr>
      <w:tr>
        <w:trPr/>
        <w:tc>
          <w:tcPr>
            <w:tcW w:w="4899" w:type="dxa"/>
            <w:tcBorders/>
            <w:shd w:fill="auto" w:val="clear"/>
          </w:tcPr>
          <w:p>
            <w:pPr>
              <w:pStyle w:val="TableContents"/>
              <w:spacing w:before="0" w:after="283"/>
              <w:rPr>
                <w:rFonts w:ascii="Times New Roman" w:hAnsi="Times New Roman"/>
                <w:sz w:val="20"/>
              </w:rPr>
            </w:pPr>
            <w:r>
              <w:rPr>
                <w:rFonts w:ascii="Times New Roman" w:hAnsi="Times New Roman"/>
                <w:sz w:val="20"/>
              </w:rPr>
              <w:t>New Busch Co., Inc.</w:t>
            </w:r>
          </w:p>
        </w:tc>
        <w:tc>
          <w:tcPr>
            <w:tcW w:w="508"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(Delaware, subsidiary of CECO Filters, Inc.)</w:t>
            </w:r>
          </w:p>
        </w:tc>
      </w:tr>
    </w:tbl>
    <w:p>
      <w:pPr>
        <w:pStyle w:val="TextBody"/>
        <w:spacing w:before="0" w:after="0"/>
        <w:jc w:val="right"/>
        <w:rPr>
          <w:rFonts w:ascii="Times New Roman" w:hAnsi="Times New Roman"/>
          <w:b/>
          <w:sz w:val="20"/>
        </w:rPr>
      </w:pPr>
      <w:r>
        <w:br w:type="page"/>
      </w:r>
      <w:bookmarkStart w:id="65" w:name="dex311.htm"/>
      <w:bookmarkStart w:id="66" w:name="ksdex311"/>
      <w:bookmarkEnd w:id="65"/>
      <w:bookmarkEnd w:id="66"/>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BY CHIEF EXECUTIVE OFFICER </w:t>
      </w:r>
    </w:p>
    <w:p>
      <w:pPr>
        <w:pStyle w:val="TextBody"/>
        <w:spacing w:before="18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for the year ended December 31, 2005,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30, 2006</w:t>
            </w:r>
          </w:p>
        </w:tc>
      </w:tr>
    </w:tbl>
    <w:p>
      <w:pPr>
        <w:pStyle w:val="TextBody"/>
        <w:spacing w:before="0" w:after="0"/>
        <w:jc w:val="right"/>
        <w:rPr>
          <w:rFonts w:ascii="Times New Roman" w:hAnsi="Times New Roman"/>
          <w:b/>
          <w:sz w:val="20"/>
        </w:rPr>
      </w:pPr>
      <w:r>
        <w:br w:type="page"/>
      </w:r>
      <w:bookmarkStart w:id="67" w:name="dex312.htm"/>
      <w:bookmarkStart w:id="68" w:name="ksdex312"/>
      <w:bookmarkEnd w:id="67"/>
      <w:bookmarkEnd w:id="68"/>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BY CHIEF FINANCIAL OFFICER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for the year ended December 31, 2005,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30, 2006</w:t>
            </w:r>
          </w:p>
        </w:tc>
      </w:tr>
    </w:tbl>
    <w:p>
      <w:pPr>
        <w:pStyle w:val="TextBody"/>
        <w:spacing w:before="0" w:after="0"/>
        <w:jc w:val="right"/>
        <w:rPr>
          <w:rFonts w:ascii="Times New Roman" w:hAnsi="Times New Roman"/>
          <w:b/>
          <w:sz w:val="20"/>
        </w:rPr>
      </w:pPr>
      <w:r>
        <w:br w:type="page"/>
      </w:r>
      <w:bookmarkStart w:id="69" w:name="dex321.htm"/>
      <w:bookmarkStart w:id="70" w:name="ksdex321"/>
      <w:bookmarkEnd w:id="69"/>
      <w:bookmarkEnd w:id="70"/>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2005, as filed with the Securities and Exchange Commission on the date hereof (the Report), I, Phillip DeZwirek, Chairman of the Board and Chief Executive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30, 2006</w:t>
            </w:r>
          </w:p>
        </w:tc>
      </w:tr>
    </w:tbl>
    <w:p>
      <w:pPr>
        <w:pStyle w:val="TextBody"/>
        <w:spacing w:before="0" w:after="0"/>
        <w:jc w:val="right"/>
        <w:rPr>
          <w:rFonts w:ascii="Times New Roman" w:hAnsi="Times New Roman"/>
          <w:b/>
          <w:sz w:val="20"/>
        </w:rPr>
      </w:pPr>
      <w:r>
        <w:br w:type="page"/>
      </w:r>
      <w:bookmarkStart w:id="71" w:name="dex322.htm"/>
      <w:bookmarkStart w:id="72" w:name="ksdex322"/>
      <w:bookmarkEnd w:id="71"/>
      <w:bookmarkEnd w:id="72"/>
      <w:r>
        <w:rPr>
          <w:rFonts w:ascii="Times New Roman" w:hAnsi="Times New Roman"/>
          <w:b/>
          <w:sz w:val="20"/>
        </w:rPr>
        <w:t xml:space="preserve">EXHIBIT 32.2 </w:t>
      </w:r>
    </w:p>
    <w:p>
      <w:pPr>
        <w:pStyle w:val="TextBody"/>
        <w:spacing w:before="18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2005, as filed with the Securities and Exchange Commission on the date hereof (the Report), I, Dennis W. Blazer, Vice President-Finance and Administration and Chief Financial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March 30, 2006</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156</Pages>
  <Words>63814</Words>
  <CharactersWithSpaces>394748</CharactersWithSpaces>
  <Paragraphs>8853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dc:title>
</cp:coreProperties>
</file>