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January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000-07099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560" w:space="720"/>
            <w:col w:w="3060" w:space="720"/>
            <w:col w:w="2140"/>
          </w:cols>
          <w:pgMar w:left="320" w:top="1440" w:right="379" w:bottom="1440" w:gutter="0" w:footer="0" w:header="0"/>
          <w:type w:val="continuous"/>
        </w:sect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440" w:right="379" w:bottom="1440" w:gutter="0" w:footer="0" w:header="0"/>
          <w:type w:val="continuous"/>
        </w:sectPr>
      </w:pPr>
    </w:p>
    <w:p>
      <w:pPr>
        <w:ind w:left="200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b w:val="1"/>
          <w:bCs w:val="1"/>
          <w:color w:val="auto"/>
        </w:rPr>
        <w:t>East Tower, Suite 800E</w:t>
      </w:r>
    </w:p>
    <w:p>
      <w:pPr>
        <w:spacing w:after="0" w:line="1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6"/>
          <w:szCs w:val="16"/>
          <w:b w:val="1"/>
          <w:bCs w:val="1"/>
          <w:color w:val="auto"/>
        </w:rPr>
        <w:t>Addison, Texas</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440" w:right="3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440"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40" w:type="dxa"/>
        <w:tblCellMar>
          <w:top w:w="0" w:type="dxa"/>
          <w:left w:w="0" w:type="dxa"/>
          <w:bottom w:w="0" w:type="dxa"/>
          <w:right w:w="0" w:type="dxa"/>
        </w:tblCellMar>
      </w:tblPr>
      <w:tr>
        <w:trPr>
          <w:trHeight w:val="188"/>
        </w:trPr>
        <w:tc>
          <w:tcPr>
            <w:tcW w:w="308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08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Definitive Material Agreement.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30, 2026 (the “Effective Date”), CECO Environmental Corp. (the “Company”) entered into the Fourth Amended and Restated Credit Agreement (the “Credit Agreement”), among the Company, its subsidiaries from time to time party thereto, the lenders from time to time party thereto (the “Lenders”), and Bank of America, N.A., as administrative agent (the “Agent”), which amends and restates in its entirety the Company’s Third Amended and Restated Credit Agreement, dated as of October 7, 2024, among the Company, its subsidiaries from time to time party thereto, the lenders from time to time party thereto and the Agent. The Credit Agreement provides for a senior secured revolving credit facility in an initial aggregate principal amount of up to $700.0 million (the “Credit Facility”). At the Company’s option, the Company may increase the aggregate principal amount of the Credit Facility from time to time by an additional aggregate principal amount of up to (a) $150.0 million plus (b) such additional amount, if any, as would not cause the Consolidated Net Leverage Ratio (as defined in the Credit Agreement) to exceed 3.50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194"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The Credit Facility will mature on January 30, 2031. The Credit Facility will accrue interest (a) with respect to base rate loans, at an annual rate equal to an applicable rate of between 0.50% and 2.00% (fluctuating based on the Company’s Consolidated Net Leverage Ratio), plus a rate equal to the highest of (1) the Agent’s prime rate, (2) the federal funds rate plus one-half of 1.00%, (3) Daily Simple SOFR (as defined in the Credit Agreement) plus 1.00% and (4)</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1.00%, (b) for all other loans, at an annual rate equal to an applicable rate of between 1.50% and 3.00% (fluctuating based on the Company’s Consolidated Net Leverage Ratio), plus a rate determined based on the denominated currency and, as applicable pursuant to the Credit Agreement, whether the Company has elected for interest on such loans to accrue at a daily rate or a term rate: (a) for term rate loans, if denominated (1) in U.S. Dollars, Term SOFR (as defined in the Credit Agreement), (2) in euros, EURIBOR, (3) in Canadian dollars, the Term CORRA Rate (as defined in the Credit Agreement) plus</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Credit Agreement contains covenants and representations and warranties that are usual and customary for similar transactions. With respect to financial covenants, the Company is required to maintain a Consolidated Net Leverage Ratio not greater than 4.00 to 1.00 and a Consolidated Secured Net Leverage Ratio (as defined in the Credit Agreement) not greater than 3.50 to 1.00, in each case as of the last day of each fiscal quarter of the Company. At the election of the Company and subject to certain restrictions contained in the Credit Agreement, following the occurrence of one or more Permitted Acquisitions (as defined in the Credit Agreement) involving aggregate consideration of $40.0 million or more during any contiguous 90-day period, such maximum Consolidated Net Leverage Ratio and Consolidated Secured Net Leverage Ratio may be increased to 4.50 to 1.00 and 4.00 to 1.00, respectively, for the fiscal quarter in which the Permitted Acquisition resulting in the aggregate consideration for all Permitted Acquisitions consummated during such contiguous 90-day period equaling or exceeding $40.0 million is consummated and the subsequent three fiscal quarters of the Company. The Company is also required to maintain a Consolidated Fixed Charge Coverage Ratio (as defined in the Credit Agreement) as of the last day of each fiscal quarter of the Company of not less than 1.25 to 1.00.</w:t>
      </w:r>
    </w:p>
    <w:p>
      <w:pPr>
        <w:spacing w:after="0" w:line="1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payment defaults, breaches of representations and warranties, covenant defaults, cross-defaults to similar obligations, customary ERISA defaults, certain events of bankruptcy and insolvency, judgment defaults or a change in control of the Company, which provisions permit the Lenders to accelerate the repayment of all amounts outstanding under the Credit Facility during an event of default as further set forth in the Credit Agreement.</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proceeds of the Credit Facility may be used for general corporate purposes of the Company and its subsidiaries. As of the Effective Date, $235.8 million in aggregate principal amount of loans were outstanding under the Credit Agreement.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of the Lenders, as well as certain of their respective affiliates, have performed and may in the future perform for the Company, various commercial banking, investment banking, lending, underwriting, trust services,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advisory and other financial services, for which they have received and may in the future receive customary fees and expenses.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full text of the Credit Agreement, a copy of which is attached hereto as Exhibit 10.1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36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Pr>
          <w:p>
            <w:pPr>
              <w:spacing w:after="0"/>
              <w:rPr>
                <w:sz w:val="15"/>
                <w:szCs w:val="15"/>
                <w:color w:val="auto"/>
              </w:rPr>
            </w:pPr>
          </w:p>
        </w:tc>
        <w:tc>
          <w:tcPr>
            <w:tcW w:w="16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7"/>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1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Fourth Amended and</w:t>
            </w:r>
          </w:p>
        </w:tc>
      </w:tr>
      <w:tr>
        <w:trPr>
          <w:trHeight w:val="20"/>
        </w:trPr>
        <w:tc>
          <w:tcPr>
            <w:tcW w:w="9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Restated Credit</w:t>
            </w:r>
          </w:p>
        </w:tc>
      </w:tr>
      <w:tr>
        <w:trPr>
          <w:trHeight w:val="20"/>
        </w:trPr>
        <w:tc>
          <w:tcPr>
            <w:tcW w:w="9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Agreement, dated as</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January 30, 2026,</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among CECO</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Environmental Corp.,</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its subsidiaries from</w:t>
            </w:r>
          </w:p>
        </w:tc>
      </w:tr>
      <w:tr>
        <w:trPr>
          <w:trHeight w:val="20"/>
        </w:trPr>
        <w:tc>
          <w:tcPr>
            <w:tcW w:w="9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time to time party</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thereto, the lenders</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from time to time</w:t>
            </w:r>
          </w:p>
        </w:tc>
      </w:tr>
      <w:tr>
        <w:trPr>
          <w:trHeight w:val="20"/>
        </w:trPr>
        <w:tc>
          <w:tcPr>
            <w:tcW w:w="9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party thereto, and</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Bank of America,</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N.A., as</w:t>
            </w:r>
          </w:p>
        </w:tc>
      </w:tr>
      <w:tr>
        <w:trPr>
          <w:trHeight w:val="20"/>
        </w:trPr>
        <w:tc>
          <w:tcPr>
            <w:tcW w:w="9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Administrative Agent.</w:t>
            </w:r>
          </w:p>
        </w:tc>
      </w:tr>
      <w:tr>
        <w:trPr>
          <w:trHeight w:val="20"/>
        </w:trPr>
        <w:tc>
          <w:tcPr>
            <w:tcW w:w="9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434"/>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16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8"/>
              </w:rPr>
              <w:t>Cover Page Interactive</w:t>
            </w:r>
          </w:p>
        </w:tc>
      </w:tr>
      <w:tr>
        <w:trPr>
          <w:trHeight w:val="216"/>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Data File (embedded</w:t>
            </w:r>
          </w:p>
        </w:tc>
      </w:tr>
      <w:tr>
        <w:trPr>
          <w:trHeight w:val="216"/>
        </w:trPr>
        <w:tc>
          <w:tcPr>
            <w:tcW w:w="9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w:t>
            </w:r>
          </w:p>
        </w:tc>
      </w:tr>
      <w:tr>
        <w:trPr>
          <w:trHeight w:val="234"/>
        </w:trPr>
        <w:tc>
          <w:tcPr>
            <w:tcW w:w="9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document).</w:t>
            </w:r>
          </w:p>
        </w:tc>
      </w:tr>
    </w:tbl>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*Certain schedules, exhibits, and similar attachments have been omitted pursuant to Item 601(a)(5) of Regulation S-K. The Company hereby undertakes to furnish supplemental copies of any of the omitted schedules or exhibits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tabs>
          <w:tab w:leader="none" w:pos="6760" w:val="left"/>
        </w:tabs>
        <w:rPr>
          <w:sz w:val="20"/>
          <w:szCs w:val="20"/>
          <w:color w:val="auto"/>
        </w:rPr>
      </w:pPr>
      <w:r>
        <w:rPr>
          <w:rFonts w:ascii="Times New Roman" w:cs="Times New Roman" w:eastAsia="Times New Roman" w:hAnsi="Times New Roman"/>
          <w:sz w:val="18"/>
          <w:szCs w:val="18"/>
          <w:color w:val="auto"/>
        </w:rPr>
        <w:t>Date: February 4, 2026</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780"/>
        <w:spacing w:after="0"/>
        <w:tabs>
          <w:tab w:leader="none" w:pos="7260" w:val="left"/>
        </w:tabs>
        <w:rPr>
          <w:sz w:val="20"/>
          <w:szCs w:val="20"/>
          <w:color w:val="auto"/>
        </w:rPr>
      </w:pPr>
      <w:r>
        <w:rPr>
          <w:rFonts w:ascii="Times New Roman" w:cs="Times New Roman" w:eastAsia="Times New Roman" w:hAnsi="Times New Roman"/>
          <w:sz w:val="18"/>
          <w:szCs w:val="18"/>
          <w:color w:val="auto"/>
        </w:rPr>
        <w:t>By:</w:t>
        <w:tab/>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17145</wp:posOffset>
            </wp:positionV>
            <wp:extent cx="2511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Deal CUSIP Number:  12514DAQ8</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b w:val="1"/>
          <w:bCs w:val="1"/>
          <w:color w:val="auto"/>
        </w:rPr>
        <w:t>Published Revolving Credit Facility CUSIP Number: 12514DAR6</w:t>
      </w: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FOURTH AMENDED AND RESTATED CREDIT AGREEMENT</w:t>
      </w: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 January 30, 2026</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CERTAIN SUBSIDIARIES</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Borrowers,</w:t>
      </w:r>
    </w:p>
    <w:p>
      <w:pPr>
        <w:spacing w:after="0" w:line="20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0"/>
          <w:szCs w:val="20"/>
          <w:b w:val="1"/>
          <w:bCs w:val="1"/>
          <w:color w:val="auto"/>
        </w:rPr>
        <w:t>THE LENDERS PARTY HERETO</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as Administrative Agent, Swing Line Lender</w:t>
      </w:r>
    </w:p>
    <w:p>
      <w:pPr>
        <w:ind w:left="4340"/>
        <w:spacing w:after="0"/>
        <w:rPr>
          <w:sz w:val="20"/>
          <w:szCs w:val="20"/>
          <w:color w:val="auto"/>
        </w:rPr>
      </w:pPr>
      <w:r>
        <w:rPr>
          <w:rFonts w:ascii="Times New Roman" w:cs="Times New Roman" w:eastAsia="Times New Roman" w:hAnsi="Times New Roman"/>
          <w:sz w:val="20"/>
          <w:szCs w:val="20"/>
          <w:color w:val="auto"/>
        </w:rPr>
        <w:t>and</w:t>
      </w:r>
    </w:p>
    <w:p>
      <w:pPr>
        <w:ind w:left="3940"/>
        <w:spacing w:after="0"/>
        <w:rPr>
          <w:sz w:val="20"/>
          <w:szCs w:val="20"/>
          <w:color w:val="auto"/>
        </w:rPr>
      </w:pPr>
      <w:r>
        <w:rPr>
          <w:rFonts w:ascii="Times New Roman" w:cs="Times New Roman" w:eastAsia="Times New Roman" w:hAnsi="Times New Roman"/>
          <w:sz w:val="20"/>
          <w:szCs w:val="20"/>
          <w:color w:val="auto"/>
        </w:rPr>
        <w:t>an L/C Issuer,</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THE TORONTO-DOMINION BANK, NEW YORK BRANCH,</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PNC BANK, NATIONAL ASSOCIATION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CITIBANK, N.A.</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CITY NATIONAL BANK</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Co-Syndication Agents,</w:t>
      </w:r>
    </w:p>
    <w:p>
      <w:pPr>
        <w:spacing w:after="0" w:line="1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BofA SECURITIES,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TD SECURITIES (USA) LLC</w:t>
      </w:r>
      <w:r>
        <w:rPr>
          <w:rFonts w:ascii="Times New Roman" w:cs="Times New Roman" w:eastAsia="Times New Roman" w:hAnsi="Times New Roman"/>
          <w:sz w:val="20"/>
          <w:szCs w:val="20"/>
          <w:color w:val="auto"/>
        </w:rPr>
        <w:t>,</w:t>
      </w:r>
    </w:p>
    <w:p>
      <w:pPr>
        <w:jc w:val="center"/>
        <w:ind w:right="112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1564640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497205</wp:posOffset>
            </wp:positionV>
            <wp:extent cx="71323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9"/>
              </w:rPr>
              <w:t>TABLE OF CONTENTS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399"/>
        </w:trPr>
        <w:tc>
          <w:tcPr>
            <w:tcW w:w="60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551"/>
        </w:trPr>
        <w:tc>
          <w:tcPr>
            <w:tcW w:w="600" w:type="dxa"/>
            <w:vAlign w:val="bottom"/>
          </w:tcPr>
          <w:p>
            <w:pPr>
              <w:spacing w:after="0"/>
              <w:rPr>
                <w:sz w:val="24"/>
                <w:szCs w:val="24"/>
                <w:color w:val="auto"/>
              </w:rPr>
            </w:pPr>
          </w:p>
        </w:tc>
        <w:tc>
          <w:tcPr>
            <w:tcW w:w="9060" w:type="dxa"/>
            <w:vAlign w:val="bottom"/>
          </w:tcPr>
          <w:p>
            <w:pPr>
              <w:jc w:val="center"/>
              <w:ind w:left="881"/>
              <w:spacing w:after="0"/>
              <w:rPr>
                <w:sz w:val="20"/>
                <w:szCs w:val="20"/>
                <w:color w:val="auto"/>
              </w:rPr>
            </w:pPr>
            <w:r>
              <w:rPr>
                <w:rFonts w:ascii="Times New Roman" w:cs="Times New Roman" w:eastAsia="Times New Roman" w:hAnsi="Times New Roman"/>
                <w:sz w:val="20"/>
                <w:szCs w:val="20"/>
                <w:color w:val="auto"/>
                <w:w w:val="98"/>
              </w:rPr>
              <w:t>ARTICLE I.</w:t>
            </w: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9"/>
              </w:rPr>
              <w:t>DEFINITIONS AND ACCOUNTING TERMS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Defined Terms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Other Interpretive Provisions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Accounting Terms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Rounding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Times of Day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1.06</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Letter of Credit Amounts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1.07</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Adjustments for Specified Transactions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1.08</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Exchange Rates; Currency Equivalents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1.09</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Additional Alternative Currencies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1.10</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Change of Currency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1.11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Interest Rates; Licensing</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417"/>
        </w:trPr>
        <w:tc>
          <w:tcPr>
            <w:tcW w:w="600" w:type="dxa"/>
            <w:vAlign w:val="bottom"/>
          </w:tcPr>
          <w:p>
            <w:pPr>
              <w:spacing w:after="0"/>
              <w:rPr>
                <w:sz w:val="24"/>
                <w:szCs w:val="24"/>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ARTICLE II.</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996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THE COMMITMENTS AND CREDIT EXTENSIONS</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Revolving Credit Borrowings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Borrowings, Conversions and Continuations of Loans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Letters of Credit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Swing Line Loans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Prepayments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2.06</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Termination or Reduction of Commitments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2.07</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Repayment of Loans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2.08</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Interest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2.09</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Fees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2.10</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Computation of Interest and Fees; Retroactive Adjustments of Applicable Rate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Evidence of Debt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Payments Generally; Administrative Agent’s Clawback</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Sharing of Payments by Lenders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Designated Borrowers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Increase Option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2.16</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Cash Collateral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2.17</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Defaulting Lenders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2.18</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Designation of Unrestricted and Restricted Subsidiaries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417"/>
        </w:trPr>
        <w:tc>
          <w:tcPr>
            <w:tcW w:w="600" w:type="dxa"/>
            <w:vAlign w:val="bottom"/>
          </w:tcPr>
          <w:p>
            <w:pPr>
              <w:spacing w:after="0"/>
              <w:rPr>
                <w:sz w:val="24"/>
                <w:szCs w:val="24"/>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9"/>
              </w:rPr>
              <w:t>ARTICLE III.</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9960" w:type="dxa"/>
            <w:vAlign w:val="bottom"/>
            <w:gridSpan w:val="3"/>
          </w:tcPr>
          <w:p>
            <w:pPr>
              <w:jc w:val="center"/>
              <w:ind w:left="1"/>
              <w:spacing w:after="0"/>
              <w:rPr>
                <w:sz w:val="20"/>
                <w:szCs w:val="20"/>
                <w:color w:val="auto"/>
              </w:rPr>
            </w:pPr>
            <w:r>
              <w:rPr>
                <w:rFonts w:ascii="Times New Roman" w:cs="Times New Roman" w:eastAsia="Times New Roman" w:hAnsi="Times New Roman"/>
                <w:sz w:val="20"/>
                <w:szCs w:val="20"/>
                <w:color w:val="auto"/>
                <w:w w:val="98"/>
              </w:rPr>
              <w:t>TAXES, YIELD PROTECTION AND ILLEGALITY</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3.01</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Taxes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3.02</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Illegality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3.03</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3.04</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Increased Costs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3.05</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Compensation for Losses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3.06</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3.07</w:t>
            </w:r>
          </w:p>
        </w:tc>
        <w:tc>
          <w:tcPr>
            <w:tcW w:w="996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Survival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w:t>
            </w:r>
          </w:p>
        </w:tc>
      </w:tr>
    </w:tbl>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 TO CREDIT EXTENSIONS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4.01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Conditions of Initial Credit Extension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4.02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Conditions to all Credit Extensions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9"/>
              </w:rPr>
              <w:t>ARTICLE V.</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61"/>
              <w:spacing w:after="0"/>
              <w:rPr>
                <w:sz w:val="20"/>
                <w:szCs w:val="20"/>
                <w:color w:val="auto"/>
              </w:rPr>
            </w:pPr>
            <w:r>
              <w:rPr>
                <w:rFonts w:ascii="Times New Roman" w:cs="Times New Roman" w:eastAsia="Times New Roman" w:hAnsi="Times New Roman"/>
                <w:sz w:val="20"/>
                <w:szCs w:val="20"/>
                <w:color w:val="auto"/>
                <w:w w:val="98"/>
              </w:rPr>
              <w:t>REPRESENTATIONS AND WARRANTIES</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Authorization; No Contravention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Governmental Authorization; Other Consents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Binding Effect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Financial Statements; No Material Adverse Effect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Litigation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Ownership of Property; Liens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5.09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Environmental Compliance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Taxes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ERISA Compliance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Subsidiaries; Equity Investments; Loan Parties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Margin Regulations; Investment Company Act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Disclosure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Compliance with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Intellectual Property; Licenses, Etc</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OFAC</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5.19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Solvency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[Reserved.]</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Labor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Collateral Documents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Representations as to Foreign Obligors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Anti-Corruption Laws; Sanctions; 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Affected Financial Institution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Borrower ERISA Status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Beneficial Ownership Certification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Covered Entity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5.29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Residency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5.30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Fiscal Unity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5.31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Centre of Main Interests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61"/>
              <w:spacing w:after="0"/>
              <w:rPr>
                <w:sz w:val="20"/>
                <w:szCs w:val="20"/>
                <w:color w:val="auto"/>
              </w:rPr>
            </w:pPr>
            <w:r>
              <w:rPr>
                <w:rFonts w:ascii="Times New Roman" w:cs="Times New Roman" w:eastAsia="Times New Roman" w:hAnsi="Times New Roman"/>
                <w:sz w:val="20"/>
                <w:szCs w:val="20"/>
                <w:color w:val="auto"/>
                <w:w w:val="98"/>
              </w:rPr>
              <w:t>ARTICLE VI.</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61"/>
              <w:spacing w:after="0"/>
              <w:rPr>
                <w:sz w:val="20"/>
                <w:szCs w:val="20"/>
                <w:color w:val="auto"/>
              </w:rPr>
            </w:pPr>
            <w:r>
              <w:rPr>
                <w:rFonts w:ascii="Times New Roman" w:cs="Times New Roman" w:eastAsia="Times New Roman" w:hAnsi="Times New Roman"/>
                <w:sz w:val="20"/>
                <w:szCs w:val="20"/>
                <w:color w:val="auto"/>
                <w:w w:val="99"/>
              </w:rPr>
              <w:t>AFFIRMATIVE COVENANTS</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Financial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Payment of Obligations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bl>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Maintenance of Insurance</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Compliance with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6.09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Books and Records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Inspection Rights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Additional Subsidiaries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Compliance with Environmental Laws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Further Assurances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Approvals and Authorizations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Anti-Corruption Laws; Sanctions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Residency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Fiscal Unity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6.19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Centre of Main Interests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6.20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Allocation of Tax Losses upon Termination of Fiscal Unity for Dutch Tax Purposes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8"/>
              </w:rPr>
              <w:t>ARTICLE VII.</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Liens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Indebtedness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Fundamental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Dispositions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Restricted Payments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Nature of Business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7.09</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Burdensome Agreements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7.10</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Use of Proceeds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Financial Covenants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Amendment or Modification of Organization Documents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Accounting Changes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7.14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Post-Closing Actions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9"/>
              </w:rPr>
              <w:t>ARTICLE VIII.</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41"/>
              <w:spacing w:after="0"/>
              <w:rPr>
                <w:sz w:val="20"/>
                <w:szCs w:val="20"/>
                <w:color w:val="auto"/>
              </w:rPr>
            </w:pPr>
            <w:r>
              <w:rPr>
                <w:rFonts w:ascii="Times New Roman" w:cs="Times New Roman" w:eastAsia="Times New Roman" w:hAnsi="Times New Roman"/>
                <w:sz w:val="20"/>
                <w:szCs w:val="20"/>
                <w:color w:val="auto"/>
                <w:w w:val="98"/>
              </w:rPr>
              <w:t>EVENTS OF DEFAULT AND REMEDIES</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8.01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Events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8.02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Remedies Upon Event of Default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8.03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Application of Funds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417"/>
        </w:trPr>
        <w:tc>
          <w:tcPr>
            <w:tcW w:w="600" w:type="dxa"/>
            <w:vAlign w:val="bottom"/>
          </w:tcPr>
          <w:p>
            <w:pPr>
              <w:spacing w:after="0"/>
              <w:rPr>
                <w:sz w:val="24"/>
                <w:szCs w:val="24"/>
                <w:color w:val="auto"/>
              </w:rPr>
            </w:pPr>
          </w:p>
        </w:tc>
        <w:tc>
          <w:tcPr>
            <w:tcW w:w="8600" w:type="dxa"/>
            <w:vAlign w:val="bottom"/>
          </w:tcPr>
          <w:p>
            <w:pPr>
              <w:jc w:val="center"/>
              <w:ind w:left="1361"/>
              <w:spacing w:after="0"/>
              <w:rPr>
                <w:sz w:val="20"/>
                <w:szCs w:val="20"/>
                <w:color w:val="auto"/>
              </w:rPr>
            </w:pPr>
            <w:r>
              <w:rPr>
                <w:rFonts w:ascii="Times New Roman" w:cs="Times New Roman" w:eastAsia="Times New Roman" w:hAnsi="Times New Roman"/>
                <w:sz w:val="20"/>
                <w:szCs w:val="20"/>
                <w:color w:val="auto"/>
                <w:w w:val="98"/>
              </w:rPr>
              <w:t>ARTICLE IX.</w:t>
            </w:r>
          </w:p>
        </w:tc>
        <w:tc>
          <w:tcPr>
            <w:tcW w:w="204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8600" w:type="dxa"/>
            <w:vAlign w:val="bottom"/>
          </w:tcPr>
          <w:p>
            <w:pPr>
              <w:jc w:val="center"/>
              <w:ind w:left="1361"/>
              <w:spacing w:after="0"/>
              <w:rPr>
                <w:sz w:val="20"/>
                <w:szCs w:val="20"/>
                <w:color w:val="auto"/>
              </w:rPr>
            </w:pPr>
            <w:r>
              <w:rPr>
                <w:rFonts w:ascii="Times New Roman" w:cs="Times New Roman" w:eastAsia="Times New Roman" w:hAnsi="Times New Roman"/>
                <w:sz w:val="20"/>
                <w:szCs w:val="20"/>
                <w:color w:val="auto"/>
                <w:w w:val="99"/>
              </w:rPr>
              <w:t>ADMINISTRATIVE AGENT</w:t>
            </w:r>
          </w:p>
        </w:tc>
        <w:tc>
          <w:tcPr>
            <w:tcW w:w="2040" w:type="dxa"/>
            <w:vAlign w:val="bottom"/>
          </w:tcPr>
          <w:p>
            <w:pPr>
              <w:spacing w:after="0"/>
              <w:rPr>
                <w:sz w:val="22"/>
                <w:szCs w:val="22"/>
                <w:color w:val="auto"/>
              </w:rPr>
            </w:pPr>
          </w:p>
        </w:tc>
      </w:tr>
      <w:tr>
        <w:trPr>
          <w:trHeight w:val="417"/>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9.01</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9.02</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Rights as a Lender</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9.03</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Exculpatory Provisions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9.04</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Reliance by Administrative Agent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9.05</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Delegation of Duties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30"/>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9.06</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29"/>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9.07</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Non-Reliance on Administrative Agent, Arrangers and Other Lenders</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58"/>
        </w:trPr>
        <w:tc>
          <w:tcPr>
            <w:tcW w:w="6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7"/>
              </w:rPr>
              <w:t>9.08</w:t>
            </w:r>
          </w:p>
        </w:tc>
        <w:tc>
          <w:tcPr>
            <w:tcW w:w="8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 Other Duties, Etc</w:t>
            </w: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bl>
    <w:p>
      <w:pPr>
        <w:spacing w:after="0" w:line="3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9.09</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Administrative Agent May File Proofs of Claim; Credit Bidding</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9.10</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Secured Cash Management Agreements, Secured Hedge Agreements and Secured Permitted Standalone Letters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Certain ERISA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Recovery of Erroneous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417"/>
        </w:trPr>
        <w:tc>
          <w:tcPr>
            <w:tcW w:w="640" w:type="dxa"/>
            <w:vAlign w:val="bottom"/>
          </w:tcPr>
          <w:p>
            <w:pPr>
              <w:spacing w:after="0"/>
              <w:rPr>
                <w:sz w:val="24"/>
                <w:szCs w:val="24"/>
                <w:color w:val="auto"/>
              </w:rPr>
            </w:pPr>
          </w:p>
        </w:tc>
        <w:tc>
          <w:tcPr>
            <w:tcW w:w="10040" w:type="dxa"/>
            <w:vAlign w:val="bottom"/>
          </w:tcPr>
          <w:p>
            <w:pPr>
              <w:ind w:left="4440"/>
              <w:spacing w:after="0"/>
              <w:rPr>
                <w:sz w:val="20"/>
                <w:szCs w:val="20"/>
                <w:color w:val="auto"/>
              </w:rPr>
            </w:pPr>
            <w:r>
              <w:rPr>
                <w:rFonts w:ascii="Times New Roman" w:cs="Times New Roman" w:eastAsia="Times New Roman" w:hAnsi="Times New Roman"/>
                <w:sz w:val="20"/>
                <w:szCs w:val="20"/>
                <w:color w:val="auto"/>
              </w:rPr>
              <w:t>ARTICLE X.</w:t>
            </w:r>
          </w:p>
        </w:tc>
        <w:tc>
          <w:tcPr>
            <w:tcW w:w="560" w:type="dxa"/>
            <w:vAlign w:val="bottom"/>
          </w:tcPr>
          <w:p>
            <w:pPr>
              <w:spacing w:after="0"/>
              <w:rPr>
                <w:sz w:val="24"/>
                <w:szCs w:val="24"/>
                <w:color w:val="auto"/>
              </w:rPr>
            </w:pPr>
          </w:p>
        </w:tc>
      </w:tr>
      <w:tr>
        <w:trPr>
          <w:trHeight w:val="258"/>
        </w:trPr>
        <w:tc>
          <w:tcPr>
            <w:tcW w:w="640" w:type="dxa"/>
            <w:vAlign w:val="bottom"/>
          </w:tcPr>
          <w:p>
            <w:pPr>
              <w:spacing w:after="0"/>
              <w:rPr>
                <w:sz w:val="22"/>
                <w:szCs w:val="22"/>
                <w:color w:val="auto"/>
              </w:rPr>
            </w:pPr>
          </w:p>
        </w:tc>
        <w:tc>
          <w:tcPr>
            <w:tcW w:w="10040" w:type="dxa"/>
            <w:vAlign w:val="bottom"/>
          </w:tcPr>
          <w:p>
            <w:pPr>
              <w:ind w:left="4160"/>
              <w:spacing w:after="0"/>
              <w:rPr>
                <w:sz w:val="20"/>
                <w:szCs w:val="20"/>
                <w:color w:val="auto"/>
              </w:rPr>
            </w:pPr>
            <w:r>
              <w:rPr>
                <w:rFonts w:ascii="Times New Roman" w:cs="Times New Roman" w:eastAsia="Times New Roman" w:hAnsi="Times New Roman"/>
                <w:sz w:val="20"/>
                <w:szCs w:val="20"/>
                <w:color w:val="auto"/>
              </w:rPr>
              <w:t>MISCELLANEOUS</w:t>
            </w:r>
          </w:p>
        </w:tc>
        <w:tc>
          <w:tcPr>
            <w:tcW w:w="560" w:type="dxa"/>
            <w:vAlign w:val="bottom"/>
          </w:tcPr>
          <w:p>
            <w:pPr>
              <w:spacing w:after="0"/>
              <w:rPr>
                <w:sz w:val="22"/>
                <w:szCs w:val="22"/>
                <w:color w:val="auto"/>
              </w:rPr>
            </w:pPr>
          </w:p>
        </w:tc>
      </w:tr>
      <w:tr>
        <w:trPr>
          <w:trHeight w:val="41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Amendments, Etc</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Notices; Effectiveness; Electronic Communication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Waiver; Cumulative Remedies; Enforcement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10.04</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10.05</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Payments Set Aside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10.06</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Successors and Assigns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10.07</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Treatment of Certain Information; Confidentiality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10.08</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 of Setoff</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10.09</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Rate Limitation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Integration; Effectiveness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Survival of Representations and Warranties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Severability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Replacement of Lenders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Governing Law; Jurisdiction; Etc</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Waiver of Jury Trial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Electronic Execution; Electronic Records; Counterparts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USA PATRIOT Act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Keepwell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Judgment Currency</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Amendment and Restatement; No Novation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0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2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1.01A</w:t>
      </w:r>
      <w:r>
        <w:rPr>
          <w:sz w:val="20"/>
          <w:szCs w:val="20"/>
          <w:color w:val="auto"/>
        </w:rPr>
        <w:tab/>
      </w:r>
      <w:r>
        <w:rPr>
          <w:rFonts w:ascii="Times New Roman" w:cs="Times New Roman" w:eastAsia="Times New Roman" w:hAnsi="Times New Roman"/>
          <w:sz w:val="19"/>
          <w:szCs w:val="19"/>
          <w:color w:val="auto"/>
        </w:rPr>
        <w:t>Specified Existing Capital Leases</w:t>
      </w:r>
    </w:p>
    <w:p>
      <w:pPr>
        <w:spacing w:after="0" w:line="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1.01B</w:t>
      </w:r>
      <w:r>
        <w:rPr>
          <w:sz w:val="20"/>
          <w:szCs w:val="20"/>
          <w:color w:val="auto"/>
        </w:rPr>
        <w:tab/>
      </w:r>
      <w:r>
        <w:rPr>
          <w:rFonts w:ascii="Times New Roman" w:cs="Times New Roman" w:eastAsia="Times New Roman" w:hAnsi="Times New Roman"/>
          <w:sz w:val="19"/>
          <w:szCs w:val="19"/>
          <w:color w:val="auto"/>
        </w:rPr>
        <w:t>Existing Letters of Credit</w:t>
      </w:r>
    </w:p>
    <w:p>
      <w:pPr>
        <w:spacing w:after="0"/>
        <w:rPr>
          <w:sz w:val="20"/>
          <w:szCs w:val="20"/>
          <w:color w:val="auto"/>
        </w:rPr>
      </w:pPr>
      <w:r>
        <w:rPr>
          <w:rFonts w:ascii="Times New Roman" w:cs="Times New Roman" w:eastAsia="Times New Roman" w:hAnsi="Times New Roman"/>
          <w:sz w:val="20"/>
          <w:szCs w:val="20"/>
          <w:color w:val="auto"/>
        </w:rPr>
        <w:t>2.01 Commitments and Applicable Percentages</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2.01LC</w:t>
      </w:r>
      <w:r>
        <w:rPr>
          <w:sz w:val="20"/>
          <w:szCs w:val="20"/>
          <w:color w:val="auto"/>
        </w:rPr>
        <w:tab/>
      </w:r>
      <w:r>
        <w:rPr>
          <w:rFonts w:ascii="Times New Roman" w:cs="Times New Roman" w:eastAsia="Times New Roman" w:hAnsi="Times New Roman"/>
          <w:sz w:val="19"/>
          <w:szCs w:val="19"/>
          <w:color w:val="auto"/>
        </w:rPr>
        <w:t>L/C Commitments</w:t>
      </w:r>
    </w:p>
    <w:p>
      <w:pPr>
        <w:spacing w:after="0"/>
        <w:rPr>
          <w:sz w:val="20"/>
          <w:szCs w:val="20"/>
          <w:color w:val="auto"/>
        </w:rPr>
      </w:pPr>
      <w:r>
        <w:rPr>
          <w:rFonts w:ascii="Times New Roman" w:cs="Times New Roman" w:eastAsia="Times New Roman" w:hAnsi="Times New Roman"/>
          <w:sz w:val="20"/>
          <w:szCs w:val="20"/>
          <w:color w:val="auto"/>
        </w:rPr>
        <w:t>2.10 Day Basis for Alternative Currencies</w:t>
      </w:r>
    </w:p>
    <w:p>
      <w:pPr>
        <w:spacing w:after="0"/>
        <w:rPr>
          <w:sz w:val="20"/>
          <w:szCs w:val="20"/>
          <w:color w:val="auto"/>
        </w:rPr>
      </w:pPr>
      <w:r>
        <w:rPr>
          <w:rFonts w:ascii="Times New Roman" w:cs="Times New Roman" w:eastAsia="Times New Roman" w:hAnsi="Times New Roman"/>
          <w:sz w:val="20"/>
          <w:szCs w:val="20"/>
          <w:color w:val="auto"/>
        </w:rPr>
        <w:t>2.18 Unrestricted Subsidiaries</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5.12(d)</w:t>
      </w:r>
      <w:r>
        <w:rPr>
          <w:sz w:val="20"/>
          <w:szCs w:val="20"/>
          <w:color w:val="auto"/>
        </w:rPr>
        <w:tab/>
      </w:r>
      <w:r>
        <w:rPr>
          <w:rFonts w:ascii="Times New Roman" w:cs="Times New Roman" w:eastAsia="Times New Roman" w:hAnsi="Times New Roman"/>
          <w:sz w:val="19"/>
          <w:szCs w:val="19"/>
          <w:color w:val="auto"/>
        </w:rPr>
        <w:t>Pension Plans</w:t>
      </w:r>
    </w:p>
    <w:p>
      <w:pPr>
        <w:spacing w:after="0"/>
        <w:rPr>
          <w:sz w:val="20"/>
          <w:szCs w:val="20"/>
          <w:color w:val="auto"/>
        </w:rPr>
      </w:pPr>
      <w:r>
        <w:rPr>
          <w:rFonts w:ascii="Times New Roman" w:cs="Times New Roman" w:eastAsia="Times New Roman" w:hAnsi="Times New Roman"/>
          <w:sz w:val="20"/>
          <w:szCs w:val="20"/>
          <w:color w:val="auto"/>
        </w:rPr>
        <w:t>5.13 Subsidiaries; Equity Investments; Loan Parties</w:t>
      </w:r>
    </w:p>
    <w:p>
      <w:pPr>
        <w:spacing w:after="0"/>
        <w:rPr>
          <w:sz w:val="20"/>
          <w:szCs w:val="20"/>
          <w:color w:val="auto"/>
        </w:rPr>
      </w:pPr>
      <w:r>
        <w:rPr>
          <w:rFonts w:ascii="Times New Roman" w:cs="Times New Roman" w:eastAsia="Times New Roman" w:hAnsi="Times New Roman"/>
          <w:sz w:val="20"/>
          <w:szCs w:val="20"/>
          <w:color w:val="auto"/>
        </w:rPr>
        <w:t>5.21 Collective Bargaining Agreements and Multiemployer Plans</w:t>
      </w:r>
    </w:p>
    <w:p>
      <w:pPr>
        <w:spacing w:after="0"/>
        <w:rPr>
          <w:sz w:val="20"/>
          <w:szCs w:val="20"/>
          <w:color w:val="auto"/>
        </w:rPr>
      </w:pPr>
      <w:r>
        <w:rPr>
          <w:rFonts w:ascii="Times New Roman" w:cs="Times New Roman" w:eastAsia="Times New Roman" w:hAnsi="Times New Roman"/>
          <w:sz w:val="20"/>
          <w:szCs w:val="20"/>
          <w:color w:val="auto"/>
        </w:rPr>
        <w:t>7.01 Existing Liens</w:t>
      </w:r>
    </w:p>
    <w:p>
      <w:pPr>
        <w:spacing w:after="0"/>
        <w:rPr>
          <w:sz w:val="20"/>
          <w:szCs w:val="20"/>
          <w:color w:val="auto"/>
        </w:rPr>
      </w:pPr>
      <w:r>
        <w:rPr>
          <w:rFonts w:ascii="Times New Roman" w:cs="Times New Roman" w:eastAsia="Times New Roman" w:hAnsi="Times New Roman"/>
          <w:sz w:val="20"/>
          <w:szCs w:val="20"/>
          <w:color w:val="auto"/>
        </w:rPr>
        <w:t>7.02 Existing Investments</w:t>
      </w:r>
    </w:p>
    <w:p>
      <w:pPr>
        <w:spacing w:after="0"/>
        <w:rPr>
          <w:sz w:val="20"/>
          <w:szCs w:val="20"/>
          <w:color w:val="auto"/>
        </w:rPr>
      </w:pPr>
      <w:r>
        <w:rPr>
          <w:rFonts w:ascii="Times New Roman" w:cs="Times New Roman" w:eastAsia="Times New Roman" w:hAnsi="Times New Roman"/>
          <w:sz w:val="20"/>
          <w:szCs w:val="20"/>
          <w:color w:val="auto"/>
        </w:rPr>
        <w:t>7.03 Existing Indebtedness</w:t>
      </w:r>
    </w:p>
    <w:p>
      <w:pPr>
        <w:spacing w:after="0"/>
        <w:rPr>
          <w:sz w:val="20"/>
          <w:szCs w:val="20"/>
          <w:color w:val="auto"/>
        </w:rPr>
      </w:pPr>
      <w:r>
        <w:rPr>
          <w:rFonts w:ascii="Times New Roman" w:cs="Times New Roman" w:eastAsia="Times New Roman" w:hAnsi="Times New Roman"/>
          <w:sz w:val="20"/>
          <w:szCs w:val="20"/>
          <w:color w:val="auto"/>
        </w:rPr>
        <w:t>7.15 Post-Closing Actions</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color w:val="auto"/>
        </w:rPr>
        <w:t>Administrative Agent’s Office; Certain Addresses for Notices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b w:val="1"/>
          <w:bCs w:val="1"/>
          <w:i w:val="1"/>
          <w:iCs w:val="1"/>
          <w:color w:val="auto"/>
        </w:rPr>
        <w:t>Form of</w:t>
      </w:r>
    </w:p>
    <w:p>
      <w:pPr>
        <w:ind w:left="800" w:hanging="792"/>
        <w:spacing w:after="0"/>
        <w:tabs>
          <w:tab w:leader="none" w:pos="8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 Notice</w:t>
      </w:r>
    </w:p>
    <w:p>
      <w:pPr>
        <w:ind w:left="800" w:hanging="792"/>
        <w:spacing w:after="0"/>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Swing Line Loan Notice</w:t>
      </w:r>
    </w:p>
    <w:p>
      <w:pPr>
        <w:ind w:left="800" w:hanging="792"/>
        <w:spacing w:after="0"/>
        <w:tabs>
          <w:tab w:leader="none" w:pos="8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w:t>
      </w:r>
    </w:p>
    <w:p>
      <w:pPr>
        <w:ind w:left="800" w:hanging="792"/>
        <w:spacing w:after="0"/>
        <w:tabs>
          <w:tab w:leader="none" w:pos="8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Certificate</w:t>
      </w:r>
    </w:p>
    <w:p>
      <w:pPr>
        <w:ind w:left="800" w:hanging="792"/>
        <w:spacing w:after="0"/>
        <w:tabs>
          <w:tab w:leader="none" w:pos="8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 and Assumption</w:t>
      </w:r>
    </w:p>
    <w:p>
      <w:pPr>
        <w:ind w:left="800" w:hanging="792"/>
        <w:spacing w:after="0"/>
        <w:tabs>
          <w:tab w:leader="none" w:pos="8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 Tax Compliance Certificates</w:t>
      </w:r>
    </w:p>
    <w:p>
      <w:pPr>
        <w:ind w:left="800" w:hanging="792"/>
        <w:spacing w:after="0"/>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Report</w:t>
      </w:r>
    </w:p>
    <w:p>
      <w:pPr>
        <w:ind w:left="800" w:hanging="792"/>
        <w:spacing w:after="0"/>
        <w:tabs>
          <w:tab w:leader="none" w:pos="8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Borrower Request and Assumption Agreement</w:t>
      </w:r>
    </w:p>
    <w:p>
      <w:pPr>
        <w:ind w:left="800" w:hanging="792"/>
        <w:spacing w:after="0"/>
        <w:tabs>
          <w:tab w:leader="none" w:pos="8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Designated Borrower Notice</w:t>
      </w:r>
    </w:p>
    <w:p>
      <w:pPr>
        <w:ind w:left="800" w:hanging="792"/>
        <w:spacing w:after="0"/>
        <w:tabs>
          <w:tab w:leader="none" w:pos="8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Loan Prepayment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1" w:lineRule="exact"/>
        <w:rPr>
          <w:rFonts w:ascii="Times New Roman" w:cs="Times New Roman" w:eastAsia="Times New Roman" w:hAnsi="Times New Roman"/>
          <w:sz w:val="20"/>
          <w:szCs w:val="20"/>
          <w:color w:val="auto"/>
        </w:rPr>
      </w:pPr>
    </w:p>
    <w:p>
      <w:pPr>
        <w:ind w:left="4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FOURTH AMENDED AND RESTATED CREDIT AGREEMENT</w:t>
      </w:r>
    </w:p>
    <w:p>
      <w:pPr>
        <w:spacing w:after="0" w:line="220"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This FOURTH AMENDED AND RESTATED CREDIT AGREEMENT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entered into as of January 30, 2026, among CECO ENVIRONMENTAL CORP.,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xml:space="preserve">”), certain Restricted Subsidiaries of the Company party hereto pursuant to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u w:val="single" w:color="auto"/>
          <w:color w:val="auto"/>
        </w:rPr>
        <w:t>Designated Borrower</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each lender from time to time party hereto (collectively, the “</w:t>
      </w:r>
      <w:r>
        <w:rPr>
          <w:rFonts w:ascii="Times New Roman" w:cs="Times New Roman" w:eastAsia="Times New Roman" w:hAnsi="Times New Roman"/>
          <w:sz w:val="19"/>
          <w:szCs w:val="19"/>
          <w:u w:val="single" w:color="auto"/>
          <w:color w:val="auto"/>
        </w:rPr>
        <w:t>Lenders</w:t>
      </w:r>
      <w:r>
        <w:rPr>
          <w:rFonts w:ascii="Times New Roman" w:cs="Times New Roman" w:eastAsia="Times New Roman" w:hAnsi="Times New Roman"/>
          <w:sz w:val="19"/>
          <w:szCs w:val="19"/>
          <w:color w:val="auto"/>
        </w:rPr>
        <w:t>” and individually, a “</w:t>
      </w:r>
      <w:r>
        <w:rPr>
          <w:rFonts w:ascii="Times New Roman" w:cs="Times New Roman" w:eastAsia="Times New Roman" w:hAnsi="Times New Roman"/>
          <w:sz w:val="19"/>
          <w:szCs w:val="19"/>
          <w:u w:val="single" w:color="auto"/>
          <w:color w:val="auto"/>
        </w:rPr>
        <w:t>Lender</w:t>
      </w:r>
      <w:r>
        <w:rPr>
          <w:rFonts w:ascii="Times New Roman" w:cs="Times New Roman" w:eastAsia="Times New Roman" w:hAnsi="Times New Roman"/>
          <w:sz w:val="19"/>
          <w:szCs w:val="19"/>
          <w:color w:val="auto"/>
        </w:rPr>
        <w:t>”), BANK OF AMERICA, N.A., as Administrative Agent, Swing Line Lender and an L/C Issuer, and each other L/C Issuer from time to time party hereto.</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16" w:lineRule="exact"/>
        <w:rPr>
          <w:sz w:val="20"/>
          <w:szCs w:val="20"/>
          <w:color w:val="auto"/>
        </w:rPr>
      </w:pPr>
    </w:p>
    <w:p>
      <w:pPr>
        <w:jc w:val="both"/>
        <w:ind w:firstLine="757"/>
        <w:spacing w:after="0" w:line="254" w:lineRule="auto"/>
        <w:tabs>
          <w:tab w:leader="none" w:pos="11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lenders party thereto and the Administrative Agent have entered into that certain Third Amended and Restated Credit Agreement, dated as of October 7, 2024 (as amended, restated, supplemented or otherwise modified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have requested, and subject to the terms and conditions set forth in this Agreement, the Administrative Agent and the Lenders have agreed to amend and restate the Existing Credit Agreement and extend certain credit facilities to the Borrowers.</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1.01 Defined Terms. </w:t>
      </w:r>
      <w:r>
        <w:rPr>
          <w:rFonts w:ascii="Times New Roman" w:cs="Times New Roman" w:eastAsia="Times New Roman" w:hAnsi="Times New Roman"/>
          <w:sz w:val="20"/>
          <w:szCs w:val="20"/>
          <w:color w:val="auto"/>
        </w:rPr>
        <w:t>As used in this Agreement, the following terms shall have the meanings set forth below:</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by any Person, the acquisition by such Person, in a single transaction or in a series of related transactions, of</w:t>
      </w:r>
    </w:p>
    <w:p>
      <w:pPr>
        <w:spacing w:after="0" w:line="22" w:lineRule="exact"/>
        <w:rPr>
          <w:sz w:val="20"/>
          <w:szCs w:val="20"/>
          <w:color w:val="auto"/>
        </w:rPr>
      </w:pPr>
    </w:p>
    <w:p>
      <w:pPr>
        <w:jc w:val="both"/>
        <w:ind w:firstLine="8"/>
        <w:spacing w:after="0" w:line="241" w:lineRule="auto"/>
        <w:tabs>
          <w:tab w:leader="none" w:pos="28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Commitments Amendment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Commitments 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Commitments Limit</w:t>
      </w:r>
      <w:r>
        <w:rPr>
          <w:rFonts w:ascii="Times New Roman" w:cs="Times New Roman" w:eastAsia="Times New Roman" w:hAnsi="Times New Roman"/>
          <w:sz w:val="20"/>
          <w:szCs w:val="20"/>
          <w:color w:val="auto"/>
        </w:rPr>
        <w:t xml:space="preserve">” means, as of any date of determination, an amount equal to the sum of (a) $150,000,000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total aggregate initial principal amount (as of the date of incurrence thereof) of all Additional Commitments, in each case previously incurred under this </w:t>
      </w:r>
      <w:r>
        <w:rPr>
          <w:rFonts w:ascii="Times New Roman" w:cs="Times New Roman" w:eastAsia="Times New Roman" w:hAnsi="Times New Roman"/>
          <w:sz w:val="20"/>
          <w:szCs w:val="20"/>
          <w:u w:val="single" w:color="auto"/>
          <w:color w:val="auto"/>
        </w:rPr>
        <w:t>clause (a) plus</w:t>
      </w:r>
      <w:r>
        <w:rPr>
          <w:rFonts w:ascii="Times New Roman" w:cs="Times New Roman" w:eastAsia="Times New Roman" w:hAnsi="Times New Roman"/>
          <w:sz w:val="20"/>
          <w:szCs w:val="20"/>
          <w:color w:val="auto"/>
        </w:rPr>
        <w:t xml:space="preserve"> (b) the amount of additional Consolidated Funded Indebtedness that would cause the Consolidated Net Leverage Ratio to equal 3.50 to 1.00 (calculated as of the last day of the most recently ended fiscal quarter for which financial information is available (or in the case of any additional Consolidated Funded Indebtedness, the proceeds of which will finance a substantially concurrent Limited Condition Acquisition, the last day of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1" w:name="page12"/>
    <w:bookmarkEnd w:id="1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most recently ended fiscal quarter for which financial information is available prior to the LCA Test Date), but giving pro forma effect to such Additional Commitment Amendment, the Indebtedness to be incurred in connection therewith (assuming that such Additional Commitments are fully drawn) and, if applicable, the Permitted Acquisition consummated in connection therewith (calculated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and, without duplication, assuming that all other Additional Loans outstanding on such date of determination were outstanding as of the last day of such fiscal quarter).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(or any of its designated branch offices or affiliates) in its capacity as administrative agent under any of the Loan Documents, or any successor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hereafter may designate by written notice to the Company and the Lenders.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substantially the form provided by the Administrative Agent or any other form approved by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Third Amended and Restated Credit Agreement.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(a) with respect to Revolving Credit Loans, (i) Euro, Sterling and Canadian Dollars and (ii) each other currency (other than Dollars) that is approved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with respect to Revolving Credit Loans and (b) with respect to Letters of Credit issued by any L/C Issuer, (i) Euro, Sterling, Canadian Dollars and Rupees and (ii) each other currency (other than Dollars) that is approved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with respect to Letters of Credit issued by such L/C Issuer.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216" w:lineRule="exact"/>
        <w:rPr>
          <w:sz w:val="20"/>
          <w:szCs w:val="20"/>
          <w:color w:val="auto"/>
        </w:rPr>
      </w:pPr>
    </w:p>
    <w:p>
      <w:pPr>
        <w:ind w:left="380" w:firstLine="751"/>
        <w:spacing w:after="0" w:line="269" w:lineRule="auto"/>
        <w:tabs>
          <w:tab w:leader="none" w:pos="15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per annum equal to SONIA determined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and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 w:name="page13"/>
    <w:bookmarkEnd w:id="12"/>
    <w:p>
      <w:pPr>
        <w:ind w:left="380"/>
        <w:spacing w:after="0" w:line="269" w:lineRule="auto"/>
        <w:rPr>
          <w:sz w:val="20"/>
          <w:szCs w:val="20"/>
          <w:color w:val="auto"/>
        </w:rPr>
      </w:pPr>
      <w:r>
        <w:rPr>
          <w:rFonts w:ascii="Times New Roman" w:cs="Times New Roman" w:eastAsia="Times New Roman" w:hAnsi="Times New Roman"/>
          <w:sz w:val="20"/>
          <w:szCs w:val="20"/>
          <w:color w:val="auto"/>
        </w:rPr>
        <w:t xml:space="preserve">Agent and the relevant Lenders pursuant to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plus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1.09(c)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Revolving Credit Loan that bears interest at a rate based on the definition of “Alternative Currency Daily Rate.” All Alternative Currency Daily Rate Loans must be denominated in an Alternative Currency.</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xml:space="preserve">”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no such rate is available, the “Alternative Currency Equivalent” shall be determined by the Administrative Agent or the applicable L/C Issuer, as the case may be, using any reasonable method of determination its deems appropriate in its sole discretion (and such determination shall be conclusive (including within the meaning of section 151 Dutch Code of Civil Procedure) absent manifest error).</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Sublimit</w:t>
      </w:r>
      <w:r>
        <w:rPr>
          <w:rFonts w:ascii="Times New Roman" w:cs="Times New Roman" w:eastAsia="Times New Roman" w:hAnsi="Times New Roman"/>
          <w:sz w:val="20"/>
          <w:szCs w:val="20"/>
          <w:color w:val="auto"/>
        </w:rPr>
        <w:t>” means an amount equal to the lesser of (a) the Aggregate Commitments and (b) $75,000,000. The Alternative Currency Sublimit is part of, and not in addition to, the Aggregate Commitments.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w:t>
      </w:r>
    </w:p>
    <w:p>
      <w:pPr>
        <w:spacing w:after="0" w:line="216" w:lineRule="exact"/>
        <w:rPr>
          <w:sz w:val="20"/>
          <w:szCs w:val="20"/>
          <w:color w:val="auto"/>
        </w:rPr>
      </w:pPr>
    </w:p>
    <w:p>
      <w:pPr>
        <w:jc w:val="both"/>
        <w:ind w:left="380" w:firstLine="751"/>
        <w:spacing w:after="0" w:line="249" w:lineRule="auto"/>
        <w:tabs>
          <w:tab w:leader="none" w:pos="152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79" w:lineRule="exact"/>
        <w:rPr>
          <w:rFonts w:ascii="Times New Roman" w:cs="Times New Roman" w:eastAsia="Times New Roman" w:hAnsi="Times New Roman"/>
          <w:sz w:val="20"/>
          <w:szCs w:val="20"/>
          <w:color w:val="auto"/>
        </w:rPr>
      </w:pPr>
    </w:p>
    <w:p>
      <w:pPr>
        <w:jc w:val="both"/>
        <w:ind w:left="380" w:right="20" w:firstLine="751"/>
        <w:spacing w:after="0" w:line="249" w:lineRule="auto"/>
        <w:tabs>
          <w:tab w:leader="none" w:pos="152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Canadian Dollars, the rate per annum equal to the forward-looking term rate based on CORRA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on the Rate Determination Date with a term equivalent to such Interest Period plus the Term CORRA Adjustment for such Interest Period; or</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1.09(c)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if any Alternative Currency Term Rate shall be less than zero, such rate shall be deemed zero for purposes of this Agreement.</w:t>
      </w:r>
    </w:p>
    <w:p>
      <w:pPr>
        <w:spacing w:after="0" w:line="22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Revolving Credit Loan that bears interest at a rate based on the definition of “Alternative Currency Term Rate.” All Alternative Currency Term Rate Loans must be denominated in an Alternative Currency.</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If the commitment of each Lender to make Revolving Credit Loans and the obligation of each L/C Issuer to make L/C Credit Extensions have been terminated, or if the Aggregate Commitments have expired, then the Applicable Percentage of each Lender shall be determined based on the Applicable Percentage of such Lender most recently in effect, giving effect to any subsequent assignments and to any Lender’s status as a Defaulting Lender at the time of determination. The initial Applicable Percentage of each Lender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(a) from the Closing Date to the date on which the Administrative Agent receives a Compliance Certificate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for the fiscal quarter ending March 31, 2026, 1.25% per annum for Base Rate Loans and 2.25% per annum for Term SOFR Loans, Daily Simple SOFR Loans, Alternative Currency Daily Rate Loans, Alternative Currency Term Rate Loans and Letter of Credit Fees and 0.300% for the Commitment Fee and (b) thereafter,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1200" cy="107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200" cy="1079500"/>
                    </a:xfrm>
                    <a:prstGeom prst="rect">
                      <a:avLst/>
                    </a:prstGeom>
                    <a:noFill/>
                  </pic:spPr>
                </pic:pic>
              </a:graphicData>
            </a:graphic>
          </wp:anchor>
        </w:drawing>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3420" w:type="dxa"/>
            <w:vAlign w:val="bottom"/>
            <w:tcBorders>
              <w:top w:val="single" w:sz="8" w:color="auto"/>
              <w:right w:val="single" w:sz="8" w:color="auto"/>
            </w:tcBorders>
          </w:tcPr>
          <w:p>
            <w:pPr>
              <w:spacing w:after="0"/>
              <w:rPr>
                <w:sz w:val="19"/>
                <w:szCs w:val="19"/>
                <w:color w:val="auto"/>
              </w:rPr>
            </w:pPr>
          </w:p>
        </w:tc>
        <w:tc>
          <w:tcPr>
            <w:tcW w:w="1780" w:type="dxa"/>
            <w:vAlign w:val="bottom"/>
            <w:tcBorders>
              <w:top w:val="single" w:sz="8" w:color="auto"/>
              <w:right w:val="single" w:sz="8" w:color="auto"/>
            </w:tcBorders>
          </w:tcPr>
          <w:p>
            <w:pPr>
              <w:spacing w:after="0"/>
              <w:rPr>
                <w:sz w:val="19"/>
                <w:szCs w:val="19"/>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Term SOFR Loans, Daily</w:t>
            </w:r>
          </w:p>
        </w:tc>
        <w:tc>
          <w:tcPr>
            <w:tcW w:w="1960" w:type="dxa"/>
            <w:vAlign w:val="bottom"/>
            <w:tcBorders>
              <w:top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9"/>
              </w:rPr>
              <w:t>Simple SOFR Loans,</w:t>
            </w:r>
          </w:p>
        </w:tc>
        <w:tc>
          <w:tcPr>
            <w:tcW w:w="19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Alternative Currency</w:t>
            </w:r>
          </w:p>
        </w:tc>
        <w:tc>
          <w:tcPr>
            <w:tcW w:w="19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0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Daily Rate Loans,</w:t>
            </w:r>
          </w:p>
        </w:tc>
        <w:tc>
          <w:tcPr>
            <w:tcW w:w="19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1780" w:type="dxa"/>
            <w:vAlign w:val="bottom"/>
            <w:tcBorders>
              <w:right w:val="single" w:sz="8" w:color="auto"/>
            </w:tcBorders>
          </w:tcPr>
          <w:p>
            <w:pPr>
              <w:spacing w:after="0"/>
              <w:rPr>
                <w:sz w:val="19"/>
                <w:szCs w:val="19"/>
                <w:color w:val="auto"/>
              </w:rPr>
            </w:pPr>
          </w:p>
        </w:tc>
        <w:tc>
          <w:tcPr>
            <w:tcW w:w="252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Alternative Currency</w:t>
            </w:r>
          </w:p>
        </w:tc>
        <w:tc>
          <w:tcPr>
            <w:tcW w:w="19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Pricing</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Consolidated Net</w:t>
            </w:r>
          </w:p>
        </w:tc>
        <w:tc>
          <w:tcPr>
            <w:tcW w:w="1780" w:type="dxa"/>
            <w:vAlign w:val="bottom"/>
            <w:tcBorders>
              <w:right w:val="single" w:sz="8" w:color="auto"/>
            </w:tcBorders>
          </w:tcPr>
          <w:p>
            <w:pPr>
              <w:jc w:val="center"/>
              <w:ind w:right="1"/>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Term Rate Loans and</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Base</w:t>
            </w:r>
          </w:p>
        </w:tc>
        <w:tc>
          <w:tcPr>
            <w:tcW w:w="460" w:type="dxa"/>
            <w:vAlign w:val="bottom"/>
          </w:tcPr>
          <w:p>
            <w:pPr>
              <w:spacing w:after="0"/>
              <w:rPr>
                <w:sz w:val="19"/>
                <w:szCs w:val="19"/>
                <w:color w:val="auto"/>
              </w:rPr>
            </w:pPr>
          </w:p>
        </w:tc>
      </w:tr>
      <w:tr>
        <w:trPr>
          <w:trHeight w:val="263"/>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Leverage Ratio</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Fee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Letter of Credit Fee</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Rate Loans</w:t>
            </w:r>
          </w:p>
        </w:tc>
        <w:tc>
          <w:tcPr>
            <w:tcW w:w="460" w:type="dxa"/>
            <w:vAlign w:val="bottom"/>
          </w:tcPr>
          <w:p>
            <w:pPr>
              <w:spacing w:after="0"/>
              <w:rPr>
                <w:sz w:val="22"/>
                <w:szCs w:val="22"/>
                <w:color w:val="auto"/>
              </w:rPr>
            </w:pPr>
          </w:p>
        </w:tc>
      </w:tr>
      <w:tr>
        <w:trPr>
          <w:trHeight w:val="270"/>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I</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1.50 to 1.00</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0.175%</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1.50%</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0.50%</w:t>
            </w:r>
          </w:p>
        </w:tc>
        <w:tc>
          <w:tcPr>
            <w:tcW w:w="460" w:type="dxa"/>
            <w:vAlign w:val="bottom"/>
          </w:tcPr>
          <w:p>
            <w:pPr>
              <w:spacing w:after="0"/>
              <w:rPr>
                <w:sz w:val="23"/>
                <w:szCs w:val="23"/>
                <w:color w:val="auto"/>
              </w:rPr>
            </w:pPr>
          </w:p>
        </w:tc>
      </w:tr>
      <w:tr>
        <w:trPr>
          <w:trHeight w:val="241"/>
        </w:trPr>
        <w:tc>
          <w:tcPr>
            <w:tcW w:w="1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II</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1.50 to 1.00 but</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0.225%</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1.75%</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0.75%</w:t>
            </w:r>
          </w:p>
        </w:tc>
        <w:tc>
          <w:tcPr>
            <w:tcW w:w="460" w:type="dxa"/>
            <w:vAlign w:val="bottom"/>
          </w:tcPr>
          <w:p>
            <w:pPr>
              <w:spacing w:after="0"/>
              <w:rPr>
                <w:sz w:val="20"/>
                <w:szCs w:val="20"/>
                <w:color w:val="auto"/>
              </w:rPr>
            </w:pPr>
          </w:p>
        </w:tc>
      </w:tr>
      <w:tr>
        <w:trPr>
          <w:trHeight w:val="252"/>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2.00 to 1.00</w:t>
            </w:r>
          </w:p>
        </w:tc>
        <w:tc>
          <w:tcPr>
            <w:tcW w:w="178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r>
      <w:tr>
        <w:trPr>
          <w:trHeight w:val="642"/>
        </w:trPr>
        <w:tc>
          <w:tcPr>
            <w:tcW w:w="1100" w:type="dxa"/>
            <w:vAlign w:val="bottom"/>
          </w:tcPr>
          <w:p>
            <w:pPr>
              <w:jc w:val="right"/>
              <w:ind w:right="623"/>
              <w:spacing w:after="0"/>
              <w:rPr>
                <w:sz w:val="20"/>
                <w:szCs w:val="20"/>
                <w:color w:val="auto"/>
              </w:rPr>
            </w:pPr>
            <w:r>
              <w:rPr>
                <w:rFonts w:ascii="Times New Roman" w:cs="Times New Roman" w:eastAsia="Times New Roman" w:hAnsi="Times New Roman"/>
                <w:sz w:val="18"/>
                <w:szCs w:val="18"/>
                <w:color w:val="auto"/>
              </w:rPr>
              <w:t>4</w:t>
            </w:r>
          </w:p>
        </w:tc>
        <w:tc>
          <w:tcPr>
            <w:tcW w:w="3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63"/>
        </w:trPr>
        <w:tc>
          <w:tcPr>
            <w:tcW w:w="11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61"/>
        </w:trPr>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3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2.00 to 1.00 but</w:t>
            </w:r>
          </w:p>
        </w:tc>
        <w:tc>
          <w:tcPr>
            <w:tcW w:w="1780" w:type="dxa"/>
            <w:vAlign w:val="bottom"/>
            <w:tcBorders>
              <w:top w:val="single" w:sz="8" w:color="auto"/>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0.250%</w:t>
            </w:r>
          </w:p>
        </w:tc>
        <w:tc>
          <w:tcPr>
            <w:tcW w:w="2520" w:type="dxa"/>
            <w:vAlign w:val="bottom"/>
            <w:tcBorders>
              <w:top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2.00%</w:t>
            </w:r>
          </w:p>
        </w:tc>
        <w:tc>
          <w:tcPr>
            <w:tcW w:w="1960" w:type="dxa"/>
            <w:vAlign w:val="bottom"/>
            <w:tcBorders>
              <w:top w:val="single" w:sz="8" w:color="auto"/>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1.00%</w:t>
            </w:r>
          </w:p>
        </w:tc>
      </w:tr>
      <w:tr>
        <w:trPr>
          <w:trHeight w:val="252"/>
        </w:trPr>
        <w:tc>
          <w:tcPr>
            <w:tcW w:w="1100" w:type="dxa"/>
            <w:vAlign w:val="bottom"/>
          </w:tcPr>
          <w:p>
            <w:pPr>
              <w:spacing w:after="0"/>
              <w:rPr>
                <w:sz w:val="21"/>
                <w:szCs w:val="21"/>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2.50 to 1.00</w:t>
            </w:r>
          </w:p>
        </w:tc>
        <w:tc>
          <w:tcPr>
            <w:tcW w:w="178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r>
      <w:tr>
        <w:trPr>
          <w:trHeight w:val="241"/>
        </w:trPr>
        <w:tc>
          <w:tcPr>
            <w:tcW w:w="1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IV</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2.50 to 1.00 but</w:t>
            </w:r>
          </w:p>
        </w:tc>
        <w:tc>
          <w:tcPr>
            <w:tcW w:w="1780" w:type="dxa"/>
            <w:vAlign w:val="bottom"/>
            <w:tcBorders>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0.300%</w:t>
            </w:r>
          </w:p>
        </w:tc>
        <w:tc>
          <w:tcPr>
            <w:tcW w:w="252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2.25%</w:t>
            </w:r>
          </w:p>
        </w:tc>
        <w:tc>
          <w:tcPr>
            <w:tcW w:w="1960" w:type="dxa"/>
            <w:vAlign w:val="bottom"/>
            <w:tcBorders>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1.25%</w:t>
            </w:r>
          </w:p>
        </w:tc>
      </w:tr>
      <w:tr>
        <w:trPr>
          <w:trHeight w:val="262"/>
        </w:trPr>
        <w:tc>
          <w:tcPr>
            <w:tcW w:w="1100" w:type="dxa"/>
            <w:vAlign w:val="bottom"/>
            <w:tcBorders>
              <w:left w:val="single" w:sz="8" w:color="auto"/>
              <w:bottom w:val="single" w:sz="8" w:color="auto"/>
              <w:right w:val="single" w:sz="8" w:color="auto"/>
            </w:tcBorders>
          </w:tcPr>
          <w:p>
            <w:pPr>
              <w:spacing w:after="0"/>
              <w:rPr>
                <w:sz w:val="22"/>
                <w:szCs w:val="22"/>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3.00 to 1.00</w:t>
            </w:r>
          </w:p>
        </w:tc>
        <w:tc>
          <w:tcPr>
            <w:tcW w:w="1780" w:type="dxa"/>
            <w:vAlign w:val="bottom"/>
            <w:tcBorders>
              <w:bottom w:val="single" w:sz="8" w:color="auto"/>
              <w:right w:val="single" w:sz="8" w:color="auto"/>
            </w:tcBorders>
          </w:tcPr>
          <w:p>
            <w:pPr>
              <w:spacing w:after="0"/>
              <w:rPr>
                <w:sz w:val="22"/>
                <w:szCs w:val="22"/>
                <w:color w:val="auto"/>
              </w:rPr>
            </w:pPr>
          </w:p>
        </w:tc>
        <w:tc>
          <w:tcPr>
            <w:tcW w:w="2520" w:type="dxa"/>
            <w:vAlign w:val="bottom"/>
            <w:tcBorders>
              <w:bottom w:val="single" w:sz="8" w:color="auto"/>
              <w:right w:val="single" w:sz="8" w:color="auto"/>
            </w:tcBorders>
          </w:tcPr>
          <w:p>
            <w:pPr>
              <w:spacing w:after="0"/>
              <w:rPr>
                <w:sz w:val="22"/>
                <w:szCs w:val="22"/>
                <w:color w:val="auto"/>
              </w:rPr>
            </w:pPr>
          </w:p>
        </w:tc>
        <w:tc>
          <w:tcPr>
            <w:tcW w:w="1960" w:type="dxa"/>
            <w:vAlign w:val="bottom"/>
            <w:tcBorders>
              <w:bottom w:val="single" w:sz="8" w:color="auto"/>
              <w:right w:val="single" w:sz="8" w:color="auto"/>
            </w:tcBorders>
          </w:tcPr>
          <w:p>
            <w:pPr>
              <w:spacing w:after="0"/>
              <w:rPr>
                <w:sz w:val="22"/>
                <w:szCs w:val="22"/>
                <w:color w:val="auto"/>
              </w:rPr>
            </w:pPr>
          </w:p>
        </w:tc>
      </w:tr>
      <w:tr>
        <w:trPr>
          <w:trHeight w:val="244"/>
        </w:trPr>
        <w:tc>
          <w:tcPr>
            <w:tcW w:w="1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w:t>
            </w:r>
          </w:p>
        </w:tc>
        <w:tc>
          <w:tcPr>
            <w:tcW w:w="3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3.00 to 1.00 but</w:t>
            </w:r>
          </w:p>
        </w:tc>
        <w:tc>
          <w:tcPr>
            <w:tcW w:w="1780" w:type="dxa"/>
            <w:vAlign w:val="bottom"/>
            <w:tcBorders>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0.350%</w:t>
            </w:r>
          </w:p>
        </w:tc>
        <w:tc>
          <w:tcPr>
            <w:tcW w:w="2520" w:type="dxa"/>
            <w:vAlign w:val="bottom"/>
            <w:tcBorders>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2.50%</w:t>
            </w:r>
          </w:p>
        </w:tc>
        <w:tc>
          <w:tcPr>
            <w:tcW w:w="1960" w:type="dxa"/>
            <w:vAlign w:val="bottom"/>
            <w:tcBorders>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1.50%</w:t>
            </w:r>
          </w:p>
        </w:tc>
      </w:tr>
      <w:tr>
        <w:trPr>
          <w:trHeight w:val="252"/>
        </w:trPr>
        <w:tc>
          <w:tcPr>
            <w:tcW w:w="1100" w:type="dxa"/>
            <w:vAlign w:val="bottom"/>
            <w:tcBorders>
              <w:left w:val="single" w:sz="8" w:color="auto"/>
              <w:bottom w:val="single" w:sz="8" w:color="auto"/>
              <w:right w:val="single" w:sz="8" w:color="auto"/>
            </w:tcBorders>
          </w:tcPr>
          <w:p>
            <w:pPr>
              <w:spacing w:after="0"/>
              <w:rPr>
                <w:sz w:val="21"/>
                <w:szCs w:val="21"/>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less than 3.50 to 1.00</w:t>
            </w:r>
          </w:p>
        </w:tc>
        <w:tc>
          <w:tcPr>
            <w:tcW w:w="1780" w:type="dxa"/>
            <w:vAlign w:val="bottom"/>
            <w:tcBorders>
              <w:bottom w:val="single" w:sz="8" w:color="auto"/>
              <w:right w:val="single" w:sz="8" w:color="auto"/>
            </w:tcBorders>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r>
      <w:tr>
        <w:trPr>
          <w:trHeight w:val="271"/>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VI</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Greater than or equal to 3.50 to 1.00</w:t>
            </w:r>
          </w:p>
        </w:tc>
        <w:tc>
          <w:tcPr>
            <w:tcW w:w="1780" w:type="dxa"/>
            <w:vAlign w:val="bottom"/>
            <w:tcBorders>
              <w:bottom w:val="single" w:sz="8" w:color="auto"/>
              <w:right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0.400%</w:t>
            </w:r>
          </w:p>
        </w:tc>
        <w:tc>
          <w:tcPr>
            <w:tcW w:w="2520" w:type="dxa"/>
            <w:vAlign w:val="bottom"/>
            <w:tcBorders>
              <w:bottom w:val="single" w:sz="8" w:color="auto"/>
              <w:right w:val="single" w:sz="8" w:color="auto"/>
            </w:tcBorders>
          </w:tcPr>
          <w:p>
            <w:pPr>
              <w:jc w:val="right"/>
              <w:ind w:right="921"/>
              <w:spacing w:after="0"/>
              <w:rPr>
                <w:sz w:val="20"/>
                <w:szCs w:val="20"/>
                <w:color w:val="auto"/>
              </w:rPr>
            </w:pPr>
            <w:r>
              <w:rPr>
                <w:rFonts w:ascii="Times New Roman" w:cs="Times New Roman" w:eastAsia="Times New Roman" w:hAnsi="Times New Roman"/>
                <w:sz w:val="20"/>
                <w:szCs w:val="20"/>
                <w:color w:val="auto"/>
              </w:rPr>
              <w:t>3.00%</w:t>
            </w:r>
          </w:p>
        </w:tc>
        <w:tc>
          <w:tcPr>
            <w:tcW w:w="1960" w:type="dxa"/>
            <w:vAlign w:val="bottom"/>
            <w:tcBorders>
              <w:bottom w:val="single" w:sz="8" w:color="auto"/>
              <w:right w:val="single" w:sz="8" w:color="auto"/>
            </w:tcBorders>
          </w:tcPr>
          <w:p>
            <w:pPr>
              <w:jc w:val="right"/>
              <w:ind w:right="641"/>
              <w:spacing w:after="0"/>
              <w:rPr>
                <w:sz w:val="20"/>
                <w:szCs w:val="20"/>
                <w:color w:val="auto"/>
              </w:rPr>
            </w:pPr>
            <w:r>
              <w:rPr>
                <w:rFonts w:ascii="Times New Roman" w:cs="Times New Roman" w:eastAsia="Times New Roman" w:hAnsi="Times New Roman"/>
                <w:sz w:val="20"/>
                <w:szCs w:val="20"/>
                <w:color w:val="auto"/>
              </w:rPr>
              <w:t>2.00%</w:t>
            </w: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847725</wp:posOffset>
            </wp:positionV>
            <wp:extent cx="711200" cy="36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200" cy="360045"/>
                    </a:xfrm>
                    <a:prstGeom prst="rect">
                      <a:avLst/>
                    </a:prstGeom>
                    <a:noFill/>
                  </pic:spPr>
                </pic:pic>
              </a:graphicData>
            </a:graphic>
          </wp:anchor>
        </w:drawing>
      </w: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Compliance Certificate is not delivered when due in accordance with such Section, then, upon the request of the Required Lenders, Pricing Level VI shall apply as of the first Business Day after the date on which such Compliance Certificate was required to have been delivered until the first Business Day after such Compliance Certificate is delivered.</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collectively, BofA Securities, Inc. and TD Securities (USA) LLC in each case in its capacity as joint lead arranger and joint bookrunner.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15" w:name="page16"/>
    <w:bookmarkEnd w:id="15"/>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for the fiscal year ended December 31, 2024, and the related consolidated statements of income or operations, shareholders’ equity and cash flows for such fiscal year of the Company and its Subsidiaries, including the notes thereto.</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xml:space="preserve">” means the period from and including the Closing Date to the earliest of (a) the Maturity Date, (b) the date of termination of the Aggregate 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Lender to make Revolving Credit Loans and of the obligation of each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plus 1/2 of 1%, (b) the rate of interest in effect for such day as publicly announced from time to time by Bank of America as its “prime rate,” (c) Daily Simple SOFR for such date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89" w:lineRule="exact"/>
        <w:rPr>
          <w:sz w:val="20"/>
          <w:szCs w:val="20"/>
          <w:color w:val="auto"/>
        </w:rPr>
      </w:pPr>
    </w:p>
    <w:p>
      <w:pPr>
        <w:ind w:left="760"/>
        <w:spacing w:after="0"/>
        <w:tabs>
          <w:tab w:leader="none" w:pos="726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w:t>
        <w:tab/>
        <w:t>All Base Rate Loans are only available to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Borrowers and shall be denominated in Dollars.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Revolving Credit Loan</w:t>
      </w:r>
      <w:r>
        <w:rPr>
          <w:rFonts w:ascii="Times New Roman" w:cs="Times New Roman" w:eastAsia="Times New Roman" w:hAnsi="Times New Roman"/>
          <w:sz w:val="20"/>
          <w:szCs w:val="20"/>
          <w:color w:val="auto"/>
        </w:rPr>
        <w:t>” means a Revolving Credit Loan that is a Base Rate Loan.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introductory paragraph hereto.</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Credit Borrowing or a Swing Line Borrowing as the context may require.</w:t>
      </w:r>
    </w:p>
    <w:p>
      <w:pPr>
        <w:spacing w:after="0" w:line="22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159" w:lineRule="exact"/>
        <w:rPr>
          <w:sz w:val="20"/>
          <w:szCs w:val="20"/>
          <w:color w:val="auto"/>
        </w:rPr>
      </w:pPr>
    </w:p>
    <w:p>
      <w:pPr>
        <w:jc w:val="both"/>
        <w:ind w:left="380" w:firstLine="751"/>
        <w:spacing w:after="0" w:line="249" w:lineRule="auto"/>
        <w:tabs>
          <w:tab w:leader="none" w:pos="152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mean the lawful currency of Canada.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means any lease that has been or is required to be, in accordance with GAAP, recorded, classified and accounted for as a capitalized lease or financing lease.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one or more of the L/C Issuers, the Lenders or PSLOC Banks, as collateral for L/C Obligations, Secured Permitted Standalone Letters of Credit or obligations of the Lenders to fund participations in respect of L/C Obligations, cash or deposit account balances or, if the Administrative Agent and the L/C Issuers shall agree in their sole discretion, other credit support, in each case pursuant to documentation in form and substance reasonably satisfactory to (a) the Administrative Agent and (b) the L/C Issuers. “Cash Collateral” shall have a meaning correlative to the foregoing and shall include the proceeds of such cash collateral and other credit support.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types of Investments:</w:t>
      </w:r>
    </w:p>
    <w:p>
      <w:pPr>
        <w:spacing w:after="0" w:line="216" w:lineRule="exact"/>
        <w:rPr>
          <w:sz w:val="20"/>
          <w:szCs w:val="20"/>
          <w:color w:val="auto"/>
        </w:rPr>
      </w:pPr>
    </w:p>
    <w:p>
      <w:pPr>
        <w:jc w:val="both"/>
        <w:ind w:left="380" w:firstLine="751"/>
        <w:spacing w:after="0" w:line="254" w:lineRule="auto"/>
        <w:tabs>
          <w:tab w:leader="none" w:pos="152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obligations issued or directly and fully guaranteed or insured by the United States or any agency or instrumentality thereof having maturities of not more than 360 days from the date of acquisition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full faith and credit of the United States is pledged in support thereof;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7" w:name="page18"/>
    <w:bookmarkEnd w:id="17"/>
    <w:p>
      <w:pPr>
        <w:jc w:val="both"/>
        <w:ind w:left="380" w:firstLine="751"/>
        <w:spacing w:after="0" w:line="245" w:lineRule="auto"/>
        <w:tabs>
          <w:tab w:leader="none" w:pos="152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definition and (iii) has combined capital and surplus of at least $1,000,000,000, in each case with maturities of not more than 90 days from the date of acquisition thereof;</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180 days from the date of acquisition thereof; and</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definition.</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 (including any Treasury Management Agreement).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Person in its capacity as a party to a Cash Management Agreement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 (even if such Person ceases to be a Lender or such Person’s Affiliate ceased to be a Lender).</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Pooling Agreement</w:t>
      </w:r>
      <w:r>
        <w:rPr>
          <w:rFonts w:ascii="Times New Roman" w:cs="Times New Roman" w:eastAsia="Times New Roman" w:hAnsi="Times New Roman"/>
          <w:sz w:val="20"/>
          <w:szCs w:val="20"/>
          <w:color w:val="auto"/>
        </w:rPr>
        <w:t xml:space="preserve">” means any cash pooling arrangement or agreement entered into in the ordinary course of business that provides a cash management system for Foreign Subsidiaries of the Company and is subject to customary terms;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arrangement or agreement will create any Indebtedness, or Lien on the property, of the Company or any of its Subsidiaries for any other purpose.</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CECO BV</w:t>
      </w:r>
      <w:r>
        <w:rPr>
          <w:rFonts w:ascii="Times New Roman" w:cs="Times New Roman" w:eastAsia="Times New Roman" w:hAnsi="Times New Roman"/>
          <w:sz w:val="20"/>
          <w:szCs w:val="20"/>
          <w:color w:val="auto"/>
        </w:rPr>
        <w:t xml:space="preserve">” means CECO Environmental Netherlands B.V., </w:t>
      </w:r>
      <w:r>
        <w:rPr>
          <w:rFonts w:ascii="Times New Roman" w:cs="Times New Roman" w:eastAsia="Times New Roman" w:hAnsi="Times New Roman"/>
          <w:sz w:val="20"/>
          <w:szCs w:val="20"/>
          <w:i w:val="1"/>
          <w:iCs w:val="1"/>
          <w:color w:val="auto"/>
        </w:rPr>
        <w:t>besloten vennootschap met beperkte aansprakelijkheid</w:t>
      </w:r>
      <w:r>
        <w:rPr>
          <w:rFonts w:ascii="Times New Roman" w:cs="Times New Roman" w:eastAsia="Times New Roman" w:hAnsi="Times New Roman"/>
          <w:sz w:val="20"/>
          <w:szCs w:val="20"/>
          <w:color w:val="auto"/>
        </w:rPr>
        <w:t xml:space="preserve"> (a private limited liability company) incorporated in the Netherlands.</w:t>
      </w:r>
    </w:p>
    <w:p>
      <w:pPr>
        <w:spacing w:after="0" w:line="15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Closing Date, of any of the following: (a) the adoption, phase-in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each case be deemed to be a “Change in Law”, regardless of the date enacted, adopted, issued or implemented.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w:t>
      </w:r>
    </w:p>
    <w:p>
      <w:pPr>
        <w:spacing w:after="0" w:line="216" w:lineRule="exact"/>
        <w:rPr>
          <w:sz w:val="20"/>
          <w:szCs w:val="20"/>
          <w:color w:val="auto"/>
        </w:rPr>
      </w:pPr>
    </w:p>
    <w:p>
      <w:pPr>
        <w:jc w:val="both"/>
        <w:ind w:left="380" w:firstLine="751"/>
        <w:spacing w:after="0" w:line="243" w:lineRule="auto"/>
        <w:tabs>
          <w:tab w:leader="none" w:pos="152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0"/>
          <w:szCs w:val="20"/>
          <w:u w:val="single" w:color="auto"/>
          <w:color w:val="auto"/>
        </w:rPr>
        <w:t>option right</w:t>
      </w:r>
      <w:r>
        <w:rPr>
          <w:rFonts w:ascii="Times New Roman" w:cs="Times New Roman" w:eastAsia="Times New Roman" w:hAnsi="Times New Roman"/>
          <w:sz w:val="20"/>
          <w:szCs w:val="20"/>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2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constituting at the time of such election or nomination at least a majority of that board or equivalent governing body.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first date all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of the property that is or is intended under the terms of the Collateral Documents to be subject to Liens in favor of the Administrative Agent for the benefit of the Secured Parties, including all of the “Collateral” referred to therein.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each Security Agreement, each Security Joinder Agreement, each Pledge Agreement, each Pledge Joinder Agreement, each Pledge Agreement Supplement and each of the other security agreements, pledge agreements, collateral assignments or other similar agreements, instruments or documents that creates or purports to create a Lien in favor of the Administrative Agent for the benefit of the Secured Parties.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as to each Lender, its obligation to (a) make Revolving Credit Loans to the Borrowers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“Commitment” or opposite such caption in the Assignment and Assumption pursuant to which such Lender becomes a party hereto, as applicable, as such amount may be adjusted from time to time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9" w:name="page20"/>
    <w:bookmarkEnd w:id="19"/>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xml:space="preserve">” means the Commodity Exchange Act (7 U.S.C. §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Guaranty</w:t>
      </w:r>
      <w:r>
        <w:rPr>
          <w:rFonts w:ascii="Times New Roman" w:cs="Times New Roman" w:eastAsia="Times New Roman" w:hAnsi="Times New Roman"/>
          <w:sz w:val="20"/>
          <w:szCs w:val="20"/>
          <w:color w:val="auto"/>
        </w:rPr>
        <w:t>” means the Third Amended and Restated Company Guaranty Agreement dated as of the Closing Date, made by the Company in favor of the Administrative Agent for the benefit of the Secured Parties.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Competitor</w:t>
      </w:r>
      <w:r>
        <w:rPr>
          <w:rFonts w:ascii="Times New Roman" w:cs="Times New Roman" w:eastAsia="Times New Roman" w:hAnsi="Times New Roman"/>
          <w:sz w:val="20"/>
          <w:szCs w:val="20"/>
          <w:color w:val="auto"/>
        </w:rPr>
        <w:t>” means (a) any Person (a “</w:t>
      </w:r>
      <w:r>
        <w:rPr>
          <w:rFonts w:ascii="Times New Roman" w:cs="Times New Roman" w:eastAsia="Times New Roman" w:hAnsi="Times New Roman"/>
          <w:sz w:val="20"/>
          <w:szCs w:val="20"/>
          <w:u w:val="single" w:color="auto"/>
          <w:color w:val="auto"/>
        </w:rPr>
        <w:t>Direct Competitor</w:t>
      </w:r>
      <w:r>
        <w:rPr>
          <w:rFonts w:ascii="Times New Roman" w:cs="Times New Roman" w:eastAsia="Times New Roman" w:hAnsi="Times New Roman"/>
          <w:sz w:val="20"/>
          <w:szCs w:val="20"/>
          <w:color w:val="auto"/>
        </w:rPr>
        <w:t>”) that is a bona fide direct competitor of the Company or any of its Subsidiaries in the same industry or a substantially similar industry which offers a substantially similar product or service as the Company or any of its Subsidiaries, and (b) any Person whose primary business is owning a Direct Competitor.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means, with respect to the use, administration of or any conventions associated with SOFR, SONIA or any proposed Successor Rate for an Agreed Currency, Daily Simple SOFR or Term SOFR, as applicable, any conforming changes to the definitions of “Base Rate”, “SOFR”, “SONIA”, “Daily Simple SOFR”, “Term SOFR”, “Interest Period”, timing and frequency of determining rates and making payments of interest and other technical, administrative or operational matters (including, for the avoidance of doubt, the definition of “Business Day”, “U.S. Government Securities Business Day”, timing of borrowing requests or prepayment, conversion or continuation notices and length of lookback periods and the day basis for calculating interest for an Agreed Currency listed on </w:t>
      </w:r>
      <w:r>
        <w:rPr>
          <w:rFonts w:ascii="Times New Roman" w:cs="Times New Roman" w:eastAsia="Times New Roman" w:hAnsi="Times New Roman"/>
          <w:sz w:val="20"/>
          <w:szCs w:val="20"/>
          <w:u w:val="single" w:color="auto"/>
          <w:color w:val="auto"/>
        </w:rPr>
        <w:t>Schedule 2.10</w:t>
      </w:r>
      <w:r>
        <w:rPr>
          <w:rFonts w:ascii="Times New Roman" w:cs="Times New Roman" w:eastAsia="Times New Roman" w:hAnsi="Times New Roman"/>
          <w:sz w:val="20"/>
          <w:szCs w:val="20"/>
          <w:color w:val="auto"/>
        </w:rPr>
        <w:t>)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8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means, for any period, for the Company and its Restricted Subsidiaries on a consolidated basis, subject to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 amount equal to:</w:t>
      </w:r>
    </w:p>
    <w:p>
      <w:pPr>
        <w:spacing w:after="0" w:line="194" w:lineRule="exact"/>
        <w:rPr>
          <w:sz w:val="20"/>
          <w:szCs w:val="20"/>
          <w:color w:val="auto"/>
        </w:rPr>
      </w:pPr>
    </w:p>
    <w:p>
      <w:pPr>
        <w:ind w:left="1500" w:right="6400" w:hanging="369"/>
        <w:spacing w:after="0" w:line="464" w:lineRule="auto"/>
        <w:tabs>
          <w:tab w:leader="none" w:pos="152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1"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deducted in calculating such Consolidated Net Income (without duplication):</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Charges for such period,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0" w:name="page21"/>
    <w:bookmarkEnd w:id="20"/>
    <w:p>
      <w:pPr>
        <w:ind w:left="840" w:right="20" w:firstLine="740"/>
        <w:spacing w:after="0" w:line="269"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 for Federal, state, local and foreign income taxes by the Company and its Restricted Subsidiaries for such period,</w:t>
      </w:r>
    </w:p>
    <w:p>
      <w:pPr>
        <w:spacing w:after="0" w:line="159" w:lineRule="exact"/>
        <w:rPr>
          <w:rFonts w:ascii="Times New Roman" w:cs="Times New Roman" w:eastAsia="Times New Roman" w:hAnsi="Times New Roman"/>
          <w:sz w:val="20"/>
          <w:szCs w:val="20"/>
          <w:color w:val="auto"/>
        </w:rPr>
      </w:pPr>
    </w:p>
    <w:p>
      <w:pPr>
        <w:ind w:left="1980" w:hanging="400"/>
        <w:spacing w:after="0"/>
        <w:tabs>
          <w:tab w:leader="none" w:pos="19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for such period,</w:t>
      </w:r>
    </w:p>
    <w:p>
      <w:pPr>
        <w:spacing w:after="0" w:line="215" w:lineRule="exact"/>
        <w:rPr>
          <w:rFonts w:ascii="Times New Roman" w:cs="Times New Roman" w:eastAsia="Times New Roman" w:hAnsi="Times New Roman"/>
          <w:sz w:val="20"/>
          <w:szCs w:val="20"/>
          <w:color w:val="auto"/>
        </w:rPr>
      </w:pPr>
    </w:p>
    <w:p>
      <w:pPr>
        <w:ind w:left="840" w:right="20" w:firstLine="740"/>
        <w:spacing w:after="0" w:line="269"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“earn-out” or deferred purchase price and similar expenses in connection with Investments permitted hereby that reduced Consolidated Net Income for such period,</w:t>
      </w:r>
    </w:p>
    <w:p>
      <w:pPr>
        <w:spacing w:after="0" w:line="159" w:lineRule="exact"/>
        <w:rPr>
          <w:rFonts w:ascii="Times New Roman" w:cs="Times New Roman" w:eastAsia="Times New Roman" w:hAnsi="Times New Roman"/>
          <w:sz w:val="20"/>
          <w:szCs w:val="20"/>
          <w:color w:val="auto"/>
        </w:rPr>
      </w:pPr>
    </w:p>
    <w:p>
      <w:pPr>
        <w:jc w:val="both"/>
        <w:ind w:left="840" w:firstLine="740"/>
        <w:spacing w:after="0" w:line="241"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non-recurring cash expenses or charges (including, without limitation, as part of a restructuring, business optimization, consolidation, relocation or integration) and (B) the amount of any cost synergies, operating expense reductions and other net cost savings and integration costs, in each case projected by the Company in connection with Permitted Acquisitions, Dispositions (including the termination or discontinuance of activities constituting such business) and/or other operating improvement, restructuring, cost savings initiative or other similar initiative taken after the Closing Date that have been consummated during the applicable measurement period (calculated on a pro forma basis as though such cost synergies, expense reductions and cost savings had been realized on the first day of the period for which Consolidated EBITDA is being determined),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such cost synergies, expense reductions and cost savings are reasonably identifiable, factually supportable, expected to have a continuing impact on the operations of the Company and its Restricted Subsidiaries and have been determined by the Company in good faith to be reasonably anticipated to be realizable within 12 months following any such action as set forth in reasonable detail on a certificate of a Responsible Officer of the Company delivered to the Administrative Agent, (2) no such amounts shall be added pursuant to this clause to the extent duplicative of any expenses or charges otherwise added to Consolidated EBITDA, whether through a pro forma adjustment or otherwise and (3) the aggregate amount permitted to be added back pursuant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with respect to any particular period of four consecutive fiscal quarters shall not exceed the greater of (A) $5,000,000 or (B) 20% of Consolidated EBITDA for such period (calculated without giving effect to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1.07(b)</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expenses associated with foreign exchange remeasurements;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permitted to be added back pursuant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with respect to any particular period of four consecutive fiscal quarters shall not exceed $3,000,000,</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items reducing Consolidated Net Income that do not constitute a cash charge or cash expense in such period or in any future period, including, without limitation, goodwill impairment charges, stock compensation or other stock related charges (excluding amortization of a prepaid cash item that was paid in a prior period),</w:t>
      </w:r>
    </w:p>
    <w:p>
      <w:pPr>
        <w:spacing w:after="0" w:line="174" w:lineRule="exact"/>
        <w:rPr>
          <w:rFonts w:ascii="Times New Roman" w:cs="Times New Roman" w:eastAsia="Times New Roman" w:hAnsi="Times New Roman"/>
          <w:sz w:val="20"/>
          <w:szCs w:val="20"/>
          <w:color w:val="auto"/>
        </w:rPr>
      </w:pPr>
    </w:p>
    <w:p>
      <w:pPr>
        <w:ind w:left="2380" w:hanging="800"/>
        <w:spacing w:after="0"/>
        <w:tabs>
          <w:tab w:leader="none" w:pos="23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and expenses incurred in connection with this Agreement and the transactions contemplated</w:t>
      </w:r>
    </w:p>
    <w:p>
      <w:pPr>
        <w:spacing w:after="0" w:line="21" w:lineRule="exact"/>
        <w:rPr>
          <w:rFonts w:ascii="Times New Roman" w:cs="Times New Roman" w:eastAsia="Times New Roman" w:hAnsi="Times New Roman"/>
          <w:sz w:val="20"/>
          <w:szCs w:val="20"/>
          <w:color w:val="auto"/>
        </w:rPr>
      </w:pPr>
    </w:p>
    <w:p>
      <w:pPr>
        <w:ind w:left="8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hereby,</w:t>
      </w:r>
    </w:p>
    <w:p>
      <w:pPr>
        <w:spacing w:after="0" w:line="193" w:lineRule="exact"/>
        <w:rPr>
          <w:rFonts w:ascii="Times New Roman" w:cs="Times New Roman" w:eastAsia="Times New Roman" w:hAnsi="Times New Roman"/>
          <w:sz w:val="20"/>
          <w:szCs w:val="20"/>
          <w:color w:val="auto"/>
        </w:rPr>
      </w:pPr>
    </w:p>
    <w:p>
      <w:pPr>
        <w:jc w:val="both"/>
        <w:ind w:left="840" w:right="20" w:firstLine="740"/>
        <w:spacing w:after="0" w:line="254"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charges, costs and expenses incurred in connection with proposed or closed Dispositions, Acquisitions or Investments (including, without limitation, legal costs and accounting fees), incurrence of Indebtedness or issuance of Equity Interests (in each case, whether or not consummated), including amendments thereof, and</w:t>
      </w:r>
    </w:p>
    <w:p>
      <w:pPr>
        <w:spacing w:after="0" w:line="174" w:lineRule="exact"/>
        <w:rPr>
          <w:rFonts w:ascii="Times New Roman" w:cs="Times New Roman" w:eastAsia="Times New Roman" w:hAnsi="Times New Roman"/>
          <w:sz w:val="20"/>
          <w:szCs w:val="20"/>
          <w:color w:val="auto"/>
        </w:rPr>
      </w:pPr>
    </w:p>
    <w:p>
      <w:pPr>
        <w:jc w:val="both"/>
        <w:ind w:left="840" w:right="20" w:firstLine="740"/>
        <w:spacing w:after="0" w:line="254" w:lineRule="auto"/>
        <w:tabs>
          <w:tab w:leader="none" w:pos="19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financing costs written off and premiums paid in connection with the any early extinguishment or conversion of Indebtedness, Swap Contracts or other derivative instruments (including deferred financing expenses written off and premiums paid),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21" w:name="page22"/>
    <w:bookmarkEnd w:id="21"/>
    <w:p>
      <w:pPr>
        <w:ind w:left="150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left="1520" w:hanging="389"/>
        <w:spacing w:after="0"/>
        <w:tabs>
          <w:tab w:leader="none" w:pos="1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to the extent included in calculating such Consolidated Net Income:</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state, local and foreign income tax credits of the Company and its Restricted Subsidiaries for such</w:t>
      </w:r>
    </w:p>
    <w:p>
      <w:pPr>
        <w:spacing w:after="0" w:line="21"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period,</w:t>
      </w:r>
    </w:p>
    <w:p>
      <w:pPr>
        <w:spacing w:after="0" w:line="193"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benefit associated with foreign exchange remeasurements, and</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non-cash items increasing Consolidated Net Income for such period.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Fixed Charge Coverage Ratio</w:t>
      </w:r>
      <w:r>
        <w:rPr>
          <w:rFonts w:ascii="Times New Roman" w:cs="Times New Roman" w:eastAsia="Times New Roman" w:hAnsi="Times New Roman"/>
          <w:sz w:val="19"/>
          <w:szCs w:val="19"/>
          <w:color w:val="auto"/>
        </w:rPr>
        <w:t xml:space="preserve">” means, as of any date of determination, the ratio of (a) the remainder of (i) Consolidated EBITDA for the period of the four fiscal quarters most recently ended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Capital Expenditures during such period (excluding (A) Capital Expenditures constituting payments in respect of Capitalized Leases and Capital Expenditures financed by Indebtedness permitted hereunder, (B) amounts expended as consideration for Acquisitions permitted hereunder to the extent such amounts would otherwise be included as Capital Expenditures and (C) Capital Expenditures paid for with proceeds of casualty insurance as evidenced in writing and submitted to the Administrative Agent together with any Compliance Certificate delivered pursuant to </w:t>
      </w:r>
      <w:r>
        <w:rPr>
          <w:rFonts w:ascii="Times New Roman" w:cs="Times New Roman" w:eastAsia="Times New Roman" w:hAnsi="Times New Roman"/>
          <w:sz w:val="19"/>
          <w:szCs w:val="19"/>
          <w:u w:val="single" w:color="auto"/>
          <w:color w:val="auto"/>
        </w:rPr>
        <w:t>Section 6.02(a)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minus</w:t>
      </w:r>
    </w:p>
    <w:p>
      <w:pPr>
        <w:spacing w:after="0" w:line="1" w:lineRule="exact"/>
        <w:rPr>
          <w:sz w:val="20"/>
          <w:szCs w:val="20"/>
          <w:color w:val="auto"/>
        </w:rPr>
      </w:pPr>
    </w:p>
    <w:p>
      <w:pPr>
        <w:ind w:firstLine="8"/>
        <w:spacing w:after="0" w:line="246" w:lineRule="auto"/>
        <w:tabs>
          <w:tab w:leader="none" w:pos="34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Federal, state, local and foreign income taxes paid by the Company and its Restricted Subsidiaries during such period </w:t>
      </w:r>
      <w:r>
        <w:rPr>
          <w:rFonts w:ascii="Times New Roman" w:cs="Times New Roman" w:eastAsia="Times New Roman" w:hAnsi="Times New Roman"/>
          <w:sz w:val="20"/>
          <w:szCs w:val="20"/>
          <w:i w:val="1"/>
          <w:iCs w:val="1"/>
          <w:color w:val="auto"/>
        </w:rPr>
        <w:t>to</w:t>
      </w:r>
      <w:r>
        <w:rPr>
          <w:rFonts w:ascii="Times New Roman" w:cs="Times New Roman" w:eastAsia="Times New Roman" w:hAnsi="Times New Roman"/>
          <w:sz w:val="20"/>
          <w:szCs w:val="20"/>
          <w:color w:val="auto"/>
        </w:rPr>
        <w:t xml:space="preserve"> (b) Consolidated Fixed Charges for such period.</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Fixed Charges</w:t>
      </w:r>
      <w:r>
        <w:rPr>
          <w:rFonts w:ascii="Times New Roman" w:cs="Times New Roman" w:eastAsia="Times New Roman" w:hAnsi="Times New Roman"/>
          <w:sz w:val="20"/>
          <w:szCs w:val="20"/>
          <w:color w:val="auto"/>
        </w:rPr>
        <w:t xml:space="preserve">” means, for any period, for the Company and its Restricted Subsidiaries on a consolidated basis, the sum of (a) Consolidated Interest Charges paid in cash during such period, (b) scheduled principal payments of Consolidated Funded Indebtedness during such period (it being acknowledged and agreed that, solely for purposes of calculating the foregoing, scheduled principal payments of Consolidated Funded Indebtedness shall be those originally scheduled either at the time of incurrence of such Consolidated Funded Indebtedness or as subsequently modified by an agreement expressly modifying such originally scheduled principal payments (without giving effect to any reduction in such originally scheduled principal payments as a result of the application of any principal prepayments)), (c) dividends and distributions paid in cash by the Company to its shareholders or cash redemptions by the Company of its Equity Interests (other than pursuant to </w:t>
      </w:r>
      <w:r>
        <w:rPr>
          <w:rFonts w:ascii="Times New Roman" w:cs="Times New Roman" w:eastAsia="Times New Roman" w:hAnsi="Times New Roman"/>
          <w:sz w:val="20"/>
          <w:szCs w:val="20"/>
          <w:u w:val="single" w:color="auto"/>
          <w:color w:val="auto"/>
        </w:rPr>
        <w:t>Section 7.06(e)</w:t>
      </w:r>
      <w:r>
        <w:rPr>
          <w:rFonts w:ascii="Times New Roman" w:cs="Times New Roman" w:eastAsia="Times New Roman" w:hAnsi="Times New Roman"/>
          <w:sz w:val="20"/>
          <w:szCs w:val="20"/>
          <w:color w:val="auto"/>
        </w:rPr>
        <w:t>) during such period and (d) any “earn-out” or deferred purchase price and similar payments in connection with Investments that are paid in cash during such period.</w:t>
      </w:r>
    </w:p>
    <w:p>
      <w:pPr>
        <w:spacing w:after="0" w:line="18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Funded Indebtedness</w:t>
      </w:r>
      <w:r>
        <w:rPr>
          <w:rFonts w:ascii="Times New Roman" w:cs="Times New Roman" w:eastAsia="Times New Roman" w:hAnsi="Times New Roman"/>
          <w:sz w:val="20"/>
          <w:szCs w:val="20"/>
          <w:color w:val="auto"/>
        </w:rPr>
        <w:t>” means, as of any date of determination, for the Company and its Restricted Subsidiaries on a consolidated basis, and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(excluding from such calculation direct obligations with respect to (i) undrawn performance standby letters of credit, (ii) undrawn performance-based bankers’ acceptances and undrawn performance-based bank guarantees, (iii) performance-based surety bonds on which no claims have been asserted and (iv) undrawn letters of credit, undrawn bankers’ acceptances and undrawn bank guarantees securing customer contracts, but in all cases including (x) any payment and reimbursement obligations due in respect of the foregoing, and (y) all obligations with respect to financial standby letters of credit, bankers’ acceptances and bank guarantees or bonds providing assurance with respect to financial obligations), (d) all obligations in respect of the deferred purchase price of property or services (other than (x) trade accounts payable in the ordinary course of business and (y) “earnout” and similar payments in connection with Acquisitions permitted hereby), (e) Attributable Indebtedness in respect of Capitalized Leases and Synthetic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jc w:val="both"/>
        <w:spacing w:after="0" w:line="243" w:lineRule="auto"/>
        <w:rPr>
          <w:sz w:val="20"/>
          <w:szCs w:val="20"/>
          <w:color w:val="auto"/>
        </w:rPr>
      </w:pPr>
      <w:r>
        <w:rPr>
          <w:rFonts w:ascii="Times New Roman" w:cs="Times New Roman" w:eastAsia="Times New Roman" w:hAnsi="Times New Roman"/>
          <w:sz w:val="20"/>
          <w:szCs w:val="20"/>
          <w:color w:val="auto"/>
        </w:rPr>
        <w:t>Lease Obligations (for the purpose of calculating the Consolidated Net Leverage Ratio and Consolidated Secured Net Leverage Ratio only, excluding the Specified Existing Capital Leases),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(it being understood that any Indebtedness owed by the Company to any Restricted Subsidiary, by any Restricted Subsidiary to the Company or by any Restricted Subsidiary to another Restricted Subsidiary will be netted out for purposes of calculating Consolidated Funded Indebtedness to the extent such netting would be made when making calculations on “a consolidated basis” in accordance with GAAP).</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Charges</w:t>
      </w:r>
      <w:r>
        <w:rPr>
          <w:rFonts w:ascii="Times New Roman" w:cs="Times New Roman" w:eastAsia="Times New Roman" w:hAnsi="Times New Roman"/>
          <w:sz w:val="20"/>
          <w:szCs w:val="20"/>
          <w:color w:val="auto"/>
        </w:rPr>
        <w:t>” means, for any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and (b) the portion of rent expense of the Company and its Restricted Subsidiaries with respect to such period under Capitalized Leases that is treated as interest in accordance with GAAP.</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means, for any period, for the Company and its Restricted Subsidiaries on a consolidated basis, subject to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the net income (or loss) of the Company and its Restricted Subsidiaries for such period determined on a consolidated basis in accordance with GAAP, but excluding therefrom (to the extent otherwise included therein) (a) any gains or losses that are unusual and non-recurring (excluding losses from discontinued operations), (b) any gains attributable to a sale of assets (other than inventory sold in the ordinary course of business) and the write-up of assets, (c) any equity interest of the Company or any Restricted Subsidiary of the Company in the unremitted earnings of any Person that is not a Restricted Subsidiary, (d) the net income of any Restricted Subsidiary to the extent that the declaration or payment of dividends or similar distributions by such Restricted Subsidiary of such income is not permitted by operation of the terms of its Organization Documents or any agreement, instrument or Law applicable to such Restricted Subsidiary, except that the Company’s equity in any net loss of any such Restricted Subsidiary shall be included in determining Consolidated Net Income and (e) any income (or loss) of any Person accrued prior to the date it becomes a Restricted Subsidiary or is merged into or consolidated with the Company or any Restricted Subsidiary or the date that such Person’s assets are acquired by the Company or any Restricted Subsidiary;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to the extent not already included therein, Consolidated Net Income for any period shall be increased by the amount of cash dividends or other distributions actually paid to the Company or any Restricted Subsidiary by any Person that is not a Restricted Subsidiary during such period in respect of the income earned by such Person in such period or in any prior period (to the extent not previously included in Consolidated Net Income) (and in the case of a dividend or other distribution to a Restricted Subsidiary, such Restricted Subsidiary is not precluded from further distributing such amount to the Company as described in the foregoing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means, as of any date of determination, the ratio of (a) the difference of (i) Consolidated Funded Indebtedness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100% of unrestricted cash or Cash Equivalents of the Loan Parties maintained in the United States or Canada with a Lender </w:t>
      </w:r>
      <w:r>
        <w:rPr>
          <w:rFonts w:ascii="Times New Roman" w:cs="Times New Roman" w:eastAsia="Times New Roman" w:hAnsi="Times New Roman"/>
          <w:sz w:val="20"/>
          <w:szCs w:val="20"/>
          <w:i w:val="1"/>
          <w:iCs w:val="1"/>
          <w:color w:val="auto"/>
        </w:rPr>
        <w:t>to</w:t>
      </w:r>
      <w:r>
        <w:rPr>
          <w:rFonts w:ascii="Times New Roman" w:cs="Times New Roman" w:eastAsia="Times New Roman" w:hAnsi="Times New Roman"/>
          <w:sz w:val="20"/>
          <w:szCs w:val="20"/>
          <w:color w:val="auto"/>
        </w:rPr>
        <w:t xml:space="preserve"> (b) Consolidated EBITDA for the period of the four fiscal quarters most recently ended.</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Net Leverage Ratio</w:t>
      </w:r>
      <w:r>
        <w:rPr>
          <w:rFonts w:ascii="Times New Roman" w:cs="Times New Roman" w:eastAsia="Times New Roman" w:hAnsi="Times New Roman"/>
          <w:sz w:val="20"/>
          <w:szCs w:val="20"/>
          <w:color w:val="auto"/>
        </w:rPr>
        <w:t>” means, as of any date of determination, the ratio of (a) the difference of (i) Consolidated Funded Indebtedness (excluding any Consolidated Funded Indebtedness not secured by a Lien on any asset of the Company or any Restricted Subsidiary thereof ) as of such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jc w:val="both"/>
        <w:ind w:right="20"/>
        <w:spacing w:after="0" w:line="273" w:lineRule="auto"/>
        <w:rPr>
          <w:sz w:val="20"/>
          <w:szCs w:val="20"/>
          <w:color w:val="auto"/>
        </w:rPr>
      </w:pP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100% of unrestricted cash or Cash Equivalents of the Loan Parties maintained in the United States or Canada with a Lender </w:t>
      </w:r>
      <w:r>
        <w:rPr>
          <w:rFonts w:ascii="Times New Roman" w:cs="Times New Roman" w:eastAsia="Times New Roman" w:hAnsi="Times New Roman"/>
          <w:sz w:val="20"/>
          <w:szCs w:val="20"/>
          <w:i w:val="1"/>
          <w:iCs w:val="1"/>
          <w:color w:val="auto"/>
        </w:rPr>
        <w:t>to</w:t>
      </w:r>
      <w:r>
        <w:rPr>
          <w:rFonts w:ascii="Times New Roman" w:cs="Times New Roman" w:eastAsia="Times New Roman" w:hAnsi="Times New Roman"/>
          <w:sz w:val="20"/>
          <w:szCs w:val="20"/>
          <w:color w:val="auto"/>
        </w:rPr>
        <w:t xml:space="preserve"> (b) Consolidated EBITDA for the period of the four fiscal quarters most recently ended.</w:t>
      </w:r>
    </w:p>
    <w:p>
      <w:pPr>
        <w:spacing w:after="0" w:line="15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any date of determination, the net book value of all assets of the Company and its Subsidiaries on such date determined on a consolidated basis in accordance with GAAP.</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Obligations</w:t>
      </w:r>
      <w:r>
        <w:rPr>
          <w:rFonts w:ascii="Times New Roman" w:cs="Times New Roman" w:eastAsia="Times New Roman" w:hAnsi="Times New Roman"/>
          <w:sz w:val="20"/>
          <w:szCs w:val="20"/>
          <w:color w:val="auto"/>
        </w:rPr>
        <w:t>” means all Obligations other than the Parallel Debts.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xml:space="preserve">” means, with respect to any applicable determination date, the rate per annum equal to SOFR published on the second U.S. Government Securities Business Day preceding such date by the SOFR Administrator on the Federal Reserve Bank of New York’s website (or any successor source);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U.S. Government Securities Business Day, then Daily Simple SOFR means such rate that applied on the first U.S. Government Securities Business Day immediately prior thereto. Any change in Daily Simple SOFR shall be effective from and including the date of such change without further notice. If the rate as so determined would be less than zero, such rate shall be deemed to be zero for purposes of this Agreement.</w:t>
      </w:r>
    </w:p>
    <w:p>
      <w:pPr>
        <w:spacing w:after="0" w:line="18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 Loan</w:t>
      </w:r>
      <w:r>
        <w:rPr>
          <w:rFonts w:ascii="Times New Roman" w:cs="Times New Roman" w:eastAsia="Times New Roman" w:hAnsi="Times New Roman"/>
          <w:sz w:val="20"/>
          <w:szCs w:val="20"/>
          <w:color w:val="auto"/>
        </w:rPr>
        <w:t>” means a Loan that bears interest at a rate based on Daily Simple SOFR (other than pursuant to clause (c) of the definition of Base Rate).</w:t>
      </w:r>
    </w:p>
    <w:p>
      <w:pPr>
        <w:spacing w:after="0" w:line="15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 any insolvency proceedings within the meaning of the Insolvency Regulation listed or to be listed in Annex A thereto and all other liquidation, conservatorship, bankruptcy, assignment for the benefit of creditors, moratorium, rearrangement, receivership, insolvency, reorganization, or similar debtor relief Laws of the United States or other applicable jurisdictions from time to time in effect, including with respect to any Loan Party incorporated in the Netherlands the filing of a declaration under article 370(3) of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 or the filing of a notice under Section 36 of the Tax Collection Act of the Netherlands (</w:t>
      </w:r>
      <w:r>
        <w:rPr>
          <w:rFonts w:ascii="Times New Roman" w:cs="Times New Roman" w:eastAsia="Times New Roman" w:hAnsi="Times New Roman"/>
          <w:sz w:val="20"/>
          <w:szCs w:val="20"/>
          <w:i w:val="1"/>
          <w:iCs w:val="1"/>
          <w:color w:val="auto"/>
        </w:rPr>
        <w:t>Invorderingswet 1990</w:t>
      </w:r>
      <w:r>
        <w:rPr>
          <w:rFonts w:ascii="Times New Roman" w:cs="Times New Roman" w:eastAsia="Times New Roman" w:hAnsi="Times New Roman"/>
          <w:sz w:val="20"/>
          <w:szCs w:val="20"/>
          <w:color w:val="auto"/>
        </w:rPr>
        <w:t>) or Section 60 of the Social Insurance Financing Act of the Netherlands (</w:t>
      </w:r>
      <w:r>
        <w:rPr>
          <w:rFonts w:ascii="Times New Roman" w:cs="Times New Roman" w:eastAsia="Times New Roman" w:hAnsi="Times New Roman"/>
          <w:sz w:val="20"/>
          <w:szCs w:val="20"/>
          <w:i w:val="1"/>
          <w:iCs w:val="1"/>
          <w:color w:val="auto"/>
        </w:rPr>
        <w:t>Wet Financiering Sociale Verzekeringen</w:t>
      </w:r>
      <w:r>
        <w:rPr>
          <w:rFonts w:ascii="Times New Roman" w:cs="Times New Roman" w:eastAsia="Times New Roman" w:hAnsi="Times New Roman"/>
          <w:sz w:val="20"/>
          <w:szCs w:val="20"/>
          <w:color w:val="auto"/>
        </w:rPr>
        <w:t>) in conjunction with Section 36 of the Tax Collection Act of the Netherlands (</w:t>
      </w:r>
      <w:r>
        <w:rPr>
          <w:rFonts w:ascii="Times New Roman" w:cs="Times New Roman" w:eastAsia="Times New Roman" w:hAnsi="Times New Roman"/>
          <w:sz w:val="20"/>
          <w:szCs w:val="20"/>
          <w:i w:val="1"/>
          <w:iCs w:val="1"/>
          <w:color w:val="auto"/>
        </w:rPr>
        <w:t>Invorderingswet 1990</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4" w:name="page25"/>
    <w:bookmarkEnd w:id="24"/>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 Term SOFR Loan, a Daily Simple SOFR Loan or an Alternative Currency Loan, the Default Rate shall be an interest rate equal to the interest rate (including any Applicable Rate) otherwise applicable to such Loan plus 2% per annum,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per annum.</w:t>
      </w:r>
    </w:p>
    <w:p>
      <w:pPr>
        <w:spacing w:after="0" w:line="18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introductory paragraph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Non-U.S. Borrower Sublimit</w:t>
      </w:r>
      <w:r>
        <w:rPr>
          <w:rFonts w:ascii="Times New Roman" w:cs="Times New Roman" w:eastAsia="Times New Roman" w:hAnsi="Times New Roman"/>
          <w:sz w:val="20"/>
          <w:szCs w:val="20"/>
          <w:color w:val="auto"/>
        </w:rPr>
        <w:t>” means an amount equal to the lesser of (a) the Aggregate Commitments and (b) $75,000,000. The Designated Non-U.S. Borrower Sublimit is part of, and not in addition to, the Aggregate Commitments.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Sanction.</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Asset Sales</w:t>
      </w:r>
      <w:r>
        <w:rPr>
          <w:rFonts w:ascii="Times New Roman" w:cs="Times New Roman" w:eastAsia="Times New Roman" w:hAnsi="Times New Roman"/>
          <w:sz w:val="20"/>
          <w:szCs w:val="20"/>
          <w:color w:val="auto"/>
        </w:rPr>
        <w:t>” means those certain planned asset sales with terms and conditions as disclosed by the Company to the Lenders prior to the Closing Date.</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xml:space="preserve">” means, with respect to any Person, any Equity Interests of such Person that, by their terms (or by the terms of any security or other Equity 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fundamental change or asset sale so long as any rights of the holders thereof upon the occurrence of a change of control, fundamental change or asset sale event shall be subject to the prior repayment in full in cash of the Loans and all other Obligations ((other than contingent indemnification obligations not then due) and the termination of the Commitments), (b) are redeemable at the option of the holder thereof (other than solely for Qualified Equity Interests) (except as a result of a change of control, fundamental change or asset sale so long as any rights of the holders thereof upon the occurrence of a change of control, fundamental change or asset sale event shall be subject to the prior repayment in full in cash of the Loans and all other Obligations ((other than contingent indemnification obligations not then due) and the termination of the Aggregate Commitments), in whole or in part, (c) provide for the scheduled payment of dividends in cash or (d) are or become convertible into, or exchangeable for, Indebtedness or any other Equity Interests that would constitute Disqualified Equity Interests, in each case of clauses (a) through (d), prior to the date that is 91 days after the latest scheduled maturity date of the Loans and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Equity Interests are issued pursuant to a plan for the benefit of the Company or its Subsidiaries or by any such plan to such officers or employees, such Equity Interests shall not constitute Disqualified Equity Interests solely because they may be required to be repurchased by the Company or its Subsidiaries in order to satisfy applicable statutory or regulatory obligations.</w:t>
      </w:r>
    </w:p>
    <w:p>
      <w:pPr>
        <w:spacing w:after="0" w:line="19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For the avoidance of doubt, the issuance by any Person of shares of Equity Interests in such Person shall not constitute a Disposition. For the avoidance of doubt, none of</w:t>
      </w:r>
    </w:p>
    <w:p>
      <w:pPr>
        <w:jc w:val="both"/>
        <w:ind w:firstLine="8"/>
        <w:spacing w:after="0" w:line="241" w:lineRule="auto"/>
        <w:tabs>
          <w:tab w:leader="none" w:pos="32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or sale of any Permitted Convertible Indebtedness by the Company, (x) the sale of any Permitted Warrant Transaction by the Company, (y) the purchase of any Permitted Bond Hedge Transaction nor (z) the performance by the Company and/or any Subsidiary thereof of the Company’s or such Subsidiary’s obligations under any Permitted Convertible Indebtedness, any Permitted Warrant Transaction or any Permitted Bond Hedge Transaction, shall constitute a Disposition.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6" w:name="page27"/>
    <w:bookmarkEnd w:id="2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method of determination it deems appropriate in its sole discretion) and (c) if such amount is denominated in any other currency, the equivalent of such amount in Dollars as determined by the Administrative Agent or the applicable L/C Issuer, as applicable, using any method of determination it deems appropriate in its sole discretion. Any determination by the Administrative Agent or the applicable L/C Issuer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above shall be conclusive (including within the meaning of section 151 Dutch Code of Civil Procedure) absent manifest error.</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political subdivision of the United States.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xml:space="preserve">” shall have the meaning specified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Currency</w:t>
      </w:r>
      <w:r>
        <w:rPr>
          <w:rFonts w:ascii="Times New Roman" w:cs="Times New Roman" w:eastAsia="Times New Roman" w:hAnsi="Times New Roman"/>
          <w:sz w:val="20"/>
          <w:szCs w:val="20"/>
          <w:color w:val="auto"/>
        </w:rPr>
        <w:t>” means any lawful currency other than Dollars that is readily available, freely transferable and convertible into Dollars in the international interbank market available to the Lenders or an L/C Issuer, as applicable, in such market and as to which a Dollar Equivalent may be readily calculated. If, after the designation by the Lenders or an L/C Issuer, as applicable,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Revolving Credit Loans to be denominated in an Alternative Currency) or the applicable L/C Issuer (in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case of any Letter of Credit to be denominated in an Alternative Currency), (a) such currency no longer being readily available, freely transferable and convertible into Dollars, (b) a Dollar Equivalent being no longer readily calculable with respect to such currency or (c) providing such currency being impracticable for the Lenders or any L/C Issuer, as applicable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Disqualifying Event</w:t>
      </w:r>
      <w:r>
        <w:rPr>
          <w:rFonts w:ascii="Times New Roman" w:cs="Times New Roman" w:eastAsia="Times New Roman" w:hAnsi="Times New Roman"/>
          <w:sz w:val="20"/>
          <w:szCs w:val="20"/>
          <w:color w:val="auto"/>
        </w:rPr>
        <w:t>”), then the Administrative Agent shall promptly notify the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means any permit, approval, identification number, license or other authorization required under any Environmental Law.</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Permitted Convertible Indebtedness, other debt securities that are or by their terms may be convertible or exchangeable into or for Qualified Equity Interests (or into or for any combination cash and Qualified Equity Interests by reference to the price of such Qualified Equity Interests) nor any Permitted Warrant Transactions, in each case, shall constitute Equity Interests of the Company or any of its Subsidiaries prior to settlement, conversion, exchange or exercise thereof into or for securities that would otherwise constitute Equity Interests under this definition.</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and the rules and regulations promulgated thereunder.</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the Company or any ERISA Affiliate from a Pension Plan subject to Section 4063 of ERISA during a</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jc w:val="both"/>
        <w:spacing w:after="0" w:line="243" w:lineRule="auto"/>
        <w:rPr>
          <w:sz w:val="20"/>
          <w:szCs w:val="20"/>
          <w:color w:val="auto"/>
        </w:rPr>
      </w:pPr>
      <w:r>
        <w:rPr>
          <w:rFonts w:ascii="Times New Roman" w:cs="Times New Roman" w:eastAsia="Times New Roman" w:hAnsi="Times New Roman"/>
          <w:sz w:val="20"/>
          <w:szCs w:val="20"/>
          <w:color w:val="auto"/>
        </w:rPr>
        <w:t>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Swap Obligation</w:t>
      </w:r>
      <w:r>
        <w:rPr>
          <w:rFonts w:ascii="Times New Roman" w:cs="Times New Roman" w:eastAsia="Times New Roman" w:hAnsi="Times New Roman"/>
          <w:sz w:val="19"/>
          <w:szCs w:val="19"/>
          <w:color w:val="auto"/>
        </w:rPr>
        <w:t xml:space="preserve">” means, with respect to any Subsidiary Guarantor, any Swap Obligation if, and to the extent that, all or a portion of the Guarantee of such Subsidiary Guarantor of, or the grant by such Subsidiary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Subsidiary Guarantor’s failure for any reason to constitute an “eligible contract participant” as defined in the Commodity Exchange Act (determined after giving effect to </w:t>
      </w:r>
      <w:r>
        <w:rPr>
          <w:rFonts w:ascii="Times New Roman" w:cs="Times New Roman" w:eastAsia="Times New Roman" w:hAnsi="Times New Roman"/>
          <w:sz w:val="19"/>
          <w:szCs w:val="19"/>
          <w:u w:val="single" w:color="auto"/>
          <w:color w:val="auto"/>
        </w:rPr>
        <w:t>Section 10.19</w:t>
      </w:r>
      <w:r>
        <w:rPr>
          <w:rFonts w:ascii="Times New Roman" w:cs="Times New Roman" w:eastAsia="Times New Roman" w:hAnsi="Times New Roman"/>
          <w:sz w:val="19"/>
          <w:szCs w:val="19"/>
          <w:color w:val="auto"/>
        </w:rPr>
        <w:t xml:space="preserve"> and any other “keepwell, support or other agreement” for the benefit of such Subsidiary Guarantor and any and all guarantees of such Subsidiary Guarantor’s Swap Obligations by other Loan Parties) at the time the Guarantee of such Subsidiary Guarantor, or a grant by such Subsidiary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8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3.01(a)(ii)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3.01(e)</w:t>
      </w:r>
      <w:r>
        <w:rPr>
          <w:rFonts w:ascii="Times New Roman" w:cs="Times New Roman" w:eastAsia="Times New Roman" w:hAnsi="Times New Roman"/>
          <w:sz w:val="20"/>
          <w:szCs w:val="20"/>
          <w:color w:val="auto"/>
        </w:rPr>
        <w:t xml:space="preserve"> and (d) any Taxes imposed pursuant to FATCA.</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is defined in </w:t>
      </w:r>
      <w:r>
        <w:rPr>
          <w:rFonts w:ascii="Times New Roman" w:cs="Times New Roman" w:eastAsia="Times New Roman" w:hAnsi="Times New Roman"/>
          <w:sz w:val="20"/>
          <w:szCs w:val="20"/>
          <w:u w:val="single" w:color="auto"/>
          <w:color w:val="auto"/>
        </w:rPr>
        <w:t>Recital 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means those letters of credit described on </w:t>
      </w:r>
      <w:r>
        <w:rPr>
          <w:rFonts w:ascii="Times New Roman" w:cs="Times New Roman" w:eastAsia="Times New Roman" w:hAnsi="Times New Roman"/>
          <w:sz w:val="20"/>
          <w:szCs w:val="20"/>
          <w:u w:val="single" w:color="auto"/>
          <w:color w:val="auto"/>
        </w:rPr>
        <w:t>Schedule 1.01B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 described above) and any intergovernmental agreement (and related fiscal or regulatory legislation, or related official rules or practices) implementing the foregoing.</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such rate shall be deemed to be zero for purposes of this Agreement.</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Letters</w:t>
      </w:r>
      <w:r>
        <w:rPr>
          <w:rFonts w:ascii="Times New Roman" w:cs="Times New Roman" w:eastAsia="Times New Roman" w:hAnsi="Times New Roman"/>
          <w:sz w:val="20"/>
          <w:szCs w:val="20"/>
          <w:color w:val="auto"/>
        </w:rPr>
        <w:t>” means (a) the letter agreement dated as of December 22, 2025, between the Company, Bank of America, N.A. and BofA Securities, Inc., as amended and (b) those certain letter agreements between the Company and the other Arrangers, as amended.</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Obligor</w:t>
      </w:r>
      <w:r>
        <w:rPr>
          <w:rFonts w:ascii="Times New Roman" w:cs="Times New Roman" w:eastAsia="Times New Roman" w:hAnsi="Times New Roman"/>
          <w:sz w:val="20"/>
          <w:szCs w:val="20"/>
          <w:color w:val="auto"/>
        </w:rPr>
        <w:t>” means a Loan Party that is a Foreign Subsidiary.</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xml:space="preserve">” means (a) any Subsidiary that is not a Domestic Subsidiary, (b) any Domestic Subsidiary all or substantially all of the assets of which consist of equity or debt of one or more Subsidiaries of the type described in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(c) any Subsidiary of any Subsidiary of the type described in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any L/C Issuer, such Defaulting Lender’s Applicable Percentage of the outstanding L/C Obligations on account of Letters of Credit issued by such L/C Issuer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set forth in the opinions and pronouncements of the Accounting Principles Board and the American Institute of Certified</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20"/>
          <w:szCs w:val="20"/>
          <w:color w:val="auto"/>
        </w:rPr>
        <w:t>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General Rubber Joint Venture Investment</w:t>
      </w:r>
      <w:r>
        <w:rPr>
          <w:rFonts w:ascii="Times New Roman" w:cs="Times New Roman" w:eastAsia="Times New Roman" w:hAnsi="Times New Roman"/>
          <w:sz w:val="20"/>
          <w:szCs w:val="20"/>
          <w:color w:val="auto"/>
        </w:rPr>
        <w:t>” means, collectively, (a) the outstanding loan(s) made by a Loan Party to Pinnacle Process Solutions, LLC (f/k/a EFM Equipment Company, LLC), a Delaware limited liability company (“</w:t>
      </w:r>
      <w:r>
        <w:rPr>
          <w:rFonts w:ascii="Times New Roman" w:cs="Times New Roman" w:eastAsia="Times New Roman" w:hAnsi="Times New Roman"/>
          <w:sz w:val="20"/>
          <w:szCs w:val="20"/>
          <w:u w:val="single" w:color="auto"/>
          <w:color w:val="auto"/>
        </w:rPr>
        <w:t>PPS</w:t>
      </w:r>
      <w:r>
        <w:rPr>
          <w:rFonts w:ascii="Times New Roman" w:cs="Times New Roman" w:eastAsia="Times New Roman" w:hAnsi="Times New Roman"/>
          <w:sz w:val="20"/>
          <w:szCs w:val="20"/>
          <w:color w:val="auto"/>
        </w:rPr>
        <w:t>”), the proceeds of which were used in connection with the Acquisition by PPS of General Rubber LLC (f/k/a General Rubber Corporation), and (b) any additional loan(s) made by a Loan Party to PPS and/or its Subsidiaries from time to time, so long as the aggregate outstanding principal amount of all such loans referenced in the foregoing clauses (a) and (b) does not exceed $22,580,000 at any time and such loans are evidenced by one or more notes in form and substance reasonably satisfactory to the Administrative Agent and pledged and delivered to the Administrative Agent pursuant to the Collateral Documents.</w:t>
      </w:r>
    </w:p>
    <w:p>
      <w:pPr>
        <w:spacing w:after="0" w:line="18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Authority</w:t>
      </w:r>
      <w:r>
        <w:rPr>
          <w:rFonts w:ascii="Times New Roman" w:cs="Times New Roman" w:eastAsia="Times New Roman" w:hAnsi="Times New Roman"/>
          <w:sz w:val="19"/>
          <w:szCs w:val="19"/>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6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Guaranties</w:t>
      </w:r>
      <w:r>
        <w:rPr>
          <w:rFonts w:ascii="Times New Roman" w:cs="Times New Roman" w:eastAsia="Times New Roman" w:hAnsi="Times New Roman"/>
          <w:sz w:val="20"/>
          <w:szCs w:val="20"/>
          <w:color w:val="auto"/>
        </w:rPr>
        <w:t>” means, collectively, the Company Guaranty and the Subsidiary Guaranties.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xml:space="preserve">” means any Person that, (a) at the time it enters into a Swap Contract not prohibited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is a Lender or an Affiliate of a Lender, or (b) at the time it (or its Affiliate) becomes a Lender, is party to a Swap Contract, in each case, in its capacity as a party to such Swap Contract.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1" w:name="page32"/>
    <w:bookmarkEnd w:id="31"/>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380" w:right="20" w:firstLine="751"/>
        <w:spacing w:after="0" w:line="269" w:lineRule="auto"/>
        <w:tabs>
          <w:tab w:leader="none" w:pos="1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payable in the ordinary course of business that are (i) not past due for more than 90 days after the date on which such trade account payable was created or (ii) being contested in good faith by appropriate proceedings diligently conducted and adequate reserves in accordance with GAAP are being maintained by the applicable Person);</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Attributable Indebtedness in respect of Capitalized Leases and Synthetic Lease Obligations of such Person;</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in respect of Disqualified Equity Interests; and</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of such Person in respect of any of the foregoing.</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Notwithstanding the foregoing, the obligations of the Company under any Permitted Warrant Transaction shall not constitute Indebtedness so long as the terms of such Permitted Warrant Transaction provide for “net share settlement” (or substantially equivalent term) as the default “settlement method” (or substantially equivalent term) thereunder, except to the extent it is accounted for as a liability under GAAP. For purposes hereof, the amount of any Permitted Convertible Indebtedness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 The amount of obligations in respect of any Disqualified Equity Interests shall be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Regulation</w:t>
      </w:r>
      <w:r>
        <w:rPr>
          <w:rFonts w:ascii="Times New Roman" w:cs="Times New Roman" w:eastAsia="Times New Roman" w:hAnsi="Times New Roman"/>
          <w:sz w:val="20"/>
          <w:szCs w:val="20"/>
          <w:color w:val="auto"/>
        </w:rPr>
        <w:t>” means Regulation (EU) 2015/848 of the European Parliament and of the Council of 20 May 2015 on insolvency proceedings (recast) as amended from time to time and as lastly amended on 15 December 2021 by replacing its Annexes A and B.</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and Condemnation Event</w:t>
      </w:r>
      <w:r>
        <w:rPr>
          <w:rFonts w:ascii="Times New Roman" w:cs="Times New Roman" w:eastAsia="Times New Roman" w:hAnsi="Times New Roman"/>
          <w:sz w:val="20"/>
          <w:szCs w:val="20"/>
          <w:color w:val="auto"/>
        </w:rPr>
        <w:t>” means the receipt by any Loan Party or any Restricted Subsidiary of any proceeds of insurance (other than proceeds of business interruption insurance to the extent such proceeds constitute compensation for lost earnings) or condemnation award payable by reason of theft, loss, physical destruction or damage, taking or similar event with respect to any of their respective property.</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SOFR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Interest Period for a Term SOFR Loan exceeds three months, the respective dates that fall every three months after the beginning of such Interest Period shall also be Interest Payment Dates; (b) as to any Daily Simple SOFR Loan, the last Business Day of each month and the Maturity Date; (c) as to any Base Rate Loan (including a Swing Line Loan), the last Business Day of each March, June, September and December and the Maturity Date; (d) as to any Swing Line Loan, such other date as may be specified in any Treasury Management Agreement; (e) as to any Alternative Currency Daily Rate Loan, the last Business Day of each month and the Maturity Date; and (f) as to any Alternative Currency Term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8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Period</w:t>
      </w:r>
      <w:r>
        <w:rPr>
          <w:rFonts w:ascii="Times New Roman" w:cs="Times New Roman" w:eastAsia="Times New Roman" w:hAnsi="Times New Roman"/>
          <w:sz w:val="19"/>
          <w:szCs w:val="19"/>
          <w:color w:val="auto"/>
        </w:rPr>
        <w:t xml:space="preserve">” means, as to each Alternative Currency Term Rate Loan or Term SOFR Loan, the period commencing on the date such Alternative Currency Term Rate Loan or Term SOFR Loan, as applicable, is disbursed or converted to or continued as an Alternative Currency Term Rate Loan or Term SOFR Loan, as applicable, and ending on the date one, three or six months thereafter (in each case subject to availability for the interest rate applicable to the relevant currency), as selected by the Company in its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165" w:lineRule="exact"/>
        <w:rPr>
          <w:sz w:val="20"/>
          <w:szCs w:val="20"/>
          <w:color w:val="auto"/>
        </w:rPr>
      </w:pPr>
    </w:p>
    <w:p>
      <w:pPr>
        <w:jc w:val="both"/>
        <w:ind w:left="380" w:firstLine="751"/>
        <w:spacing w:after="0" w:line="254" w:lineRule="auto"/>
        <w:tabs>
          <w:tab w:leader="none" w:pos="152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in the case of an Alternative Currency Term Rate Loan or Term SOFR Loan,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an Alternative Currency Term Rate Loan or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3" w:name="page34"/>
    <w:bookmarkEnd w:id="33"/>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Amount</w:t>
      </w:r>
      <w:r>
        <w:rPr>
          <w:rFonts w:ascii="Times New Roman" w:cs="Times New Roman" w:eastAsia="Times New Roman" w:hAnsi="Times New Roman"/>
          <w:sz w:val="20"/>
          <w:szCs w:val="20"/>
          <w:color w:val="auto"/>
        </w:rPr>
        <w:t xml:space="preserve">” means the sum of (a) $75,000,000,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cumulative amount of all dividends and distributions received in cash by the Company or any Restricted Subsidiary after the Closing Date in respect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7.02(g)(ii)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cumulative amount of all gains received in cash by the Company or any Restricted Subsidiary after the Closing Date in respect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7.02(g)(ii)</w:t>
      </w:r>
      <w:r>
        <w:rPr>
          <w:rFonts w:ascii="Times New Roman" w:cs="Times New Roman" w:eastAsia="Times New Roman" w:hAnsi="Times New Roman"/>
          <w:sz w:val="20"/>
          <w:szCs w:val="20"/>
          <w:color w:val="auto"/>
        </w:rPr>
        <w:t xml:space="preserve"> as a result of the sale, transfer or other disposition of its ownership interest in any such Investment.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applicable L/C Issuer and the Company (or any Subsidiary) or in favor of such L/C Issuer and relating to such Letter of Credit.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has the meaning assigned thereto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Lender, such Lender’s funding of its participation in any L/C Borrowing in accordance with its Applicable Percentage. All L/C Advances shall be denominated in Dollars.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Borrowing. All L/C Borrowings shall be denominated in Dollars.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has the meaning specified in the definition of “L/C Issuer”.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individually or collectively as the context may indicate, (a) Bank of America, in its capacity as an issuer of commercial and standby Letters of Credit hereunder or any successor to Bank of America in its capacity as an issuer of Letters of Credit hereunder, (b) Citibank, N.A., in its capacity as an issuer of standby Letters of Credit hereunder or any successor to Citibank, N.A. in its capacity as an issuer of Letters of Credit hereunder, (c) City National Bank, in its capacity as an issuer of standby Letters of Credit hereunder or any successor to City National Bank in its capacity as an issuer of Letters of Credit hereunder and (d) to the extent approved by the Administrative Agent in its sole discretion, any other Lender selected by the Company, which consents to its appointment by the Company as an issuer of Letters of Credit hereunder and becomes an L/C Issuer hereunder pursuant to a joinder agreement in form and substance reasonably satisfactory to the Administrative Agent, in its capacity as an issuer of Letters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Credit hereunder or any successor to such Lender in its capacity as an issuer of Letters of Credit hereunder, each with the commitment set forth opposite such L/C Issuer’s name on </w:t>
      </w:r>
      <w:r>
        <w:rPr>
          <w:rFonts w:ascii="Times New Roman" w:cs="Times New Roman" w:eastAsia="Times New Roman" w:hAnsi="Times New Roman"/>
          <w:sz w:val="20"/>
          <w:szCs w:val="20"/>
          <w:u w:val="single" w:color="auto"/>
          <w:color w:val="auto"/>
        </w:rPr>
        <w:t>Schedule 2.01LC</w:t>
      </w:r>
      <w:r>
        <w:rPr>
          <w:rFonts w:ascii="Times New Roman" w:cs="Times New Roman" w:eastAsia="Times New Roman" w:hAnsi="Times New Roman"/>
          <w:sz w:val="20"/>
          <w:szCs w:val="20"/>
          <w:color w:val="auto"/>
        </w:rPr>
        <w:t xml:space="preserve"> under the caption “L/C Commitment” or in the joinder agreement pursuant to which such L/C Issuer becomes a party hereto as an L/C Issuer, as applicable, as such amount may be adjusted from time to time in accordance with this Agreement (each such commitment, a “</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Any L/C Issuer may, in its discretion, arrange for one or more Letters of Credit to be issued by Affiliates of such L/C Issuer, in which case the term “L/C Issuer” shall include any such Affiliate with respect to Letters of Credit issued by such Affiliate.</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Article 29(a) of the UCP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L/C Issuers and the Lenders shall have no further obligations to make any payments or disbursements under any circumstances with respect to any Letter of Credit.</w:t>
      </w:r>
    </w:p>
    <w:p>
      <w:pPr>
        <w:spacing w:after="0" w:line="18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the meaning specified in the introductory paragraph hereto and, unless the context requires otherwise, includes the Swing Line Lender.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Parties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Lender Recipient Parties</w:t>
      </w:r>
      <w:r>
        <w:rPr>
          <w:rFonts w:ascii="Times New Roman" w:cs="Times New Roman" w:eastAsia="Times New Roman" w:hAnsi="Times New Roman"/>
          <w:sz w:val="20"/>
          <w:szCs w:val="20"/>
          <w:color w:val="auto"/>
        </w:rPr>
        <w:t>” mean, collectively, the Lenders, the Swing Line Lenders and the L/C Issuers.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(including in its capacity as an L/C Issuer) shall include its applicable Lending Office.</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hereunder and shall include the Existing Letters of Credit. Letters of Credit may be issued in Dollars or in an Alternative Currency. A Letter of Credit may be a commercial letter of credit or a standby letter of credit.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applicable L/C Issuer.</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next preceding Business Day).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 in the case of all Letters of Credit, an amount equal to the lesser of (i) the Aggregate Commitments and (ii) $125,000,000 (the amount in this clause (a), the “</w:t>
      </w:r>
      <w:r>
        <w:rPr>
          <w:rFonts w:ascii="Times New Roman" w:cs="Times New Roman" w:eastAsia="Times New Roman" w:hAnsi="Times New Roman"/>
          <w:sz w:val="20"/>
          <w:szCs w:val="20"/>
          <w:u w:val="single" w:color="auto"/>
          <w:color w:val="auto"/>
        </w:rPr>
        <w:t>Overall LC Sublimit</w:t>
      </w:r>
      <w:r>
        <w:rPr>
          <w:rFonts w:ascii="Times New Roman" w:cs="Times New Roman" w:eastAsia="Times New Roman" w:hAnsi="Times New Roman"/>
          <w:sz w:val="20"/>
          <w:szCs w:val="20"/>
          <w:color w:val="auto"/>
        </w:rPr>
        <w:t>”) and (b) in the case of all commercial Letters of Credit, an amount equal to the lesser of (i) the Aggregate Commitments, (ii) the Overall LC Sublimit and (iii) $25,000,000. The Letter of Credit Sublimit is part of, and not in addition to, the Aggregate Commitments.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privilege (voorrecht), right of retention (recht van retentie), right of reclamation (recht van reclame), any right in rem (beperkt recht) created for the purpose of granting security (goederenrechtelijk zekerheidsrecht),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that (a) is not prohibited hereunder, (b) is not conditioned on the availability of, or on obtaining, third-party financing and (c) is completed within twelve (12) months of the execution of the definitive purchase agreement for such Acquisition.</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Revolving Credit Loan or a Swing Line Loan.</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collectively, this Agreement, each Designated Borrower Request and Assumption Agreement, each Note, each Collateral Document, each Issuer Document,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Fee Letters, the Company Guaranty, each Subsidiary Guaranty and each Subsidiary Guaranty Joinder Agreement and any amendments, modifications or supplements hereto or to any other Loan Document or waivers hereof or to any other Loan Document.</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Notice</w:t>
      </w:r>
      <w:r>
        <w:rPr>
          <w:rFonts w:ascii="Times New Roman" w:cs="Times New Roman" w:eastAsia="Times New Roman" w:hAnsi="Times New Roman"/>
          <w:sz w:val="20"/>
          <w:szCs w:val="20"/>
          <w:color w:val="auto"/>
        </w:rPr>
        <w:t xml:space="preserve">” means a notice of (a) a Revolving Credit Borrowing (b) a conversion of Loans from one Type to the other, or (c) a continuation of Term SOFR Loans or Alternative Currency Term Rate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Company, each Subsidiary Guarantor and each Designated Borrower.</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upon, the operations, business, properties, liabilities (actual or contingent) or financial condition of the Company and its Restricted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as of any date of determination, each direct or indirect Subsidiary of the Company that either (a) has assets as of such date equal to 5% or more of the Consolidated Total Assets as of the last day of the four fiscal quarter period of the Company most recently ended for which financial information is available or (b) had revenues in such four fiscal quarter period equal to 5% or more of the consolidated total revenues of the Company and its Subsidiaries. For the purpose of the foregoing calculations, (i) revenues shall be calculated giving effect to any pro forma adjustments, with respect to any Specified Transaction, in a manner consistent with the adjustments described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(ii) the assets and revenues of a Subsidiary shall be deemed to include the assets and revenues of its Subsidiaries.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January 30, 2031;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such date is not a Business Day, the Maturity Date shall be the next preceding Business Day.</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any L/C Issuer with respect to Letters of Credit issued by such L/C Issuer and outstanding at such time, (b)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an amount equal to 103% of the Outstanding Amount of all L/C Obligations, and (c) otherwise, an amount determined by the Administrative Agent and the L/C Issuers in their sole discretion.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thereto.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380" w:firstLine="751"/>
        <w:spacing w:after="0" w:line="242" w:lineRule="auto"/>
        <w:tabs>
          <w:tab w:leader="none" w:pos="152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Disposition by the Company or any of its Restricted Subsidiaries or any Insurance and Condemnation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the Company or such Restricted Subsidiary in connection with such transaction and (C)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amount of any estimated taxes pursuant to </w:t>
      </w:r>
      <w:r>
        <w:rPr>
          <w:rFonts w:ascii="Times New Roman" w:cs="Times New Roman" w:eastAsia="Times New Roman" w:hAnsi="Times New Roman"/>
          <w:sz w:val="20"/>
          <w:szCs w:val="20"/>
          <w:u w:val="single" w:color="auto"/>
          <w:color w:val="auto"/>
        </w:rPr>
        <w:t>subclause (C)</w:t>
      </w:r>
      <w:r>
        <w:rPr>
          <w:rFonts w:ascii="Times New Roman" w:cs="Times New Roman" w:eastAsia="Times New Roman" w:hAnsi="Times New Roman"/>
          <w:sz w:val="20"/>
          <w:szCs w:val="20"/>
          <w:color w:val="auto"/>
        </w:rPr>
        <w:t xml:space="preserve"> exceeds the amount of taxes actually required to be paid in cash in respect of such transaction, the aggregate amount of such excess shall constitute Net Cash Proceeds; and</w:t>
      </w:r>
    </w:p>
    <w:p>
      <w:pPr>
        <w:spacing w:after="0" w:line="192"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incurrence or issuance of any Indebtedness by the Company or any of its Restricted Subsidiaries, the excess of (i) the sum of the cash and Cash Equivalents received in connection with such transaction over (ii) the underwriting discounts and commissions, and other reasonable and customary out-of-pocket expenses, incurred by the Company or such Restricted Subsidiary in connection therewith.</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w:t>
      </w:r>
      <w:r>
        <w:rPr>
          <w:rFonts w:ascii="Times New Roman" w:cs="Times New Roman" w:eastAsia="Times New Roman" w:hAnsi="Times New Roman"/>
          <w:sz w:val="20"/>
          <w:szCs w:val="20"/>
          <w:color w:val="auto"/>
        </w:rPr>
        <w:t>” means the European part of the Kingdom of the Netherlands and "Dutch" means in or of the Netherlands.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Designated Borrower</w:t>
      </w:r>
      <w:r>
        <w:rPr>
          <w:rFonts w:ascii="Times New Roman" w:cs="Times New Roman" w:eastAsia="Times New Roman" w:hAnsi="Times New Roman"/>
          <w:sz w:val="20"/>
          <w:szCs w:val="20"/>
          <w:color w:val="auto"/>
        </w:rPr>
        <w:t>” means CECO BV.</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Security Agreement</w:t>
      </w:r>
      <w:r>
        <w:rPr>
          <w:rFonts w:ascii="Times New Roman" w:cs="Times New Roman" w:eastAsia="Times New Roman" w:hAnsi="Times New Roman"/>
          <w:sz w:val="20"/>
          <w:szCs w:val="20"/>
          <w:color w:val="auto"/>
        </w:rPr>
        <w:t>” means the Dutch law governed security agreement to be entered into between the Netherlands Designated Borrower as pledgor and the Administrative Agent as pledgee.</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Security Documents</w:t>
      </w:r>
      <w:r>
        <w:rPr>
          <w:rFonts w:ascii="Times New Roman" w:cs="Times New Roman" w:eastAsia="Times New Roman" w:hAnsi="Times New Roman"/>
          <w:sz w:val="20"/>
          <w:szCs w:val="20"/>
          <w:color w:val="auto"/>
        </w:rPr>
        <w:t>” means the Netherlands Security Agreement, the Netherlands Share Pledge and any other security agreement purported to be governed by Dutch law that creates or purports to create a Lien in favor of the Administrative Agent for the benefit of the Secured Parties.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Netherlands Share Pledge</w:t>
      </w:r>
      <w:r>
        <w:rPr>
          <w:rFonts w:ascii="Times New Roman" w:cs="Times New Roman" w:eastAsia="Times New Roman" w:hAnsi="Times New Roman"/>
          <w:sz w:val="20"/>
          <w:szCs w:val="20"/>
          <w:color w:val="auto"/>
        </w:rPr>
        <w:t>” means the Dutch law governed notarial deed of pledge over shares in the company of the Netherlands Designated Borrower to be entered into among CECO Group Global Holdings LLC as pledgor, the Administrative Agent as pledgee and the Netherlands Designated Borrower as company.</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(b) has been approved by the Required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xml:space="preserve">” means a promissory note made by a Borrower in favor of a Lender evidencing Revolving Credit Loans and Swing Line Loans made by such Lender to such Borrower,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xml:space="preserve">” means all advances to, and debts, liabilities, obligations, covenants and duties of, any Loan Party arising under any Loan Document or otherwise with respect to any Loan, Letter of Credit,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“Obligations” of a Subsidiary Guarantor shall exclude any Excluded Swap Obligations with respect to such Subsidiary Guarantor. Without limiting the foregoing, the Obligations include (a) the obligation to pay principal, interest, Letter of Credit commissions, charges, expenses, fees, indemnities and other amounts payable by any Loan Party under any Loan Document and (b) the obligation of the Loan Parties to reimburse any amount in respect of any of the foregoing that the Administrative Agent or any Lender, in each case in its sole discretion, may elect to pay or advance on behalf of the Loan Parties. For the avoidance of doubt, any obligation under any Permitted Bond Hedge Transaction or any Permitted Warrant Transaction shall not constitute Obligations.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agreement (or equivalent or comparable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jc w:val="both"/>
        <w:spacing w:after="0" w:line="245" w:lineRule="auto"/>
        <w:rPr>
          <w:sz w:val="20"/>
          <w:szCs w:val="20"/>
          <w:color w:val="auto"/>
        </w:rPr>
      </w:pPr>
      <w:r>
        <w:rPr>
          <w:rFonts w:ascii="Times New Roman" w:cs="Times New Roman" w:eastAsia="Times New Roman" w:hAnsi="Times New Roman"/>
          <w:sz w:val="20"/>
          <w:szCs w:val="20"/>
          <w:color w:val="auto"/>
        </w:rPr>
        <w:t>constitutive documents with respect to any non-U.S. jurisdiction, , including the deed of incorporation (</w:t>
      </w:r>
      <w:r>
        <w:rPr>
          <w:rFonts w:ascii="Times New Roman" w:cs="Times New Roman" w:eastAsia="Times New Roman" w:hAnsi="Times New Roman"/>
          <w:sz w:val="20"/>
          <w:szCs w:val="20"/>
          <w:i w:val="1"/>
          <w:iCs w:val="1"/>
          <w:color w:val="auto"/>
        </w:rPr>
        <w:t>akte van oprichting</w:t>
      </w:r>
      <w:r>
        <w:rPr>
          <w:rFonts w:ascii="Times New Roman" w:cs="Times New Roman" w:eastAsia="Times New Roman" w:hAnsi="Times New Roman"/>
          <w:sz w:val="20"/>
          <w:szCs w:val="20"/>
          <w:color w:val="auto"/>
        </w:rPr>
        <w:t>) and articles of association (</w:t>
      </w:r>
      <w:r>
        <w:rPr>
          <w:rFonts w:ascii="Times New Roman" w:cs="Times New Roman" w:eastAsia="Times New Roman" w:hAnsi="Times New Roman"/>
          <w:sz w:val="20"/>
          <w:szCs w:val="20"/>
          <w:i w:val="1"/>
          <w:iCs w:val="1"/>
          <w:color w:val="auto"/>
        </w:rPr>
        <w:t>statuten</w:t>
      </w:r>
      <w:r>
        <w:rPr>
          <w:rFonts w:ascii="Times New Roman" w:cs="Times New Roman" w:eastAsia="Times New Roman" w:hAnsi="Times New Roman"/>
          <w:sz w:val="20"/>
          <w:szCs w:val="20"/>
          <w:color w:val="auto"/>
        </w:rPr>
        <w:t>) with respect to any limited liability incorporated in the Netherlands); and (c) with respect to any partnership, joint venture, trust or other form of business entity, the partnership, joint venture or other applicable agreement of formation or organization (or equivalent or comparable constitutive documents with respect to any non-U.S. jurisdiction)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 equivalent or comparable constitutive documents with respect to any non-U.S. jurisdiction).</w:t>
      </w:r>
    </w:p>
    <w:p>
      <w:pPr>
        <w:spacing w:after="0" w:line="18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Revolving Credit Loans and Swing Line Loans on any date, the Dollar Equivalent Amount of the aggregate outstanding principal amount thereof after giving effect to any borrowings and prepayments or repayments of Revolving Credit Loans and Swing Line Loans, as the case may be, occurring on such date; and (b) with respect to any L/C Obligations on any date, the Dollar Equivalent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an overnight rate determined by the Administrative Agent or the applicable L/C Issuer, as the case may be, in accordance with banking industry rules on interbank compensation.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Funding Rules</w:t>
      </w:r>
      <w:r>
        <w:rPr>
          <w:rFonts w:ascii="Times New Roman" w:cs="Times New Roman" w:eastAsia="Times New Roman" w:hAnsi="Times New Roman"/>
          <w:sz w:val="20"/>
          <w:szCs w:val="20"/>
          <w:color w:val="auto"/>
        </w:rPr>
        <w:t>” means the rules of the Code and ERISA regarding minimum funding standards with respect to Pension Plans and set forth in Sections 412, 430, 431, 432 and 436 of the Code and Sections 302, 303, 304 and 305 of ERISA.</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39" w:name="page40"/>
    <w:bookmarkEnd w:id="39"/>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any Acquisition by the Company or any Restricted Subsidiary as to which the following conditions are satisfied, which in the case of a Limited Condition Acquisition shall be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380" w:right="20" w:firstLine="751"/>
        <w:spacing w:after="0" w:line="269" w:lineRule="auto"/>
        <w:tabs>
          <w:tab w:leader="none" w:pos="15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immediately after giving effect to any such Acquisition (including any assumption or incurrence of Indebtedness in connection therewith), no Event of Default shall have occurred and be continuing;</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74" w:lineRule="auto"/>
        <w:tabs>
          <w:tab w:leader="none" w:pos="1525"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either the required majority of the Board of Directors (or other equivalent governing body) of the Person so to be acquired (or that owns the assets to be acquired) incumbent at the time such Acquisition is proposed has acquiesced to such Acquisition, or such Acquisition is otherwise deemed in the reasonable judgment of the Administrative Agent to be a “friendly” Acquisition;</w:t>
      </w:r>
    </w:p>
    <w:p>
      <w:pPr>
        <w:spacing w:after="0" w:line="156" w:lineRule="exact"/>
        <w:rPr>
          <w:rFonts w:ascii="Times New Roman" w:cs="Times New Roman" w:eastAsia="Times New Roman" w:hAnsi="Times New Roman"/>
          <w:sz w:val="19"/>
          <w:szCs w:val="19"/>
          <w:color w:val="auto"/>
        </w:rPr>
      </w:pPr>
    </w:p>
    <w:p>
      <w:pPr>
        <w:ind w:left="1520" w:hanging="389"/>
        <w:spacing w:after="0"/>
        <w:tabs>
          <w:tab w:leader="none" w:pos="15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lines of business of the Person to be (or the property of which is to be) so acquired shall be permitted by </w:t>
      </w:r>
      <w:r>
        <w:rPr>
          <w:rFonts w:ascii="Times New Roman" w:cs="Times New Roman" w:eastAsia="Times New Roman" w:hAnsi="Times New Roman"/>
          <w:sz w:val="19"/>
          <w:szCs w:val="19"/>
          <w:u w:val="single" w:color="auto"/>
          <w:color w:val="auto"/>
        </w:rPr>
        <w:t>Section 7.07</w:t>
      </w:r>
      <w:r>
        <w:rPr>
          <w:rFonts w:ascii="Times New Roman" w:cs="Times New Roman" w:eastAsia="Times New Roman" w:hAnsi="Times New Roman"/>
          <w:sz w:val="19"/>
          <w:szCs w:val="19"/>
          <w:color w:val="auto"/>
        </w:rPr>
        <w:t>;</w:t>
      </w:r>
    </w:p>
    <w:p>
      <w:pPr>
        <w:spacing w:after="0" w:line="33"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and</w:t>
      </w:r>
    </w:p>
    <w:p>
      <w:pPr>
        <w:spacing w:after="0" w:line="193" w:lineRule="exact"/>
        <w:rPr>
          <w:rFonts w:ascii="Times New Roman" w:cs="Times New Roman" w:eastAsia="Times New Roman" w:hAnsi="Times New Roman"/>
          <w:sz w:val="19"/>
          <w:szCs w:val="19"/>
          <w:color w:val="auto"/>
        </w:rPr>
      </w:pPr>
    </w:p>
    <w:p>
      <w:pPr>
        <w:jc w:val="both"/>
        <w:ind w:left="380" w:firstLine="751"/>
        <w:spacing w:after="0" w:line="246" w:lineRule="auto"/>
        <w:tabs>
          <w:tab w:leader="none" w:pos="152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its Restricted Subsidiaries shall be in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compliance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Acquisition or series of related Acquisitions involving aggregate consideration of $15,000,000 or more, the Company shall have delivered to the Administrative Agent a Compliance Certificate demonstrating the pro forma compliance required by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Bond Hedge Transaction</w:t>
      </w:r>
      <w:r>
        <w:rPr>
          <w:rFonts w:ascii="Times New Roman" w:cs="Times New Roman" w:eastAsia="Times New Roman" w:hAnsi="Times New Roman"/>
          <w:sz w:val="20"/>
          <w:szCs w:val="20"/>
          <w:color w:val="auto"/>
        </w:rPr>
        <w:t xml:space="preserve">” means any bond hedge, call or capped call option (or substantively equivalent derivative transaction) relating to the Company’s common stock (or other securities or property following a merger event, reclassification or other change of the common stock of the Company) purchased by the Company or a Restricted Subsidiary thereof in connection with the issuance of any Permitted Convertible Indebtedness and settled in common stock of the Company (or such other securities or property), cash or a combination thereof (such amount of cash determined by reference to the price of the Company’s common stock or such other securities or property), and cash in lieu of fractional shares of common stock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purchase of any such Permitted Bond Hedge Transaction is made with, and the purchase price thereof less the proceeds received from the Company from the sale of any substantially concurrently executed Permitted Warrant Transaction, does not exceed, the net proceeds received by the Company or a Restricted Subsidiary thereof in connection with the issuance of any Permitted Convertible Indebtedness;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other terms, conditions and covenants of each such transaction shall be such as are customary for transactions of such type (as determined by the Company in good faith).</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Convertible Indebtednes</w:t>
      </w:r>
      <w:r>
        <w:rPr>
          <w:rFonts w:ascii="Times New Roman" w:cs="Times New Roman" w:eastAsia="Times New Roman" w:hAnsi="Times New Roman"/>
          <w:sz w:val="20"/>
          <w:szCs w:val="20"/>
          <w:color w:val="auto"/>
        </w:rPr>
        <w:t>s” means (a) unsecured Indebtedness of the Company or a Restricted Subsidiary thereof that (i) as of the date of issuance thereof contains customary conversion or exchange rights, customary premiums and customary offer to repurchase rights for transactions of such type (in each case, as determined by the Company in good faith) and (ii) is convertible into or exchangeable for shares of common stock of the Company (or other securities or property following a merger event, reclassification or other change of the common stock of the Company), cash or a combination thereof (such amount of cash determined by reference to the price of the Company’s common stock or such other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0" w:name="page41"/>
    <w:bookmarkEnd w:id="40"/>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securities or property), and cash in lieu of fractional shares of common stock of the Company, (b) any refinancings, refundings, renewals or extensions of any such unsecured Indebtedness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so long as such refinancing, refunding, renewal and extension otherwise complies with preceding clause (i) and (ii);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remains unsecured and the amount of such Indebtedness is not increased at the time of such refinancing, refunding, renewal or extension except by an amount equal to a reasonable premium or other reasonable amount paid, and fees and expenses reasonably incurred, in connection with such refinancing and (c) any guarantee by any Loan Party of Indebtedness of the Company or a Restricted Subsidiary thereof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that such Indebtedness is permitted to be incurred under </w:t>
      </w:r>
      <w:r>
        <w:rPr>
          <w:rFonts w:ascii="Times New Roman" w:cs="Times New Roman" w:eastAsia="Times New Roman" w:hAnsi="Times New Roman"/>
          <w:sz w:val="20"/>
          <w:szCs w:val="20"/>
          <w:u w:val="single" w:color="auto"/>
          <w:color w:val="auto"/>
        </w:rPr>
        <w:t>Section 7.03(o)</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Warrant Transaction</w:t>
      </w:r>
      <w:r>
        <w:rPr>
          <w:rFonts w:ascii="Times New Roman" w:cs="Times New Roman" w:eastAsia="Times New Roman" w:hAnsi="Times New Roman"/>
          <w:sz w:val="20"/>
          <w:szCs w:val="20"/>
          <w:color w:val="auto"/>
        </w:rPr>
        <w:t xml:space="preserve">” means any call option, warrant or right to purchase (or substantively equivalent derivative transaction) relating to the Company’s common stock (or other securities or property following a merger event, reclassification or other change of the common stock of the Company) sold by the Company substantially concurrently with any purchase by the Company of a Permitted Bond Hedge Transaction and settled in common stock of the Company (or such other securities or property), cash or a combination thereof (such amount of cash determined by reference to the price of the Company’s common stock or such other securities or property), and cash in lieu of fractional shares of common stock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conditions and covenants of each such transaction shall be such as are customary for transactions of such type (as determined by the Company in good faith).</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xml:space="preserve">” means the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Standalone Letter of Credit</w:t>
      </w:r>
      <w:r>
        <w:rPr>
          <w:rFonts w:ascii="Times New Roman" w:cs="Times New Roman" w:eastAsia="Times New Roman" w:hAnsi="Times New Roman"/>
          <w:sz w:val="20"/>
          <w:szCs w:val="20"/>
          <w:color w:val="auto"/>
        </w:rPr>
        <w:t xml:space="preserve">” means any commercial letter of credit, standby letter of credit, bankers’ acceptance or bank guarantee issued by a PSLOC Bank for the account of any Loan Party or any Subsidiary on a bilateral basis and not as part of the facilities provided under the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face amount of all such letters of credit, bankers’ acceptances and bank guarantees shall not exceed $150,000,000 at any time.</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Agreements</w:t>
      </w:r>
      <w:r>
        <w:rPr>
          <w:rFonts w:ascii="Times New Roman" w:cs="Times New Roman" w:eastAsia="Times New Roman" w:hAnsi="Times New Roman"/>
          <w:sz w:val="20"/>
          <w:szCs w:val="20"/>
          <w:color w:val="auto"/>
        </w:rPr>
        <w:t>” means, collectively, (a) the Third Amended and Restated Securities Pledge Agreement (the “</w:t>
      </w:r>
      <w:r>
        <w:rPr>
          <w:rFonts w:ascii="Times New Roman" w:cs="Times New Roman" w:eastAsia="Times New Roman" w:hAnsi="Times New Roman"/>
          <w:sz w:val="20"/>
          <w:szCs w:val="20"/>
          <w:u w:val="single" w:color="auto"/>
          <w:color w:val="auto"/>
        </w:rPr>
        <w:t>U.S. Pledge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the date hereof, made by the Company and certain other Loan Parties in favor of the Administrative Agent for the benefit of the Secured Parties specified therein and (b) any other securities pledge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Pledge Joinder Agreements and Pledge Agreement Supplements.</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Agreement Supplement</w:t>
      </w:r>
      <w:r>
        <w:rPr>
          <w:rFonts w:ascii="Times New Roman" w:cs="Times New Roman" w:eastAsia="Times New Roman" w:hAnsi="Times New Roman"/>
          <w:sz w:val="20"/>
          <w:szCs w:val="20"/>
          <w:color w:val="auto"/>
        </w:rPr>
        <w:t>” means each Pledge Agreement Supplement, substantially in the form thereof attached to a Pledge Agreement, executed and delivered by a Loan Party to the Administrative Agent.</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Joinder Agreement</w:t>
      </w:r>
      <w:r>
        <w:rPr>
          <w:rFonts w:ascii="Times New Roman" w:cs="Times New Roman" w:eastAsia="Times New Roman" w:hAnsi="Times New Roman"/>
          <w:sz w:val="20"/>
          <w:szCs w:val="20"/>
          <w:color w:val="auto"/>
        </w:rPr>
        <w:t>” means each Pledge Joinder Agreement, substantially in the form thereof attached to a Pledge Agreement, executed and delivered by a Restricted Subsidiary to the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PSLOC Bank</w:t>
      </w:r>
      <w:r>
        <w:rPr>
          <w:rFonts w:ascii="Times New Roman" w:cs="Times New Roman" w:eastAsia="Times New Roman" w:hAnsi="Times New Roman"/>
          <w:sz w:val="20"/>
          <w:szCs w:val="20"/>
          <w:color w:val="auto"/>
        </w:rPr>
        <w:t>” means any Person that, (a) at the time it issues a Permitted Standalone Letter of Credit for the account of any Loan Party or any Subsidiary, is a Lender or an Affiliate of a Lender, or (b) at the time it (or its Affiliate) becomes a Lender, is party to a Permitted Standalone Letter of Credit, in each case, in its capacity as the issuer of such Permitted Standalone Letter of Credit.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any Equity Interests that are not Disqualified Equity Interests.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Supply Chain Finance Program</w:t>
      </w:r>
      <w:r>
        <w:rPr>
          <w:rFonts w:ascii="Times New Roman" w:cs="Times New Roman" w:eastAsia="Times New Roman" w:hAnsi="Times New Roman"/>
          <w:sz w:val="20"/>
          <w:szCs w:val="20"/>
          <w:color w:val="auto"/>
        </w:rPr>
        <w:t xml:space="preserve">” means a supply chain finance program offered to vendors of the Company or any Restricted Subsidiary, pursuant to which program the Company or a Restricted Subsidiary sells accounts receivable owing to the Company or a Restricted Subsidiary by such vendors;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the sale of such accounts receivable is made without recourse for credit risk to the Company or its Subsidiaries and otherwise on terms customary for supply chain finance arrangements (as determined in good faith by the Company), but which shall not constitute a factoring or financing or securitization transaction and (b) any Liens arising under any Qualified Supply Chain Finance Program shall not at any time encumber any property other than the identified accounts receivable (and related assets customarily included in such transactions) sold pursuant thereto.</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any L/C Issuer or any other recipient of any payment to be made by or on account of any obligation of any Loan Party 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FRB, as in effect from time to time and all official rulings and interpretations thereunder or thereof.</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Credit Extension denominated in (a) Dollars, Daily Simple SOFR, Term SOFR or SOFR, as applicable, (b) Sterling, SONIA, (c) Euros, EURIBOR, and (d) Canadian Dollars, the Term CORRA Rate, as applicable.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2" w:name="page43"/>
    <w:bookmarkEnd w:id="42"/>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Revolving Credit Loans, a Loan Notice, (b) with respect to an L/C Credit Extension, a Letter of Credit Application, and (c) with respect to a Swing Line Loan, a Swing Line Loan Notice.</w:t>
      </w:r>
    </w:p>
    <w:p>
      <w:pPr>
        <w:spacing w:after="0" w:line="174"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any participation in any Swing Line Loan and Unreimbursed Amounts that any Defaulting Lender has failed to fund that have not been reallocated to and funded by another Lender shall be deemed to be held by the Lender that is the Swing Line Lender or an L/C Issuer, as the case may be, in making such determination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this definition is subject to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the chief executive officer, president, chief financial officer, treasurer, assistant treasurer or controller of a Loan Party, or in the case of the Netherlands Designated Borrower, a signatory authorized to represent such Netherlands Designated Borrower, solely for purposes of the delivery of incumbency certificates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secretary or any assistant secretary of a Loan Party and,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 For the avoidance of doubt, the payment of interest or other amounts on (and including the settlement of any conversions of) any Permitted Convertible Indebtedness shall not constitute a Restricted Payment.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Company that is not an Unrestricted Subsidiary.</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Revolving Credit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(iii) with respect to an Alternative Currency Daily Rate Loan, each Interest Payment Date, and (iv) such additional dates as the Administrative Agent shall in good faith and reasonably determine or the Required Lenders shall in good faith and reasonably require; and (b) with respect to any Letter of Credit, each of the following: (i) each date of issuance, amendment and/or extension of a Letter of Credit denominated in an Alternative Currency, (ii) each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20"/>
          <w:szCs w:val="20"/>
          <w:color w:val="auto"/>
        </w:rPr>
        <w:t>of any payment by the applicable L/C Issuer under any Letter of Credit denominated in an Alternative Currency, (iii) in the case of all Existing Letters of Credit denominated in Alternative Currencies, the Closing Date and (iv) such additional dates as the Administrative Agent or any L/C Issuer shall in good faith and reasonably determine or the Required Lenders shall in good faith and reasonably require.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Borrowing</w:t>
      </w:r>
      <w:r>
        <w:rPr>
          <w:rFonts w:ascii="Times New Roman" w:cs="Times New Roman" w:eastAsia="Times New Roman" w:hAnsi="Times New Roman"/>
          <w:sz w:val="20"/>
          <w:szCs w:val="20"/>
          <w:color w:val="auto"/>
        </w:rPr>
        <w:t xml:space="preserve">” means a borrowing consisting of simultaneous Revolving Credit Loans of the same Type, in the same currency and, in the case of Term SOFR Loans and Alternative Currency Term Rate Loans, having the same Interest Period made by each of the Lenders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Lender at any time, the aggregate principal amount at such time of its outstanding Revolving Credit Loans and such Lender’s participations in L/C Obligations and Swing Line Loans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Rupees</w:t>
      </w:r>
      <w:r>
        <w:rPr>
          <w:rFonts w:ascii="Times New Roman" w:cs="Times New Roman" w:eastAsia="Times New Roman" w:hAnsi="Times New Roman"/>
          <w:sz w:val="20"/>
          <w:szCs w:val="20"/>
          <w:color w:val="auto"/>
        </w:rPr>
        <w:t>” means the lawful currency of India.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international economic sanction administered or enforced by the United States Government (including without limitation, OFAC), the United Nations Security Council, the European Union, any Member State of the European Union, His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the Hong Kong Monetary Authority or other relevant sanctions authority.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that is entered into by and between any Loan Party and any Cash Management Bank.</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means any Swap Contract permitted hereunder that is entered into by and between any Loan Party and any Hedge Bank.</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Issuers, the Hedge Banks, the Cash Management Banks, the PSLOC Banks,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and the other Persons the Obligations owing to which are or are purported to be secured by the Collateral under the terms of the Collateral Documents.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Permitted Standalone Letter of Credit</w:t>
      </w:r>
      <w:r>
        <w:rPr>
          <w:rFonts w:ascii="Times New Roman" w:cs="Times New Roman" w:eastAsia="Times New Roman" w:hAnsi="Times New Roman"/>
          <w:sz w:val="20"/>
          <w:szCs w:val="20"/>
          <w:color w:val="auto"/>
        </w:rPr>
        <w:t xml:space="preserve">” means any Permitted Standalone Letter of Credit specifically designated as such to the Administrative Agent in writing by the Company and the relevant PSLOC Bank as a “Secured Permitted Standalone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Permitted Standalone Letter of Credit be a Secured Permitted Standalone Letter of Credit if it is secured by Liens permitted by </w:t>
      </w:r>
      <w:r>
        <w:rPr>
          <w:rFonts w:ascii="Times New Roman" w:cs="Times New Roman" w:eastAsia="Times New Roman" w:hAnsi="Times New Roman"/>
          <w:sz w:val="20"/>
          <w:szCs w:val="20"/>
          <w:u w:val="single" w:color="auto"/>
          <w:color w:val="auto"/>
        </w:rPr>
        <w:t>Section 7.01(k)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4" w:name="page45"/>
    <w:bookmarkEnd w:id="44"/>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Agreements</w:t>
      </w:r>
      <w:r>
        <w:rPr>
          <w:rFonts w:ascii="Times New Roman" w:cs="Times New Roman" w:eastAsia="Times New Roman" w:hAnsi="Times New Roman"/>
          <w:sz w:val="20"/>
          <w:szCs w:val="20"/>
          <w:color w:val="auto"/>
        </w:rPr>
        <w:t>” means, collectively, (a) the Third Amended and Restated Security Agreement (the “</w:t>
      </w:r>
      <w:r>
        <w:rPr>
          <w:rFonts w:ascii="Times New Roman" w:cs="Times New Roman" w:eastAsia="Times New Roman" w:hAnsi="Times New Roman"/>
          <w:sz w:val="20"/>
          <w:szCs w:val="20"/>
          <w:u w:val="single" w:color="auto"/>
          <w:color w:val="auto"/>
        </w:rPr>
        <w:t>U.S. Security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the date hereof, made by the Company and certain other Loan Parties in favor of the Administrative Agent for the benefit of the Secured Parties specified therein, (b) the Netherlands Security Documents, and (c) any other security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Security Joinder Agreements.</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Joinder Agreement</w:t>
      </w:r>
      <w:r>
        <w:rPr>
          <w:rFonts w:ascii="Times New Roman" w:cs="Times New Roman" w:eastAsia="Times New Roman" w:hAnsi="Times New Roman"/>
          <w:sz w:val="20"/>
          <w:szCs w:val="20"/>
          <w:color w:val="auto"/>
        </w:rPr>
        <w:t>” means each Security Joinder Agreement, substantially in the form thereof attached to a Security Agreement, executed and delivered by a Restricted Subsidiary to the Administrative Agent.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Business Day, SONIA means such rate that applied on the first Business Day immediately prior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per annum.</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Disposition</w:t>
      </w:r>
      <w:r>
        <w:rPr>
          <w:rFonts w:ascii="Times New Roman" w:cs="Times New Roman" w:eastAsia="Times New Roman" w:hAnsi="Times New Roman"/>
          <w:sz w:val="20"/>
          <w:szCs w:val="20"/>
          <w:color w:val="auto"/>
        </w:rPr>
        <w:t>” means any disposition of all or substantially all of the assets or Equity Interests of any Subsidiary of the Company or any division, business unit, product line or line of business.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Existing Capital Leases</w:t>
      </w:r>
      <w:r>
        <w:rPr>
          <w:rFonts w:ascii="Times New Roman" w:cs="Times New Roman" w:eastAsia="Times New Roman" w:hAnsi="Times New Roman"/>
          <w:sz w:val="20"/>
          <w:szCs w:val="20"/>
          <w:color w:val="auto"/>
        </w:rPr>
        <w:t xml:space="preserve">” means those Capitalized Leases described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Transactions</w:t>
      </w:r>
      <w:r>
        <w:rPr>
          <w:rFonts w:ascii="Times New Roman" w:cs="Times New Roman" w:eastAsia="Times New Roman" w:hAnsi="Times New Roman"/>
          <w:sz w:val="20"/>
          <w:szCs w:val="20"/>
          <w:color w:val="auto"/>
        </w:rPr>
        <w:t>” means (a) any Specified Disposition and (b) any Permitted Acquisition.</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6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collectively, the Subsidiaries party to a Subsidiary Guaranty (including by execution of a Subsidiary Guaranty Joinder Agreement).</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Guaranties</w:t>
      </w:r>
      <w:r>
        <w:rPr>
          <w:rFonts w:ascii="Times New Roman" w:cs="Times New Roman" w:eastAsia="Times New Roman" w:hAnsi="Times New Roman"/>
          <w:sz w:val="20"/>
          <w:szCs w:val="20"/>
          <w:color w:val="auto"/>
        </w:rPr>
        <w:t>” means, collectively, (a) the Third Amended and Restated Subsidiary Guaranty Agreement (the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 dated as of the date hereof, made by certain Restricted Subsidiaries of the Company in favor of the Administrative Agent for the benefit of the Secured Parties specified therein and (b) any other subsidiary guaranty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Subsidiary Guaranty Joinder Agreements.</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Guaranty Joinder Agreement</w:t>
      </w:r>
      <w:r>
        <w:rPr>
          <w:rFonts w:ascii="Times New Roman" w:cs="Times New Roman" w:eastAsia="Times New Roman" w:hAnsi="Times New Roman"/>
          <w:sz w:val="20"/>
          <w:szCs w:val="20"/>
          <w:color w:val="auto"/>
        </w:rPr>
        <w:t>” means each Subsidiary Guaranty Joinder Agreement, substantially in the form thereof attached to a Subsidiary Guaranty, executed and delivered by a Restricted Subsidiary to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 Notwithstanding the foregoing, no Permitted Bond Hedge Transaction or Permitted Warrant Transaction shall be considered a Swap Contract.</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Subsidiary Guarantor, any obligation to pay or perform under any agreement, contract or transaction that constitutes a “swap” within the meaning of</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6" w:name="page47"/>
    <w:bookmarkEnd w:id="46"/>
    <w:p>
      <w:pPr>
        <w:jc w:val="both"/>
        <w:spacing w:after="0" w:line="269" w:lineRule="auto"/>
        <w:rPr>
          <w:sz w:val="20"/>
          <w:szCs w:val="20"/>
          <w:color w:val="auto"/>
        </w:rPr>
      </w:pPr>
      <w:r>
        <w:rPr>
          <w:rFonts w:ascii="Times New Roman" w:cs="Times New Roman" w:eastAsia="Times New Roman" w:hAnsi="Times New Roman"/>
          <w:sz w:val="20"/>
          <w:szCs w:val="20"/>
          <w:color w:val="auto"/>
        </w:rPr>
        <w:t>Section 1a(47) of the Commodity Exchange Act. Notwithstanding the foregoing, no Permitted Bond Hedge Transaction or Permitted Warrant Transaction shall be considered a Swap Obligation.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Bank of America (through itself or through one of its designated Affiliates or branch offices) in its capacity as provider of Swing Line Loans, or any successor swing line lender 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if in writing,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at any time, an amount equal to the lesser of (a) $10,000,000 and (b) the Aggregate Commitments.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Swing Line Sublimit is part of, and not in addition to, the Aggregate Commitments.</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 system.</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is open for the settlement of payments in Euro.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Adjustment</w:t>
      </w:r>
      <w:r>
        <w:rPr>
          <w:rFonts w:ascii="Times New Roman" w:cs="Times New Roman" w:eastAsia="Times New Roman" w:hAnsi="Times New Roman"/>
          <w:sz w:val="20"/>
          <w:szCs w:val="20"/>
          <w:color w:val="auto"/>
        </w:rPr>
        <w:t>” means (i) 0.29547% (29.547 basis points) for an Interest Period of one-month’s duration and 0.32138% (32.138 basis points) for an Interest Period of three-months’ duration.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Rate</w:t>
      </w:r>
      <w:r>
        <w:rPr>
          <w:rFonts w:ascii="Times New Roman" w:cs="Times New Roman" w:eastAsia="Times New Roman" w:hAnsi="Times New Roman"/>
          <w:sz w:val="20"/>
          <w:szCs w:val="20"/>
          <w:color w:val="auto"/>
        </w:rPr>
        <w:t>” has the meaning specified in the definition of “Alternative Currency Term Rate.”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 for any Interest Period with respect to a Term SOFR Loan, the rate per annum equal to the Term SOFR Screen Rate two U.S. Government Securities Business Days prior to the</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7" w:name="page48"/>
    <w:bookmarkEnd w:id="4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Term SOFR determined in accordance with the foregoing provisions of this definition would otherwise be less than zero, Term SOFR shall be deemed zero for purposes of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the definition of Term SOFR.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date as of which all of the following shall have occurred: (a) the Aggregate Commitments have terminated, (b) 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(c) all Letters of Credit and Secured Permitted Standalone Letters of Credit have terminated or expired (other than Letters of Credit or Secured Permitted Standalone Letters of Credit as to which other arrangements with respect thereto reasonably satisfactory to the Administrative Agent and the L/C Issuers or the applicable PSLOC Bank, as applicable, shall have been made).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$10,000,000.</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and Revolving Credit Exposure of such Lender at such time.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Credit Outstandings</w:t>
      </w:r>
      <w:r>
        <w:rPr>
          <w:rFonts w:ascii="Times New Roman" w:cs="Times New Roman" w:eastAsia="Times New Roman" w:hAnsi="Times New Roman"/>
          <w:sz w:val="20"/>
          <w:szCs w:val="20"/>
          <w:color w:val="auto"/>
        </w:rPr>
        <w:t>” means the aggregate Outstanding Amount of all Revolving Credit Loans, Swing Line Loans and L/C Obligations.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Management Agreement</w:t>
      </w:r>
      <w:r>
        <w:rPr>
          <w:rFonts w:ascii="Times New Roman" w:cs="Times New Roman" w:eastAsia="Times New Roman" w:hAnsi="Times New Roman"/>
          <w:sz w:val="20"/>
          <w:szCs w:val="20"/>
          <w:color w:val="auto"/>
        </w:rPr>
        <w:t>” means any treasury management services, autoborrow, sweep or similar agreement entered into between the Company and the Swing Line Lender from time to time.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Loan, its character as a Base Rate Loan, a Daily Simple SOFR Loan, a Term SOFR Loan, an Alternative Currency Daily Rate Loan or an Alternative Currency Term Rate Loan.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means the Uniform Commercial Code as in effect in the State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the Uniform Customs and Practice for Documentary Credits, International Chamber of Commerce Publication No.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600 (or such later version thereof as may be in effect at the applicable time).</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subject to IFPRU 11.6 of the FCA Handbook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8" w:name="page49"/>
    <w:bookmarkEnd w:id="48"/>
    <w:p>
      <w:pPr>
        <w:jc w:val="both"/>
        <w:spacing w:after="0" w:line="269" w:lineRule="auto"/>
        <w:rPr>
          <w:sz w:val="20"/>
          <w:szCs w:val="20"/>
          <w:color w:val="auto"/>
        </w:rPr>
      </w:pPr>
      <w:r>
        <w:rPr>
          <w:rFonts w:ascii="Times New Roman" w:cs="Times New Roman" w:eastAsia="Times New Roman" w:hAnsi="Times New Roman"/>
          <w:sz w:val="20"/>
          <w:szCs w:val="20"/>
          <w:color w:val="auto"/>
        </w:rPr>
        <w:t>promulgated by the United Kingdom Financial Conduct Authority, which includes certain credit institutions and investment firms, and certain affiliates of such credit institutions or investment firms.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any Subsidiary that has been designated as an “Unrestricted Subsidiary”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and has not been re-designated as a Restricted Subsidiary in accordance with such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As of the Closing Date, each of PPS, Effox-Flextor-Mader Inc., Flextor, Inc. and General Rubber LLC are Unrestricted Subsidiaries.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Borrowers</w:t>
      </w:r>
      <w:r>
        <w:rPr>
          <w:rFonts w:ascii="Times New Roman" w:cs="Times New Roman" w:eastAsia="Times New Roman" w:hAnsi="Times New Roman"/>
          <w:sz w:val="20"/>
          <w:szCs w:val="20"/>
          <w:color w:val="auto"/>
        </w:rPr>
        <w:t>” means, collectively, the Company and each Designated Borrower that is a Domestic Subsidiary (other than a Domestic Subsidiary of the type described in clause (b) or (c) of the definition of Foreign Subsidiary).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Loan Party</w:t>
      </w:r>
      <w:r>
        <w:rPr>
          <w:rFonts w:ascii="Times New Roman" w:cs="Times New Roman" w:eastAsia="Times New Roman" w:hAnsi="Times New Roman"/>
          <w:sz w:val="20"/>
          <w:szCs w:val="20"/>
          <w:color w:val="auto"/>
        </w:rPr>
        <w:t>” means, collectively, each U.S. Borrower and each other Loan Party that is a Domestic Subsidiary (other than a Domestic Subsidiary of the type described in clause (b) or (c) of the definition of Foreign Subsidiary).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Pledge Agreement</w:t>
      </w:r>
      <w:r>
        <w:rPr>
          <w:rFonts w:ascii="Times New Roman" w:cs="Times New Roman" w:eastAsia="Times New Roman" w:hAnsi="Times New Roman"/>
          <w:sz w:val="20"/>
          <w:szCs w:val="20"/>
          <w:color w:val="auto"/>
        </w:rPr>
        <w:t>” has the meaning specified in the definition of Pledge Agreements.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Security Agreement</w:t>
      </w:r>
      <w:r>
        <w:rPr>
          <w:rFonts w:ascii="Times New Roman" w:cs="Times New Roman" w:eastAsia="Times New Roman" w:hAnsi="Times New Roman"/>
          <w:sz w:val="20"/>
          <w:szCs w:val="20"/>
          <w:color w:val="auto"/>
        </w:rPr>
        <w:t>” has the meaning specified in the definition of Security Agreements.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Subsidiary Guaranty</w:t>
      </w:r>
      <w:r>
        <w:rPr>
          <w:rFonts w:ascii="Times New Roman" w:cs="Times New Roman" w:eastAsia="Times New Roman" w:hAnsi="Times New Roman"/>
          <w:sz w:val="20"/>
          <w:szCs w:val="20"/>
          <w:color w:val="auto"/>
        </w:rPr>
        <w:t>” has the meaning specified in the definition of Subsidiary Guaranties.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and the Administrative Agent.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9" w:name="page50"/>
    <w:bookmarkEnd w:id="49"/>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1.02 Other Interpretive Provisions. </w:t>
      </w:r>
      <w:r>
        <w:rPr>
          <w:rFonts w:ascii="Times New Roman" w:cs="Times New Roman" w:eastAsia="Times New Roman" w:hAnsi="Times New Roman"/>
          <w:sz w:val="20"/>
          <w:szCs w:val="20"/>
          <w:color w:val="auto"/>
        </w:rPr>
        <w:t>With reference to this Agreement and each other Loan Document, unless otherwise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or in such other Loan Document:</w:t>
      </w:r>
    </w:p>
    <w:p>
      <w:pPr>
        <w:spacing w:after="0" w:line="156" w:lineRule="exact"/>
        <w:rPr>
          <w:sz w:val="20"/>
          <w:szCs w:val="20"/>
          <w:color w:val="auto"/>
        </w:rPr>
      </w:pPr>
    </w:p>
    <w:p>
      <w:pPr>
        <w:jc w:val="both"/>
        <w:ind w:left="380" w:firstLine="751"/>
        <w:spacing w:after="0" w:line="255" w:lineRule="auto"/>
        <w:tabs>
          <w:tab w:leader="none" w:pos="152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9"/>
          <w:szCs w:val="19"/>
          <w:u w:val="single" w:color="auto"/>
          <w:color w:val="auto"/>
        </w:rPr>
        <w:t>include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includes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including</w:t>
      </w:r>
      <w:r>
        <w:rPr>
          <w:rFonts w:ascii="Times New Roman" w:cs="Times New Roman" w:eastAsia="Times New Roman" w:hAnsi="Times New Roman"/>
          <w:sz w:val="19"/>
          <w:szCs w:val="19"/>
          <w:color w:val="auto"/>
        </w:rPr>
        <w:t>” shall be deemed to be followed by the phrase “without limitation.” The word “</w:t>
      </w:r>
      <w:r>
        <w:rPr>
          <w:rFonts w:ascii="Times New Roman" w:cs="Times New Roman" w:eastAsia="Times New Roman" w:hAnsi="Times New Roman"/>
          <w:sz w:val="19"/>
          <w:szCs w:val="19"/>
          <w:u w:val="single" w:color="auto"/>
          <w:color w:val="auto"/>
        </w:rPr>
        <w:t>will</w:t>
      </w:r>
      <w:r>
        <w:rPr>
          <w:rFonts w:ascii="Times New Roman" w:cs="Times New Roman" w:eastAsia="Times New Roman" w:hAnsi="Times New Roman"/>
          <w:sz w:val="19"/>
          <w:szCs w:val="19"/>
          <w:color w:val="auto"/>
        </w:rPr>
        <w:t>” shall be construed to have the same meaning and effect as the word “</w:t>
      </w:r>
      <w:r>
        <w:rPr>
          <w:rFonts w:ascii="Times New Roman" w:cs="Times New Roman" w:eastAsia="Times New Roman" w:hAnsi="Times New Roman"/>
          <w:sz w:val="19"/>
          <w:szCs w:val="19"/>
          <w:u w:val="single" w:color="auto"/>
          <w:color w:val="auto"/>
        </w:rPr>
        <w:t>shall</w:t>
      </w:r>
      <w:r>
        <w:rPr>
          <w:rFonts w:ascii="Times New Roman" w:cs="Times New Roman" w:eastAsia="Times New Roman" w:hAnsi="Times New Roman"/>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9"/>
          <w:szCs w:val="19"/>
          <w:u w:val="single" w:color="auto"/>
          <w:color w:val="auto"/>
        </w:rPr>
        <w:t>hereto</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hereof</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hereunder</w:t>
      </w:r>
      <w:r>
        <w:rPr>
          <w:rFonts w:ascii="Times New Roman" w:cs="Times New Roman" w:eastAsia="Times New Roman" w:hAnsi="Times New Roman"/>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19"/>
          <w:szCs w:val="19"/>
          <w:u w:val="single" w:color="auto"/>
          <w:color w:val="auto"/>
        </w:rPr>
        <w:t>asset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property</w:t>
      </w:r>
      <w:r>
        <w:rPr>
          <w:rFonts w:ascii="Times New Roman" w:cs="Times New Roman" w:eastAsia="Times New Roman" w:hAnsi="Times New Roman"/>
          <w:sz w:val="19"/>
          <w:szCs w:val="19"/>
          <w:color w:val="auto"/>
        </w:rPr>
        <w:t>” shall be construed to have the same meaning and effect and to refer to any and all tangible and intangible assets and properties, including cash, securities, accounts and contract rights.</w:t>
      </w:r>
    </w:p>
    <w:p>
      <w:pPr>
        <w:spacing w:after="0" w:line="176" w:lineRule="exact"/>
        <w:rPr>
          <w:rFonts w:ascii="Times New Roman" w:cs="Times New Roman" w:eastAsia="Times New Roman" w:hAnsi="Times New Roman"/>
          <w:sz w:val="19"/>
          <w:szCs w:val="19"/>
          <w:color w:val="auto"/>
        </w:rPr>
      </w:pPr>
    </w:p>
    <w:p>
      <w:pPr>
        <w:ind w:left="380" w:firstLine="751"/>
        <w:spacing w:after="0" w:line="269" w:lineRule="auto"/>
        <w:tabs>
          <w:tab w:leader="none" w:pos="15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1.03 Accounting Terms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4" w:lineRule="auto"/>
        <w:tabs>
          <w:tab w:leader="none" w:pos="152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50" w:name="page51"/>
    <w:bookmarkEnd w:id="50"/>
    <w:p>
      <w:pPr>
        <w:jc w:val="both"/>
        <w:ind w:left="380" w:right="20"/>
        <w:spacing w:after="0" w:line="249" w:lineRule="auto"/>
        <w:rPr>
          <w:sz w:val="20"/>
          <w:szCs w:val="20"/>
          <w:color w:val="auto"/>
        </w:rPr>
      </w:pPr>
      <w:r>
        <w:rPr>
          <w:rFonts w:ascii="Times New Roman" w:cs="Times New Roman" w:eastAsia="Times New Roman" w:hAnsi="Times New Roman"/>
          <w:sz w:val="20"/>
          <w:szCs w:val="20"/>
          <w:color w:val="auto"/>
        </w:rPr>
        <w:t>be disregarded. For the avoidance of doubt, and without limitation of the foregoing, Permitted Convertible Indebtedness shall at all times prior to the repurchase, conversion (or exchange, as the case may be) or payment thereof be valued at the full stated principal amount thereof and shall not include any reduction or appreciation in value of the shares and/or cash deliverable upon conversion thereof (or exchange therefor, as the case may be).</w:t>
      </w:r>
    </w:p>
    <w:p>
      <w:pPr>
        <w:spacing w:after="0" w:line="180" w:lineRule="exact"/>
        <w:rPr>
          <w:sz w:val="20"/>
          <w:szCs w:val="20"/>
          <w:color w:val="auto"/>
        </w:rPr>
      </w:pPr>
    </w:p>
    <w:p>
      <w:pPr>
        <w:jc w:val="both"/>
        <w:ind w:left="380" w:firstLine="751"/>
        <w:spacing w:after="0" w:line="243" w:lineRule="auto"/>
        <w:tabs>
          <w:tab w:leader="none" w:pos="156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1.04 Rounding. </w:t>
      </w:r>
      <w:r>
        <w:rPr>
          <w:rFonts w:ascii="Times New Roman" w:cs="Times New Roman" w:eastAsia="Times New Roman" w:hAnsi="Times New Roman"/>
          <w:sz w:val="20"/>
          <w:szCs w:val="20"/>
          <w:color w:val="auto"/>
        </w:rPr>
        <w:t>Any financial ratios required to be maintained by the Company pursuant to this Agreement shall be calculated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1.05 Times of Day. </w:t>
      </w:r>
      <w:r>
        <w:rPr>
          <w:rFonts w:ascii="Times New Roman" w:cs="Times New Roman" w:eastAsia="Times New Roman" w:hAnsi="Times New Roman"/>
          <w:sz w:val="20"/>
          <w:szCs w:val="20"/>
          <w:color w:val="auto"/>
        </w:rPr>
        <w:t>Unless otherwise specified, all references herein to times of day shall be references to Eastern time (daylight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standard, as applicable).</w:t>
      </w:r>
    </w:p>
    <w:p>
      <w:pPr>
        <w:spacing w:after="0" w:line="15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1.06 Letter of Credit Amounts. </w:t>
      </w:r>
      <w:r>
        <w:rPr>
          <w:rFonts w:ascii="Times New Roman" w:cs="Times New Roman" w:eastAsia="Times New Roman" w:hAnsi="Times New Roman"/>
          <w:sz w:val="20"/>
          <w:szCs w:val="20"/>
          <w:color w:val="auto"/>
        </w:rPr>
        <w:t>Unless otherwise specified herein, the amount of a Letter of Credit at any time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1.07 Adjustments for Specified Transactions. </w:t>
      </w:r>
      <w:r>
        <w:rPr>
          <w:rFonts w:ascii="Times New Roman" w:cs="Times New Roman" w:eastAsia="Times New Roman" w:hAnsi="Times New Roman"/>
          <w:sz w:val="20"/>
          <w:szCs w:val="20"/>
          <w:color w:val="auto"/>
        </w:rPr>
        <w:t>For each four-quarter period ending next following the date of any Specified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for purposes of determining the Consolidated Net Leverage Ratio and the Consolidated Secured Net Leverage Ratio, Consolidated EBITDA shall be computed as if such Specified Transaction (and all other Specified Transactions that have been consummated during the applicable period) occurred as of the first day of the applicable period of measurement and:</w:t>
      </w:r>
    </w:p>
    <w:p>
      <w:pPr>
        <w:spacing w:after="0" w:line="180" w:lineRule="exact"/>
        <w:rPr>
          <w:sz w:val="20"/>
          <w:szCs w:val="20"/>
          <w:color w:val="auto"/>
        </w:rPr>
      </w:pPr>
    </w:p>
    <w:p>
      <w:pPr>
        <w:jc w:val="both"/>
        <w:ind w:left="380" w:firstLine="751"/>
        <w:spacing w:after="0" w:line="246" w:lineRule="auto"/>
        <w:tabs>
          <w:tab w:leader="none" w:pos="152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1" w:name="page52"/>
    <w:bookmarkEnd w:id="51"/>
    <w:p>
      <w:pPr>
        <w:ind w:left="380" w:right="40" w:firstLine="751"/>
        <w:spacing w:after="0" w:line="269" w:lineRule="auto"/>
        <w:tabs>
          <w:tab w:leader="none" w:pos="152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non-recurring costs, extraordinary expenses and other pro forma adjustments attributable to such transaction may be included to the extent that such costs, expenses or adjustments:</w:t>
      </w:r>
    </w:p>
    <w:p>
      <w:pPr>
        <w:spacing w:after="0" w:line="159" w:lineRule="exact"/>
        <w:rPr>
          <w:rFonts w:ascii="Times New Roman" w:cs="Times New Roman" w:eastAsia="Times New Roman" w:hAnsi="Times New Roman"/>
          <w:sz w:val="20"/>
          <w:szCs w:val="20"/>
          <w:color w:val="auto"/>
        </w:rPr>
      </w:pPr>
    </w:p>
    <w:p>
      <w:pPr>
        <w:ind w:left="1140" w:right="20" w:firstLine="740"/>
        <w:spacing w:after="0" w:line="269" w:lineRule="auto"/>
        <w:tabs>
          <w:tab w:leader="none" w:pos="228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reasonably expected to be realized within twelve (12) months of such Specified Transaction as set forth in reasonable detail on a certificate of a Responsible Officer of the Company delivered to the Administrative Agent; and</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calculated on a basis consistent with GAAP and Regulation S-X of the Securities Exchange Act of 1934;</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costs, expenses and adjustments shall be without duplication of any costs, expenses or adjustments that are already included in the calculation of Consolidated EBITDA or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For the avoidance of doubt, other pro forma adjustments shall not include any revenue synergies expected to be realized for any Specified Transaction.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1.08 Exchange Rates; Currency Equivalents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5" w:lineRule="auto"/>
        <w:tabs>
          <w:tab w:leader="none" w:pos="152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applicable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Revolving Credit Borrowing, conversion, continuation or prepayment of an Alternative Currency Loan or the issuance, amendment or extension of a Letter of Credit, an amount, such as a required minimum or multiple amount, is expressed in Dollars, but such Revolving Credit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1.09 Additional Alternative Currencies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4" w:lineRule="auto"/>
        <w:tabs>
          <w:tab w:leader="none" w:pos="152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time-to-time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the Lenders; and in the case of any such request with respect to the issuance of Letters of Credit, such request shall be subject to the approval of the Administrative Agent and at least one of the L/C Issuers (it being acknowledged and agreed that no L/C Issuer shall be obligated to issue any Letter of Credit denominated in a currency requested by the Company pursuant to this </w:t>
      </w:r>
      <w:r>
        <w:rPr>
          <w:rFonts w:ascii="Times New Roman" w:cs="Times New Roman" w:eastAsia="Times New Roman" w:hAnsi="Times New Roman"/>
          <w:sz w:val="20"/>
          <w:szCs w:val="20"/>
          <w:u w:val="single" w:color="auto"/>
          <w:color w:val="auto"/>
        </w:rPr>
        <w:t>Section 1.09(a)</w:t>
      </w:r>
      <w:r>
        <w:rPr>
          <w:rFonts w:ascii="Times New Roman" w:cs="Times New Roman" w:eastAsia="Times New Roman" w:hAnsi="Times New Roman"/>
          <w:sz w:val="20"/>
          <w:szCs w:val="20"/>
          <w:color w:val="auto"/>
        </w:rPr>
        <w:t xml:space="preserve"> if such currency has not been approved by such L/C Issuer).</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Issuers, in its or their sole discretion). In the case of any such request pertaining to Alternative Currency Loans, the Administrative Agent shall promptly notify each Lender thereof; and in the case of any such request pertaining to Letters of Credit, the Administrative Agent shall promptly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2" w:name="page53"/>
    <w:bookmarkEnd w:id="52"/>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notify the L/C Issuers thereof. Each Lender (in the case of any such request pertaining to Alternative Currency Loans) or each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80" w:lineRule="exact"/>
        <w:rPr>
          <w:sz w:val="20"/>
          <w:szCs w:val="20"/>
          <w:color w:val="auto"/>
        </w:rPr>
      </w:pPr>
    </w:p>
    <w:p>
      <w:pPr>
        <w:jc w:val="both"/>
        <w:ind w:left="80" w:firstLine="751"/>
        <w:spacing w:after="0" w:line="241" w:lineRule="auto"/>
        <w:tabs>
          <w:tab w:leader="none" w:pos="122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Lender or an L/C Issuer, as the case may be, to respond to such request within the time period specified in the last sentence of </w:t>
      </w:r>
      <w:r>
        <w:rPr>
          <w:rFonts w:ascii="Times New Roman" w:cs="Times New Roman" w:eastAsia="Times New Roman" w:hAnsi="Times New Roman"/>
          <w:sz w:val="20"/>
          <w:szCs w:val="20"/>
          <w:u w:val="single" w:color="auto"/>
          <w:color w:val="auto"/>
        </w:rPr>
        <w:t>Section 1.09(b)</w:t>
      </w:r>
      <w:r>
        <w:rPr>
          <w:rFonts w:ascii="Times New Roman" w:cs="Times New Roman" w:eastAsia="Times New Roman" w:hAnsi="Times New Roman"/>
          <w:sz w:val="20"/>
          <w:szCs w:val="20"/>
          <w:color w:val="auto"/>
        </w:rPr>
        <w:t xml:space="preserve"> shall be deemed to be a refusal by such Lender or such L/C Issuer, as the case may be, to permit Alternative Currency Loans to be made or Letters of Credit to be issued in such requested currency. If the Administrative Agent and all the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Revolving Credit Borrowings of Alternative Currency Loans. If the Administrative Agent and at least one of the L/C Issuers consent to the issuance of Letters of Credit in such requested currency, the Administrative Agent shall so notify the Company and (iii) pursuant to the terms hereof, the Administrative Agent and the L/C Issuers may amend the definition of Alternative Currency Daily Rate or Alternative Currency Term Rate, as applicable, to the extent necessary to add the applicable rate for such currency and any applicable adjustment for such rate and (iv)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by the consenting L/C Issuers.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the Administrative Agent shall promptly so notify the Company.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1.10 Change of Currency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line="243" w:lineRule="auto"/>
        <w:tabs>
          <w:tab w:leader="none" w:pos="122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189"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reasonably specify to be appropriate to reflect the adoption of the Euro by any member state of the European Union and any relevant market conventions or practices relating to the Euro.</w:t>
      </w:r>
    </w:p>
    <w:p>
      <w:pPr>
        <w:spacing w:after="0" w:line="174" w:lineRule="exact"/>
        <w:rPr>
          <w:rFonts w:ascii="Times New Roman" w:cs="Times New Roman" w:eastAsia="Times New Roman" w:hAnsi="Times New Roman"/>
          <w:sz w:val="20"/>
          <w:szCs w:val="20"/>
          <w:color w:val="auto"/>
        </w:rPr>
      </w:pPr>
    </w:p>
    <w:p>
      <w:pPr>
        <w:ind w:left="80" w:right="20" w:firstLine="751"/>
        <w:spacing w:after="0" w:line="269" w:lineRule="auto"/>
        <w:tabs>
          <w:tab w:leader="none" w:pos="122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53" w:name="page54"/>
    <w:bookmarkEnd w:id="53"/>
    <w:p>
      <w:pPr>
        <w:ind w:left="380"/>
        <w:spacing w:after="0"/>
        <w:rPr>
          <w:sz w:val="20"/>
          <w:szCs w:val="20"/>
          <w:color w:val="auto"/>
        </w:rPr>
      </w:pPr>
      <w:r>
        <w:rPr>
          <w:rFonts w:ascii="Times New Roman" w:cs="Times New Roman" w:eastAsia="Times New Roman" w:hAnsi="Times New Roman"/>
          <w:sz w:val="20"/>
          <w:szCs w:val="20"/>
          <w:color w:val="auto"/>
        </w:rPr>
        <w:t>change in currency of any other country and any relevant market conventions or practices relating to the change in currency.</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1.11 Interest Rates; Licensing</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55" w:lineRule="auto"/>
        <w:tabs>
          <w:tab w:leader="none" w:pos="1525"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9" w:lineRule="exact"/>
        <w:rPr>
          <w:rFonts w:ascii="Times New Roman" w:cs="Times New Roman" w:eastAsia="Times New Roman" w:hAnsi="Times New Roman"/>
          <w:sz w:val="19"/>
          <w:szCs w:val="19"/>
          <w:color w:val="auto"/>
        </w:rPr>
      </w:pPr>
    </w:p>
    <w:p>
      <w:pPr>
        <w:jc w:val="both"/>
        <w:ind w:left="380" w:firstLine="751"/>
        <w:spacing w:after="0" w:line="254" w:lineRule="auto"/>
        <w:tabs>
          <w:tab w:leader="none" w:pos="1525"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agreeing to make Loans under this Agreement, each Lender is confirming it has all licenses, permits and approvals necessary for use of the reference rates referred to herein and it will do all things necessary to comply, preserve, renew and keep in full force and such licenses, permits and approvals.</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1.12 Limited Condition Acquisitions </w:t>
      </w:r>
      <w:r>
        <w:rPr>
          <w:rFonts w:ascii="Times New Roman" w:cs="Times New Roman" w:eastAsia="Times New Roman" w:hAnsi="Times New Roman"/>
          <w:sz w:val="20"/>
          <w:szCs w:val="20"/>
          <w:color w:val="auto"/>
        </w:rPr>
        <w:t>. In the event that the Company notifies the Administrative Agent in writing that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proposed Acquisition is a Limited Condition Acquisition and that the Borrower wishes to test the conditions to such Acquisition and the Indebtedness (other than any Indebtedness arising under the revolving credit facility provided pursuant to the Aggregate Commitments, including any increase thereto contemplated hereby) that is to be used to finance such Acquisition in accordance with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then, so long as agreed to by the Administrative Agent and the lenders providing such Indebtedness, the following provisions shall apply:</w:t>
      </w:r>
    </w:p>
    <w:p>
      <w:pPr>
        <w:spacing w:after="0" w:line="184" w:lineRule="exact"/>
        <w:rPr>
          <w:sz w:val="20"/>
          <w:szCs w:val="20"/>
          <w:color w:val="auto"/>
        </w:rPr>
      </w:pPr>
    </w:p>
    <w:p>
      <w:pPr>
        <w:jc w:val="both"/>
        <w:ind w:left="380" w:firstLine="751"/>
        <w:spacing w:after="0" w:line="244" w:lineRule="auto"/>
        <w:tabs>
          <w:tab w:leader="none" w:pos="152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Limited Condition Acquisition or such Indebtedness that requires that no Default or Event of Default shall have occurred and be continuing at the time of such Limited Condition Acquisition or the incurrence of such Indebtedness, shall be satisfied if (i) no Default or Event of Default shall have occurred and be continuing at the time of the execution of the definitive purchase agreement, merger agreement or other acquisition agreement governing such Limited Condition Acquisition (the “</w:t>
      </w:r>
      <w:r>
        <w:rPr>
          <w:rFonts w:ascii="Times New Roman" w:cs="Times New Roman" w:eastAsia="Times New Roman" w:hAnsi="Times New Roman"/>
          <w:sz w:val="20"/>
          <w:szCs w:val="20"/>
          <w:u w:val="single" w:color="auto"/>
          <w:color w:val="auto"/>
        </w:rPr>
        <w:t>LCA Test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xml:space="preserve">”) and (ii) no Event of Default under any of </w:t>
      </w:r>
      <w:r>
        <w:rPr>
          <w:rFonts w:ascii="Times New Roman" w:cs="Times New Roman" w:eastAsia="Times New Roman" w:hAnsi="Times New Roman"/>
          <w:sz w:val="20"/>
          <w:szCs w:val="20"/>
          <w:u w:val="single" w:color="auto"/>
          <w:color w:val="auto"/>
        </w:rPr>
        <w:t>Section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8.01(g)</w:t>
      </w:r>
      <w:r>
        <w:rPr>
          <w:rFonts w:ascii="Times New Roman" w:cs="Times New Roman" w:eastAsia="Times New Roman" w:hAnsi="Times New Roman"/>
          <w:sz w:val="20"/>
          <w:szCs w:val="20"/>
          <w:color w:val="auto"/>
        </w:rPr>
        <w:t xml:space="preserve"> shall have occurred and be continuing both immediately before and immediately after giving effect to such Limited Condition Acquisition and any Indebtedness incurred in connection therewith (including any such additional Indebtedness);</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to such Limited Condition Acquisition or such Indebtedness that the representations and warranties in this Agreement and the other Loan Documents shall be true and correct at the time of consummation of such Limited Condition Acquisition or the incurrence of such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4" w:name="page55"/>
    <w:bookmarkEnd w:id="54"/>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Indebtedness shall be deemed satisfied if (i) all representations and warranties in this Agreement and the other Loan Documents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 (ii) as of the date of consummation of such Limited Condition Acquisition, (A) the representations and warranties under the relevant definitive agreement governing such Limited Condition Acquisition as are material to the lenders providing such Indebtedness shall be true and correct, but only to the extent that the Company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87" w:lineRule="exact"/>
        <w:rPr>
          <w:sz w:val="20"/>
          <w:szCs w:val="20"/>
          <w:color w:val="auto"/>
        </w:rPr>
      </w:pPr>
    </w:p>
    <w:p>
      <w:pPr>
        <w:jc w:val="both"/>
        <w:ind w:left="380" w:firstLine="751"/>
        <w:spacing w:after="0" w:line="243" w:lineRule="auto"/>
        <w:tabs>
          <w:tab w:leader="none" w:pos="1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 test or condition to be tested in connection with such Limited Condition Acquisition and the availability of such Indebtedness will be tested as of the LCA Test Date, in each case, after giving effect to the relevant Limited Condition Acquisition and related incurrence of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Consolidated EBITDA of the Company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2" w:lineRule="auto"/>
        <w:tabs>
          <w:tab w:leader="none" w:pos="152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(i) on a pro forma basis assuming such Limited Condition Acquisition and other transactions in connection therewith (including the incurrence or assumption of Indebtedness) have been consummated and (ii) assuming such Limited Condition Acquisition and other transactions in connection therewith (including the incurrence or assumption of Indebtedness) have not been consummated. Notwithstanding the foregoing, any calculation of a ratio in connection with determining the Applicable Rate and determining whether or not the Company is in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shall, in each case be calculated assuming such Limited Condition Acquisition and other transactions in connection therewith (including the incurrence or assumption of Indebtedness) have not been consummated.</w:t>
      </w:r>
    </w:p>
    <w:p>
      <w:pPr>
        <w:spacing w:after="0" w:line="19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foregoing provisions shall apply with similar effect during the pendency of multiple Limited Condition Acquisitions such that each of the possible scenarios is separately tested.</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19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2.01 Revolving Credit Borrowings. </w:t>
      </w:r>
      <w:r>
        <w:rPr>
          <w:rFonts w:ascii="Times New Roman" w:cs="Times New Roman" w:eastAsia="Times New Roman" w:hAnsi="Times New Roman"/>
          <w:sz w:val="20"/>
          <w:szCs w:val="20"/>
          <w:color w:val="auto"/>
        </w:rPr>
        <w:t>Subject to the terms and conditions set forth herein, each Lender severally agrees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loans (each such loan, a “</w:t>
      </w:r>
      <w:r>
        <w:rPr>
          <w:rFonts w:ascii="Times New Roman" w:cs="Times New Roman" w:eastAsia="Times New Roman" w:hAnsi="Times New Roman"/>
          <w:sz w:val="20"/>
          <w:szCs w:val="20"/>
          <w:u w:val="single" w:color="auto"/>
          <w:color w:val="auto"/>
        </w:rPr>
        <w:t>Revolving Credit Loan</w:t>
      </w:r>
      <w:r>
        <w:rPr>
          <w:rFonts w:ascii="Times New Roman" w:cs="Times New Roman" w:eastAsia="Times New Roman" w:hAnsi="Times New Roman"/>
          <w:sz w:val="20"/>
          <w:szCs w:val="20"/>
          <w:color w:val="auto"/>
        </w:rPr>
        <w:t xml:space="preserve">”) to the Borrowers, in Dollars or in one or more Alternative Currencies,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Revolving Credit Borrowing, (i) the Total Revolving Credit Outstandings shall not exceed the Aggregate Commitments, (ii) the Revolving Credit Exposure of any Lender shall not exceed such Lender’s Commitment, (iii) the aggregate Outstanding Amount of all Revolving Credit Loans made to Designated Borrowers that are not U.S. Borrowers shall not exceed the Designated Non-U.S. Borrower Sublimit and (iv) the aggregate Outstanding Amount of all Revolving Credit Loans denominated in Alternative Currencies shall not exceed the Alternative Currency Sublimit. Within the limits of each Lender’s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Revolving Credit Loans may be Base Rate Loans, Daily Simple SOFR Loans, Term SOFR Loans, Alternative Currency Daily Rate Loans or Alternative Currency Term Rate Loans, as further provided herein.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2.02 Borrowings, Conversions and Continuations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tabs>
          <w:tab w:leader="none" w:pos="152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Credit Borrowing, each conversion of Loans from one Type to the other, and each continuation of Term SOFR Loans or Alternative Currency Term Rate Loans shall be made upon the Company’s irrevocable notice to the Administrative Agent, which may be given by: (A) telephone or (B) a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Administrative Agent of a Loan Notice. Each such notice must be received by the Administrative Agent not later than 11:00 a.m. (i) two Business Days prior to the requested date of any Revolving Credit Borrowing of, conversion to or continuation of Term SOFR Loans denominated in Dollars or of any conversion of Term SOFR Loans denominated in Dollars to Base Rate Loans, (ii) one Business Day prior to the requested date of any Revolving Credit Borrowing of, or conversion to, Daily Simple SOFR Loans denominated in Dollars or of any conversion of Daily Simple SOFR Loans denominated in Dollars to Base Rate Loans, (iii) three Business Days (or five Business Days in the case of a Special Notice Currency) prior to the requested date of any Revolving Credit Borrowing or, in the case of Alternative Currency Term Rate Loans, continuation of Alternative Currency Loans and (iv) on the requested date of any Revolving Credit Borrowing of Base Rate Loans. Each telephonic notice by the Company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2.02(a)</w:t>
      </w:r>
      <w:r>
        <w:rPr>
          <w:rFonts w:ascii="Times New Roman" w:cs="Times New Roman" w:eastAsia="Times New Roman" w:hAnsi="Times New Roman"/>
          <w:sz w:val="20"/>
          <w:szCs w:val="20"/>
          <w:color w:val="auto"/>
        </w:rPr>
        <w:t xml:space="preserve"> must be confirmed promptly by delivery to the Administrative Agent of a written Loan Notice, appropriately completed and signed by a Responsible Officer of the Company. Each Revolving Credit Borrowing of, or conversion to Daily Simple SOFR Loans, and each Revolving Credit Borrowing of, conversion to or continuation of Term SOFR Loans or Alternative Currency Loans shall be in a principal amount of the Dollar Equivalent of $1,000,000 or a whole multiple of the Dollar Equivalent of $1,000,000 in excess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each Revolving Credit Borrowing of or conversion to Base Rate Loans shall be in a principal amount of the Dollar Equivalent of $500,000 or a whole multiple of the Dollar Equivalent of $100,000 in excess thereof. Each Loan Notice (whether telephonic or written) shall specify (i) whether the Company is requesting a Revolving Credit Borrowing, a conversion of Revolving Credit Loans from one Type to the other, or a continuation of Term SOFR Loans or Alternative Currency Term Rate Loans, (ii) the requested date of the Revolving Credit Borrowing, conversion or continuation, as the case may be (which shall be a Business Day), (iii) the principal amount of Loans to be borrowed, converted or continued, (iv) the Type of Loans to be borrowed or to which existing Revolving Credit Loans are to be converted, (v) if applicable, the duration of the Interest Period with respect thereto, (vi) if applicable, the currency of the Revolving Credit Loans to be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56" w:name="page57"/>
    <w:bookmarkEnd w:id="56"/>
    <w:p>
      <w:pPr>
        <w:jc w:val="both"/>
        <w:ind w:left="80"/>
        <w:spacing w:after="0" w:line="242" w:lineRule="auto"/>
        <w:rPr>
          <w:sz w:val="20"/>
          <w:szCs w:val="20"/>
          <w:color w:val="auto"/>
        </w:rPr>
      </w:pPr>
      <w:r>
        <w:rPr>
          <w:rFonts w:ascii="Times New Roman" w:cs="Times New Roman" w:eastAsia="Times New Roman" w:hAnsi="Times New Roman"/>
          <w:sz w:val="20"/>
          <w:szCs w:val="20"/>
          <w:color w:val="auto"/>
        </w:rPr>
        <w:t xml:space="preserve">borrowed, and (vii) if applicable, the Designated Borrower. If the Company fails to specify a currency in a Loan Notice requesting a Revolving Credit Borrowing, then the Revolving Credit Loans so requested shall be made in Dollars. If the Company fails to specify a Type of Loan in a Loan Notice or if the Company fails to give a timely notice requesting a conversion or continuation, then the applicable Revolving Credit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case of a failure to timely request a continuation of Alternative Currency Term Rate Loans, such Loans shall be continued as Alternative Currency Term Rate Loans in their original currency with an Interest Period of one month. Any such automatic conversion to Base Rate Loans shall be effective as of the last day of the Interest Period then in effect with respect to the applicable Term SOFR Loans. If the Company requests a Revolving Credit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Times New Roman" w:cs="Times New Roman" w:eastAsia="Times New Roman" w:hAnsi="Times New Roman"/>
          <w:sz w:val="20"/>
          <w:szCs w:val="20"/>
          <w:u w:val="single" w:color="auto"/>
          <w:color w:val="auto"/>
        </w:rPr>
        <w:t>Sections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3.03</w:t>
      </w:r>
      <w:r>
        <w:rPr>
          <w:rFonts w:ascii="Times New Roman" w:cs="Times New Roman" w:eastAsia="Times New Roman" w:hAnsi="Times New Roman"/>
          <w:sz w:val="20"/>
          <w:szCs w:val="20"/>
          <w:color w:val="auto"/>
        </w:rPr>
        <w:t>, no Revolving Credit Loan may be converted into or continued as a Revolving Credit Loan denominated in a different currency, but instead must be prepaid in the original currency of such Revolving Credit Loan and reborrowed in the other currency.</w:t>
      </w:r>
    </w:p>
    <w:p>
      <w:pPr>
        <w:spacing w:after="0" w:line="187" w:lineRule="exact"/>
        <w:rPr>
          <w:sz w:val="20"/>
          <w:szCs w:val="20"/>
          <w:color w:val="auto"/>
        </w:rPr>
      </w:pPr>
    </w:p>
    <w:p>
      <w:pPr>
        <w:jc w:val="both"/>
        <w:ind w:left="80" w:firstLine="751"/>
        <w:spacing w:after="0" w:line="241" w:lineRule="auto"/>
        <w:tabs>
          <w:tab w:leader="none" w:pos="122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Loan Notice, the Administrative Agent shall promptly notify each Lender of the amount (and, if applicable, the currency) of its Applicable Percentage of the applicable Loans, and if no timely notice of a conversion or continuation is provided by the Company, the Administrative Agent shall notify each Lender of the details of any automatic conversion to Base Rate Loans or continuation of Alternative Currency Term Rate Loans, in each case as described in the preceding subsection. In the case of a Revolving Credit Borrowing, each Lender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Revolving Credit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Revolving Credit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on the date a Loan Notice with respect to a Revolving Credit Borrowing is given by the Company, there are L/C Borrowings outstanding, then the proceeds of such Revolving Credit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applicable Borrower as provided above.</w:t>
      </w:r>
    </w:p>
    <w:p>
      <w:pPr>
        <w:spacing w:after="0" w:line="193" w:lineRule="exact"/>
        <w:rPr>
          <w:rFonts w:ascii="Times New Roman" w:cs="Times New Roman" w:eastAsia="Times New Roman" w:hAnsi="Times New Roman"/>
          <w:sz w:val="20"/>
          <w:szCs w:val="20"/>
          <w:color w:val="auto"/>
        </w:rPr>
      </w:pPr>
    </w:p>
    <w:p>
      <w:pPr>
        <w:jc w:val="both"/>
        <w:ind w:left="80" w:firstLine="751"/>
        <w:spacing w:after="0" w:line="244" w:lineRule="auto"/>
        <w:tabs>
          <w:tab w:leader="none" w:pos="122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each of a Term SOFR Loan and an Alternative Currency Term Rate Loan may be continued or converted only on the last day of an Interest Period for such Loan. During the existence of an Event of Default, no Loans may be requested as, or converted to Daily Simple SOFR Loans or Alternative Currency Daily Rate Loans or requested as, converted to or continued as Term SOFR Loans or Alternative Currency Term Rate Loans, as applicable (whether in Dollars or any Alternative Currency) without the consent of the Required Lenders, and unless otherwise consented by the Required Lenders all of the then outstanding Alternative Currency Term Rate Loans shall be redenominated into Dollars in the amount of the Dollar Equivalent thereof and converted into Base Rate Loans on the last day of the then current Interest Period with respect thereto.</w:t>
      </w:r>
    </w:p>
    <w:p>
      <w:pPr>
        <w:spacing w:after="0" w:line="185" w:lineRule="exact"/>
        <w:rPr>
          <w:rFonts w:ascii="Times New Roman" w:cs="Times New Roman" w:eastAsia="Times New Roman" w:hAnsi="Times New Roman"/>
          <w:sz w:val="20"/>
          <w:szCs w:val="20"/>
          <w:color w:val="auto"/>
        </w:rPr>
      </w:pPr>
    </w:p>
    <w:p>
      <w:pPr>
        <w:ind w:left="80" w:right="40" w:firstLine="751"/>
        <w:spacing w:after="0" w:line="269" w:lineRule="auto"/>
        <w:tabs>
          <w:tab w:leader="none" w:pos="122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Company and the Lenders of the interest rate applicable to any Interest Period for Term SOFR Loans or Alternative Currency Term Rate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57" w:name="page58"/>
    <w:bookmarkEnd w:id="57"/>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74" w:lineRule="exact"/>
        <w:rPr>
          <w:sz w:val="20"/>
          <w:szCs w:val="20"/>
          <w:color w:val="auto"/>
        </w:rPr>
      </w:pPr>
    </w:p>
    <w:p>
      <w:pPr>
        <w:jc w:val="both"/>
        <w:ind w:left="80" w:firstLine="751"/>
        <w:spacing w:after="0" w:line="254" w:lineRule="auto"/>
        <w:tabs>
          <w:tab w:leader="none" w:pos="122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Revolving Credit Borrowings, all conversions of Revolving Credit Loans from one Type to the other, and all continuations of Revolving Credit Loans as the same Type, there shall not be more than ten Interest Periods in effect with respect to Revolving Credit Loans.</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Alternative Currency Daily Rate, Alternative Currency Term Rate, SOFR, Daily Simple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2.03 Letters of Credit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220" w:hanging="389"/>
        <w:spacing w:after="0"/>
        <w:tabs>
          <w:tab w:leader="none" w:pos="12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(A) each L/C Issuer agrees, in reliance upon the agreements of the Lenders set forth in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(1) from time to time on any Business Day during the period from the Closing Date until the Letter of Credit Expiration Date, to issue Letters of Credit denominated in Dollars or in one or more Alternative Currencies applicable to such L/C Issuer, for the account of the Company or its Restricted Subsidiaries, and to amend or extend Letters of Credit previously issued by it, in accordance with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below, and (2) to honor drawings under the Letters of Credit; and (B) the Lenders severally agree to participate in Letters of Credit issued for the account of the Company or its Restricted Subsidiaries and any drawings thereunder;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after giving effect to any L/C Credit Extension with respect to any Letter of Credit, (w) the aggregate amount of the outstanding Letters of Credit issued by any L/C Issuer shall not exceed its L/C Commitment, (x) the Total Revolving Credit Outstandings shall not exceed the Aggregate Commitments, (y) the Revolving Credit Exposure of any Lender shall not exceed such Lender’s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58" w:name="page59"/>
    <w:bookmarkEnd w:id="58"/>
    <w:p>
      <w:pPr>
        <w:jc w:val="both"/>
        <w:ind w:left="840" w:firstLine="740"/>
        <w:spacing w:after="0" w:line="246" w:lineRule="auto"/>
        <w:tabs>
          <w:tab w:leader="none" w:pos="19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issue any Letter of Credit if the expiry date of the requested Letter of Credit would occur after the Letter of Credit Expiration Date, unless (A) all the Lenders and the applicable L/C Issuer have approved such expiry date or (B) at the time of issuance thereof, the Company shall agree to provide Cash Collateral for such Letter of Credit in an amount of at least 103% of the face amount thereof on or prior to the date that is 91 days prior to the Letter of Credit Expiration Date.</w:t>
      </w:r>
    </w:p>
    <w:p>
      <w:pPr>
        <w:spacing w:after="0" w:line="184" w:lineRule="exact"/>
        <w:rPr>
          <w:rFonts w:ascii="Times New Roman" w:cs="Times New Roman" w:eastAsia="Times New Roman" w:hAnsi="Times New Roman"/>
          <w:sz w:val="20"/>
          <w:szCs w:val="20"/>
          <w:color w:val="auto"/>
        </w:rPr>
      </w:pPr>
    </w:p>
    <w:p>
      <w:pPr>
        <w:ind w:left="1980" w:hanging="400"/>
        <w:spacing w:after="0"/>
        <w:tabs>
          <w:tab w:leader="none" w:pos="19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issue any Letter of Credit if:</w:t>
      </w:r>
    </w:p>
    <w:p>
      <w:pPr>
        <w:spacing w:after="0" w:line="215" w:lineRule="exact"/>
        <w:rPr>
          <w:rFonts w:ascii="Times New Roman" w:cs="Times New Roman" w:eastAsia="Times New Roman" w:hAnsi="Times New Roman"/>
          <w:sz w:val="20"/>
          <w:szCs w:val="20"/>
          <w:color w:val="auto"/>
        </w:rPr>
      </w:pPr>
    </w:p>
    <w:p>
      <w:pPr>
        <w:jc w:val="both"/>
        <w:ind w:left="1580" w:firstLine="748"/>
        <w:spacing w:after="0" w:line="243"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that was not applicable on the Closing Date and that such L/C Issuer in good faith deems material to it;</w:t>
      </w:r>
    </w:p>
    <w:p>
      <w:pPr>
        <w:spacing w:after="0" w:line="189" w:lineRule="exact"/>
        <w:rPr>
          <w:rFonts w:ascii="Times New Roman" w:cs="Times New Roman" w:eastAsia="Times New Roman" w:hAnsi="Times New Roman"/>
          <w:sz w:val="20"/>
          <w:szCs w:val="20"/>
          <w:color w:val="auto"/>
        </w:rPr>
      </w:pPr>
    </w:p>
    <w:p>
      <w:pPr>
        <w:ind w:left="1580" w:right="20" w:firstLine="748"/>
        <w:spacing w:after="0" w:line="269"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such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1580" w:firstLine="748"/>
        <w:spacing w:after="0" w:line="269"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L/C Issuer, such Letter of Credit is in an initial stated amount less than $25,000;</w:t>
      </w:r>
    </w:p>
    <w:p>
      <w:pPr>
        <w:spacing w:after="0" w:line="159" w:lineRule="exact"/>
        <w:rPr>
          <w:rFonts w:ascii="Times New Roman" w:cs="Times New Roman" w:eastAsia="Times New Roman" w:hAnsi="Times New Roman"/>
          <w:sz w:val="20"/>
          <w:szCs w:val="20"/>
          <w:color w:val="auto"/>
        </w:rPr>
      </w:pPr>
    </w:p>
    <w:p>
      <w:pPr>
        <w:ind w:left="1580" w:right="20" w:firstLine="748"/>
        <w:spacing w:after="0" w:line="269"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is to be denominated in a currency other than Dollars or an Alternative Currency applicable to such L/C Issuer;</w:t>
      </w:r>
    </w:p>
    <w:p>
      <w:pPr>
        <w:spacing w:after="0" w:line="159" w:lineRule="exact"/>
        <w:rPr>
          <w:rFonts w:ascii="Times New Roman" w:cs="Times New Roman" w:eastAsia="Times New Roman" w:hAnsi="Times New Roman"/>
          <w:sz w:val="20"/>
          <w:szCs w:val="20"/>
          <w:color w:val="auto"/>
        </w:rPr>
      </w:pPr>
    </w:p>
    <w:p>
      <w:pPr>
        <w:ind w:left="1580" w:right="20" w:firstLine="748"/>
        <w:spacing w:after="0" w:line="269"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L/C Issuer does not as of the issuance date of the requested Letter of Credit issue letters of credit in the requested currency;</w:t>
      </w:r>
    </w:p>
    <w:p>
      <w:pPr>
        <w:spacing w:after="0" w:line="159" w:lineRule="exact"/>
        <w:rPr>
          <w:rFonts w:ascii="Times New Roman" w:cs="Times New Roman" w:eastAsia="Times New Roman" w:hAnsi="Times New Roman"/>
          <w:sz w:val="20"/>
          <w:szCs w:val="20"/>
          <w:color w:val="auto"/>
        </w:rPr>
      </w:pPr>
    </w:p>
    <w:p>
      <w:pPr>
        <w:jc w:val="both"/>
        <w:ind w:left="1580" w:firstLine="748"/>
        <w:spacing w:after="0" w:line="245"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the L/C Issuers have entered into arrangements, including the delivery of Cash Collateral, satisfactory to the L/C Issuers (in their sole discretion) with the Company or such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Issuers have actual or potential Fronting Exposure, as they may elect in their sole discretion;</w:t>
      </w:r>
    </w:p>
    <w:p>
      <w:pPr>
        <w:spacing w:after="0" w:line="184" w:lineRule="exact"/>
        <w:rPr>
          <w:rFonts w:ascii="Times New Roman" w:cs="Times New Roman" w:eastAsia="Times New Roman" w:hAnsi="Times New Roman"/>
          <w:sz w:val="20"/>
          <w:szCs w:val="20"/>
          <w:color w:val="auto"/>
        </w:rPr>
      </w:pPr>
    </w:p>
    <w:p>
      <w:pPr>
        <w:ind w:left="1580" w:firstLine="748"/>
        <w:spacing w:after="0" w:line="269"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2.03(b)(iii)</w:t>
      </w:r>
      <w:r>
        <w:rPr>
          <w:rFonts w:ascii="Times New Roman" w:cs="Times New Roman" w:eastAsia="Times New Roman" w:hAnsi="Times New Roman"/>
          <w:sz w:val="20"/>
          <w:szCs w:val="20"/>
          <w:color w:val="auto"/>
        </w:rPr>
        <w:t>, the expiry date of the requested Letter of Credit would occur more than twelve months after the date of issuance or last extension; or</w:t>
      </w:r>
    </w:p>
    <w:p>
      <w:pPr>
        <w:spacing w:after="0" w:line="159" w:lineRule="exact"/>
        <w:rPr>
          <w:rFonts w:ascii="Times New Roman" w:cs="Times New Roman" w:eastAsia="Times New Roman" w:hAnsi="Times New Roman"/>
          <w:sz w:val="20"/>
          <w:szCs w:val="20"/>
          <w:color w:val="auto"/>
        </w:rPr>
      </w:pPr>
    </w:p>
    <w:p>
      <w:pPr>
        <w:ind w:left="1580" w:right="20" w:firstLine="748"/>
        <w:spacing w:after="0" w:line="269" w:lineRule="auto"/>
        <w:tabs>
          <w:tab w:leader="none" w:pos="272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ind w:left="840" w:right="20" w:firstLine="740"/>
        <w:spacing w:after="0" w:line="269" w:lineRule="auto"/>
        <w:tabs>
          <w:tab w:leader="none" w:pos="198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amend any Letter of Credit if such L/C Issuer would not be permitted at such time to issue such Letter of Credit in its amended form under the terms hereof.</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59" w:name="page60"/>
    <w:bookmarkEnd w:id="59"/>
    <w:p>
      <w:pPr>
        <w:jc w:val="both"/>
        <w:ind w:left="840" w:right="20" w:firstLine="740"/>
        <w:spacing w:after="0" w:line="254" w:lineRule="auto"/>
        <w:tabs>
          <w:tab w:leader="none" w:pos="198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L/C Issuer shall be under any obligation to amend any Letter of Credit if (A) such L/C Issuer would have no obligation at such time to issue such Letter of Credit in its amended form under the terms hereof, or (B) the beneficiary of the Letter of Credit does not accept the proposed amendment to such Letter of Credit.</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45" w:lineRule="auto"/>
        <w:tabs>
          <w:tab w:leader="none" w:pos="198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such L/C Issuer with respect to such acts or omissions, and (B) as additionally provided herein with respect to such L/C Issuer.</w:t>
      </w:r>
    </w:p>
    <w:p>
      <w:pPr>
        <w:spacing w:after="0" w:line="184"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1" w:lineRule="auto"/>
        <w:tabs>
          <w:tab w:leader="none" w:pos="198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Company delivered to the applicable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such L/C Issuer may require. Additionally, the Company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187"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84"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Lender, the Administrative Agent or any Loan Party, at least one Business Day prior to the requested date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0" w:name="page61"/>
    <w:bookmarkEnd w:id="60"/>
    <w:p>
      <w:pPr>
        <w:jc w:val="both"/>
        <w:ind w:left="840"/>
        <w:spacing w:after="0" w:line="244" w:lineRule="auto"/>
        <w:rPr>
          <w:sz w:val="20"/>
          <w:szCs w:val="20"/>
          <w:color w:val="auto"/>
        </w:rPr>
      </w:pPr>
      <w:r>
        <w:rPr>
          <w:rFonts w:ascii="Times New Roman" w:cs="Times New Roman" w:eastAsia="Times New Roman" w:hAnsi="Times New Roman"/>
          <w:sz w:val="20"/>
          <w:szCs w:val="20"/>
          <w:color w:val="auto"/>
        </w:rPr>
        <w:t xml:space="preserve">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such L/C Issuer shall, on the requested date, issue a Letter of Credit for the account of the Company (or the applicable Restricted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the product of such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186" w:lineRule="exact"/>
        <w:rPr>
          <w:sz w:val="20"/>
          <w:szCs w:val="20"/>
          <w:color w:val="auto"/>
        </w:rPr>
      </w:pPr>
    </w:p>
    <w:p>
      <w:pPr>
        <w:jc w:val="both"/>
        <w:ind w:left="840" w:firstLine="740"/>
        <w:spacing w:after="0" w:line="255" w:lineRule="auto"/>
        <w:tabs>
          <w:tab w:leader="none" w:pos="1984"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Company so requests in any applicable Letter of Credit Application, each L/C Issuer may, in its sole and absolute discretion, agree to issue a Letter of Credit that has automatic extension provisions (each, an “</w:t>
      </w:r>
      <w:r>
        <w:rPr>
          <w:rFonts w:ascii="Times New Roman" w:cs="Times New Roman" w:eastAsia="Times New Roman" w:hAnsi="Times New Roman"/>
          <w:sz w:val="19"/>
          <w:szCs w:val="19"/>
          <w:u w:val="single" w:color="auto"/>
          <w:color w:val="auto"/>
        </w:rPr>
        <w:t>Auto-Extension Letter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of Credit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9"/>
          <w:szCs w:val="19"/>
          <w:u w:val="single" w:color="auto"/>
          <w:color w:val="auto"/>
        </w:rPr>
        <w:t>Non-Extension Notice Date</w:t>
      </w:r>
      <w:r>
        <w:rPr>
          <w:rFonts w:ascii="Times New Roman" w:cs="Times New Roman" w:eastAsia="Times New Roman" w:hAnsi="Times New Roman"/>
          <w:sz w:val="19"/>
          <w:szCs w:val="19"/>
          <w:color w:val="auto"/>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Lenders shall be deemed to have authorized (but may not require) the applicable L/C Issuer to permit the extension of such Letter of Credit at any time to an expiry date not later than the Letter of Credit Expiration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L/C Issuer shall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2.03(a)</w:t>
      </w:r>
      <w:r>
        <w:rPr>
          <w:rFonts w:ascii="Times New Roman" w:cs="Times New Roman" w:eastAsia="Times New Roman" w:hAnsi="Times New Roman"/>
          <w:sz w:val="19"/>
          <w:szCs w:val="19"/>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Company that one or more of the applicable conditions specified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is not then satisfied, and in each such case directing such L/C Issuer not to permit such extension.</w:t>
      </w:r>
    </w:p>
    <w:p>
      <w:pPr>
        <w:spacing w:after="0" w:line="173" w:lineRule="exact"/>
        <w:rPr>
          <w:rFonts w:ascii="Times New Roman" w:cs="Times New Roman" w:eastAsia="Times New Roman" w:hAnsi="Times New Roman"/>
          <w:sz w:val="19"/>
          <w:szCs w:val="19"/>
          <w:color w:val="auto"/>
        </w:rPr>
      </w:pPr>
    </w:p>
    <w:p>
      <w:pPr>
        <w:jc w:val="both"/>
        <w:ind w:left="840" w:firstLine="740"/>
        <w:spacing w:after="0" w:line="254" w:lineRule="auto"/>
        <w:tabs>
          <w:tab w:leader="none" w:pos="1984"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174"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3" w:lineRule="auto"/>
        <w:tabs>
          <w:tab w:leader="none" w:pos="198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applicable L/C Issuer shall promptly notify the Company and the Administrative Agent thereof. In the case of a Letter of Credit denominated in an Alternative Currency, the Company shall reimburse the applicable L/C Issuer in such Alternative Currency, unless (A) such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1" w:name="page62"/>
    <w:bookmarkEnd w:id="61"/>
    <w:p>
      <w:pPr>
        <w:jc w:val="both"/>
        <w:ind w:left="840"/>
        <w:spacing w:after="0"/>
        <w:rPr>
          <w:sz w:val="20"/>
          <w:szCs w:val="20"/>
          <w:color w:val="auto"/>
        </w:rPr>
      </w:pPr>
      <w:r>
        <w:rPr>
          <w:rFonts w:ascii="Times New Roman" w:cs="Times New Roman" w:eastAsia="Times New Roman" w:hAnsi="Times New Roman"/>
          <w:sz w:val="20"/>
          <w:szCs w:val="20"/>
          <w:color w:val="auto"/>
        </w:rPr>
        <w:t>Company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such L/C Issuer under a Letter of Credit to be reimbursed in an Alternative Currency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it being understood that unless otherwise agreed by the applicable L/C Issuer and the Company in any instance, such L/C Issuer will notify the Company of the applicable Honor Date by the Business Day immediately prior to such Honor Date), the Company shall reimburse such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If the Company fails to so reimburse the applicable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Lender’s Applicable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Aggregate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Loan Notice). Any notice given by the applicable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205" w:lineRule="exact"/>
        <w:rPr>
          <w:sz w:val="20"/>
          <w:szCs w:val="20"/>
          <w:color w:val="auto"/>
        </w:rPr>
      </w:pPr>
    </w:p>
    <w:p>
      <w:pPr>
        <w:jc w:val="both"/>
        <w:ind w:left="840" w:firstLine="740"/>
        <w:spacing w:after="0" w:line="244" w:lineRule="auto"/>
        <w:tabs>
          <w:tab w:leader="none" w:pos="198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upon any notice pursuant to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each Lender that so makes funds available shall be deemed to have made a Base Rate Revolving Credit Loan to the Company in such amount. The Administrative Agent shall remit the funds so received to the applicable L/C Issuer in Dollars.</w:t>
      </w:r>
    </w:p>
    <w:p>
      <w:pPr>
        <w:spacing w:after="0" w:line="185" w:lineRule="exact"/>
        <w:rPr>
          <w:rFonts w:ascii="Times New Roman" w:cs="Times New Roman" w:eastAsia="Times New Roman" w:hAnsi="Times New Roman"/>
          <w:sz w:val="20"/>
          <w:szCs w:val="20"/>
          <w:color w:val="auto"/>
        </w:rPr>
      </w:pPr>
    </w:p>
    <w:p>
      <w:pPr>
        <w:jc w:val="both"/>
        <w:ind w:left="840" w:firstLine="740"/>
        <w:spacing w:after="0" w:line="259" w:lineRule="auto"/>
        <w:tabs>
          <w:tab w:leader="none" w:pos="198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Times New Roman" w:cs="Times New Roman" w:eastAsia="Times New Roman" w:hAnsi="Times New Roman"/>
          <w:sz w:val="19"/>
          <w:szCs w:val="19"/>
          <w:u w:val="single" w:color="auto"/>
          <w:color w:val="auto"/>
        </w:rPr>
        <w:t>Section 2.03(c)(ii)</w:t>
      </w:r>
      <w:r>
        <w:rPr>
          <w:rFonts w:ascii="Times New Roman" w:cs="Times New Roman" w:eastAsia="Times New Roman" w:hAnsi="Times New Roman"/>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2" w:name="page63"/>
    <w:bookmarkEnd w:id="62"/>
    <w:p>
      <w:pPr>
        <w:jc w:val="both"/>
        <w:ind w:left="840" w:firstLine="740"/>
        <w:spacing w:after="0" w:line="254" w:lineRule="auto"/>
        <w:tabs>
          <w:tab w:leader="none" w:pos="198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Lender funds its Revolving Credit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applicable L/C Issuer for any amount drawn under any Letter of Credit, interest in respect of such Lender’s Applicable Percentage of such amount shall be solely for the account of such L/C Issuer.</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58" w:lineRule="auto"/>
        <w:tabs>
          <w:tab w:leader="none" w:pos="1984"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Lender’s obligation to make Revolving Credit Loans or L/C Advances to reimburse the applicable L/C Issuer for amounts drawn under Letters of Credit, as contemplated by this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shall be absolute and unconditional and shall not be affected by any circumstance, including (A) any setoff, counterclaim, recoupment, defense or other right which such Lender may have against such L/C Issuer, the Company, any Subsidiary or any other Person for any reason whatsoever;</w:t>
      </w:r>
    </w:p>
    <w:p>
      <w:pPr>
        <w:jc w:val="both"/>
        <w:ind w:left="840" w:hanging="9"/>
        <w:spacing w:after="0"/>
        <w:tabs>
          <w:tab w:leader="none" w:pos="116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Credit Loans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Company of a Loan Notice). No such making of an L/C Advance shall relieve or otherwise impair the obligation of the Company to reimburse the applicable L/C Issuer for the amount of any payment made by such L/C Issuer under any Letter of Credit, together with interest as provided herein.</w:t>
      </w:r>
    </w:p>
    <w:p>
      <w:pPr>
        <w:spacing w:after="0" w:line="191" w:lineRule="exact"/>
        <w:rPr>
          <w:rFonts w:ascii="Times New Roman" w:cs="Times New Roman" w:eastAsia="Times New Roman" w:hAnsi="Times New Roman"/>
          <w:sz w:val="20"/>
          <w:szCs w:val="20"/>
          <w:color w:val="auto"/>
        </w:rPr>
      </w:pPr>
    </w:p>
    <w:p>
      <w:pPr>
        <w:jc w:val="both"/>
        <w:ind w:left="840" w:firstLine="740"/>
        <w:spacing w:after="0" w:line="242" w:lineRule="auto"/>
        <w:tabs>
          <w:tab w:leader="none" w:pos="19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applicable L/C Issuer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shall be conclusive (including within the meaning of section 151 Dutch Code of Civil Procedure) absent manifest error.</w:t>
      </w:r>
    </w:p>
    <w:p>
      <w:pPr>
        <w:spacing w:after="0" w:line="187" w:lineRule="exact"/>
        <w:rPr>
          <w:sz w:val="20"/>
          <w:szCs w:val="20"/>
          <w:color w:val="auto"/>
        </w:rPr>
      </w:pPr>
    </w:p>
    <w:p>
      <w:pPr>
        <w:ind w:left="1220" w:hanging="389"/>
        <w:spacing w:after="0"/>
        <w:tabs>
          <w:tab w:leader="none" w:pos="12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5" w:lineRule="auto"/>
        <w:tabs>
          <w:tab w:leader="none" w:pos="19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an L/C Issuer has made a payment under any Letter of Credit and has received from any Lender such Lender’s L/C Advance in respect of such payment in accordance with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84" w:lineRule="exact"/>
        <w:rPr>
          <w:rFonts w:ascii="Times New Roman" w:cs="Times New Roman" w:eastAsia="Times New Roman" w:hAnsi="Times New Roman"/>
          <w:sz w:val="20"/>
          <w:szCs w:val="20"/>
          <w:color w:val="auto"/>
        </w:rPr>
      </w:pPr>
    </w:p>
    <w:p>
      <w:pPr>
        <w:jc w:val="both"/>
        <w:ind w:left="840" w:firstLine="740"/>
        <w:spacing w:after="0" w:line="249" w:lineRule="auto"/>
        <w:tabs>
          <w:tab w:leader="none" w:pos="19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any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such L/C Issuer in its discretion), each Lender shall pay to the Administrative Agent for the account of such L/C Issuer its Applicable Percentage thereof on demand of the Administrative Agent, plus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3" w:name="page64"/>
    <w:bookmarkEnd w:id="63"/>
    <w:p>
      <w:pPr>
        <w:jc w:val="both"/>
        <w:ind w:left="840" w:right="20"/>
        <w:spacing w:after="0" w:line="254" w:lineRule="auto"/>
        <w:rPr>
          <w:sz w:val="20"/>
          <w:szCs w:val="20"/>
          <w:color w:val="auto"/>
        </w:rPr>
      </w:pPr>
      <w:r>
        <w:rPr>
          <w:rFonts w:ascii="Times New Roman" w:cs="Times New Roman" w:eastAsia="Times New Roman" w:hAnsi="Times New Roman"/>
          <w:sz w:val="20"/>
          <w:szCs w:val="20"/>
          <w:color w:val="auto"/>
        </w:rPr>
        <w:t>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74" w:lineRule="exact"/>
        <w:rPr>
          <w:sz w:val="20"/>
          <w:szCs w:val="20"/>
          <w:color w:val="auto"/>
        </w:rPr>
      </w:pPr>
    </w:p>
    <w:p>
      <w:pPr>
        <w:jc w:val="both"/>
        <w:ind w:left="80" w:firstLine="751"/>
        <w:spacing w:after="0" w:line="254" w:lineRule="auto"/>
        <w:tabs>
          <w:tab w:leader="none" w:pos="12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Company to reimburse each L/C Issuer for each drawing under each Letter of Credit made by such L/C Issuer and to repay each L/C Borrowing shall be absolute, unconditional and irrevocable, and shall be paid strictly in accordance with the terms of this Agreement under all circumstances, including the following:</w:t>
      </w:r>
    </w:p>
    <w:p>
      <w:pPr>
        <w:spacing w:after="0" w:line="174" w:lineRule="exact"/>
        <w:rPr>
          <w:rFonts w:ascii="Times New Roman" w:cs="Times New Roman" w:eastAsia="Times New Roman" w:hAnsi="Times New Roman"/>
          <w:sz w:val="20"/>
          <w:szCs w:val="20"/>
          <w:color w:val="auto"/>
        </w:rPr>
      </w:pPr>
    </w:p>
    <w:p>
      <w:pPr>
        <w:ind w:left="1980" w:hanging="400"/>
        <w:spacing w:after="0"/>
        <w:tabs>
          <w:tab w:leader="none" w:pos="19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840" w:right="20" w:firstLine="740"/>
        <w:spacing w:after="0" w:line="254" w:lineRule="auto"/>
        <w:tabs>
          <w:tab w:leader="none" w:pos="19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4" w:lineRule="exact"/>
        <w:rPr>
          <w:rFonts w:ascii="Times New Roman" w:cs="Times New Roman" w:eastAsia="Times New Roman" w:hAnsi="Times New Roman"/>
          <w:sz w:val="20"/>
          <w:szCs w:val="20"/>
          <w:color w:val="auto"/>
        </w:rPr>
      </w:pPr>
    </w:p>
    <w:p>
      <w:pPr>
        <w:ind w:left="840" w:firstLine="740"/>
        <w:spacing w:after="0" w:line="269" w:lineRule="auto"/>
        <w:tabs>
          <w:tab w:leader="none" w:pos="19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any L/C Issuer of any requirement that exists for such L/C Issuer’s protection and not the protection of the Company or any waiver by any L/C Issuer which does not in fact materially prejudice the Company;</w:t>
      </w:r>
    </w:p>
    <w:p>
      <w:pPr>
        <w:spacing w:after="0" w:line="159" w:lineRule="exact"/>
        <w:rPr>
          <w:rFonts w:ascii="Times New Roman" w:cs="Times New Roman" w:eastAsia="Times New Roman" w:hAnsi="Times New Roman"/>
          <w:sz w:val="20"/>
          <w:szCs w:val="20"/>
          <w:color w:val="auto"/>
        </w:rPr>
      </w:pPr>
    </w:p>
    <w:p>
      <w:pPr>
        <w:ind w:left="840" w:firstLine="740"/>
        <w:spacing w:after="0" w:line="269" w:lineRule="auto"/>
        <w:tabs>
          <w:tab w:leader="none" w:pos="19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 be in the form of a draft;</w:t>
      </w:r>
    </w:p>
    <w:p>
      <w:pPr>
        <w:spacing w:after="0" w:line="159"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4" w:lineRule="exact"/>
        <w:rPr>
          <w:rFonts w:ascii="Times New Roman" w:cs="Times New Roman" w:eastAsia="Times New Roman" w:hAnsi="Times New Roman"/>
          <w:sz w:val="20"/>
          <w:szCs w:val="20"/>
          <w:color w:val="auto"/>
        </w:rPr>
      </w:pPr>
    </w:p>
    <w:p>
      <w:pPr>
        <w:ind w:left="840" w:right="20" w:firstLine="740"/>
        <w:spacing w:after="0" w:line="269" w:lineRule="auto"/>
        <w:tabs>
          <w:tab w:leader="none" w:pos="23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Company or any Subsidiary or in the relevant currency markets generally; or</w:t>
      </w:r>
    </w:p>
    <w:p>
      <w:pPr>
        <w:spacing w:after="0" w:line="159" w:lineRule="exact"/>
        <w:rPr>
          <w:rFonts w:ascii="Times New Roman" w:cs="Times New Roman" w:eastAsia="Times New Roman" w:hAnsi="Times New Roman"/>
          <w:sz w:val="20"/>
          <w:szCs w:val="20"/>
          <w:color w:val="auto"/>
        </w:rPr>
      </w:pPr>
    </w:p>
    <w:p>
      <w:pPr>
        <w:ind w:left="840" w:right="20" w:firstLine="740"/>
        <w:spacing w:after="0" w:line="269" w:lineRule="auto"/>
        <w:tabs>
          <w:tab w:leader="none" w:pos="19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4" w:name="page65"/>
    <w:bookmarkEnd w:id="64"/>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the foregoing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promptly notify the applicable L/C Issuer. The Company shall be conclusively deemed to have waived any such claim against the applicable L/C Issuer and its correspondents unless such notice is given as aforesaid.</w:t>
      </w:r>
    </w:p>
    <w:p>
      <w:pPr>
        <w:spacing w:after="0" w:line="180" w:lineRule="exact"/>
        <w:rPr>
          <w:sz w:val="20"/>
          <w:szCs w:val="20"/>
          <w:color w:val="auto"/>
        </w:rPr>
      </w:pPr>
    </w:p>
    <w:p>
      <w:pPr>
        <w:jc w:val="both"/>
        <w:ind w:left="380" w:firstLine="751"/>
        <w:spacing w:after="0"/>
        <w:tabs>
          <w:tab w:leader="none" w:pos="152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Issuers</w:t>
      </w:r>
      <w:r>
        <w:rPr>
          <w:rFonts w:ascii="Times New Roman" w:cs="Times New Roman" w:eastAsia="Times New Roman" w:hAnsi="Times New Roman"/>
          <w:sz w:val="20"/>
          <w:szCs w:val="20"/>
          <w:color w:val="auto"/>
        </w:rPr>
        <w:t xml:space="preserve">. Each Lender and the Company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20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3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 Limitation of Liability</w:t>
      </w:r>
      <w:r>
        <w:rPr>
          <w:rFonts w:ascii="Times New Roman" w:cs="Times New Roman" w:eastAsia="Times New Roman" w:hAnsi="Times New Roman"/>
          <w:sz w:val="20"/>
          <w:szCs w:val="20"/>
          <w:color w:val="auto"/>
        </w:rPr>
        <w:t>. Unless otherwise expressly agreed by the applicable L/C Issuer and the Company when a Letter of Credit is issued (including any such agreement applicable to an Existing Letter of Credit), (i) the rules of the ISP shall apply to each standby Letter of Credit issued by such L/C Issuer, and (ii) the rules of the UCP shall apply to each commercial Letter of Credit issued by such L/C Issuer. Notwithstanding the foregoing, no L/C Issuer shall be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5" w:name="page66"/>
    <w:bookmarkEnd w:id="65"/>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responsible to the Company for, and no L/C Issuer’s rights and remedies against the Company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4" w:lineRule="exact"/>
        <w:rPr>
          <w:sz w:val="20"/>
          <w:szCs w:val="20"/>
          <w:color w:val="auto"/>
        </w:rPr>
      </w:pPr>
    </w:p>
    <w:p>
      <w:pPr>
        <w:jc w:val="both"/>
        <w:ind w:left="80" w:firstLine="751"/>
        <w:spacing w:after="0" w:line="242" w:lineRule="auto"/>
        <w:tabs>
          <w:tab w:leader="none" w:pos="122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Company shall pay to the Administrative Agent for the account of each Lender in accordance,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with its Applicable Percentage, in Dollars,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daily amount available to be drawn under such Letter of Credit.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Letter of Credit Fees shall be (i) due and payable on the tenth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standby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89" w:lineRule="exact"/>
        <w:rPr>
          <w:rFonts w:ascii="Times New Roman" w:cs="Times New Roman" w:eastAsia="Times New Roman" w:hAnsi="Times New Roman"/>
          <w:sz w:val="20"/>
          <w:szCs w:val="20"/>
          <w:color w:val="auto"/>
        </w:rPr>
      </w:pPr>
    </w:p>
    <w:p>
      <w:pPr>
        <w:jc w:val="both"/>
        <w:ind w:left="80" w:firstLine="751"/>
        <w:spacing w:after="0" w:line="241" w:lineRule="auto"/>
        <w:tabs>
          <w:tab w:leader="none" w:pos="123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an L/C Issuer</w:t>
      </w:r>
      <w:r>
        <w:rPr>
          <w:rFonts w:ascii="Times New Roman" w:cs="Times New Roman" w:eastAsia="Times New Roman" w:hAnsi="Times New Roman"/>
          <w:sz w:val="20"/>
          <w:szCs w:val="20"/>
          <w:color w:val="auto"/>
        </w:rPr>
        <w:t xml:space="preserve">. The Company shall pay directly to each L/C Issuer for its own account, in Dollars, a fronting fee (i) with respect to each commercial Letter of Credit issued by Bank of America in its capacity as an L/C Issuer, at the rate per annum specified in the applicable Fee Letter and payable upon the issuance thereof, (ii) with respect to any amendment of a commercial Letter of Credit issued by Bank of America in its capacity as an L/C Issuer increasing the amount and/or extending the tenor of such Letter of Credit, at the rate separately agreed between the Company and Bank of America in its capacity as an L/C Issuer, computed on the Dollar Equivalent of the amount of such increase and/or extended amount, and payable upon the effectiveness of such amendment, and (iii) with respect to each standby Letter of Credit issued by (A) Bank of America in its capacity as an L/C Issuer, at the rate per annum specified in the applicable Fee Letter to which Bank of America is a party, computed on the Dollar Equivalent of the daily amount available to be drawn under such Letter of Credit on a quarterly basis in arrears and (B) any other L/C Issuer, at a rate separately agreed between the Company and such L/C Issuer, computed on the Dollar Equivalent of the daily amount available to be drawn under such Letter of Credit on a quarterly basis in arrears. Such fronting fee described in the foregoing clause (iii)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addition, the Company shall pay directly to each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6" w:name="page67"/>
    <w:bookmarkEnd w:id="66"/>
    <w:p>
      <w:pPr>
        <w:ind w:left="80" w:firstLine="751"/>
        <w:spacing w:after="0" w:line="269" w:lineRule="auto"/>
        <w:tabs>
          <w:tab w:leader="none" w:pos="125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9" w:lineRule="exact"/>
        <w:rPr>
          <w:rFonts w:ascii="Times New Roman" w:cs="Times New Roman" w:eastAsia="Times New Roman" w:hAnsi="Times New Roman"/>
          <w:sz w:val="20"/>
          <w:szCs w:val="20"/>
          <w:color w:val="auto"/>
        </w:rPr>
      </w:pPr>
    </w:p>
    <w:p>
      <w:pPr>
        <w:jc w:val="both"/>
        <w:ind w:left="80" w:firstLine="751"/>
        <w:spacing w:after="0" w:line="243" w:lineRule="auto"/>
        <w:tabs>
          <w:tab w:leader="none" w:pos="126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Restricted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Restricted Subsidiary, the Company shall be obligated to reimburse, indemnify and compensate the applicable L/C Issuer hereunder for any and all drawings under such Letter of Credit as if such Letter of Credit had been issued solely for the account of the Company. The Company irrevocably waives any and all defenses (other than the defense that any such amounts have been paid in full) that might otherwise be available to it as a guarantor or surety of any or all of the obligations of such Restricted Subsidiaries in respect of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189"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3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Reports</w:t>
      </w:r>
      <w:r>
        <w:rPr>
          <w:rFonts w:ascii="Times New Roman" w:cs="Times New Roman" w:eastAsia="Times New Roman" w:hAnsi="Times New Roman"/>
          <w:sz w:val="20"/>
          <w:szCs w:val="20"/>
          <w:color w:val="auto"/>
        </w:rPr>
        <w:t xml:space="preserve">. For so long as any Letter of Credit issued by an L/C Issuer (other than Bank of America) is outstanding, such L/C Issuer shall deliver to the Administrative Agent on the last Business Day of each calendar month, and on each date that an L/C Credit Extension occurs with respect to any such Letter of Credit, a report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appropriately completed with the information for every outstanding Letter of Credit issued by such L/C Issuer.</w:t>
      </w:r>
    </w:p>
    <w:p>
      <w:pPr>
        <w:spacing w:after="0" w:line="179" w:lineRule="exact"/>
        <w:rPr>
          <w:rFonts w:ascii="Times New Roman" w:cs="Times New Roman" w:eastAsia="Times New Roman" w:hAnsi="Times New Roman"/>
          <w:sz w:val="20"/>
          <w:szCs w:val="20"/>
          <w:color w:val="auto"/>
        </w:rPr>
      </w:pPr>
    </w:p>
    <w:p>
      <w:pPr>
        <w:jc w:val="both"/>
        <w:ind w:left="80" w:firstLine="751"/>
        <w:spacing w:after="0" w:line="242" w:lineRule="auto"/>
        <w:tabs>
          <w:tab w:leader="none" w:pos="122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any L/C Issuer</w:t>
      </w:r>
      <w:r>
        <w:rPr>
          <w:rFonts w:ascii="Times New Roman" w:cs="Times New Roman" w:eastAsia="Times New Roman" w:hAnsi="Times New Roman"/>
          <w:sz w:val="20"/>
          <w:szCs w:val="20"/>
          <w:color w:val="auto"/>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Company shall pay all unpaid fees accrued for the account of the replaced L/C Issuer pursuant to </w:t>
      </w:r>
      <w:r>
        <w:rPr>
          <w:rFonts w:ascii="Times New Roman" w:cs="Times New Roman" w:eastAsia="Times New Roman" w:hAnsi="Times New Roman"/>
          <w:sz w:val="20"/>
          <w:szCs w:val="20"/>
          <w:u w:val="single" w:color="auto"/>
          <w:color w:val="auto"/>
        </w:rPr>
        <w:t>Section 2.03(i)</w:t>
      </w:r>
      <w:r>
        <w:rPr>
          <w:rFonts w:ascii="Times New Roman" w:cs="Times New Roman" w:eastAsia="Times New Roman" w:hAnsi="Times New Roman"/>
          <w:sz w:val="20"/>
          <w:szCs w:val="20"/>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2.04 Swing Line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line="242" w:lineRule="auto"/>
        <w:tabs>
          <w:tab w:leader="none" w:pos="1252"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Swing Line</w:t>
      </w:r>
      <w:r>
        <w:rPr>
          <w:rFonts w:ascii="Times New Roman" w:cs="Times New Roman" w:eastAsia="Times New Roman" w:hAnsi="Times New Roman"/>
          <w:sz w:val="20"/>
          <w:szCs w:val="20"/>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may in its sole discretion, make loans (each such loan, a “</w:t>
      </w:r>
      <w:r>
        <w:rPr>
          <w:rFonts w:ascii="Times New Roman" w:cs="Times New Roman" w:eastAsia="Times New Roman" w:hAnsi="Times New Roman"/>
          <w:sz w:val="20"/>
          <w:szCs w:val="20"/>
          <w:u w:val="single" w:color="auto"/>
          <w:color w:val="auto"/>
        </w:rPr>
        <w:t>Swing 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to the Company, in Dollars,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L/C Obligations of the Lender acting as Swing Line Lender, may exceed the amount of such Lender’s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after giving effect to any Swing Line Loan, (i) the Total Revolving Credit Outstandings shall not exceed the Aggregate Commitments, and (ii) the Revolving Credit Exposure of any Lender shall not exceed such Lender’s Commitment,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Each Swing Line Loan shall be a Base Rate Loan. Immediately upon the making of a Swing Line Loan, each Lender shall be deemed to, and hereby irrevocably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7" w:name="page68"/>
    <w:bookmarkEnd w:id="67"/>
    <w:p>
      <w:pPr>
        <w:ind w:left="80"/>
        <w:spacing w:after="0" w:line="269" w:lineRule="auto"/>
        <w:rPr>
          <w:sz w:val="20"/>
          <w:szCs w:val="20"/>
          <w:color w:val="auto"/>
        </w:rPr>
      </w:pPr>
      <w:r>
        <w:rPr>
          <w:rFonts w:ascii="Times New Roman" w:cs="Times New Roman" w:eastAsia="Times New Roman" w:hAnsi="Times New Roman"/>
          <w:sz w:val="20"/>
          <w:szCs w:val="20"/>
          <w:color w:val="auto"/>
        </w:rPr>
        <w:t xml:space="preserve">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Swing Line Loan.</w:t>
      </w:r>
    </w:p>
    <w:p>
      <w:pPr>
        <w:spacing w:after="0" w:line="159" w:lineRule="exact"/>
        <w:rPr>
          <w:sz w:val="20"/>
          <w:szCs w:val="20"/>
          <w:color w:val="auto"/>
        </w:rPr>
      </w:pPr>
    </w:p>
    <w:p>
      <w:pPr>
        <w:jc w:val="both"/>
        <w:ind w:left="80" w:firstLine="751"/>
        <w:spacing w:after="0" w:line="241" w:lineRule="auto"/>
        <w:tabs>
          <w:tab w:leader="none" w:pos="122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Company’s irrevocable notice to the Swing Line Lender and the Administrative Agent, which may be given by: (A) telephone or (B)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 Notwithstanding the foregoing, Swing Line Borrowings may be advanced without regard to the notice requirements, minimum amounts and other requirements set forth above in this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in accordance with and as set forth in any Treasury Management Agreement.</w:t>
      </w:r>
    </w:p>
    <w:p>
      <w:pPr>
        <w:spacing w:after="0" w:line="188"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1" w:lineRule="auto"/>
        <w:tabs>
          <w:tab w:leader="none" w:pos="1984"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Company (which hereby irrevocably authorizes the Swing Line Lender to so request on its behalf), that each Lender make a Base Rate Revolving Credit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Company with a copy of the applicable Loan Notice promptly after delivering such notice to the Administrative Agent. Each Lender shall make an amount equal to its Applicable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Lender that so makes funds available shall be deemed to have made a Base Rate Revolving Credit Loan to the Company in such amount. The Administrative Agent shall remit the funds so received to the Swing Line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8" w:name="page69"/>
    <w:bookmarkEnd w:id="68"/>
    <w:p>
      <w:pPr>
        <w:jc w:val="both"/>
        <w:ind w:left="840" w:firstLine="740"/>
        <w:spacing w:after="0" w:line="246" w:lineRule="auto"/>
        <w:tabs>
          <w:tab w:leader="none" w:pos="198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Borrowing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2.04(c)(i)</w:t>
      </w:r>
      <w:r>
        <w:rPr>
          <w:rFonts w:ascii="Times New Roman" w:cs="Times New Roman" w:eastAsia="Times New Roman" w:hAnsi="Times New Roman"/>
          <w:sz w:val="20"/>
          <w:szCs w:val="20"/>
          <w:color w:val="auto"/>
        </w:rPr>
        <w:t xml:space="preserve">, the request for Base Rate Revolving Credit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2.04(c)(i)</w:t>
      </w:r>
      <w:r>
        <w:rPr>
          <w:rFonts w:ascii="Times New Roman" w:cs="Times New Roman" w:eastAsia="Times New Roman" w:hAnsi="Times New Roman"/>
          <w:sz w:val="20"/>
          <w:szCs w:val="20"/>
          <w:color w:val="auto"/>
        </w:rPr>
        <w:t xml:space="preserve"> shall be deemed payment in respect of such participation.</w:t>
      </w:r>
    </w:p>
    <w:p>
      <w:pPr>
        <w:spacing w:after="0" w:line="184" w:lineRule="exact"/>
        <w:rPr>
          <w:rFonts w:ascii="Times New Roman" w:cs="Times New Roman" w:eastAsia="Times New Roman" w:hAnsi="Times New Roman"/>
          <w:sz w:val="20"/>
          <w:szCs w:val="20"/>
          <w:color w:val="auto"/>
        </w:rPr>
      </w:pPr>
    </w:p>
    <w:p>
      <w:pPr>
        <w:jc w:val="both"/>
        <w:ind w:left="840" w:firstLine="740"/>
        <w:spacing w:after="0" w:line="242" w:lineRule="auto"/>
        <w:tabs>
          <w:tab w:leader="none" w:pos="198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(including within the meaning of section 151 Dutch Code of Civil Procedure) absent manifest error.</w:t>
      </w:r>
    </w:p>
    <w:p>
      <w:pPr>
        <w:spacing w:after="0" w:line="189" w:lineRule="exact"/>
        <w:rPr>
          <w:rFonts w:ascii="Times New Roman" w:cs="Times New Roman" w:eastAsia="Times New Roman" w:hAnsi="Times New Roman"/>
          <w:sz w:val="20"/>
          <w:szCs w:val="20"/>
          <w:color w:val="auto"/>
        </w:rPr>
      </w:pPr>
    </w:p>
    <w:p>
      <w:pPr>
        <w:jc w:val="both"/>
        <w:ind w:left="840" w:firstLine="740"/>
        <w:spacing w:after="0" w:line="243" w:lineRule="auto"/>
        <w:tabs>
          <w:tab w:leader="none" w:pos="1984"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Lender’s obligation to make Revolving Credit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Lender’s obligation to make Revolving Credit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No such funding of risk participations shall relieve or otherwise impair the obligation of the Company to repay Swing Line Loans, together with interest as provided herein.</w:t>
      </w:r>
    </w:p>
    <w:p>
      <w:pPr>
        <w:spacing w:after="0" w:line="189"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45" w:lineRule="auto"/>
        <w:tabs>
          <w:tab w:leader="none" w:pos="198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69" w:name="page70"/>
    <w:bookmarkEnd w:id="69"/>
    <w:p>
      <w:pPr>
        <w:ind w:left="840"/>
        <w:spacing w:after="0"/>
        <w:rPr>
          <w:sz w:val="20"/>
          <w:szCs w:val="20"/>
          <w:color w:val="auto"/>
        </w:rPr>
      </w:pPr>
      <w:r>
        <w:rPr>
          <w:rFonts w:ascii="Times New Roman" w:cs="Times New Roman" w:eastAsia="Times New Roman" w:hAnsi="Times New Roman"/>
          <w:sz w:val="20"/>
          <w:szCs w:val="20"/>
          <w:color w:val="auto"/>
        </w:rPr>
        <w:t>clause shall survive the payment in full of the Obligations and the termination of this Agreement.</w:t>
      </w:r>
    </w:p>
    <w:p>
      <w:pPr>
        <w:spacing w:after="0" w:line="216" w:lineRule="exact"/>
        <w:rPr>
          <w:sz w:val="20"/>
          <w:szCs w:val="20"/>
          <w:color w:val="auto"/>
        </w:rPr>
      </w:pPr>
    </w:p>
    <w:p>
      <w:pPr>
        <w:jc w:val="both"/>
        <w:ind w:left="80" w:firstLine="751"/>
        <w:spacing w:after="0" w:line="249" w:lineRule="auto"/>
        <w:tabs>
          <w:tab w:leader="none" w:pos="122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Swing Line Lender shall be responsible for invoicing the Company for interest on the Swing Line Loans. Until each Lender funds its Base Rate Revolving Credit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Lender’s Applicable Percentage of any Swing Line Loan, interest in respect of such Applicable Percentage shall be solely for the account of the Swing Line Lender.</w:t>
      </w:r>
    </w:p>
    <w:p>
      <w:pPr>
        <w:spacing w:after="0" w:line="179" w:lineRule="exact"/>
        <w:rPr>
          <w:rFonts w:ascii="Times New Roman" w:cs="Times New Roman" w:eastAsia="Times New Roman" w:hAnsi="Times New Roman"/>
          <w:sz w:val="20"/>
          <w:szCs w:val="20"/>
          <w:color w:val="auto"/>
        </w:rPr>
      </w:pPr>
    </w:p>
    <w:p>
      <w:pPr>
        <w:ind w:left="80" w:firstLine="751"/>
        <w:spacing w:after="0" w:line="269" w:lineRule="auto"/>
        <w:tabs>
          <w:tab w:leader="none" w:pos="123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Company shall make all payments of principal and interest in respect of the Swing Line Loans directly to the Swing Line Lender.</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2.05 Prepayments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220" w:hanging="389"/>
        <w:spacing w:after="0"/>
        <w:tabs>
          <w:tab w:leader="none" w:pos="12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1" w:lineRule="auto"/>
        <w:tabs>
          <w:tab w:leader="none" w:pos="19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may, upon notice from the Company to the Administrative Agent pursuant to delivery to the Administrative Agent of a Notice of Loan Prepayment, at any time or from time to time voluntarily prepay Revolving Credit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Administrative Agent not later than 11:00 a.m. (1) two Business Days prior to any date of prepayment of Term SOFR Loans denominated in Dollars, (2) three Business Days prior to any date of prepayment of Daily Simple SOFR Loans denominated in Dollars, (3) four Business Days (or five, in the case of prepayment of Loans denominated in Special Notice Currencies) prior to any date of prepayment of Alternative Currency Loans and (4) on the date of prepayment of Base Rate Loans; (B) any prepayment of Daily Simple SOFR Loans or Term SOFR Loans denominated in Dollars shall be in a principal amount of $1,000,000 or a whole multiple of $1,000,000 in excess thereof; (C) any prepayment of Alternative Currency Loans shall be in a minimum principal amount of the Dollar Equivalent of $1,000,000 or a whole multiple thereof; and (D) any prepayment of Base Rate Loans shall be in a principal amount of $500,000 or a whole multiple of $100,000 in excess thereof or, in each case, if less, the entire principal amount thereof then outstanding. Each such notice shall specify the date, amount and currency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If such notice is given by the Company, the applicable Borrower shall make such prepayment and the payment amount specified in such notice shall be due and payable on the date specified therein. Any prepayment of a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each such prepayment shall be paid to the Lenders in accordance with their respective Applicable Percentages.</w:t>
      </w:r>
    </w:p>
    <w:p>
      <w:pPr>
        <w:spacing w:after="0" w:line="187" w:lineRule="exact"/>
        <w:rPr>
          <w:rFonts w:ascii="Times New Roman" w:cs="Times New Roman" w:eastAsia="Times New Roman" w:hAnsi="Times New Roman"/>
          <w:sz w:val="20"/>
          <w:szCs w:val="20"/>
          <w:color w:val="auto"/>
        </w:rPr>
      </w:pPr>
    </w:p>
    <w:p>
      <w:pPr>
        <w:jc w:val="both"/>
        <w:ind w:left="840" w:firstLine="740"/>
        <w:spacing w:after="0" w:line="245" w:lineRule="auto"/>
        <w:tabs>
          <w:tab w:leader="none" w:pos="198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70" w:name="page71"/>
    <w:bookmarkEnd w:id="70"/>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 xml:space="preserve">amount specified in such notice shall be due and payable on the date specified therein. Notwithstanding the foregoing, Swing Line Borrowings may be repaid without regard to the notice requirements, minimum amounts and other requirements set forth above in this </w:t>
      </w:r>
      <w:r>
        <w:rPr>
          <w:rFonts w:ascii="Times New Roman" w:cs="Times New Roman" w:eastAsia="Times New Roman" w:hAnsi="Times New Roman"/>
          <w:sz w:val="20"/>
          <w:szCs w:val="20"/>
          <w:u w:val="single" w:color="auto"/>
          <w:color w:val="auto"/>
        </w:rPr>
        <w:t>Section 2.04(a)(ii)</w:t>
      </w:r>
      <w:r>
        <w:rPr>
          <w:rFonts w:ascii="Times New Roman" w:cs="Times New Roman" w:eastAsia="Times New Roman" w:hAnsi="Times New Roman"/>
          <w:sz w:val="20"/>
          <w:szCs w:val="20"/>
          <w:color w:val="auto"/>
        </w:rPr>
        <w:t xml:space="preserve"> in accordance with and as set forth in any Treasury Management Agreement.</w:t>
      </w:r>
    </w:p>
    <w:p>
      <w:pPr>
        <w:spacing w:after="0" w:line="174" w:lineRule="exact"/>
        <w:rPr>
          <w:sz w:val="20"/>
          <w:szCs w:val="20"/>
          <w:color w:val="auto"/>
        </w:rPr>
      </w:pPr>
    </w:p>
    <w:p>
      <w:pPr>
        <w:ind w:left="1220" w:hanging="389"/>
        <w:spacing w:after="0"/>
        <w:tabs>
          <w:tab w:leader="none" w:pos="12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tabs>
          <w:tab w:leader="none" w:pos="198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Dispositions of Property</w:t>
      </w:r>
      <w:r>
        <w:rPr>
          <w:rFonts w:ascii="Times New Roman" w:cs="Times New Roman" w:eastAsia="Times New Roman" w:hAnsi="Times New Roman"/>
          <w:sz w:val="20"/>
          <w:szCs w:val="20"/>
          <w:color w:val="auto"/>
        </w:rPr>
        <w:t xml:space="preserve">. If the Company or any of its Restricted Subsidiaries Disposes of any property (other than any Disposition of any property permitted by </w:t>
      </w:r>
      <w:r>
        <w:rPr>
          <w:rFonts w:ascii="Times New Roman" w:cs="Times New Roman" w:eastAsia="Times New Roman" w:hAnsi="Times New Roman"/>
          <w:sz w:val="20"/>
          <w:szCs w:val="20"/>
          <w:u w:val="single" w:color="auto"/>
          <w:color w:val="auto"/>
        </w:rPr>
        <w:t>Section 7.05(a)</w:t>
      </w:r>
      <w:r>
        <w:rPr>
          <w:rFonts w:ascii="Times New Roman" w:cs="Times New Roman" w:eastAsia="Times New Roman" w:hAnsi="Times New Roman"/>
          <w:sz w:val="20"/>
          <w:szCs w:val="20"/>
          <w:color w:val="auto"/>
        </w:rPr>
        <w:t xml:space="preserve"> (but only to the extent the Net Cash Proceeds of any such Disposition (or series of related Dispositions) does not exceed $1,000,000),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which results in the realization by such Person of Net Cash Proceeds,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such Net Cash Proceeds immediately upon receipt thereof by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Net Cash Proceeds realized under a Disposition described in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at the election of the Company (as notified by the Company to the Administrative Agent on or prior to the date of such Disposition), and so long as no Event of Default shall have occurred and be continuing, the Company or such Restricted Subsidiary may reinvest all or any portion of such Net Cash Proceeds in operating assets (or, in the case of a Disposition permitted by </w:t>
      </w:r>
      <w:r>
        <w:rPr>
          <w:rFonts w:ascii="Times New Roman" w:cs="Times New Roman" w:eastAsia="Times New Roman" w:hAnsi="Times New Roman"/>
          <w:sz w:val="20"/>
          <w:szCs w:val="20"/>
          <w:u w:val="single" w:color="auto"/>
          <w:color w:val="auto"/>
        </w:rPr>
        <w:t>Section 7.05(i)</w:t>
      </w:r>
      <w:r>
        <w:rPr>
          <w:rFonts w:ascii="Times New Roman" w:cs="Times New Roman" w:eastAsia="Times New Roman" w:hAnsi="Times New Roman"/>
          <w:sz w:val="20"/>
          <w:szCs w:val="20"/>
          <w:color w:val="auto"/>
        </w:rPr>
        <w:t xml:space="preserve">, (x) one or more Permitted Acquisitions and/or (y) the payment of any obligations of the Company or its Restricted Subsidiaries in respect of the spin-off, termination or withdrawal of any Pension Plan to the extent such payments are permitted hereunder and no Event of Default has occurred as a result of such obligations) used in the business of the Company and its Restricted Subsidiaries so long as (A) within 270 days (or, in the case of a Disposition permitted by </w:t>
      </w:r>
      <w:r>
        <w:rPr>
          <w:rFonts w:ascii="Times New Roman" w:cs="Times New Roman" w:eastAsia="Times New Roman" w:hAnsi="Times New Roman"/>
          <w:sz w:val="20"/>
          <w:szCs w:val="20"/>
          <w:u w:val="single" w:color="auto"/>
          <w:color w:val="auto"/>
        </w:rPr>
        <w:t>Section 7.05(i)</w:t>
      </w:r>
      <w:r>
        <w:rPr>
          <w:rFonts w:ascii="Times New Roman" w:cs="Times New Roman" w:eastAsia="Times New Roman" w:hAnsi="Times New Roman"/>
          <w:sz w:val="20"/>
          <w:szCs w:val="20"/>
          <w:color w:val="auto"/>
        </w:rPr>
        <w:t xml:space="preserve">, 540 days) after the receipt of such Net Cash Proceeds, a definitive agreement for the purchase of such assets shall have been entered into and (B) within 360 days (or, in the case of a Disposition permitted by </w:t>
      </w:r>
      <w:r>
        <w:rPr>
          <w:rFonts w:ascii="Times New Roman" w:cs="Times New Roman" w:eastAsia="Times New Roman" w:hAnsi="Times New Roman"/>
          <w:sz w:val="20"/>
          <w:szCs w:val="20"/>
          <w:u w:val="single" w:color="auto"/>
          <w:color w:val="auto"/>
        </w:rPr>
        <w:t>Section 7.05(i)</w:t>
      </w:r>
      <w:r>
        <w:rPr>
          <w:rFonts w:ascii="Times New Roman" w:cs="Times New Roman" w:eastAsia="Times New Roman" w:hAnsi="Times New Roman"/>
          <w:sz w:val="20"/>
          <w:szCs w:val="20"/>
          <w:color w:val="auto"/>
        </w:rPr>
        <w:t xml:space="preserve">, 720 days) after the receipt of such Net Cash Proceeds, such purchase shall have been consummated (as certified by the Company in writing to the Administrative Agent);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 amount equal to any Net Cash Proceeds not subject to such definitive agreement or so reinvested shall be immediately applied to the mandatory prepayments as set forth in this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Notwithstanding the foregoing, the Company and its Restricted Subsidiaries shall be permitted during each fiscal year to exclude up to $10,000,000 of the Net Cash Proceeds resulting from the Dispositions described above from the prepayment requirements contemplated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2.05(b)(i)</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202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Incurrence of Indebtedness</w:t>
      </w:r>
      <w:r>
        <w:rPr>
          <w:rFonts w:ascii="Times New Roman" w:cs="Times New Roman" w:eastAsia="Times New Roman" w:hAnsi="Times New Roman"/>
          <w:sz w:val="20"/>
          <w:szCs w:val="20"/>
          <w:color w:val="auto"/>
        </w:rPr>
        <w:t xml:space="preserve">. Upon the incurrence or issuance by the Company or any of its Restricted Subsidiaries of any Indebtedness (other than Indebtedness expressly permitted to be incurred or issued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w:t>
      </w:r>
      <w:r>
        <w:rPr>
          <w:rFonts w:ascii="Times New Roman" w:cs="Times New Roman" w:eastAsia="Times New Roman" w:hAnsi="Times New Roman"/>
          <w:sz w:val="20"/>
          <w:szCs w:val="20"/>
          <w:color w:val="auto"/>
        </w:rPr>
        <w:t xml:space="preserve">),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all Net Cash Proceeds received therefrom immediately upon receipt thereof by the Company or such Restricted Subsidiary.</w:t>
      </w:r>
    </w:p>
    <w:p>
      <w:pPr>
        <w:spacing w:after="0" w:line="184"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98"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and Condemnation Events</w:t>
      </w:r>
      <w:r>
        <w:rPr>
          <w:rFonts w:ascii="Times New Roman" w:cs="Times New Roman" w:eastAsia="Times New Roman" w:hAnsi="Times New Roman"/>
          <w:sz w:val="20"/>
          <w:szCs w:val="20"/>
          <w:color w:val="auto"/>
        </w:rPr>
        <w:t xml:space="preserve">. Upon the occurrence of any Insurance and Condemnation Event which results in the realization by the Company or any Restricted Subsidiary of Net Cash Proceeds, the Company shall make (and/or cause the applicable Designated Borrower to make,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mandatory prepayments in the manner set forth in </w:t>
      </w:r>
      <w:r>
        <w:rPr>
          <w:rFonts w:ascii="Times New Roman" w:cs="Times New Roman" w:eastAsia="Times New Roman" w:hAnsi="Times New Roman"/>
          <w:sz w:val="20"/>
          <w:szCs w:val="20"/>
          <w:u w:val="single" w:color="auto"/>
          <w:color w:val="auto"/>
        </w:rPr>
        <w:t>subsection (v)</w:t>
      </w:r>
      <w:r>
        <w:rPr>
          <w:rFonts w:ascii="Times New Roman" w:cs="Times New Roman" w:eastAsia="Times New Roman" w:hAnsi="Times New Roman"/>
          <w:sz w:val="20"/>
          <w:szCs w:val="20"/>
          <w:color w:val="auto"/>
        </w:rPr>
        <w:t xml:space="preserve"> below in an amount equal to 100% of such Net Cash Proceeds immediately upon receipt thereof by the Company or such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71" w:name="page72"/>
    <w:bookmarkEnd w:id="71"/>
    <w:p>
      <w:pPr>
        <w:jc w:val="both"/>
        <w:ind w:left="840"/>
        <w:spacing w:after="0" w:line="243" w:lineRule="auto"/>
        <w:rPr>
          <w:sz w:val="20"/>
          <w:szCs w:val="20"/>
          <w:color w:val="auto"/>
        </w:rPr>
      </w:pP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 respect to any such Net Cash Proceeds, at the election of the Company (as notified by the Company to the Administrative Agent on or prior to the date of receipt of such Net Cash Proceeds), and so long as no Event of Default shall have occurred and be continuing, the Company or such Restricted Subsidiary may utilize such Net Cash Proceeds within 270 days after the receipt thereof to replace or repair the equipment, fixed assets or real property in respect of which such Net Cash Proceeds were received;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 amount equal to any Net Cash Proceeds not so utilized shall be immediately applied to the mandatory prepayments as set forth in this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 xml:space="preserve">. Notwithstanding the foregoing, the Company and its Restricted Subsidiaries shall be permitted during each fiscal year to exclude up to $5,000,000 of the Net Cash Proceeds resulting from Insurance and Condemnation Events from the prepayment requirements contemplated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2.05(b)(iii)</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840" w:firstLine="740"/>
        <w:spacing w:after="0" w:line="255" w:lineRule="auto"/>
        <w:tabs>
          <w:tab w:leader="none" w:pos="198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Excess Total Revolving Credit Outstandings</w:t>
      </w:r>
      <w:r>
        <w:rPr>
          <w:rFonts w:ascii="Times New Roman" w:cs="Times New Roman" w:eastAsia="Times New Roman" w:hAnsi="Times New Roman"/>
          <w:sz w:val="19"/>
          <w:szCs w:val="19"/>
          <w:color w:val="auto"/>
        </w:rPr>
        <w:t xml:space="preserve">. If for any reason the Total Revolving Credit Outstandings at any time exceed the Aggregate Commitments at such time or the Outstanding Amount of all Revolving Credit Loans denominated in Alternative Currencies at such time exceeds the Alternative Currency Sublimit then in effect (in either case, other than due to currency fluctuations), the Company shall (and/or cause the applicable Designated Borrower to, subject to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promptly (and in any event within one Business Day) prepay Revolving Credit Loans, Swing Line Loans and L/C Borrowings and/or Cash Collateralize the L/C Obligations in an aggregate amount equal to such excess. If, as a result of currency fluctuations, the Administrative Agent notifies the Company at any time that (A) the Outstanding Amount of all Revolving Credit Loans denominated in Alternative Currencies at such time exceeds an amount equal to 103% of the Alternative Currency Sublimit then in effect, then, within two Business Days after receipt of such notice, the Company shall (and/or cause the applicable Designated Borrower to, subject to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prepay Revolving Credit Loans in an aggregate amount sufficient to reduce such Outstanding Amount as of such date of payment to an amount not to exceed 100% of the Alternative Currency Sublimit then in effect and (B) the Total Revolving Credit Outstandings at any time exceed an amount equal to 103% of the Aggregate Commitments at such time, then, within two Business Days after receipt of such notice, the Company shall (and/or cause the applicable Designated Borrower to, subject to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prepay Revolving Credit Loans, Swing Line Loans and L/C Borrowings and/or Cash Collateralize the L/C Obligations in an aggregate amount equal to such excess.</w:t>
      </w:r>
    </w:p>
    <w:p>
      <w:pPr>
        <w:spacing w:after="0" w:line="176" w:lineRule="exact"/>
        <w:rPr>
          <w:rFonts w:ascii="Times New Roman" w:cs="Times New Roman" w:eastAsia="Times New Roman" w:hAnsi="Times New Roman"/>
          <w:sz w:val="19"/>
          <w:szCs w:val="19"/>
          <w:color w:val="auto"/>
        </w:rPr>
      </w:pPr>
    </w:p>
    <w:p>
      <w:pPr>
        <w:ind w:left="1980" w:hanging="400"/>
        <w:spacing w:after="0"/>
        <w:tabs>
          <w:tab w:leader="none" w:pos="19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Mandatory Prepayments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firstLine="748"/>
        <w:spacing w:after="0" w:line="244" w:lineRule="auto"/>
        <w:tabs>
          <w:tab w:leader="none" w:pos="27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prepayment and/or Cash Collateralization made pursuant to the foregoing provisions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applied (without a corresponding reduction of the Commitments),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ratably to the L/C Borrowings and the Swing Line Loans,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ratably to the outstanding Revolving Credit Loans, and, in the case of prepayments and/or Cash Collateralization required pursuant to </w:t>
      </w:r>
      <w:r>
        <w:rPr>
          <w:rFonts w:ascii="Times New Roman" w:cs="Times New Roman" w:eastAsia="Times New Roman" w:hAnsi="Times New Roman"/>
          <w:sz w:val="20"/>
          <w:szCs w:val="20"/>
          <w:u w:val="single" w:color="auto"/>
          <w:color w:val="auto"/>
        </w:rPr>
        <w:t>subsection (iv)</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Cash Collateralization of the remaining L/C Obligations. Upon the drawing of any Letter of Credit that has been Cash Collateralized, the funds held as Cash Collateral shall be applied (without any further action by or notice to or from the Company or any other Loan Party) to reimburse the L/C Issuer or the Lenders, as applicable.</w:t>
      </w:r>
    </w:p>
    <w:p>
      <w:pPr>
        <w:spacing w:after="0" w:line="185" w:lineRule="exact"/>
        <w:rPr>
          <w:rFonts w:ascii="Times New Roman" w:cs="Times New Roman" w:eastAsia="Times New Roman" w:hAnsi="Times New Roman"/>
          <w:sz w:val="20"/>
          <w:szCs w:val="20"/>
          <w:color w:val="auto"/>
        </w:rPr>
      </w:pPr>
    </w:p>
    <w:p>
      <w:pPr>
        <w:ind w:left="1580" w:firstLine="748"/>
        <w:spacing w:after="0" w:line="269" w:lineRule="auto"/>
        <w:tabs>
          <w:tab w:leader="none" w:pos="27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each prepayment pursuant to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shall be paid to the Lenders in accordance with their respective Applicable Percentages.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72" w:name="page73"/>
    <w:bookmarkEnd w:id="72"/>
    <w:p>
      <w:pPr>
        <w:ind w:left="1980" w:hanging="400"/>
        <w:spacing w:after="0"/>
        <w:tabs>
          <w:tab w:leader="none" w:pos="198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to the contrary, no prepayment shall be required pursuant to</w:t>
      </w:r>
    </w:p>
    <w:p>
      <w:pPr>
        <w:spacing w:after="0" w:line="21" w:lineRule="exact"/>
        <w:rPr>
          <w:rFonts w:ascii="Times New Roman" w:cs="Times New Roman" w:eastAsia="Times New Roman" w:hAnsi="Times New Roman"/>
          <w:sz w:val="20"/>
          <w:szCs w:val="20"/>
          <w:color w:val="auto"/>
        </w:rPr>
      </w:pPr>
    </w:p>
    <w:p>
      <w:pPr>
        <w:jc w:val="both"/>
        <w:ind w:left="840" w:hanging="9"/>
        <w:spacing w:after="0"/>
        <w:tabs>
          <w:tab w:leader="none" w:pos="116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any actions of a Foreign Subsidiary if such prepayment by such Foreign Subsidiary or the upstreaming of cash by such Foreign Subsidiary in order to make such prepayment would not be permitted by local law (e.g., financial assistance, corporate benefit, restrictions on upstreaming of cash intra-group and the fiduciary and statutory duties of the directors of such Foreign Subsidiary), (B)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the Disposition of assets by a Foreign Subsidiary or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as a result of the receipt of Net Cash Proceeds by a Foreign Subsidiary from an Insurance and Condemnation Event if, in either case, the Company and its Subsidiaries would suffer material adverse tax consequences (as determined in good faith by the Company) as a result of upstreaming cash to make any such prepayment (including the imposition of withholding taxes) and (C) no prepayment shall be required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if the Consolidated Net Leverage Ratio as of the date such prepayment would otherwise be required (i.e. the date such Net Cash Proceeds are received if the Company does not provide a notice of its intent to reinvest or the date on which such reinvestment period ends) is less than 3.00 to 1.00 (calculated after giving pro forma effect to any Disposition resulting in the particular Net Cash Proceeds).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2.06 Termination or Reduction of Commitments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line="241" w:lineRule="auto"/>
        <w:tabs>
          <w:tab w:leader="none" w:pos="125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 xml:space="preserve">. The Company may, upon notice to the Administrative Agent, terminate the Aggregate Commitments, the Alternative Currency Sublimit, the Designated Non-U.S. Borrower Sublimit, the Letter of Credit Sublimit (or any L/C Issuer’s commitment thereunder) or the Swing Line Sublimit, or from time to time permanently reduce the Aggregate Commitments, the Alternative Currency Sublimit, the Designated Non-U.S. Borrower Sublimit, the Letter of Credit Sublimit (or any L/C Issuer’s commitment thereunder) or the Swing Line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notice shall be received by the Administrative Agent not later than 11:00 a.m. five Business Days prior to the date of termination or reduction, (ii) any such partial reduction in the Aggregate Commitments shall be in an aggregate amount of $5,000,000 or any whole multiple of $1,000,000 in excess thereof and (iii) the Company shall not terminate or reduce (A) the Aggregate Commitments if, after giving effect thereto and to any concurrent prepayments hereunder, the Total Revolving Credit Outstandings would exceed the Aggregate Commitments, (B) the Alternative Currency Sublimit if, after giving effect thereto and to any concurrent prepayments hereunder, the Outstanding Amount of Revolving Credit Loans in Alternative Currencies would exceed the Alternative Currency Sublimit, (C) the Designated Non-U.S. Borrower Sublimit if, after giving effect thereto and to any concurrent prepayments hereunder, the Outstanding Amount of Revolving Credit Loans to Designated Borrowers that are not U.S. Borrowers would exceed the Designated Non-U.S. Borrower Sublimit, (D) the Letter of Credit Sublimit (or any L/C Issuer’s commitment thereunder) if, after giving effect thereto, the Outstanding Amount of L/C Obligations not fully Cash Collateralized hereunder would exceed the Letter of Credit Sublimit (or the Outstanding Amount of L/C Obligations not fully Cash Collateralized of any L/C Issuer would exceed such L/C Issuer’s commitment under the Letter of Credit Sublimit).or (E) the Swing Line Sublimit if, after giving effect thereto and to any concurrent prepayments hereunder, the Outstanding Amount of Swing Line Loans would exceed the Swing Line Sublimit.</w:t>
      </w:r>
    </w:p>
    <w:p>
      <w:pPr>
        <w:spacing w:after="0" w:line="190"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Commitment Reductions; Payment of Fees</w:t>
      </w:r>
      <w:r>
        <w:rPr>
          <w:rFonts w:ascii="Times New Roman" w:cs="Times New Roman" w:eastAsia="Times New Roman" w:hAnsi="Times New Roman"/>
          <w:sz w:val="20"/>
          <w:szCs w:val="20"/>
          <w:color w:val="auto"/>
        </w:rPr>
        <w:t xml:space="preserve">. The Administrative Agent will promptly notify the Lenders of any termination or reduction of the Aggregate Commitments, the Alternative Currency Sublimit, the Designated Non-U.S. Borrower Sublimit, the Letter of Credit Sublimit or the Swing Line Sublimit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Upon any reduction of the Aggregate Commitments, the Commitment of each Lender shall be reduced by such Lender’s Applicable Percentage of such reduction amount. All fees accrued until the effective date of any termination of the Aggregate Commitments shall be paid on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20"/>
          <w:szCs w:val="20"/>
          <w:b w:val="1"/>
          <w:bCs w:val="1"/>
          <w:color w:val="auto"/>
        </w:rPr>
        <w:t>2.07 Repayment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80" w:firstLine="751"/>
        <w:spacing w:after="0" w:line="269" w:lineRule="auto"/>
        <w:tabs>
          <w:tab w:leader="none" w:pos="122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Credit Loans</w:t>
      </w:r>
      <w:r>
        <w:rPr>
          <w:rFonts w:ascii="Times New Roman" w:cs="Times New Roman" w:eastAsia="Times New Roman" w:hAnsi="Times New Roman"/>
          <w:sz w:val="20"/>
          <w:szCs w:val="20"/>
          <w:color w:val="auto"/>
        </w:rPr>
        <w:t>. Each Borrower shall repay to the Lenders on the Maturity Date the aggregate principal amount of Revolving Credit Loans made to such Borrower outstanding on such date.</w:t>
      </w:r>
    </w:p>
    <w:p>
      <w:pPr>
        <w:spacing w:after="0" w:line="159"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2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Company shall repay each Swing Line Loan on the earlier to occur of (i) the date ten Business Days after such Loan is made and (ii) the Maturity Date. At any time that there shall exist a Defaulting Lender, immediately upon the request of the Swing Line Lender, the Company shall repay the outstanding Swing Line Loans made by the Swing Line Lender in an amount sufficient to eliminate any Fronting Exposure in respect of such Swing Line Loans.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2.08 Interest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line="242" w:lineRule="auto"/>
        <w:tabs>
          <w:tab w:leader="none" w:pos="12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 each Daily Simple SOFR Loan shall bear interest on the outstanding principal amount thereof from the applicable borrowing date at a rate per annum equal to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(iv) each Alternative Currency Daily Rate Loan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(v) each Alternative Currency Term Rate Loan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(vi)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89" w:lineRule="exact"/>
        <w:rPr>
          <w:rFonts w:ascii="Times New Roman" w:cs="Times New Roman" w:eastAsia="Times New Roman" w:hAnsi="Times New Roman"/>
          <w:sz w:val="20"/>
          <w:szCs w:val="20"/>
          <w:color w:val="auto"/>
        </w:rPr>
      </w:pPr>
    </w:p>
    <w:p>
      <w:pPr>
        <w:ind w:left="80" w:firstLine="751"/>
        <w:spacing w:after="0" w:line="254" w:lineRule="auto"/>
        <w:tabs>
          <w:tab w:leader="none" w:pos="12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While any Event of Default of the type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exists, the Borrowers shall pay interest on the principal amount of all of their respective outstanding Obligations hereunder at a fluctuating interest rate per annum at all times equal to the Default Rate to the fullest extent permitted by Applicable Law.</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49" w:lineRule="auto"/>
        <w:tabs>
          <w:tab w:leader="none" w:pos="19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w:t>
      </w:r>
    </w:p>
    <w:p>
      <w:pPr>
        <w:spacing w:after="0" w:line="179" w:lineRule="exact"/>
        <w:rPr>
          <w:rFonts w:ascii="Times New Roman" w:cs="Times New Roman" w:eastAsia="Times New Roman" w:hAnsi="Times New Roman"/>
          <w:sz w:val="20"/>
          <w:szCs w:val="20"/>
          <w:color w:val="auto"/>
        </w:rPr>
      </w:pPr>
    </w:p>
    <w:p>
      <w:pPr>
        <w:ind w:left="1980" w:hanging="400"/>
        <w:spacing w:after="0"/>
        <w:tabs>
          <w:tab w:leader="none" w:pos="198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request of the Required Lenders while any Event of Default exists (other than as set forth in </w:t>
      </w:r>
      <w:r>
        <w:rPr>
          <w:rFonts w:ascii="Times New Roman" w:cs="Times New Roman" w:eastAsia="Times New Roman" w:hAnsi="Times New Roman"/>
          <w:sz w:val="19"/>
          <w:szCs w:val="19"/>
          <w:u w:val="single" w:color="auto"/>
          <w:color w:val="auto"/>
        </w:rPr>
        <w:t>clauses (b)</w:t>
      </w:r>
    </w:p>
    <w:p>
      <w:pPr>
        <w:spacing w:after="0" w:line="33" w:lineRule="exact"/>
        <w:rPr>
          <w:rFonts w:ascii="Times New Roman" w:cs="Times New Roman" w:eastAsia="Times New Roman" w:hAnsi="Times New Roman"/>
          <w:sz w:val="19"/>
          <w:szCs w:val="19"/>
          <w:color w:val="auto"/>
        </w:rPr>
      </w:pPr>
    </w:p>
    <w:p>
      <w:pPr>
        <w:ind w:left="840"/>
        <w:spacing w:after="0" w:line="27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(b)(iii)</w:t>
      </w:r>
      <w:r>
        <w:rPr>
          <w:rFonts w:ascii="Times New Roman" w:cs="Times New Roman" w:eastAsia="Times New Roman" w:hAnsi="Times New Roman"/>
          <w:sz w:val="19"/>
          <w:szCs w:val="19"/>
          <w:color w:val="auto"/>
        </w:rPr>
        <w:t xml:space="preserve"> above), the Borrowers shall pay interest on the principal amount of all outstanding Obligations hereunder at a fluctuating interest rate per annum at all times equal to the Default Rate to the fullest extent permitted by Applicable Law.</w:t>
      </w:r>
    </w:p>
    <w:p>
      <w:pPr>
        <w:spacing w:after="0" w:line="159" w:lineRule="exact"/>
        <w:rPr>
          <w:rFonts w:ascii="Times New Roman" w:cs="Times New Roman" w:eastAsia="Times New Roman" w:hAnsi="Times New Roman"/>
          <w:sz w:val="19"/>
          <w:szCs w:val="19"/>
          <w:color w:val="auto"/>
        </w:rPr>
      </w:pPr>
    </w:p>
    <w:p>
      <w:pPr>
        <w:ind w:left="840" w:right="40" w:firstLine="740"/>
        <w:spacing w:after="0" w:line="269" w:lineRule="auto"/>
        <w:tabs>
          <w:tab w:leader="none" w:pos="198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 upon demand.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28" w:right="339" w:bottom="1440" w:gutter="0" w:footer="0" w:header="0"/>
        </w:sectPr>
      </w:pPr>
    </w:p>
    <w:bookmarkStart w:id="74" w:name="page75"/>
    <w:bookmarkEnd w:id="74"/>
    <w:p>
      <w:pPr>
        <w:jc w:val="both"/>
        <w:ind w:left="80" w:firstLine="751"/>
        <w:spacing w:after="0" w:line="254" w:lineRule="auto"/>
        <w:tabs>
          <w:tab w:leader="none" w:pos="122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 xml:space="preserve">2.09 Fees. </w:t>
      </w:r>
      <w:r>
        <w:rPr>
          <w:rFonts w:ascii="Times New Roman" w:cs="Times New Roman" w:eastAsia="Times New Roman" w:hAnsi="Times New Roman"/>
          <w:sz w:val="20"/>
          <w:szCs w:val="20"/>
          <w:color w:val="auto"/>
        </w:rPr>
        <w:t>In addition to certain fees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subsections (h)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line="242" w:lineRule="auto"/>
        <w:tabs>
          <w:tab w:leader="none" w:pos="122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The Company shall pay to the Administrative Agent for the account of each Lender in accordance with its Applicable Percentage, a commitment fee in Dollars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actual daily amount by which the Aggregate Commitments exceed the sum of (i) the Outstanding Amount of Revolving Credit Loans and (ii) the Outstanding Amount of L/C Obligations,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9"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(i) The Company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2.10 Computation of Interest and Fees; Retroactive Adjustments of Applicable Rate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line="243" w:lineRule="auto"/>
        <w:tabs>
          <w:tab w:leader="none" w:pos="122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Daily Simple SOFR) shall be made on the basis of a year of 365 or 366 days. All computations of interest for Alternative Currency Loans shall be made on the basis of a year as set forth on Schedule 2.10 for such Alternative Currency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85"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each applicable Borrower shall immediately and retroactively be obligated to pay to the Administrative Agent for the account of the applicable Lenders or the applicable L/C Issuers,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-1770380</wp:posOffset>
            </wp:positionV>
            <wp:extent cx="711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75" w:name="page76"/>
    <w:bookmarkEnd w:id="75"/>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 xml:space="preserve">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subject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This paragraph shall not limit the rights of the Administrative Agent, any Lender or any L/C Issuer, as the case may be, under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2.08(b)</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Borrowers’ obligations under this paragraph shall survive the termination of the Aggregate Commitments and the repayment of all other Obligations hereunder.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2.11 Evidence of Debt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2" w:lineRule="auto"/>
        <w:tabs>
          <w:tab w:leader="none" w:pos="152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 The accounts or records maintained by each Lender shall be conclusive (including within the meaning of section 151 Dutch Code of Civil Procedure)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2.12 Payments Generally; Administrative Agent’s Clawback. </w:t>
      </w: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Revolving Credit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6" w:name="page77"/>
    <w:bookmarkEnd w:id="76"/>
    <w:p>
      <w:pPr>
        <w:jc w:val="both"/>
        <w:spacing w:after="0" w:line="245" w:lineRule="auto"/>
        <w:rPr>
          <w:sz w:val="20"/>
          <w:szCs w:val="20"/>
          <w:color w:val="auto"/>
        </w:rPr>
      </w:pPr>
      <w:r>
        <w:rPr>
          <w:rFonts w:ascii="Times New Roman" w:cs="Times New Roman" w:eastAsia="Times New Roman" w:hAnsi="Times New Roman"/>
          <w:sz w:val="20"/>
          <w:szCs w:val="20"/>
          <w:color w:val="auto"/>
        </w:rPr>
        <w:t>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84" w:lineRule="exact"/>
        <w:rPr>
          <w:sz w:val="20"/>
          <w:szCs w:val="20"/>
          <w:color w:val="auto"/>
        </w:rPr>
      </w:pPr>
    </w:p>
    <w:p>
      <w:pPr>
        <w:jc w:val="both"/>
        <w:ind w:left="380" w:firstLine="751"/>
        <w:spacing w:after="0" w:line="241" w:lineRule="auto"/>
        <w:tabs>
          <w:tab w:leader="none" w:pos="1525"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of Daily Simple SOFR Loans,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88" w:lineRule="exact"/>
        <w:rPr>
          <w:rFonts w:ascii="Times New Roman" w:cs="Times New Roman" w:eastAsia="Times New Roman" w:hAnsi="Times New Roman"/>
          <w:sz w:val="20"/>
          <w:szCs w:val="20"/>
          <w:color w:val="auto"/>
        </w:rPr>
      </w:pPr>
    </w:p>
    <w:p>
      <w:pPr>
        <w:jc w:val="both"/>
        <w:ind w:left="1140" w:firstLine="740"/>
        <w:spacing w:after="0" w:line="246" w:lineRule="auto"/>
        <w:tabs>
          <w:tab w:leader="none" w:pos="229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Unless the Administrative Agent shall have received notice from a Borrower prior to the time at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Lenders or L/C Issuers, as the case may be, the amount due.</w:t>
      </w:r>
    </w:p>
    <w:p>
      <w:pPr>
        <w:spacing w:after="0" w:line="18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such L/C Issuer hereunder as to which the Administrative Agent determines (which determination shall be conclusive (including within the meaning of section 151 Dutch Code of Civil Procedure)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w:t>
      </w:r>
    </w:p>
    <w:p>
      <w:pPr>
        <w:jc w:val="both"/>
        <w:ind w:firstLine="8"/>
        <w:spacing w:after="0" w:line="241" w:lineRule="auto"/>
        <w:tabs>
          <w:tab w:leader="none" w:pos="28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7" w:name="page78"/>
    <w:bookmarkEnd w:id="77"/>
    <w:p>
      <w:pPr>
        <w:jc w:val="both"/>
        <w:spacing w:after="0" w:line="249" w:lineRule="auto"/>
        <w:rPr>
          <w:sz w:val="20"/>
          <w:szCs w:val="20"/>
          <w:color w:val="auto"/>
        </w:rPr>
      </w:pPr>
      <w:r>
        <w:rPr>
          <w:rFonts w:ascii="Times New Roman" w:cs="Times New Roman" w:eastAsia="Times New Roman" w:hAnsi="Times New Roman"/>
          <w:sz w:val="20"/>
          <w:szCs w:val="20"/>
          <w:color w:val="auto"/>
        </w:rPr>
        <w:t>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Borrower with respect to any amount owing under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shall be conclusive (including within the meaning of section 151 Dutch Code of Civil Procedure), absent manifest error.</w:t>
      </w:r>
    </w:p>
    <w:p>
      <w:pPr>
        <w:spacing w:after="0" w:line="159" w:lineRule="exact"/>
        <w:rPr>
          <w:sz w:val="20"/>
          <w:szCs w:val="20"/>
          <w:color w:val="auto"/>
        </w:rPr>
      </w:pPr>
    </w:p>
    <w:p>
      <w:pPr>
        <w:jc w:val="both"/>
        <w:ind w:left="380" w:firstLine="751"/>
        <w:spacing w:after="0" w:line="246" w:lineRule="auto"/>
        <w:tabs>
          <w:tab w:leader="none" w:pos="152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5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Revolving Credit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2.13 Sharing of Payments by Lenders. </w:t>
      </w:r>
      <w:r>
        <w:rPr>
          <w:rFonts w:ascii="Times New Roman" w:cs="Times New Roman" w:eastAsia="Times New Roman" w:hAnsi="Times New Roman"/>
          <w:sz w:val="20"/>
          <w:szCs w:val="20"/>
          <w:color w:val="auto"/>
        </w:rPr>
        <w:t>If any Lender shall, by exercising any right of setoff or counterclaim or otherwise, obtain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 in respect of any principal of or interest on any of the Revolving Credit Loans made by it, or the participations in L/C Obligations or in Swing Line Loans held by it resulting in such Lender’s receiving payment of a proportion of the aggregate amount of such Revolving Credit Loans or participations and accrued interest thereon greater than its pro rata share thereof as provided herein, then the Lender receiving such greater proportion shall (a) notify the Administrative Agent of such fact, and (b) purchase (for cash at face value) participations in the Revolving Credit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Revolving Credit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0" w:lineRule="exact"/>
        <w:rPr>
          <w:sz w:val="20"/>
          <w:szCs w:val="20"/>
          <w:color w:val="auto"/>
        </w:rPr>
      </w:pPr>
    </w:p>
    <w:p>
      <w:pPr>
        <w:jc w:val="both"/>
        <w:ind w:left="1140" w:firstLine="740"/>
        <w:spacing w:after="0" w:line="254" w:lineRule="auto"/>
        <w:tabs>
          <w:tab w:leader="none" w:pos="2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or (z) any payment obtained by a Lender as consideration for the assignment of or sale of a participation in any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8" w:name="page79"/>
    <w:bookmarkEnd w:id="78"/>
    <w:p>
      <w:pPr>
        <w:ind w:left="1140"/>
        <w:spacing w:after="0" w:line="269" w:lineRule="auto"/>
        <w:rPr>
          <w:sz w:val="20"/>
          <w:szCs w:val="20"/>
          <w:color w:val="auto"/>
        </w:rPr>
      </w:pPr>
      <w:r>
        <w:rPr>
          <w:rFonts w:ascii="Times New Roman" w:cs="Times New Roman" w:eastAsia="Times New Roman" w:hAnsi="Times New Roman"/>
          <w:sz w:val="20"/>
          <w:szCs w:val="20"/>
          <w:color w:val="auto"/>
        </w:rPr>
        <w:t>its Loans or subparticipations in L/C Obligations or Swing Line Loans to any assignee or participant, other than an assignment to the Company or any Subsidiary thereof (as to which the provisions of this Section shall apply).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2.14 Designated Borrowers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1" w:lineRule="auto"/>
        <w:tabs>
          <w:tab w:leader="none" w:pos="152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fifteen (15) Business Days’ notice from the Company to the Administrative Agent (or such shorter period as may be agreed by the Administrative Agent in its sole discretion), designate any wholly-owned Restricted Subsidiary of the Company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Revolving Credit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The parties hereto acknowledge and agree that prior to any Applicant Borrower becoming entitled to Credit Extensions hereunder (i) the Administrative Agent and each Lender shall have approved such Applicant Borrower as a Designated Borrower and received at least five Business Days prior to such date all documentation and other information that such Person requests in order to comply with its ongoing obligations under applicable “know your customer” and anti-money laundering rules and regulations, including the Act, (ii) the Administrative Agent and each Lender shall have received such supporting resolutions, incumbency certificates, opinions of counsel and other documents or information, in form, content and scope reasonably satisfactory to the Administrative Agent, as may be reasonably requested by the Administrative Agent (it being agreed that (i) the forms delivered on the Closing Date are acceptable for a Domestic Subsidiary and (ii) with respect to the Netherlands Designated Borrower the Administrative Agent shall in any case receive a certificate of a Responsible Officer of the Netherlands Designated Borrower in form and substance reasonably satisfactory to Administrative Agent, to be entered into by the Netherlands Designated Borrower which shall certify (A) copies of resolutions in form and substance reasonably satisfactory to Administrative Agent, of the management board (</w:t>
      </w:r>
      <w:r>
        <w:rPr>
          <w:rFonts w:ascii="Times New Roman" w:cs="Times New Roman" w:eastAsia="Times New Roman" w:hAnsi="Times New Roman"/>
          <w:sz w:val="20"/>
          <w:szCs w:val="20"/>
          <w:i w:val="1"/>
          <w:iCs w:val="1"/>
          <w:color w:val="auto"/>
        </w:rPr>
        <w:t>bestuur</w:t>
      </w:r>
      <w:r>
        <w:rPr>
          <w:rFonts w:ascii="Times New Roman" w:cs="Times New Roman" w:eastAsia="Times New Roman" w:hAnsi="Times New Roman"/>
          <w:sz w:val="20"/>
          <w:szCs w:val="20"/>
          <w:color w:val="auto"/>
        </w:rPr>
        <w:t>), if required by law or under the Organizational Documents of such Netherlands Designated Borrower, the supervisory board or general meeting, and, where applicable, the positive or neutral advice (</w:t>
      </w:r>
      <w:r>
        <w:rPr>
          <w:rFonts w:ascii="Times New Roman" w:cs="Times New Roman" w:eastAsia="Times New Roman" w:hAnsi="Times New Roman"/>
          <w:sz w:val="20"/>
          <w:szCs w:val="20"/>
          <w:i w:val="1"/>
          <w:iCs w:val="1"/>
          <w:color w:val="auto"/>
        </w:rPr>
        <w:t>advies</w:t>
      </w:r>
      <w:r>
        <w:rPr>
          <w:rFonts w:ascii="Times New Roman" w:cs="Times New Roman" w:eastAsia="Times New Roman" w:hAnsi="Times New Roman"/>
          <w:sz w:val="20"/>
          <w:szCs w:val="20"/>
          <w:color w:val="auto"/>
        </w:rPr>
        <w:t>) in accordance with the Dutch Works Councils Act (</w:t>
      </w:r>
      <w:r>
        <w:rPr>
          <w:rFonts w:ascii="Times New Roman" w:cs="Times New Roman" w:eastAsia="Times New Roman" w:hAnsi="Times New Roman"/>
          <w:sz w:val="20"/>
          <w:szCs w:val="20"/>
          <w:i w:val="1"/>
          <w:iCs w:val="1"/>
          <w:color w:val="auto"/>
        </w:rPr>
        <w:t>Wet op de ondernemingsraden</w:t>
      </w:r>
      <w:r>
        <w:rPr>
          <w:rFonts w:ascii="Times New Roman" w:cs="Times New Roman" w:eastAsia="Times New Roman" w:hAnsi="Times New Roman"/>
          <w:sz w:val="20"/>
          <w:szCs w:val="20"/>
          <w:color w:val="auto"/>
        </w:rPr>
        <w:t>) from any Works Council (</w:t>
      </w:r>
      <w:r>
        <w:rPr>
          <w:rFonts w:ascii="Times New Roman" w:cs="Times New Roman" w:eastAsia="Times New Roman" w:hAnsi="Times New Roman"/>
          <w:sz w:val="20"/>
          <w:szCs w:val="20"/>
          <w:i w:val="1"/>
          <w:iCs w:val="1"/>
          <w:color w:val="auto"/>
        </w:rPr>
        <w:t>Ondernemingsraad</w:t>
      </w:r>
      <w:r>
        <w:rPr>
          <w:rFonts w:ascii="Times New Roman" w:cs="Times New Roman" w:eastAsia="Times New Roman" w:hAnsi="Times New Roman"/>
          <w:sz w:val="20"/>
          <w:szCs w:val="20"/>
          <w:color w:val="auto"/>
        </w:rPr>
        <w:t>) having jurisdiction over the Netherlands Designated Borrower, including the request for advice, in each case authorizing the execution, delivery and performance of this Agreement, and each other Loan Document to which the Netherlands Designated Borrower is a party, (B) the incumbency and signature of the officers of the Netherlands Designated Borrower authorized to execute this Agreement and the other Loan Documents, and (C) copies of the Organizational Documents of the Netherlands Designated Borrower, an up-to-date extract from the Dutch commercial register (</w:t>
      </w:r>
      <w:r>
        <w:rPr>
          <w:rFonts w:ascii="Times New Roman" w:cs="Times New Roman" w:eastAsia="Times New Roman" w:hAnsi="Times New Roman"/>
          <w:sz w:val="20"/>
          <w:szCs w:val="20"/>
          <w:i w:val="1"/>
          <w:iCs w:val="1"/>
          <w:color w:val="auto"/>
        </w:rPr>
        <w:t>Kamer van Koophandel</w:t>
      </w:r>
      <w:r>
        <w:rPr>
          <w:rFonts w:ascii="Times New Roman" w:cs="Times New Roman" w:eastAsia="Times New Roman" w:hAnsi="Times New Roman"/>
          <w:sz w:val="20"/>
          <w:szCs w:val="20"/>
          <w:color w:val="auto"/>
        </w:rPr>
        <w:t>), a copy of the up-to-date shareholders register (</w:t>
      </w:r>
      <w:r>
        <w:rPr>
          <w:rFonts w:ascii="Times New Roman" w:cs="Times New Roman" w:eastAsia="Times New Roman" w:hAnsi="Times New Roman"/>
          <w:sz w:val="20"/>
          <w:szCs w:val="20"/>
          <w:i w:val="1"/>
          <w:iCs w:val="1"/>
          <w:color w:val="auto"/>
        </w:rPr>
        <w:t>aandeelhoudersregister</w:t>
      </w:r>
      <w:r>
        <w:rPr>
          <w:rFonts w:ascii="Times New Roman" w:cs="Times New Roman" w:eastAsia="Times New Roman" w:hAnsi="Times New Roman"/>
          <w:sz w:val="20"/>
          <w:szCs w:val="20"/>
          <w:color w:val="auto"/>
        </w:rPr>
        <w:t>), and any regulations and/or rules (</w:t>
      </w:r>
      <w:r>
        <w:rPr>
          <w:rFonts w:ascii="Times New Roman" w:cs="Times New Roman" w:eastAsia="Times New Roman" w:hAnsi="Times New Roman"/>
          <w:sz w:val="20"/>
          <w:szCs w:val="20"/>
          <w:i w:val="1"/>
          <w:iCs w:val="1"/>
          <w:color w:val="auto"/>
        </w:rPr>
        <w:t>reglementen en/of andere regels</w:t>
      </w:r>
      <w:r>
        <w:rPr>
          <w:rFonts w:ascii="Times New Roman" w:cs="Times New Roman" w:eastAsia="Times New Roman" w:hAnsi="Times New Roman"/>
          <w:sz w:val="20"/>
          <w:szCs w:val="20"/>
          <w:color w:val="auto"/>
        </w:rPr>
        <w:t xml:space="preserve">) adopted by the Netherlands Designated Borrower), and (iii) each Lender shall have received a Note signed by such new Borrowers to the extent requested thereby. If the Administrative Agent and the Lenders agree that an Applicant Borrower shall be entitled to receive Revolving Credit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to the Company and the Lenders specifying the effective date upon which the Applicant Borrower shall constitute a Designated Borrower for purposes hereof, whereupon each of the Lenders agrees to permit such Designated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79" w:name="page80"/>
    <w:bookmarkEnd w:id="79"/>
    <w:p>
      <w:pPr>
        <w:jc w:val="both"/>
        <w:ind w:left="80"/>
        <w:spacing w:after="0" w:line="256" w:lineRule="auto"/>
        <w:rPr>
          <w:sz w:val="20"/>
          <w:szCs w:val="20"/>
          <w:color w:val="auto"/>
        </w:rPr>
      </w:pPr>
      <w:r>
        <w:rPr>
          <w:rFonts w:ascii="Times New Roman" w:cs="Times New Roman" w:eastAsia="Times New Roman" w:hAnsi="Times New Roman"/>
          <w:sz w:val="19"/>
          <w:szCs w:val="19"/>
          <w:color w:val="auto"/>
        </w:rPr>
        <w:t xml:space="preserve">Borrower to receive Revolving Credit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Loan Notice or Letter of Credit Application may be submitted by or on behalf of such Designated Borrower until the date five (5) Business Days after such effective date;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effective as of the date hereof, the Administrative Agent and the Lenders hereby agree that the Netherlands Designated Borrower may become a “Designated Borrower” hereunder and may receive Revolving Credit Loans for its account on the terms and conditions set forth in this Agreement, in each case upon (A) delivery of a duly executed Designated Borrower Request and Assumption Agreement, (B) satisfaction of the conditions set forth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of the second sentence of this </w:t>
      </w:r>
      <w:r>
        <w:rPr>
          <w:rFonts w:ascii="Times New Roman" w:cs="Times New Roman" w:eastAsia="Times New Roman" w:hAnsi="Times New Roman"/>
          <w:sz w:val="19"/>
          <w:szCs w:val="19"/>
          <w:u w:val="single" w:color="auto"/>
          <w:color w:val="auto"/>
        </w:rPr>
        <w:t>Section 2.14(a)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xml:space="preserve"> and (C) delivery of such amendments to this Agreement and the other Loan Documents as may be requested by the Administrative Agent pursuant to </w:t>
      </w:r>
      <w:r>
        <w:rPr>
          <w:rFonts w:ascii="Times New Roman" w:cs="Times New Roman" w:eastAsia="Times New Roman" w:hAnsi="Times New Roman"/>
          <w:sz w:val="19"/>
          <w:szCs w:val="19"/>
          <w:u w:val="single" w:color="auto"/>
          <w:color w:val="auto"/>
        </w:rPr>
        <w:t>Section 2.14(e)</w:t>
      </w:r>
      <w:r>
        <w:rPr>
          <w:rFonts w:ascii="Times New Roman" w:cs="Times New Roman" w:eastAsia="Times New Roman" w:hAnsi="Times New Roman"/>
          <w:sz w:val="19"/>
          <w:szCs w:val="19"/>
          <w:color w:val="auto"/>
        </w:rPr>
        <w:t xml:space="preserve">,without any requirement of further written consent from the Administrative Agent or the Lenders. Additionally, notwithstanding the foregoing, the Company may in connection with any request 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designate any wholly-owned Restricted Subsidiary of the Company as a Designated Borrower to receive Additional Term Loans hereunder, and the parties hereto acknowledge and agree that prior to any such Restricted Subsidiary becoming entitled to borrow any Additional Term Loans the Administrative Agent and each Additional Lender providing such Additional Term Loan shall have approved such Restricted Subsidiary as a Designated Borrower and received items of the type described in clauses (i) through (iii) of the second sentence this </w:t>
      </w:r>
      <w:r>
        <w:rPr>
          <w:rFonts w:ascii="Times New Roman" w:cs="Times New Roman" w:eastAsia="Times New Roman" w:hAnsi="Times New Roman"/>
          <w:sz w:val="19"/>
          <w:szCs w:val="19"/>
          <w:u w:val="single" w:color="auto"/>
          <w:color w:val="auto"/>
        </w:rPr>
        <w:t>Section 2.14(a)</w:t>
      </w:r>
      <w:r>
        <w:rPr>
          <w:rFonts w:ascii="Times New Roman" w:cs="Times New Roman" w:eastAsia="Times New Roman" w:hAnsi="Times New Roman"/>
          <w:sz w:val="19"/>
          <w:szCs w:val="19"/>
          <w:color w:val="auto"/>
        </w:rPr>
        <w:t xml:space="preserve"> and such Restricted Subsidiary shall have complied with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w:t>
      </w:r>
    </w:p>
    <w:p>
      <w:pPr>
        <w:spacing w:after="0" w:line="190" w:lineRule="exact"/>
        <w:rPr>
          <w:sz w:val="20"/>
          <w:szCs w:val="20"/>
          <w:color w:val="auto"/>
        </w:rPr>
      </w:pPr>
    </w:p>
    <w:p>
      <w:pPr>
        <w:jc w:val="both"/>
        <w:ind w:left="80" w:firstLine="751"/>
        <w:spacing w:after="0" w:line="266" w:lineRule="auto"/>
        <w:tabs>
          <w:tab w:leader="none" w:pos="122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each U.S. Borrower shall be joint and several in nature. Notwithstanding anything to the contrary in this Agreement or any of the other Loan Documents, the Obligations of any Foreign Subsidiary that may become a Loan Party hereunder (including any Designated Borrowers that are Foreign Subsidiaries) shall be several in nature and not joint with the Obligations of any U.S. Loan Party and no Foreign Subsidiary shall provide any Guarantee in respect of any Obligations of any U.S. Loan Party.</w:t>
      </w:r>
    </w:p>
    <w:p>
      <w:pPr>
        <w:spacing w:after="0" w:line="165" w:lineRule="exact"/>
        <w:rPr>
          <w:rFonts w:ascii="Times New Roman" w:cs="Times New Roman" w:eastAsia="Times New Roman" w:hAnsi="Times New Roman"/>
          <w:sz w:val="19"/>
          <w:szCs w:val="19"/>
          <w:color w:val="auto"/>
        </w:rPr>
      </w:pPr>
    </w:p>
    <w:p>
      <w:pPr>
        <w:jc w:val="both"/>
        <w:ind w:left="80" w:firstLine="751"/>
        <w:spacing w:after="0" w:line="243" w:lineRule="auto"/>
        <w:tabs>
          <w:tab w:leader="none" w:pos="122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85"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in connection with any Foreign Subsidiary (including the Netherlands Designated Borrower) becoming a “Designated Borrower” hereunder, this Agreement and the other Loan Documents may, at the request of the Administrative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0" w:name="page81"/>
    <w:bookmarkEnd w:id="80"/>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Agent, be amended pursuant to a written agreement between the Borrowers and the Administrative Agent (without the consent of any Lenders) to reflect such changes as may be necessary or appropriate, in the opinion of the Administrative Agent, to reflect such technical provisions applicable to a borrower organized under the laws of the same foreign jurisdiction as such Foreign Subsidiary as are customarily included within U.S. law governed syndicated credit facilities of this type. Upon execution, the Administrative Agent shall provide a copy of such amendment(s) to all Lenders.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2.15 Increase Option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line="241" w:lineRule="auto"/>
        <w:tabs>
          <w:tab w:leader="none" w:pos="123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Upon notice to the Administrative Agent (which shall promptly notify the Lenders), at any time after the Closing Date, the Company may request additional Commitments (each an “</w:t>
      </w:r>
      <w:r>
        <w:rPr>
          <w:rFonts w:ascii="Times New Roman" w:cs="Times New Roman" w:eastAsia="Times New Roman" w:hAnsi="Times New Roman"/>
          <w:sz w:val="20"/>
          <w:szCs w:val="20"/>
          <w:u w:val="single" w:color="auto"/>
          <w:color w:val="auto"/>
        </w:rPr>
        <w:t>Additional Commitment</w:t>
      </w:r>
      <w:r>
        <w:rPr>
          <w:rFonts w:ascii="Times New Roman" w:cs="Times New Roman" w:eastAsia="Times New Roman" w:hAnsi="Times New Roman"/>
          <w:sz w:val="20"/>
          <w:szCs w:val="20"/>
          <w:color w:val="auto"/>
        </w:rPr>
        <w:t>” and all of them, collectively, the “</w:t>
      </w:r>
      <w:r>
        <w:rPr>
          <w:rFonts w:ascii="Times New Roman" w:cs="Times New Roman" w:eastAsia="Times New Roman" w:hAnsi="Times New Roman"/>
          <w:sz w:val="20"/>
          <w:szCs w:val="20"/>
          <w:u w:val="single" w:color="auto"/>
          <w:color w:val="auto"/>
        </w:rPr>
        <w:t>Additional Commitments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aggregate initial principal amount (as of the date of incurrence or availability thereof) of such requested Additional Commitments shall not exceed the Additional Commitments Limit, (y) any such addition shall be in an aggregate amount of not less than $10,000,000 or any whole multiple of $1,000,000 in excess thereof (or, in either case, such lesser amount as may be acceptable to the Administrative Agent) and (z) after giving effect to any such addition, the aggregate outstanding amount of Additional Term Loans made to Designated Borrowers that are not U.S. Borrowers shall not exceed, when taken together with the aggregate Outstanding Amount of all Revolving Credit Loans made to Designated Borrowers that are not U.S. Borrowers, $75,000,000. Any loans made in respect of any such Additional Commitments (the “</w:t>
      </w:r>
      <w:r>
        <w:rPr>
          <w:rFonts w:ascii="Times New Roman" w:cs="Times New Roman" w:eastAsia="Times New Roman" w:hAnsi="Times New Roman"/>
          <w:sz w:val="20"/>
          <w:szCs w:val="20"/>
          <w:u w:val="single" w:color="auto"/>
          <w:color w:val="auto"/>
        </w:rPr>
        <w:t>Additional Loans</w:t>
      </w:r>
      <w:r>
        <w:rPr>
          <w:rFonts w:ascii="Times New Roman" w:cs="Times New Roman" w:eastAsia="Times New Roman" w:hAnsi="Times New Roman"/>
          <w:sz w:val="20"/>
          <w:szCs w:val="20"/>
          <w:color w:val="auto"/>
        </w:rPr>
        <w:t>”) may be made, at the option of the Company, by either (i) increasing the Aggregate Commitments with the same terms (including pricing), or (ii) creating a new tranche of terms loans (any loans provided pursuant to such additional tranche, the “</w:t>
      </w:r>
      <w:r>
        <w:rPr>
          <w:rFonts w:ascii="Times New Roman" w:cs="Times New Roman" w:eastAsia="Times New Roman" w:hAnsi="Times New Roman"/>
          <w:sz w:val="20"/>
          <w:szCs w:val="20"/>
          <w:u w:val="single" w:color="auto"/>
          <w:color w:val="auto"/>
        </w:rPr>
        <w:t>Additional Term Loans</w:t>
      </w:r>
      <w:r>
        <w:rPr>
          <w:rFonts w:ascii="Times New Roman" w:cs="Times New Roman" w:eastAsia="Times New Roman" w:hAnsi="Times New Roman"/>
          <w:sz w:val="20"/>
          <w:szCs w:val="20"/>
          <w:color w:val="auto"/>
        </w:rPr>
        <w:t xml:space="preserve">”) (it being understood that the Company has the absolute right to pursue Additional Commitments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no Lender shall have the ability to block any such pursuit although no Lender shall be obligated to provide any Additional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increase in the Aggregate Commitments shall (A) increase the Swing Line Sublimit without the consent of the Swing Line Lender, (B) increase the Letter of Credit Sublimit (or change the allocation of the Letter of Credit Sublimit among the L/C Issuers) without the consent of the L/C Issuers or (C) increase the Alternative Currency Sublimit or the Designated Non-U.S. Borrower Sublimit, in either case, without the consent of the Required Lenders.</w:t>
      </w:r>
    </w:p>
    <w:p>
      <w:pPr>
        <w:spacing w:after="0" w:line="191" w:lineRule="exact"/>
        <w:rPr>
          <w:rFonts w:ascii="Times New Roman" w:cs="Times New Roman" w:eastAsia="Times New Roman" w:hAnsi="Times New Roman"/>
          <w:sz w:val="20"/>
          <w:szCs w:val="20"/>
          <w:color w:val="auto"/>
        </w:rPr>
      </w:pPr>
    </w:p>
    <w:p>
      <w:pPr>
        <w:jc w:val="both"/>
        <w:ind w:left="80" w:firstLine="751"/>
        <w:spacing w:after="0" w:line="243" w:lineRule="auto"/>
        <w:tabs>
          <w:tab w:leader="none" w:pos="122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Ranking and Other Provisions</w:t>
      </w:r>
      <w:r>
        <w:rPr>
          <w:rFonts w:ascii="Times New Roman" w:cs="Times New Roman" w:eastAsia="Times New Roman" w:hAnsi="Times New Roman"/>
          <w:sz w:val="20"/>
          <w:szCs w:val="20"/>
          <w:color w:val="auto"/>
        </w:rPr>
        <w:t>. The Additional Term Loans shall (i) rank pari passu in right of payment and in respect of lien priority as to the Collateral with the outstanding Loans, (ii) not have a weighted average life that is shorter than the weighted average life of any then latest maturing outstanding Additional Term Loans, (iii) not mature earlier than the latest scheduled maturity date of the Loans and Commitments in effect as of the applicable Additional Commitments Closing Date, and (iv) not contain additional or different financial or other covenants which are more restrictive in any material respect than the covenants applicable to the Revolving Credit Loans unless such covenants (i) benefit all of the Lenders, (ii) only apply after the latest scheduled maturity date of the Loans and Commitments in effect as of the applicable Additional Commitments Closing Date or (iii) are otherwise consented to by the Administrative Agent.</w:t>
      </w:r>
    </w:p>
    <w:p>
      <w:pPr>
        <w:spacing w:after="0" w:line="189" w:lineRule="exact"/>
        <w:rPr>
          <w:rFonts w:ascii="Times New Roman" w:cs="Times New Roman" w:eastAsia="Times New Roman" w:hAnsi="Times New Roman"/>
          <w:sz w:val="20"/>
          <w:szCs w:val="20"/>
          <w:color w:val="auto"/>
        </w:rPr>
      </w:pPr>
    </w:p>
    <w:p>
      <w:pPr>
        <w:jc w:val="both"/>
        <w:ind w:left="80" w:firstLine="751"/>
        <w:spacing w:after="0" w:line="244" w:lineRule="auto"/>
        <w:tabs>
          <w:tab w:leader="none" w:pos="123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Lender Elections</w:t>
      </w:r>
      <w:r>
        <w:rPr>
          <w:rFonts w:ascii="Times New Roman" w:cs="Times New Roman" w:eastAsia="Times New Roman" w:hAnsi="Times New Roman"/>
          <w:sz w:val="20"/>
          <w:szCs w:val="20"/>
          <w:color w:val="auto"/>
        </w:rPr>
        <w:t>. Each notice from the Company pursuant to this Section shall set forth the requested amount and proposed terms of the Additional Commitments. Additional Commitments (or any portion thereof) may be made by any existing Lender or by any other bank or financial institution that is an Eligible Assignee (any such bank or other financial institution, together with any existing Lenders making any Additional Loans, the “</w:t>
      </w: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in each case on terms permitted in this Section and otherwise on terms reasonably acceptable to the Administrative Agent. At the time of the sending of such notice, the Company (in consultation with the Administrative Agent) shall specify the time period within which each Lender is requested to respond (which shall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1" w:name="page82"/>
    <w:bookmarkEnd w:id="81"/>
    <w:p>
      <w:pPr>
        <w:jc w:val="both"/>
        <w:ind w:left="80"/>
        <w:spacing w:after="0" w:line="243" w:lineRule="auto"/>
        <w:rPr>
          <w:sz w:val="20"/>
          <w:szCs w:val="20"/>
          <w:color w:val="auto"/>
        </w:rPr>
      </w:pPr>
      <w:r>
        <w:rPr>
          <w:rFonts w:ascii="Times New Roman" w:cs="Times New Roman" w:eastAsia="Times New Roman" w:hAnsi="Times New Roman"/>
          <w:sz w:val="20"/>
          <w:szCs w:val="20"/>
          <w:color w:val="auto"/>
        </w:rPr>
        <w:t>no event be less than ten Business Days from the date of delivery of such notice to the Lenders). No Lender shall be obligated to provide any Additional Loans, unless it so agrees. Each Lender shall notify the Administrative Agent within such time period whether or not it agrees to provide an Additional Commitment and, if so, whether by an amount equal to, greater than, or less than its Applicable Percentage of such requested increase. Any Lender not responding within such time period shall be deemed to have declined to provide an Additional Commitment. The Administrative Agent shall notify the Company and each Lender of the Lenders’ responses to each request made hereunder. To achieve the full amount of a requested increase, the Company may also invite additional Eligible Assignees to become Lenders pursuant to a joinder agreement in form and substance reasonably satisfactory to the Administrative Agent and its counsel.</w:t>
      </w:r>
    </w:p>
    <w:p>
      <w:pPr>
        <w:spacing w:after="0" w:line="189" w:lineRule="exact"/>
        <w:rPr>
          <w:sz w:val="20"/>
          <w:szCs w:val="20"/>
          <w:color w:val="auto"/>
        </w:rPr>
      </w:pPr>
    </w:p>
    <w:p>
      <w:pPr>
        <w:jc w:val="both"/>
        <w:ind w:left="80" w:firstLine="751"/>
        <w:spacing w:after="0" w:line="259" w:lineRule="auto"/>
        <w:tabs>
          <w:tab w:leader="none" w:pos="1265"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Commitment Amendment</w:t>
      </w:r>
      <w:r>
        <w:rPr>
          <w:rFonts w:ascii="Times New Roman" w:cs="Times New Roman" w:eastAsia="Times New Roman" w:hAnsi="Times New Roman"/>
          <w:sz w:val="19"/>
          <w:szCs w:val="19"/>
          <w:color w:val="auto"/>
        </w:rPr>
        <w:t>. Additional Commitments shall become Commitments under this Agreement pursuant to an amendment (an “</w:t>
      </w:r>
      <w:r>
        <w:rPr>
          <w:rFonts w:ascii="Times New Roman" w:cs="Times New Roman" w:eastAsia="Times New Roman" w:hAnsi="Times New Roman"/>
          <w:sz w:val="19"/>
          <w:szCs w:val="19"/>
          <w:u w:val="single" w:color="auto"/>
          <w:color w:val="auto"/>
        </w:rPr>
        <w:t>Additional Commitment Amendment</w:t>
      </w:r>
      <w:r>
        <w:rPr>
          <w:rFonts w:ascii="Times New Roman" w:cs="Times New Roman" w:eastAsia="Times New Roman" w:hAnsi="Times New Roman"/>
          <w:sz w:val="19"/>
          <w:szCs w:val="19"/>
          <w:color w:val="auto"/>
        </w:rPr>
        <w:t>”) to this Agreement and, as appropriate, the other Loan Documents, executed by the Borrowers, the other Loan Parties, each Additional Lender and the Administrative Agent. An Additional Commitment Amendment may, without the consent of any other Lenders, effect such amendments to any Loan Documents as may be necessary or appropriate, in the opinion of the Administrative Agent, to effect the provisions of this Section (including, without limitation, to incorporate the Additional Loans and Additional Commitments into the calculation of the “Required Lenders” and related provisions). Upon execution, the Administrative Agent shall provide a copy of any Additional Commitment Amendment to all Lenders.</w:t>
      </w:r>
    </w:p>
    <w:p>
      <w:pPr>
        <w:spacing w:after="0" w:line="172" w:lineRule="exact"/>
        <w:rPr>
          <w:rFonts w:ascii="Times New Roman" w:cs="Times New Roman" w:eastAsia="Times New Roman" w:hAnsi="Times New Roman"/>
          <w:sz w:val="19"/>
          <w:szCs w:val="19"/>
          <w:color w:val="auto"/>
        </w:rPr>
      </w:pPr>
    </w:p>
    <w:p>
      <w:pPr>
        <w:jc w:val="both"/>
        <w:ind w:left="80" w:firstLine="751"/>
        <w:spacing w:after="0" w:line="249" w:lineRule="auto"/>
        <w:tabs>
          <w:tab w:leader="none" w:pos="125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xml:space="preserve">. If any Additional Commitments are added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Administrative Agent and the Company shall determine the effective date (each, an “</w:t>
      </w:r>
      <w:r>
        <w:rPr>
          <w:rFonts w:ascii="Times New Roman" w:cs="Times New Roman" w:eastAsia="Times New Roman" w:hAnsi="Times New Roman"/>
          <w:sz w:val="20"/>
          <w:szCs w:val="20"/>
          <w:u w:val="single" w:color="auto"/>
          <w:color w:val="auto"/>
        </w:rPr>
        <w:t>Additional Commitments Closing Date</w:t>
      </w:r>
      <w:r>
        <w:rPr>
          <w:rFonts w:ascii="Times New Roman" w:cs="Times New Roman" w:eastAsia="Times New Roman" w:hAnsi="Times New Roman"/>
          <w:sz w:val="20"/>
          <w:szCs w:val="20"/>
          <w:color w:val="auto"/>
        </w:rPr>
        <w:t>”) and the final allocation thereof. The Administrative Agent shall promptly notify the Company, the existing Lenders and the Additional Lenders of the final allocation of such addition and the Additional Commitments Closing Date.</w:t>
      </w:r>
    </w:p>
    <w:p>
      <w:pPr>
        <w:spacing w:after="0" w:line="179"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5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Increase</w:t>
      </w:r>
      <w:r>
        <w:rPr>
          <w:rFonts w:ascii="Times New Roman" w:cs="Times New Roman" w:eastAsia="Times New Roman" w:hAnsi="Times New Roman"/>
          <w:sz w:val="20"/>
          <w:szCs w:val="20"/>
          <w:color w:val="auto"/>
        </w:rPr>
        <w:t xml:space="preserve">. The effectiveness of any Additional Commitment Amendment shall, unless otherwise agreed to by the Administrative Agent and each Additional Lender, be subject to the satisfaction on the Additional Commitments Closing Date of each of the following conditions, which, in the case of an Additional Term Loan incurred solely to finance a substantially concurrent Limited Condition Acquisition, shall be subject to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8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in each of the other Loan Documents shall be true and correct on and as of the Additional Commitments Closing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840" w:right="20" w:firstLine="740"/>
        <w:spacing w:after="0" w:line="254" w:lineRule="auto"/>
        <w:tabs>
          <w:tab w:leader="none" w:pos="198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as of the Additional Commitments Closing Date, and no Default shall occur on the Additional Commitments Closing Date as a result of making any Credit Extension in connection with the Additional Commitments or from the application of the proceeds thereof;</w:t>
      </w:r>
    </w:p>
    <w:p>
      <w:pPr>
        <w:spacing w:after="0" w:line="174" w:lineRule="exact"/>
        <w:rPr>
          <w:rFonts w:ascii="Times New Roman" w:cs="Times New Roman" w:eastAsia="Times New Roman" w:hAnsi="Times New Roman"/>
          <w:sz w:val="20"/>
          <w:szCs w:val="20"/>
          <w:color w:val="auto"/>
        </w:rPr>
      </w:pPr>
    </w:p>
    <w:p>
      <w:pPr>
        <w:jc w:val="both"/>
        <w:ind w:left="840" w:right="20" w:firstLine="740"/>
        <w:spacing w:after="0" w:line="254" w:lineRule="auto"/>
        <w:tabs>
          <w:tab w:leader="none" w:pos="198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such Additional Commitment Amendment, the Indebtedness to be incurred in connection therewith (assuming, in the case of any increase in the Aggregate Commitments, that such Additional Commitments and all other Aggregate Commitments are fully drawn) and, if applicable, the Permitted Acquisition consummated in connection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2" w:name="page83"/>
    <w:bookmarkEnd w:id="82"/>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 xml:space="preserve">therewith, the Company and its Restricted Subsidiaries shall be in </w:t>
      </w: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xml:space="preserve"> compliance with all of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840" w:firstLine="740"/>
        <w:spacing w:after="0" w:line="243" w:lineRule="auto"/>
        <w:tabs>
          <w:tab w:leader="none" w:pos="198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each of the following, each dated the applicable Additional Commitments Closing Date unless otherwise indicated or agreed to by the Administrative Agent and each in form and substance reasonably satisfactory to the Administrative Agent: (A) the applicable Additional Commitment Amendment (and such other documents contemplated to be delivered in connection therewith); and (B) a certificate of each Loan Party signed by a Responsible Officer of such Loan Party certifying and attaching the resolutions adopted by the board of directors (or other appropriate governing body) of such Loan Party approving or consenting to the Additional Commitment Amendment and the Additional Commitments provided thereby, and in the case of the Company, certifying as to the satisfaction of the conditions set forth in the foregoing </w:t>
      </w:r>
      <w:r>
        <w:rPr>
          <w:rFonts w:ascii="Times New Roman" w:cs="Times New Roman" w:eastAsia="Times New Roman" w:hAnsi="Times New Roman"/>
          <w:sz w:val="20"/>
          <w:szCs w:val="20"/>
          <w:u w:val="single" w:color="auto"/>
          <w:color w:val="auto"/>
        </w:rPr>
        <w:t>subsections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and certifying that such Additional Commitments do not exceed the Additional Commitments Limit (and, if applicable, providing the calculations in support thereof);</w:t>
      </w:r>
    </w:p>
    <w:p>
      <w:pPr>
        <w:spacing w:after="0" w:line="185"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8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shall have been paid to the Administrative Agent, for the account of the Administrative Agent and the Lenders (including any Person becoming a Lender as part of such Additional Commitment Amendment on the related Additional Commitments Closing Date), as applicable, all fees and expenses (including reasonable and documented out-of-pocket fees, charges and disbursements of counsel) that are due and payable on or before the Additional Commitments Closing Date; and</w:t>
      </w:r>
    </w:p>
    <w:p>
      <w:pPr>
        <w:spacing w:after="0" w:line="184" w:lineRule="exact"/>
        <w:rPr>
          <w:rFonts w:ascii="Times New Roman" w:cs="Times New Roman" w:eastAsia="Times New Roman" w:hAnsi="Times New Roman"/>
          <w:sz w:val="20"/>
          <w:szCs w:val="20"/>
          <w:color w:val="auto"/>
        </w:rPr>
      </w:pPr>
    </w:p>
    <w:p>
      <w:pPr>
        <w:jc w:val="both"/>
        <w:ind w:left="840" w:firstLine="740"/>
        <w:spacing w:after="0" w:line="244" w:lineRule="auto"/>
        <w:tabs>
          <w:tab w:leader="none" w:pos="198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upon the reasonable request of any Lender made at least five Business Days prior to the Additional Commitments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Business Days prior to the Increase Effective Date and (B) at least three Business Days prior to the Additional Commitments Closing Date, any Loan Party that qualifies as a “legal entity customer” under the Beneficial Ownership Regulation shall have delivered, to each Lender that so requests, a Beneficial Ownership Certification in relation to such Loan Party.</w:t>
      </w:r>
    </w:p>
    <w:p>
      <w:pPr>
        <w:spacing w:after="0" w:line="185" w:lineRule="exact"/>
        <w:rPr>
          <w:rFonts w:ascii="Times New Roman" w:cs="Times New Roman" w:eastAsia="Times New Roman" w:hAnsi="Times New Roman"/>
          <w:sz w:val="20"/>
          <w:szCs w:val="20"/>
          <w:color w:val="auto"/>
        </w:rPr>
      </w:pPr>
    </w:p>
    <w:p>
      <w:pPr>
        <w:jc w:val="both"/>
        <w:ind w:left="80" w:firstLine="751"/>
        <w:spacing w:after="0" w:line="244" w:lineRule="auto"/>
        <w:tabs>
          <w:tab w:leader="none" w:pos="126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Additional Commitment Amendment</w:t>
      </w:r>
      <w:r>
        <w:rPr>
          <w:rFonts w:ascii="Times New Roman" w:cs="Times New Roman" w:eastAsia="Times New Roman" w:hAnsi="Times New Roman"/>
          <w:sz w:val="20"/>
          <w:szCs w:val="20"/>
          <w:color w:val="auto"/>
        </w:rPr>
        <w:t xml:space="preserve">. On each Additional Commitments Closing Date, (i) each Eligible Assignee which is providing an Additional Commitment shall become a “Lender” for all purposes of this Agreement and the other Loan Documents, (ii) each Additional Commitment shall become “Commitments” hereunder, (iii) each loan provided pursuant to an Additional Commitment shall be a “Loan” for all purposes of this Agreement and the other Loan Documents, and (iv) in the case of any increase of the Aggregate Commitments, the Company shall prepay any Revolving Credit Loans outstanding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to the extent necessary to keep the outstanding Revolving Credit Loans ratable with any revised Applicable Percentages arising from any nonratable increase in the Commitments under this Section.</w:t>
      </w:r>
    </w:p>
    <w:p>
      <w:pPr>
        <w:spacing w:after="0" w:line="185"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2.16 Cash Collateral</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3" w:name="page84"/>
    <w:bookmarkEnd w:id="83"/>
    <w:p>
      <w:pPr>
        <w:jc w:val="both"/>
        <w:ind w:left="80" w:firstLine="751"/>
        <w:spacing w:after="0" w:line="256" w:lineRule="auto"/>
        <w:tabs>
          <w:tab w:leader="none" w:pos="1225"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Credit Support Events</w:t>
      </w:r>
      <w:r>
        <w:rPr>
          <w:rFonts w:ascii="Times New Roman" w:cs="Times New Roman" w:eastAsia="Times New Roman" w:hAnsi="Times New Roman"/>
          <w:sz w:val="19"/>
          <w:szCs w:val="19"/>
          <w:color w:val="auto"/>
        </w:rPr>
        <w:t xml:space="preserve">. If (i) any L/C Issuer has honored any full or partial drawing request under any Letter of Credit and such drawing has resulted in an L/C Borrowing, (ii) as of the close of business on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8.02(c)</w:t>
      </w:r>
      <w:r>
        <w:rPr>
          <w:rFonts w:ascii="Times New Roman" w:cs="Times New Roman" w:eastAsia="Times New Roman" w:hAnsi="Times New Roman"/>
          <w:sz w:val="19"/>
          <w:szCs w:val="19"/>
          <w:color w:val="auto"/>
        </w:rPr>
        <w:t xml:space="preserve">, or (iv) there shall exist a Defaulting Lender, the Company shall immediately (in the case of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9"/>
          <w:szCs w:val="19"/>
          <w:u w:val="single" w:color="auto"/>
          <w:color w:val="auto"/>
        </w:rPr>
        <w:t>clause</w:t>
      </w:r>
    </w:p>
    <w:p>
      <w:pPr>
        <w:jc w:val="both"/>
        <w:ind w:left="80" w:firstLine="2"/>
        <w:spacing w:after="0"/>
        <w:tabs>
          <w:tab w:leader="none" w:pos="438" w:val="left"/>
        </w:tabs>
        <w:numPr>
          <w:ilvl w:val="0"/>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and any Cash Collateral provided by the Defaulting Lender) and, in the case of clause (iii) above, if applicable, Cash Collateral in an amount not less than the maximum potential drawings under Secured Permitted Bilateral Letters of Credit. Additionally, if the Administrative Agent notifies the Company at any time that the Outstanding Amount of all L/C Obligations at such time exceeds 103% of the Letter of Credit Sublimit then in effect, then, within two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spacing w:after="0" w:line="191" w:lineRule="exact"/>
        <w:rPr>
          <w:rFonts w:ascii="Times New Roman" w:cs="Times New Roman" w:eastAsia="Times New Roman" w:hAnsi="Times New Roman"/>
          <w:sz w:val="20"/>
          <w:szCs w:val="20"/>
          <w:u w:val="single" w:color="auto"/>
          <w:color w:val="auto"/>
        </w:rPr>
      </w:pPr>
    </w:p>
    <w:p>
      <w:pPr>
        <w:jc w:val="both"/>
        <w:ind w:left="80" w:firstLine="751"/>
        <w:spacing w:after="0" w:line="241" w:lineRule="auto"/>
        <w:tabs>
          <w:tab w:leader="none" w:pos="122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Company, and to the extent provided by any Defaulting Lender, such Defaulting Lender, hereby grants to (and subjects to the control of) the Administrative Agent, for the benefit of the Administrative Agent, the L/C Issuers, the Lenders and the PSLOC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the L/C Issuers, the Lenders and the PSLOC Banks as herein provided, or that the total amount of such Cash Collateral is less than the Minimum Collateral Amount or the maximum potential drawings under Secured Permitted Bilateral Letters of Credit, as applicable,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7"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or Secured Permitted Standalone Letters of Credit shall be held and applied to the satisfaction of the specific L/C Obligations, obligations to fund participations therein (including, as to Cash Collateral provided by any Defaulting Lender, any interest accrued on such obligation) and other obligations for which the Cash Collateral was so provided (including obligations under Secured Permitted Standalone Letters of Credit), prior to any other application of such property as may otherwise be provided for herein.</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3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10.06(b)(vi)</w:t>
      </w:r>
      <w:r>
        <w:rPr>
          <w:rFonts w:ascii="Times New Roman" w:cs="Times New Roman" w:eastAsia="Times New Roman" w:hAnsi="Times New Roman"/>
          <w:sz w:val="20"/>
          <w:szCs w:val="20"/>
          <w:color w:val="auto"/>
        </w:rPr>
        <w:t xml:space="preserve">)) or (ii) the determination by the Administrative Agent and the L/C Issuers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 any such release shall be without prejudice to, and any disbursement or other transfer of Cash Collateral shall be and remain subject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4" w:name="page85"/>
    <w:bookmarkEnd w:id="84"/>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any other Lien conferred under the Loan Documents and the other applicable provisions of the Loan Documents, and (y) the Person providing Cash Collateral and the L/C Issuers may agree that Cash Collateral shall not be released but instead held to support future anticipated Fronting Exposure or other obligations.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2.17 Defaulting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80" w:firstLine="751"/>
        <w:spacing w:after="0" w:line="269" w:lineRule="auto"/>
        <w:tabs>
          <w:tab w:leader="none" w:pos="122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59"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53" w:lineRule="auto"/>
        <w:tabs>
          <w:tab w:leader="none" w:pos="2025"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Defaulting Lender Waterfall</w:t>
      </w:r>
      <w:r>
        <w:rPr>
          <w:rFonts w:ascii="Times New Roman" w:cs="Times New Roman" w:eastAsia="Times New Roman" w:hAnsi="Times New Roman"/>
          <w:sz w:val="19"/>
          <w:szCs w:val="19"/>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otherwise) or received by the Administrative Agent from a Defaulting Lender pursuant to </w:t>
      </w:r>
      <w:r>
        <w:rPr>
          <w:rFonts w:ascii="Times New Roman" w:cs="Times New Roman" w:eastAsia="Times New Roman" w:hAnsi="Times New Roman"/>
          <w:sz w:val="19"/>
          <w:szCs w:val="19"/>
          <w:u w:val="single" w:color="auto"/>
          <w:color w:val="auto"/>
        </w:rPr>
        <w:t>Section 10.08</w:t>
      </w:r>
      <w:r>
        <w:rPr>
          <w:rFonts w:ascii="Times New Roman" w:cs="Times New Roman" w:eastAsia="Times New Roman" w:hAnsi="Times New Roman"/>
          <w:sz w:val="19"/>
          <w:szCs w:val="19"/>
          <w:color w:val="auto"/>
        </w:rPr>
        <w:t xml:space="preserve">, shall be applied at such time or times as may be determined by the Administrative Agent as follows: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hereunder;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payment on a pro rata basis of any amounts owing by such Defaulting Lender to any L/C Issuer or Swing 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to Cash Collateralize the L/C Issuers’ Fronting Exposure with respect to such Defaulting Lender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as the Company may request (so long as no Default or Event of Default exists), to the funding of any Loan in respect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19"/>
          <w:szCs w:val="19"/>
          <w:u w:val="single" w:color="auto"/>
          <w:color w:val="auto"/>
        </w:rPr>
        <w:t>Section 2.17(a)(iv)</w:t>
      </w:r>
      <w:r>
        <w:rPr>
          <w:rFonts w:ascii="Times New Roman" w:cs="Times New Roman" w:eastAsia="Times New Roman" w:hAnsi="Times New Roman"/>
          <w:sz w:val="19"/>
          <w:szCs w:val="19"/>
          <w:color w:val="auto"/>
        </w:rPr>
        <w:t>. Any payments, prepayments or other amounts paid or payable to a Defaulting Lender that are applied (or held) to pay amounts owed by a Defaulting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5" w:name="page86"/>
    <w:bookmarkEnd w:id="85"/>
    <w:p>
      <w:pPr>
        <w:ind w:left="840"/>
        <w:spacing w:after="0" w:line="269" w:lineRule="auto"/>
        <w:rPr>
          <w:sz w:val="20"/>
          <w:szCs w:val="20"/>
          <w:color w:val="auto"/>
        </w:rPr>
      </w:pPr>
      <w:r>
        <w:rPr>
          <w:rFonts w:ascii="Times New Roman" w:cs="Times New Roman" w:eastAsia="Times New Roman" w:hAnsi="Times New Roman"/>
          <w:sz w:val="20"/>
          <w:szCs w:val="20"/>
          <w:color w:val="auto"/>
        </w:rPr>
        <w:t xml:space="preserve">Lender or to post Cash Collateral pursuant to this </w:t>
      </w:r>
      <w:r>
        <w:rPr>
          <w:rFonts w:ascii="Times New Roman" w:cs="Times New Roman" w:eastAsia="Times New Roman" w:hAnsi="Times New Roman"/>
          <w:sz w:val="20"/>
          <w:szCs w:val="20"/>
          <w:u w:val="single" w:color="auto"/>
          <w:color w:val="auto"/>
        </w:rPr>
        <w:t>Section 2.17(a)(ii)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59" w:lineRule="exact"/>
        <w:rPr>
          <w:sz w:val="20"/>
          <w:szCs w:val="20"/>
          <w:color w:val="auto"/>
        </w:rPr>
      </w:pPr>
    </w:p>
    <w:p>
      <w:pPr>
        <w:ind w:left="1980" w:hanging="400"/>
        <w:spacing w:after="0"/>
        <w:tabs>
          <w:tab w:leader="none" w:pos="198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firstLine="748"/>
        <w:spacing w:after="0" w:line="254" w:lineRule="auto"/>
        <w:tabs>
          <w:tab w:leader="none" w:pos="2724"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74" w:lineRule="exact"/>
        <w:rPr>
          <w:rFonts w:ascii="Times New Roman" w:cs="Times New Roman" w:eastAsia="Times New Roman" w:hAnsi="Times New Roman"/>
          <w:sz w:val="20"/>
          <w:szCs w:val="20"/>
          <w:color w:val="auto"/>
        </w:rPr>
      </w:pPr>
    </w:p>
    <w:p>
      <w:pPr>
        <w:jc w:val="both"/>
        <w:ind w:left="1580" w:firstLine="748"/>
        <w:spacing w:after="0" w:line="254" w:lineRule="auto"/>
        <w:tabs>
          <w:tab w:leader="none" w:pos="2724"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580" w:firstLine="748"/>
        <w:spacing w:after="0" w:line="243" w:lineRule="auto"/>
        <w:tabs>
          <w:tab w:leader="none" w:pos="2724"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or any Letter of Credit Fee not required to be paid to any Defaulting Lender pursuant to clause (A) or (B)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the Swing Line Lender and the applicable L/C Issuer, as applicable, the amount of any such fee otherwise payable to such Defaulting Lender to the extent allocable to such L/C Issuer’s or the Swing Line Lender’s Fronting Exposure to such Defaulting Lender, and (z) not be required to pay the remaining amount of any such fee.</w:t>
      </w:r>
    </w:p>
    <w:p>
      <w:pPr>
        <w:spacing w:after="0" w:line="189" w:lineRule="exact"/>
        <w:rPr>
          <w:rFonts w:ascii="Times New Roman" w:cs="Times New Roman" w:eastAsia="Times New Roman" w:hAnsi="Times New Roman"/>
          <w:sz w:val="20"/>
          <w:szCs w:val="20"/>
          <w:color w:val="auto"/>
        </w:rPr>
      </w:pPr>
    </w:p>
    <w:p>
      <w:pPr>
        <w:jc w:val="both"/>
        <w:ind w:left="840" w:firstLine="740"/>
        <w:spacing w:after="0" w:line="243" w:lineRule="auto"/>
        <w:tabs>
          <w:tab w:leader="none" w:pos="2011"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20"/>
          <w:szCs w:val="20"/>
          <w:u w:val="single" w:color="auto"/>
          <w:color w:val="auto"/>
        </w:rPr>
        <w:t>Section 10.22</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9"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8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If the Company, the Administrative Agent, the Swing Line Lender and the L/C Issuers agree in writing in their sole discretion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6" w:name="page87"/>
    <w:bookmarkEnd w:id="86"/>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 xml:space="preserve">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4" w:lineRule="exact"/>
        <w:rPr>
          <w:sz w:val="20"/>
          <w:szCs w:val="20"/>
          <w:color w:val="auto"/>
        </w:rPr>
      </w:pPr>
    </w:p>
    <w:p>
      <w:pPr>
        <w:jc w:val="both"/>
        <w:ind w:left="80" w:firstLine="751"/>
        <w:spacing w:after="0" w:line="249" w:lineRule="auto"/>
        <w:tabs>
          <w:tab w:leader="none" w:pos="122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2.18 Designation of Unrestricted and Restricted Subsidiaries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firstLine="751"/>
        <w:spacing w:after="0"/>
        <w:tabs>
          <w:tab w:leader="none" w:pos="122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on or after the Closing Date, upon written notice to the Administrative Agent (which written notice shall contain a certification as to the matters set forth in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the Company may designate any Restricted Subsidiary (along with all Subsidiaries of such Restricted Subsidiary) as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both immediately before and immediately after giving effect to such designation, no Default or Event of Default shall have occurred and be continuing, (ii) the Investment in such Unrestricted Subsidiary must be permitted at such time under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(with the amount of such Investment being deemed to be the fair market value of the net assets of such Subsidiary at the time such Subsidiary is designated an Unrestricted Subsidiary), (iii) once designated as an Unrestricted Subsidiary, the Company may re-designate such Subsidiary as a “Restricted Subsidiary” pursuant to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but, thereafter, the Company shall not re-designate such Subsidiary as an “Unrestricted Subsidiary”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(iv) no Subsidiary may be designated as an Unrestricted Subsidiary or continue as an Unrestricted Subsidiary (A) if it is a Borrower or a Subsidiary Guarantor (unless, in the case of a Subsidiary Guarantor, concurrently with such designation it ceases to be a Subsidiary Guarantor) or (B) unless each of its direct and indirect Subsidiaries is also designated an Unrestricted Subsidiary pursuant to this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(v) after giving effect to such designation, the Company and its Restricted Subsidiaries shall be in pro forma compliance with the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such compliance to be determined on the basis of financial information for the fiscal period most recently ended for which financial information is available and calculated in accordance with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and (vi) the Company and its Restricted Subsidiaries (excluding the proposed Unrestricted Subsidiary) shall at the time of the designation represent, on a consolidated basis (and without taking into account the assets or revenues of any Unrestricted Subsidiary (including the proposed Unrestricted Subsidiary) or the value of any Investment therein) at least 90% of the Consolidated Total Assets and 90% of the consolidated total revenues of the Company and its Subsidiaries. The designation of any Subsidiary as an Unrestricted Subsidiary on or after the Closing Date shall constitute an Investment (with the amount of such Investment being deemed to be the fair market value of the net assets of such Subsidiary at the time such Subsidiary is designated an Unrestricted Subsidiary) by the Company or a Restricted Subsidiary therein at the date of designation.</w:t>
      </w:r>
    </w:p>
    <w:p>
      <w:pPr>
        <w:spacing w:after="0" w:line="205"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2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Closing Date and upon written notice to the Administrative Agent, the Company may re-designate any Unrestricted Subsidiary as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Subsidiary holding or owning Equity Interests in such re-designated Restricted Subsidiary shall be an Unrestricted Subsidiary (unless also being re-designated at such time) and (ii) both before and after giving effect to such designation, no Event of Default shall have occurred and be continuing.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7" w:name="page88"/>
    <w:bookmarkEnd w:id="87"/>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re-designation of any Unrestricted Subsidiary as a Restricted Subsidiary shall constitute (i) the incurrence at the time of such re-designation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re-designation of the Company’s or its Restricted Subsidiary’s (as applicable) Investment in such re-designated Restricted Subsidiary.</w:t>
      </w:r>
    </w:p>
    <w:p>
      <w:pPr>
        <w:spacing w:after="0" w:line="185" w:lineRule="exact"/>
        <w:rPr>
          <w:sz w:val="20"/>
          <w:szCs w:val="20"/>
          <w:color w:val="auto"/>
        </w:rPr>
      </w:pPr>
    </w:p>
    <w:p>
      <w:pPr>
        <w:jc w:val="both"/>
        <w:ind w:left="80" w:firstLine="751"/>
        <w:spacing w:after="0" w:line="254" w:lineRule="auto"/>
        <w:tabs>
          <w:tab w:leader="none" w:pos="122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as applicable, are satisfied in all respects.</w:t>
      </w:r>
    </w:p>
    <w:p>
      <w:pPr>
        <w:spacing w:after="0" w:line="174"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Unrestricted Subsidiaries as of the Closing Date are set forth on </w:t>
      </w:r>
      <w:r>
        <w:rPr>
          <w:rFonts w:ascii="Times New Roman" w:cs="Times New Roman" w:eastAsia="Times New Roman" w:hAnsi="Times New Roman"/>
          <w:sz w:val="20"/>
          <w:szCs w:val="20"/>
          <w:u w:val="single" w:color="auto"/>
          <w:color w:val="auto"/>
        </w:rPr>
        <w:t>Schedule 2.18</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Loan Party’s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Loan Party’s business.</w:t>
      </w:r>
    </w:p>
    <w:p>
      <w:pPr>
        <w:spacing w:after="0" w:line="1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3.01 Taxes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220" w:hanging="389"/>
        <w:spacing w:after="0"/>
        <w:tabs>
          <w:tab w:leader="none" w:pos="12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5" w:lineRule="auto"/>
        <w:tabs>
          <w:tab w:leader="none" w:pos="198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 the deduction or withholding of any Tax from any such payment by a Withholding Agent, then the applicable Withholding Agent or such Loan Party shall be entitled to make such deduction or withholding, upon the basis of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if any.</w:t>
      </w:r>
    </w:p>
    <w:p>
      <w:pPr>
        <w:spacing w:after="0" w:line="184" w:lineRule="exact"/>
        <w:rPr>
          <w:rFonts w:ascii="Times New Roman" w:cs="Times New Roman" w:eastAsia="Times New Roman" w:hAnsi="Times New Roman"/>
          <w:sz w:val="20"/>
          <w:szCs w:val="20"/>
          <w:color w:val="auto"/>
        </w:rPr>
      </w:pPr>
    </w:p>
    <w:p>
      <w:pPr>
        <w:jc w:val="both"/>
        <w:ind w:left="840" w:firstLine="740"/>
        <w:spacing w:after="0" w:line="243" w:lineRule="auto"/>
        <w:tabs>
          <w:tab w:leader="none" w:pos="198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if any,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5" w:lineRule="exact"/>
        <w:rPr>
          <w:rFonts w:ascii="Times New Roman" w:cs="Times New Roman" w:eastAsia="Times New Roman" w:hAnsi="Times New Roman"/>
          <w:sz w:val="20"/>
          <w:szCs w:val="20"/>
          <w:color w:val="auto"/>
        </w:rPr>
      </w:pPr>
    </w:p>
    <w:p>
      <w:pPr>
        <w:ind w:left="840" w:right="20" w:firstLine="740"/>
        <w:spacing w:after="0" w:line="269" w:lineRule="auto"/>
        <w:tabs>
          <w:tab w:leader="none" w:pos="198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Loan Party or the Administrative Agent shall be required by any Applicable Law other than the Code to withhold or deduct any Taxes from any payment, then (A) such</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8" w:name="page89"/>
    <w:bookmarkEnd w:id="88"/>
    <w:p>
      <w:pPr>
        <w:jc w:val="both"/>
        <w:ind w:left="840"/>
        <w:spacing w:after="0" w:line="243" w:lineRule="auto"/>
        <w:rPr>
          <w:sz w:val="20"/>
          <w:szCs w:val="20"/>
          <w:color w:val="auto"/>
        </w:rPr>
      </w:pPr>
      <w:r>
        <w:rPr>
          <w:rFonts w:ascii="Times New Roman" w:cs="Times New Roman" w:eastAsia="Times New Roman" w:hAnsi="Times New Roman"/>
          <w:sz w:val="20"/>
          <w:szCs w:val="20"/>
          <w:color w:val="auto"/>
        </w:rPr>
        <w:t xml:space="preserve">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9" w:lineRule="exact"/>
        <w:rPr>
          <w:sz w:val="20"/>
          <w:szCs w:val="20"/>
          <w:color w:val="auto"/>
        </w:rPr>
      </w:pPr>
    </w:p>
    <w:p>
      <w:pPr>
        <w:jc w:val="both"/>
        <w:ind w:left="80" w:firstLine="751"/>
        <w:spacing w:after="0" w:line="254" w:lineRule="auto"/>
        <w:tabs>
          <w:tab w:leader="none" w:pos="1225"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above, each Borrower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2" w:lineRule="auto"/>
        <w:tabs>
          <w:tab w:leader="none" w:pos="198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and does hereby, indemnify each Recipient, and shall make payment in respect thereof within 10 Business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reasonably detailed certificate as to the amount of such payment or liability delivered to the Company by a Lender or an L/C Issuer (with a copy to the Administrative Agent), or by the Administrative Agent on its own behalf or on behalf of a Lender or an L/C Issuer, shall be conclusive (including within the meaning of section 151 Dutch Code of Civil Procedure) absent manifest error. Each Borrower shall, and does hereby, indemnify the Administrative Agent, and shall make payment in respect thereof within 10 Business Days after demand therefor, for any amount which a Lender or an L/C Issuer for any reason fails to pay indefeasibly to the Administrative Agent as required pursuant to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 xml:space="preserve"> below.</w:t>
      </w:r>
    </w:p>
    <w:p>
      <w:pPr>
        <w:spacing w:after="0" w:line="187" w:lineRule="exact"/>
        <w:rPr>
          <w:rFonts w:ascii="Times New Roman" w:cs="Times New Roman" w:eastAsia="Times New Roman" w:hAnsi="Times New Roman"/>
          <w:sz w:val="20"/>
          <w:szCs w:val="20"/>
          <w:color w:val="auto"/>
        </w:rPr>
      </w:pPr>
    </w:p>
    <w:p>
      <w:pPr>
        <w:jc w:val="both"/>
        <w:ind w:left="840" w:firstLine="740"/>
        <w:spacing w:after="0" w:line="256" w:lineRule="auto"/>
        <w:tabs>
          <w:tab w:leader="none" w:pos="1984"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and each L/C Issuer shall, and does hereby, severally indemnify, and shall make payment in respect thereof within 10 Business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each Borrower to do so), (y) the Administrative Agent and the Borrowers, as applicable, against any Taxes attributable to such Lender’s failure to comply with the provisions of </w:t>
      </w:r>
      <w:r>
        <w:rPr>
          <w:rFonts w:ascii="Times New Roman" w:cs="Times New Roman" w:eastAsia="Times New Roman" w:hAnsi="Times New Roman"/>
          <w:sz w:val="19"/>
          <w:szCs w:val="19"/>
          <w:u w:val="single" w:color="auto"/>
          <w:color w:val="auto"/>
        </w:rPr>
        <w:t>Section 10.06(d)</w:t>
      </w:r>
      <w:r>
        <w:rPr>
          <w:rFonts w:ascii="Times New Roman" w:cs="Times New Roman" w:eastAsia="Times New Roman" w:hAnsi="Times New Roman"/>
          <w:sz w:val="19"/>
          <w:szCs w:val="19"/>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(including within the meaning of section 151 Dutch Code of Civil Procedure) absent manifest error. Each Lender and each L/C Issuer hereby authorizes the Administrative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89" w:name="page90"/>
    <w:bookmarkEnd w:id="89"/>
    <w:p>
      <w:pPr>
        <w:ind w:left="840"/>
        <w:spacing w:after="0" w:line="269" w:lineRule="auto"/>
        <w:rPr>
          <w:sz w:val="20"/>
          <w:szCs w:val="20"/>
          <w:color w:val="auto"/>
        </w:rPr>
      </w:pPr>
      <w:r>
        <w:rPr>
          <w:rFonts w:ascii="Times New Roman" w:cs="Times New Roman" w:eastAsia="Times New Roman" w:hAnsi="Times New Roman"/>
          <w:sz w:val="20"/>
          <w:szCs w:val="20"/>
          <w:color w:val="auto"/>
        </w:rPr>
        <w:t xml:space="preserve">Agent to set off and apply any and all amounts at any time owing to such Lender or such L/C Issuer, as the case may be, under this Agreement or any other Loan Document against any amount due to the Administrative Agent under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80" w:firstLine="751"/>
        <w:spacing w:after="0" w:line="245" w:lineRule="auto"/>
        <w:tabs>
          <w:tab w:leader="none" w:pos="1225"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Upon request by the Company or the Administrative Agent, as the case may be, after any payment of Taxes by any Borrower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184"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41" w:lineRule="auto"/>
        <w:tabs>
          <w:tab w:leader="none" w:pos="198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prescribed by Applicable Law,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20"/>
          <w:szCs w:val="20"/>
          <w:color w:val="auto"/>
        </w:rPr>
      </w:pPr>
    </w:p>
    <w:p>
      <w:pPr>
        <w:ind w:left="1980" w:hanging="400"/>
        <w:spacing w:after="0"/>
        <w:tabs>
          <w:tab w:leader="none" w:pos="198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1580" w:firstLine="748"/>
        <w:spacing w:after="0" w:line="249" w:lineRule="auto"/>
        <w:tabs>
          <w:tab w:leader="none" w:pos="2724"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20"/>
          <w:szCs w:val="20"/>
          <w:color w:val="auto"/>
        </w:rPr>
      </w:pPr>
    </w:p>
    <w:p>
      <w:pPr>
        <w:jc w:val="both"/>
        <w:ind w:left="1580" w:firstLine="748"/>
        <w:spacing w:after="0" w:line="249" w:lineRule="auto"/>
        <w:tabs>
          <w:tab w:leader="none" w:pos="2724"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90" w:name="page91"/>
    <w:bookmarkEnd w:id="90"/>
    <w:p>
      <w:pPr>
        <w:jc w:val="both"/>
        <w:ind w:left="1960" w:firstLine="743"/>
        <w:spacing w:after="0" w:line="244" w:lineRule="auto"/>
        <w:tabs>
          <w:tab w:leader="none" w:pos="31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(III) executed copies of IRS Form W-8ECI;</w:t>
      </w:r>
    </w:p>
    <w:p>
      <w:pPr>
        <w:spacing w:after="0" w:line="216" w:lineRule="exact"/>
        <w:rPr>
          <w:sz w:val="20"/>
          <w:szCs w:val="20"/>
          <w:color w:val="auto"/>
        </w:rPr>
      </w:pPr>
    </w:p>
    <w:p>
      <w:pPr>
        <w:jc w:val="both"/>
        <w:ind w:left="1960" w:firstLine="749"/>
        <w:spacing w:after="0" w:line="245" w:lineRule="auto"/>
        <w:rPr>
          <w:sz w:val="20"/>
          <w:szCs w:val="20"/>
          <w:color w:val="auto"/>
        </w:rPr>
      </w:pPr>
      <w:r>
        <w:rPr>
          <w:rFonts w:ascii="Times New Roman" w:cs="Times New Roman" w:eastAsia="Times New Roman" w:hAnsi="Times New Roman"/>
          <w:sz w:val="20"/>
          <w:szCs w:val="20"/>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W-8BEN-E, as applicable; or</w:t>
      </w:r>
    </w:p>
    <w:p>
      <w:pPr>
        <w:spacing w:after="0" w:line="184" w:lineRule="exact"/>
        <w:rPr>
          <w:sz w:val="20"/>
          <w:szCs w:val="20"/>
          <w:color w:val="auto"/>
        </w:rPr>
      </w:pPr>
    </w:p>
    <w:p>
      <w:pPr>
        <w:jc w:val="both"/>
        <w:ind w:left="1960" w:firstLine="743"/>
        <w:spacing w:after="0" w:line="235" w:lineRule="exact"/>
        <w:tabs>
          <w:tab w:leader="none" w:pos="3104"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F</w:t>
      </w:r>
      <w:r>
        <w:rPr>
          <w:rFonts w:ascii="MS PGothic" w:cs="MS PGothic" w:eastAsia="MS PGothic" w:hAnsi="MS PGothic"/>
          <w:sz w:val="20"/>
          <w:szCs w:val="20"/>
          <w:u w:val="single" w:color="auto"/>
          <w:color w:val="auto"/>
        </w:rPr>
        <w:t>‑</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xml:space="preserve"> on behalf of each such direct and indirect partner;</w:t>
      </w:r>
    </w:p>
    <w:p>
      <w:pPr>
        <w:spacing w:after="0" w:line="192" w:lineRule="exact"/>
        <w:rPr>
          <w:rFonts w:ascii="Times New Roman" w:cs="Times New Roman" w:eastAsia="Times New Roman" w:hAnsi="Times New Roman"/>
          <w:sz w:val="20"/>
          <w:szCs w:val="20"/>
          <w:color w:val="auto"/>
        </w:rPr>
      </w:pPr>
    </w:p>
    <w:p>
      <w:pPr>
        <w:jc w:val="both"/>
        <w:ind w:left="1580" w:firstLine="748"/>
        <w:spacing w:after="0" w:line="244" w:lineRule="auto"/>
        <w:tabs>
          <w:tab w:leader="none" w:pos="272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5" w:lineRule="exact"/>
        <w:rPr>
          <w:rFonts w:ascii="Times New Roman" w:cs="Times New Roman" w:eastAsia="Times New Roman" w:hAnsi="Times New Roman"/>
          <w:sz w:val="20"/>
          <w:szCs w:val="20"/>
          <w:color w:val="auto"/>
        </w:rPr>
      </w:pPr>
    </w:p>
    <w:p>
      <w:pPr>
        <w:jc w:val="both"/>
        <w:ind w:left="1580" w:firstLine="748"/>
        <w:spacing w:after="0" w:line="244" w:lineRule="auto"/>
        <w:tabs>
          <w:tab w:leader="none" w:pos="272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91" w:name="page92"/>
    <w:bookmarkEnd w:id="91"/>
    <w:p>
      <w:pPr>
        <w:jc w:val="both"/>
        <w:ind w:left="1880"/>
        <w:spacing w:after="0" w:line="249" w:lineRule="auto"/>
        <w:rPr>
          <w:sz w:val="20"/>
          <w:szCs w:val="20"/>
          <w:color w:val="auto"/>
        </w:rPr>
      </w:pPr>
      <w:r>
        <w:rPr>
          <w:rFonts w:ascii="Times New Roman" w:cs="Times New Roman" w:eastAsia="Times New Roman" w:hAnsi="Times New Roman"/>
          <w:sz w:val="20"/>
          <w:szCs w:val="20"/>
          <w:color w:val="auto"/>
        </w:rPr>
        <w:t>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0" w:lineRule="exact"/>
        <w:rPr>
          <w:sz w:val="20"/>
          <w:szCs w:val="20"/>
          <w:color w:val="auto"/>
        </w:rPr>
      </w:pPr>
    </w:p>
    <w:p>
      <w:pPr>
        <w:jc w:val="both"/>
        <w:ind w:left="1140" w:firstLine="740"/>
        <w:spacing w:after="0" w:line="254" w:lineRule="auto"/>
        <w:tabs>
          <w:tab w:leader="none" w:pos="228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5" w:lineRule="auto"/>
        <w:tabs>
          <w:tab w:leader="none" w:pos="1525"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Treatment of Certain Refunds</w:t>
      </w:r>
      <w:r>
        <w:rPr>
          <w:rFonts w:ascii="Times New Roman" w:cs="Times New Roman" w:eastAsia="Times New Roman" w:hAnsi="Times New Roman"/>
          <w:sz w:val="19"/>
          <w:szCs w:val="19"/>
          <w:color w:val="auto"/>
        </w:rPr>
        <w:t xml:space="preserve">. Unless required by Applicable Law,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that it has received a refund of any Taxes as to which it has been indemnified by any Borrower or with respect to which any Borrower has paid additional amounts pursuant to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it shall pay to such Borrower an amount equal to such refund (but only to the extent of indemnity payments made, or additional amounts paid, by a Borrower under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each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spacing w:after="0" w:line="173" w:lineRule="exact"/>
        <w:rPr>
          <w:rFonts w:ascii="Times New Roman" w:cs="Times New Roman" w:eastAsia="Times New Roman" w:hAnsi="Times New Roman"/>
          <w:sz w:val="19"/>
          <w:szCs w:val="19"/>
          <w:color w:val="auto"/>
        </w:rPr>
      </w:pPr>
    </w:p>
    <w:p>
      <w:pPr>
        <w:jc w:val="both"/>
        <w:ind w:left="380" w:firstLine="751"/>
        <w:spacing w:after="0" w:line="254" w:lineRule="auto"/>
        <w:tabs>
          <w:tab w:leader="none" w:pos="157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includes FATCA.</w:t>
      </w:r>
    </w:p>
    <w:p>
      <w:pPr>
        <w:spacing w:after="0" w:line="2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3.02 Illegality. </w:t>
      </w:r>
      <w:r>
        <w:rPr>
          <w:rFonts w:ascii="Times New Roman" w:cs="Times New Roman" w:eastAsia="Times New Roman" w:hAnsi="Times New Roman"/>
          <w:sz w:val="20"/>
          <w:szCs w:val="20"/>
          <w:color w:val="auto"/>
        </w:rPr>
        <w:t>If any Lender determines in good faith that any Law has made it unlawful, or that any Governmental Authority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or sell, or to take deposits of, any Alternative Currency in the applicable interbank market, then, on notice thereof by such Lender to the Company (through the Administrative Agent), (a) any obligation of such Lender to make or maintain Alternative Currency Loans in the affected currency or currencies or, in the case of Loans denominated in Dollars, to make or maintain Daily Simple SOFR Loans or Term SOFR Loans or to convert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2" w:name="page93"/>
    <w:bookmarkEnd w:id="9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Base Rate Loans to Daily Simple SOFR Loans or Term SOFR Loans shall be, in each case, suspended, and (b) if such notice asserts the illegality of such Lender making or maintaining Base Rate Loans the interest rate on which is determined by reference to the Daily Simple SOFR component of the Base Rate, the interest rate on which Base Rate Loans of such Lender shall, if necessary to avoid such illegality, be determined by the Administrative Agent without reference to the Daily Simple SOFR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all Daily Simple SOFR Loans, Term SOFR Loans or Alternative Currency Loans, as applicable, in the affected currency or currencies or, if applicable and such Loans are denominated in Dollars, convert all Daily Simple SOFR Loans or Term SOFR Loans of such Lender to Base Rate Loans (the interest rate on which Base Rate Loans of such Lender shall, if necessary to avoid such illegality, be determined by the Administrative Agent without reference to the Daily Simple SOFR component of the Base Rate), in each case, immediately, or, in the case of Term SOFR Loans or Alternative Currency Term Rate Loans, on the last day of the Interest Period therefor if such Lender may lawfully continue to maintain such Loans to such day and (ii) if such notice asserts the illegality of such Lender determining or charging interest rates based upon SOFR or Daily Simple SOFR, as applicable, the Administrative Agent shall during the period of such suspension compute the Base Rate applicable to such Lender without reference to the Daily Simple SOFR component thereof until the Administrative Agent is advised in writing by such Lender that it is no longer illegal for such Lender to determine or charge interest rates based upon Daily Simple SOFR or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3.03 Inability to Determine Rates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1" w:lineRule="auto"/>
        <w:tabs>
          <w:tab w:leader="none" w:pos="152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a Daily Simple SOFR Loan or an Alternative Currency Loan or a conversion of Base Rate Loans to Term SOFR Loans or Daily Simple SOFR Loans or a continuation of any of such Loans, as applicable, (i) the Administrative Agent determines (which determination shall be conclusive (including within the meaning of section 151 Dutch Code of Civil Procedure) absent manifest error) that (A) no Successor Rate for the Relevant Rate for the applicable Agreed Currency has been determined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the SOFR Scheduled Unavailability Date or the Non-SOFR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Daily Simple SOFR Loan, Term SOFR Loan or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 Thereafter, (x) the obligation of the Lenders to make or maintain Daily Simple SOFR Loans, Term SOFR Loans or Loans in the affected currencies, as applicable, or to convert Base Rate Loans to Daily Simple SOFR Loans or Term SOFR Loans, shall be suspended in each case to the extent of the affected Daily Simple SOFR Loans, Term SOFR Loans or Alternative Currency Loans or Interest Period or determination date(s), as applicable, and (y) in the event of a determination described in the preceding sentence with respect to the Daily Simple SOFR component of the Base Rate, the utilization of the Daily Simple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0"/>
          <w:szCs w:val="20"/>
          <w:u w:val="single" w:color="auto"/>
          <w:color w:val="auto"/>
        </w:rPr>
        <w:t>Section 3.03(a)</w:t>
      </w:r>
      <w:r>
        <w:rPr>
          <w:rFonts w:ascii="Times New Roman" w:cs="Times New Roman" w:eastAsia="Times New Roman" w:hAnsi="Times New Roman"/>
          <w:sz w:val="20"/>
          <w:szCs w:val="20"/>
          <w:color w:val="auto"/>
        </w:rPr>
        <w:t>, until the Administrative Agent upon instruction of the Required Lenders) revokes such notice. Upon receipt of such notice, (i) the Borrowers may revoke any pending request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3" w:name="page94"/>
    <w:bookmarkEnd w:id="93"/>
    <w:p>
      <w:pPr>
        <w:jc w:val="both"/>
        <w:ind w:left="380"/>
        <w:spacing w:after="0" w:line="254" w:lineRule="auto"/>
        <w:rPr>
          <w:sz w:val="20"/>
          <w:szCs w:val="20"/>
          <w:color w:val="auto"/>
        </w:rPr>
      </w:pPr>
      <w:r>
        <w:rPr>
          <w:rFonts w:ascii="Times New Roman" w:cs="Times New Roman" w:eastAsia="Times New Roman" w:hAnsi="Times New Roman"/>
          <w:sz w:val="19"/>
          <w:szCs w:val="19"/>
          <w:color w:val="auto"/>
        </w:rPr>
        <w:t xml:space="preserve">for a Borrowing of, or conversion to, or continuation of Daily Simple SOFR Loans, Term SOFR Loans or Alternative Currency Loans to the extent of the affected Daily Simple SOFR Loans, Term SOFR Loans or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Daily Simple SOFR Loans shall be deemed to have been converted to Base Rate Loans immediately, (B) any outstanding Term SOFR Loans shall be deemed to have been converted to Base Rate Loans at the end of their respective applicable Interest Period and (C)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no election is made by the Company</w:t>
      </w:r>
    </w:p>
    <w:p>
      <w:pPr>
        <w:spacing w:after="0" w:line="3" w:lineRule="exact"/>
        <w:rPr>
          <w:sz w:val="20"/>
          <w:szCs w:val="20"/>
          <w:color w:val="auto"/>
        </w:rPr>
      </w:pPr>
    </w:p>
    <w:p>
      <w:pPr>
        <w:jc w:val="both"/>
        <w:ind w:left="380" w:firstLine="2"/>
        <w:spacing w:after="0" w:line="242" w:lineRule="auto"/>
        <w:tabs>
          <w:tab w:leader="none" w:pos="663"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186"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SOFR or SOFR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(including within the meaning of section 151 Dutch Code of Civil Procedure) absent manifest error), or the Company or Required Lenders notify the Administrative Agent (with, in the case of the Required Lenders, a copy to the Company) that the Company or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SOFR because SOFR is not available or published on a current basis or one month, three month and six month interest periods of Term SOFR, including, without limitation, because the Term SOFR Screen Rate is not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color w:val="auto"/>
        </w:rPr>
      </w:pPr>
    </w:p>
    <w:p>
      <w:pPr>
        <w:jc w:val="both"/>
        <w:ind w:left="1140" w:firstLine="740"/>
        <w:spacing w:after="0" w:line="243" w:lineRule="auto"/>
        <w:tabs>
          <w:tab w:leader="none" w:pos="2284" w:val="left"/>
        </w:tabs>
        <w:numPr>
          <w:ilvl w:val="2"/>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Authority has made a public statement identifying a specific date after which SOFR or one month, three month and six month interest periods of Term SOFR or the Term SOFR Screen Rate shall or will no longer be representative or made available, or permitted to be used for determining the interest rate of syndicated loans denominated in Dollars, or shall or will otherwise cease,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at the time of such statement, there is no successor administrator that is satisfactory to the Administrative Agent that will continue to provide SOFR or such interest periods of Term SOFR after such specific date (the latest date on which SOFR or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SOFR Successor Rate then in effect, then, the Administrative Agent and the Company may amend this Agreement solely for the purpose of replacing SOFR for Dollars or any then current SOFR Successor Rate for Dollars in accordance with this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4" w:name="page95"/>
    <w:bookmarkEnd w:id="94"/>
    <w:p>
      <w:pPr>
        <w:jc w:val="both"/>
        <w:spacing w:after="0" w:line="249" w:lineRule="auto"/>
        <w:rPr>
          <w:sz w:val="20"/>
          <w:szCs w:val="20"/>
          <w:color w:val="auto"/>
        </w:rPr>
      </w:pPr>
      <w:r>
        <w:rPr>
          <w:rFonts w:ascii="Times New Roman" w:cs="Times New Roman" w:eastAsia="Times New Roman" w:hAnsi="Times New Roman"/>
          <w:sz w:val="20"/>
          <w:szCs w:val="20"/>
          <w:color w:val="auto"/>
        </w:rPr>
        <w:t>Dollars for 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SOFR Successor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80" w:lineRule="exact"/>
        <w:rPr>
          <w:sz w:val="20"/>
          <w:szCs w:val="20"/>
          <w:color w:val="auto"/>
        </w:rPr>
      </w:pPr>
    </w:p>
    <w:p>
      <w:pPr>
        <w:jc w:val="both"/>
        <w:ind w:left="380" w:firstLine="751"/>
        <w:spacing w:after="0" w:line="246" w:lineRule="auto"/>
        <w:tabs>
          <w:tab w:leader="none" w:pos="152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Relevant Rate or Successor Rate with Respect to Alternative Currency Loans</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(including within the meaning of section 151 Dutch Code of Civil Procedure) absent manifest error), or the Company or the Required Lenders notify the Administrative Agent in writing (with, in the case of the Required Lenders, a copy to the Company) that the Company or the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for an Agreed Currency (other than Dollars) because none of the tenors of such Relevant Rate under this Agreement is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3" w:lineRule="auto"/>
        <w:tabs>
          <w:tab w:leader="none" w:pos="2284"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0"/>
          <w:szCs w:val="20"/>
          <w:u w:val="single" w:color="auto"/>
          <w:color w:val="auto"/>
        </w:rPr>
        <w:t>Non-SOFR Scheduled Unavailability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Non-SOFR Successor Rate then in effect, then, the Administrative Agent and the Company may amend this Agreement solely for the purpose of replacing the Relevant Rate for an Agreed Currency (other than Dollars) or any then current Non-SOFR Successor Rate for an Agreed Currency (other than Dollars) in accordance with this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Non-SOFR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collectively with the SOFR Successor Rate, each a “</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87" w:lineRule="exact"/>
        <w:rPr>
          <w:sz w:val="20"/>
          <w:szCs w:val="20"/>
          <w:color w:val="auto"/>
        </w:rPr>
      </w:pPr>
    </w:p>
    <w:p>
      <w:pPr>
        <w:ind w:left="380" w:right="20" w:firstLine="751"/>
        <w:spacing w:after="0" w:line="269" w:lineRule="auto"/>
        <w:tabs>
          <w:tab w:leader="none" w:pos="152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The Administrative Agent will promptly (in one or more notices) notify the Company and each Lender of the implementation of any Successor Rate.</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5" w:name="page96"/>
    <w:bookmarkEnd w:id="95"/>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5" w:lineRule="exact"/>
        <w:rPr>
          <w:sz w:val="20"/>
          <w:szCs w:val="20"/>
          <w:color w:val="auto"/>
        </w:rPr>
      </w:pPr>
    </w:p>
    <w:p>
      <w:pPr>
        <w:jc w:val="both"/>
        <w:ind w:left="380" w:firstLine="751"/>
        <w:spacing w:after="0" w:line="254" w:lineRule="auto"/>
        <w:tabs>
          <w:tab w:leader="none" w:pos="152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Required Lenders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in the relevant Alternative Currency shall be excluded from any determination of Required Lenders.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3.04 Increased Costs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520" w:hanging="389"/>
        <w:spacing w:after="0"/>
        <w:tabs>
          <w:tab w:leader="none" w:pos="152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any L/C Issuer;</w:t>
      </w:r>
    </w:p>
    <w:p>
      <w:pPr>
        <w:spacing w:after="0" w:line="174" w:lineRule="exact"/>
        <w:rPr>
          <w:rFonts w:ascii="Times New Roman" w:cs="Times New Roman" w:eastAsia="Times New Roman" w:hAnsi="Times New Roman"/>
          <w:sz w:val="20"/>
          <w:szCs w:val="20"/>
          <w:color w:val="auto"/>
        </w:rPr>
      </w:pPr>
    </w:p>
    <w:p>
      <w:pPr>
        <w:jc w:val="both"/>
        <w:ind w:left="1140" w:right="20" w:firstLine="740"/>
        <w:spacing w:after="0" w:line="254" w:lineRule="auto"/>
        <w:tabs>
          <w:tab w:leader="none" w:pos="22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L/C Issuer or any applicable interbank market any other condition, cost or expense affecting this Agreement or Daily Simple SOFR Loans, Term SOFR Loans or Alternative Currency Loans made by such Lender or any Letter of Credit or participation therein;</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of making, converting to, continuing or maintaining any Loan (or of maintaining its obligation to make any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in each of the foregoing cases, by an amount deemed material by such Lender or such L/C Issuer, as applicable,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spacing w:after="0" w:line="189" w:lineRule="exact"/>
        <w:rPr>
          <w:sz w:val="20"/>
          <w:szCs w:val="20"/>
          <w:color w:val="auto"/>
        </w:rPr>
      </w:pPr>
    </w:p>
    <w:p>
      <w:pPr>
        <w:jc w:val="both"/>
        <w:ind w:left="380" w:firstLine="751"/>
        <w:spacing w:after="0" w:line="254" w:lineRule="auto"/>
        <w:tabs>
          <w:tab w:leader="none" w:pos="152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6" w:name="page97"/>
    <w:bookmarkEnd w:id="96"/>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in each of the foregoing cases, by an amount deemed material by such Lender or such L/C Issuer, as applicable, then from time to time the Company will pay (or cause the applicable Designated Borrower to pay) such Lender or such L/C Issuer, as the case may be, such additional amount or amounts as will compensate such Lender or such L/C Issuer or such Lender’s or such L/C Issuer’s holding company for any such reduction suffered.</w:t>
      </w:r>
    </w:p>
    <w:p>
      <w:pPr>
        <w:spacing w:after="0" w:line="186" w:lineRule="exact"/>
        <w:rPr>
          <w:sz w:val="20"/>
          <w:szCs w:val="20"/>
          <w:color w:val="auto"/>
        </w:rPr>
      </w:pPr>
    </w:p>
    <w:p>
      <w:pPr>
        <w:jc w:val="both"/>
        <w:ind w:left="380" w:firstLine="751"/>
        <w:spacing w:after="0" w:line="264" w:lineRule="auto"/>
        <w:tabs>
          <w:tab w:leader="none" w:pos="1525"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for Reimbursement</w:t>
      </w:r>
      <w:r>
        <w:rPr>
          <w:rFonts w:ascii="Times New Roman" w:cs="Times New Roman" w:eastAsia="Times New Roman" w:hAnsi="Times New Roman"/>
          <w:sz w:val="19"/>
          <w:szCs w:val="19"/>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Times New Roman" w:cs="Times New Roman" w:eastAsia="Times New Roman" w:hAnsi="Times New Roman"/>
          <w:sz w:val="19"/>
          <w:szCs w:val="19"/>
          <w:u w:val="single" w:color="auto"/>
          <w:color w:val="auto"/>
        </w:rPr>
        <w:t>subsection</w:t>
      </w:r>
    </w:p>
    <w:p>
      <w:pPr>
        <w:jc w:val="both"/>
        <w:ind w:left="380" w:firstLine="2"/>
        <w:spacing w:after="0" w:line="242" w:lineRule="auto"/>
        <w:tabs>
          <w:tab w:leader="none" w:pos="649" w:val="left"/>
        </w:tabs>
        <w:numPr>
          <w:ilvl w:val="0"/>
          <w:numId w:val="10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and delivered to the Company shall be conclusive (including within the meaning of section 151 Dutch Code of Civil Procedure) absent manifest error. The Company shall pay (or cause the applicable Designated Borrower to pay) such Lender or such L/C Issuer, as the case may be, the amount shown as due on any such certificate within 10 days after receipt thereof.</w:t>
      </w:r>
    </w:p>
    <w:p>
      <w:pPr>
        <w:spacing w:after="0" w:line="186" w:lineRule="exact"/>
        <w:rPr>
          <w:rFonts w:ascii="Times New Roman" w:cs="Times New Roman" w:eastAsia="Times New Roman" w:hAnsi="Times New Roman"/>
          <w:sz w:val="20"/>
          <w:szCs w:val="20"/>
          <w:u w:val="single" w:color="auto"/>
          <w:color w:val="auto"/>
        </w:rPr>
      </w:pPr>
    </w:p>
    <w:p>
      <w:pPr>
        <w:jc w:val="both"/>
        <w:ind w:left="380" w:firstLine="751"/>
        <w:spacing w:after="0" w:line="243" w:lineRule="auto"/>
        <w:tabs>
          <w:tab w:leader="none" w:pos="1525"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any L/C Issuer to demand compensation pursuant to the foregoing provisions of this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shall not constitute a waiver of such Lender’s or such L/C Issuer’s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3.05 Compensation for Losses. </w:t>
      </w:r>
      <w:r>
        <w:rPr>
          <w:rFonts w:ascii="Times New Roman" w:cs="Times New Roman" w:eastAsia="Times New Roman" w:hAnsi="Times New Roman"/>
          <w:sz w:val="20"/>
          <w:szCs w:val="20"/>
          <w:color w:val="auto"/>
        </w:rPr>
        <w:t>Upon demand of any Lender (with a copy to the Administrative Agent) from time to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promptly compensate (or cause the applicable Designated Borrower to compensate) such Lender for and hold such Lender harmless from any loss, cost or reasonable and documented out-of-pocket expense actually incurred by it as a result of:</w:t>
      </w:r>
    </w:p>
    <w:p>
      <w:pPr>
        <w:spacing w:after="0" w:line="173" w:lineRule="exact"/>
        <w:rPr>
          <w:sz w:val="20"/>
          <w:szCs w:val="20"/>
          <w:color w:val="auto"/>
        </w:rPr>
      </w:pPr>
    </w:p>
    <w:p>
      <w:pPr>
        <w:jc w:val="both"/>
        <w:ind w:left="380" w:firstLine="751"/>
        <w:spacing w:after="0" w:line="254" w:lineRule="auto"/>
        <w:tabs>
          <w:tab w:leader="none" w:pos="15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relevant interest payment date or payment period, as applicable, for such Loan, if applicable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174"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7" w:name="page98"/>
    <w:bookmarkEnd w:id="97"/>
    <w:p>
      <w:pPr>
        <w:ind w:left="380" w:right="20" w:firstLine="751"/>
        <w:spacing w:after="0" w:line="269" w:lineRule="auto"/>
        <w:tabs>
          <w:tab w:leader="none" w:pos="152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Alternative Currency Term Rate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Company (or applicable Designated Borrower) to the Lenders under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Lender shall be deemed to have funded each Alternative Currency Term Rate Loan or Term SOFR Loan made by it at the Alternative Currency Term Rate or Term SOFR, as applicable, for such Loan by a matching deposit or other borrowing in the offshore interbank market for such currency for a comparable amount and for a comparable period, whether or not such Alternative Currency Term Rate Loan or Term SOFR Loan was in fact so funded.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3.06 Mitigation Obligations; Replacement of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54" w:lineRule="auto"/>
        <w:tabs>
          <w:tab w:leader="none" w:pos="1538"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Designation of a Different Lending Office</w:t>
      </w:r>
      <w:r>
        <w:rPr>
          <w:rFonts w:ascii="Times New Roman" w:cs="Times New Roman" w:eastAsia="Times New Roman" w:hAnsi="Times New Roman"/>
          <w:sz w:val="19"/>
          <w:szCs w:val="19"/>
          <w:color w:val="auto"/>
        </w:rPr>
        <w:t xml:space="preserve">. Each Lender may make any Credit Extension to a Borrower through any Lending Office,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exercise of this option shall not affect the obligation of any Borrower to repay the Credit Extension in accordance with the terms of this Agreement. If any Lender requests compensation under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or requires any Borrower to pay any Indemnified Taxes or additional amounts to any Lender, any L/C Issuer, or any Governmental Authority for the account of any Lender or any L/C Issuer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if any Lender gives a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3.04</w:t>
      </w:r>
      <w:r>
        <w:rPr>
          <w:rFonts w:ascii="Times New Roman" w:cs="Times New Roman" w:eastAsia="Times New Roman" w:hAnsi="Times New Roman"/>
          <w:sz w:val="19"/>
          <w:szCs w:val="19"/>
          <w:color w:val="auto"/>
        </w:rPr>
        <w:t xml:space="preserve">, as the case may be, in the future, or eliminate the need for the notice pursuant to </w:t>
      </w:r>
      <w:r>
        <w:rPr>
          <w:rFonts w:ascii="Times New Roman" w:cs="Times New Roman" w:eastAsia="Times New Roman" w:hAnsi="Times New Roman"/>
          <w:sz w:val="19"/>
          <w:szCs w:val="19"/>
          <w:u w:val="single" w:color="auto"/>
          <w:color w:val="auto"/>
        </w:rPr>
        <w:t>Section 3.02</w:t>
      </w:r>
      <w:r>
        <w:rPr>
          <w:rFonts w:ascii="Times New Roman" w:cs="Times New Roman" w:eastAsia="Times New Roman" w:hAnsi="Times New Roman"/>
          <w:sz w:val="19"/>
          <w:szCs w:val="19"/>
          <w:color w:val="auto"/>
        </w:rPr>
        <w:t>, as applicable, and</w:t>
      </w:r>
    </w:p>
    <w:p>
      <w:pPr>
        <w:spacing w:after="0" w:line="6" w:lineRule="exact"/>
        <w:rPr>
          <w:rFonts w:ascii="Times New Roman" w:cs="Times New Roman" w:eastAsia="Times New Roman" w:hAnsi="Times New Roman"/>
          <w:sz w:val="19"/>
          <w:szCs w:val="19"/>
          <w:color w:val="auto"/>
        </w:rPr>
      </w:pPr>
    </w:p>
    <w:p>
      <w:pPr>
        <w:jc w:val="both"/>
        <w:ind w:left="380" w:firstLine="2"/>
        <w:spacing w:after="0" w:line="241" w:lineRule="auto"/>
        <w:tabs>
          <w:tab w:leader="none" w:pos="67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out-of-pocket expenses incurred by any Lender or any L/C Issuer in connection with any such designation or assignment.</w:t>
      </w:r>
    </w:p>
    <w:p>
      <w:pPr>
        <w:spacing w:after="0" w:line="188"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3.06(a)</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3.07 Survival. </w:t>
      </w:r>
      <w:r>
        <w:rPr>
          <w:rFonts w:ascii="Times New Roman" w:cs="Times New Roman" w:eastAsia="Times New Roman" w:hAnsi="Times New Roman"/>
          <w:sz w:val="20"/>
          <w:szCs w:val="20"/>
          <w:color w:val="auto"/>
        </w:rPr>
        <w:t>All of the Borrowers’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termination of the Aggregate Commitments,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repayment of all other Obligations hereunder, and resignation of the Administrative Agent.</w:t>
      </w: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19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4.01 Conditions of Initial Credit Extension. </w:t>
      </w:r>
      <w:r>
        <w:rPr>
          <w:rFonts w:ascii="Times New Roman" w:cs="Times New Roman" w:eastAsia="Times New Roman" w:hAnsi="Times New Roman"/>
          <w:sz w:val="20"/>
          <w:szCs w:val="20"/>
          <w:color w:val="auto"/>
        </w:rPr>
        <w:t>The obligation of each L/C Issuer and each Lender to make its initial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hereunder is subject to satisfaction of the following conditions precedent:</w:t>
      </w:r>
    </w:p>
    <w:p>
      <w:pPr>
        <w:spacing w:after="0" w:line="156" w:lineRule="exact"/>
        <w:rPr>
          <w:sz w:val="20"/>
          <w:szCs w:val="20"/>
          <w:color w:val="auto"/>
        </w:rPr>
      </w:pPr>
    </w:p>
    <w:p>
      <w:pPr>
        <w:jc w:val="both"/>
        <w:ind w:left="380" w:firstLine="751"/>
        <w:spacing w:after="0" w:line="249" w:lineRule="auto"/>
        <w:tabs>
          <w:tab w:leader="none" w:pos="155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17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the Guaranties, the U.S. Security Agreement and the U.S. Pledge</w:t>
      </w:r>
    </w:p>
    <w:p>
      <w:pPr>
        <w:spacing w:after="0" w:line="21" w:lineRule="exact"/>
        <w:rPr>
          <w:rFonts w:ascii="Times New Roman" w:cs="Times New Roman" w:eastAsia="Times New Roman" w:hAnsi="Times New Roman"/>
          <w:sz w:val="20"/>
          <w:szCs w:val="20"/>
          <w:color w:val="auto"/>
        </w:rPr>
      </w:pP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93"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executed by the Borrowers in favor of each Lender requesting Notes;</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79" w:lineRule="exact"/>
        <w:rPr>
          <w:rFonts w:ascii="Times New Roman" w:cs="Times New Roman" w:eastAsia="Times New Roman" w:hAnsi="Times New Roman"/>
          <w:sz w:val="20"/>
          <w:szCs w:val="20"/>
          <w:color w:val="auto"/>
        </w:rPr>
      </w:pPr>
    </w:p>
    <w:p>
      <w:pPr>
        <w:jc w:val="both"/>
        <w:ind w:left="1140" w:right="20" w:firstLine="740"/>
        <w:spacing w:after="0" w:line="254" w:lineRule="auto"/>
        <w:tabs>
          <w:tab w:leader="none" w:pos="22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documents and certifications as the Administrative Agent may reasonably require to evidence that each Loan Party is duly organized or formed, and that each Loan Party is validly existing, in good standing and qualified to engage in business in its jurisdiction of organization;</w:t>
      </w:r>
    </w:p>
    <w:p>
      <w:pPr>
        <w:spacing w:after="0" w:line="174"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favorable opinions of counsel to the Loan Parties addressed to the Administrative Agent and each Lender, as to the matters concerning the Loan Parties and the Loan Documents as the Administrative Agent may reasonably request;</w:t>
      </w:r>
    </w:p>
    <w:p>
      <w:pPr>
        <w:spacing w:after="0" w:line="15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Company certifying (A)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(B) that there has been no event or circumstance since December 31, 2024 that has had or could be reasonably expected to have, either individually or in the aggregate, a Material Adverse Effect and (C) a calculation of the Consolidated Net Leverage Ratio and the Consolidated Secured Net Leverage Ratio as of the Closing Date;</w:t>
      </w:r>
    </w:p>
    <w:p>
      <w:pPr>
        <w:spacing w:after="0" w:line="17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680"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chief financial officer of the Company as to the Solvency of the Company and the Company and its Restricted Subsidiaries, taken as a whole, after giving effect to the transactions contemplated on the Closing Date and the Indebtedness incurred in connection therewith;</w:t>
      </w:r>
    </w:p>
    <w:p>
      <w:pPr>
        <w:spacing w:after="0" w:line="174" w:lineRule="exact"/>
        <w:rPr>
          <w:rFonts w:ascii="Times New Roman" w:cs="Times New Roman" w:eastAsia="Times New Roman" w:hAnsi="Times New Roman"/>
          <w:sz w:val="20"/>
          <w:szCs w:val="20"/>
          <w:color w:val="auto"/>
        </w:rPr>
      </w:pPr>
    </w:p>
    <w:p>
      <w:pPr>
        <w:ind w:left="1140" w:right="60" w:firstLine="740"/>
        <w:spacing w:after="0" w:line="269" w:lineRule="auto"/>
        <w:tabs>
          <w:tab w:leader="none" w:pos="2284"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searches of UCC filings (or the foreign equivalent) in the jurisdiction of incorporation or formation, as applicable, of each Loan Party and copies of the financing statements on file in such jurisdictions;</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99" w:name="page100"/>
    <w:bookmarkEnd w:id="99"/>
    <w:p>
      <w:pPr>
        <w:jc w:val="both"/>
        <w:ind w:left="840" w:firstLine="740"/>
        <w:spacing w:after="0" w:line="243" w:lineRule="auto"/>
        <w:tabs>
          <w:tab w:leader="none" w:pos="198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Uniform Commercial Code financing statements (or the foreign equivalent) suitable in form and substance for filing in all places required by Applicable Law to perfect the Liens of the Administrative Agent under the Collateral Documents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Collateral Documents as a first priority Lien (subject only to Permitted Liens) in and to such other Collateral as the Administrative Agent may require including without limitation the delivery by the Loan Parties of stock or membership certificates, if any, evidencing the Equity Interests pledged pursuant to the Collateral Documents and undated stock or transfer powers duly executed in blank; in each case to the extent such Equity Interests are certificated; and</w:t>
      </w:r>
    </w:p>
    <w:p>
      <w:pPr>
        <w:spacing w:after="0" w:line="185" w:lineRule="exact"/>
        <w:rPr>
          <w:rFonts w:ascii="Times New Roman" w:cs="Times New Roman" w:eastAsia="Times New Roman" w:hAnsi="Times New Roman"/>
          <w:sz w:val="20"/>
          <w:szCs w:val="20"/>
          <w:color w:val="auto"/>
        </w:rPr>
      </w:pPr>
    </w:p>
    <w:p>
      <w:pPr>
        <w:ind w:left="840" w:right="40" w:firstLine="740"/>
        <w:spacing w:after="0" w:line="269" w:lineRule="auto"/>
        <w:tabs>
          <w:tab w:leader="none" w:pos="198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assurances, certificates, documents, consents or opinions as the Administrative Agent, each L/C Issuer, the Swing Line Lender or the Lenders reasonably may require.</w:t>
      </w:r>
    </w:p>
    <w:p>
      <w:pPr>
        <w:spacing w:after="0" w:line="159"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6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Company shall have delivered to the Administrative Agent evidence of insurance coverage on the Company’s and each Restricted Subsidiary’s property satisfying the requirements of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 and where required by the Administrative Agent, with loss payable endorsements in favor of the Administrative Agent for the benefit of the Secured Parties.</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The Administrative Agent and each Lender shall have received at least five Business Days prior to the Closing Date (i) all documentation and other information requested by the Administrative Agent or such Lender, as applicable, in order to comply with its obligations under applicable “know your customer” and anti-money laundering rules and regulations, including, without limitation, the Act, and (ii) with respect to any Loan Party that qualifies as a “legal entity customer” under the Beneficial Ownership Regulation, a Beneficial Ownership Certification in relation to such Loan Party.</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2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Absence of Litigation</w:t>
      </w:r>
      <w:r>
        <w:rPr>
          <w:rFonts w:ascii="Times New Roman" w:cs="Times New Roman" w:eastAsia="Times New Roman" w:hAnsi="Times New Roman"/>
          <w:sz w:val="20"/>
          <w:szCs w:val="20"/>
          <w:color w:val="auto"/>
        </w:rPr>
        <w:t>. There are no actions, suits, proceedings, claims or disputes pending or, to the actual knowledge of the Company after reasonable inquiry, threatened in writing, at law, in equity, in arbitration or before any Governmental Authority, by or against the Company or any of its Restricted Subsidiaries or against any of their properties or revenues that could reasonably be expected to materially adversely affect the Loan Documents or any of the transactions contemplated thereby.</w:t>
      </w:r>
    </w:p>
    <w:p>
      <w:pPr>
        <w:spacing w:after="0" w:line="179"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2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The Administrative Agent shall have received (i) the Audited Financial Statements, (ii) all interim financial statements of the Company and its Subsidiaries from and the after the Audited Financial Statements through the most recent quarter for which financial statements are available and (iii) such projections and forecasts prepared by management of the Company as may be reasonably requested by the Administrative Agent.</w:t>
      </w:r>
    </w:p>
    <w:p>
      <w:pPr>
        <w:spacing w:after="0" w:line="179"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3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Administrative Agent shall have received evidence reasonably satisfactory to it that, concurrently with the closing, all outstanding principal, interest, fees and other obligations under the Existing Credit Agreement shall either be paid in full or made subject to such other arrangements as the Administrative Agent shall have approved in order to effect this Agreement as an amendment and restatement and so as to reflect the Commitments and Applicable Percentages of the Lenders contemplated hereby and cause all applicable outstanding amounts hereunder to be consistent with such Commitments and Applicable Percentages (including any payments necessary to Existing Lenders who elect not to become Lenders hereunder, if 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00" w:name="page101"/>
    <w:bookmarkEnd w:id="100"/>
    <w:p>
      <w:pPr>
        <w:ind w:left="380" w:firstLine="751"/>
        <w:spacing w:after="0" w:line="269" w:lineRule="auto"/>
        <w:tabs>
          <w:tab w:leader="none" w:pos="153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Any fees required to be paid to the Administrative Agent, the Arrangers or the Lenders on or before the Closing Date shall have been paid.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25"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Fees and Expenses</w:t>
      </w:r>
      <w:r>
        <w:rPr>
          <w:rFonts w:ascii="Times New Roman" w:cs="Times New Roman" w:eastAsia="Times New Roman" w:hAnsi="Times New Roman"/>
          <w:sz w:val="20"/>
          <w:szCs w:val="20"/>
          <w:color w:val="auto"/>
        </w:rPr>
        <w:t>. Unless waived by the Administrative Agent, the Company shall have paid all reasonable and documented out-of-pocket fees, charges and disbursements of counsel to the Administrative Agent (directly to such counsel if requested by the Administrative Agent) to the extent invoiced at least two Business Days prior to the Closing Date (or otherwise reflected in a settlement statement approved by the Company), plus such additional amounts of such fees, charges and disbursements as shall constitute its reasonable estimate of such fees, charges and disbursements incurred or to be incurred by it through the closing proceedings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estimate shall not thereafter preclude a final settling of accounts between the Company and the Administrative Agent or its counsel).</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4.02 Conditions to all Credit Extensions.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solely with respect to any Incremental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incurred to finance a substantially concurrent Limited Condition Acquisition, the obligation of each Lender and each L/C Issuer to honor any Request for Credit Extension (other than a Loan Notice requesting only a conversion of Loans to the other Type, or a continuation of Alternative Currency Term Rate Loans or Term SOFR Loans) is subject to the following conditions precedent:</w:t>
      </w:r>
    </w:p>
    <w:p>
      <w:pPr>
        <w:spacing w:after="0" w:line="180" w:lineRule="exact"/>
        <w:rPr>
          <w:sz w:val="20"/>
          <w:szCs w:val="20"/>
          <w:color w:val="auto"/>
        </w:rPr>
      </w:pPr>
    </w:p>
    <w:p>
      <w:pPr>
        <w:jc w:val="both"/>
        <w:ind w:left="380" w:firstLine="751"/>
        <w:spacing w:after="0" w:line="243" w:lineRule="auto"/>
        <w:tabs>
          <w:tab w:leader="none" w:pos="152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Borrowers and each other Loan Party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or any other Loan Document or in any document furnished at any time under or in connection herewith or therewith, shall be true and correct in all material respects (or, in the case of any such representation and warranty that is subject to materiality or Material Adverse Effect qualifications, in all respects) on and as of the date of such Credit Extension, except to the extent that such representations and warranties specifically refer to an earlier date, in which case they shall be true and correct in all material respects (or, in the case of any such representation and warranty that is subject to materiality or Material Adverse Effect qualifications, in all respects) as of such earlier date, and 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Sections 5.05(a)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respectively.</w:t>
      </w:r>
    </w:p>
    <w:p>
      <w:pPr>
        <w:spacing w:after="0" w:line="18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the application of the proceeds thereof.</w:t>
      </w:r>
    </w:p>
    <w:p>
      <w:pPr>
        <w:spacing w:after="0" w:line="215"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applicable L/C Issuer or the Swing Line Lender shall have received a Request for Credit Extension in accordance with the requirements hereof.</w:t>
      </w:r>
    </w:p>
    <w:p>
      <w:pPr>
        <w:spacing w:after="0" w:line="159"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then the conditions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to the designation of such Borrower as a Designated Borrower shall have been met to the satisfaction of the Administrative Agent.</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such currency remains an Eligible</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1" w:name="page102"/>
    <w:bookmarkEnd w:id="101"/>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Loan Notice requesting only a conversion of Loans to the other Type or a continuation of Alternative Currency Term Rate Loans or Term SOFR Loans) submitted by the Company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5.23</w:t>
      </w:r>
      <w:r>
        <w:rPr>
          <w:rFonts w:ascii="Times New Roman" w:cs="Times New Roman" w:eastAsia="Times New Roman" w:hAnsi="Times New Roman"/>
          <w:sz w:val="20"/>
          <w:szCs w:val="20"/>
          <w:color w:val="auto"/>
        </w:rPr>
        <w:t>, each Borrower represents and warrants to the Administrative Agent and the Lenders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19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5.01 Existence, Qualification and Power. </w:t>
      </w:r>
      <w:r>
        <w:rPr>
          <w:rFonts w:ascii="Times New Roman" w:cs="Times New Roman" w:eastAsia="Times New Roman" w:hAnsi="Times New Roman"/>
          <w:sz w:val="20"/>
          <w:szCs w:val="20"/>
          <w:color w:val="auto"/>
        </w:rPr>
        <w:t>Each Loan Party and each Restricted Subsidiary thereof (a) is duly organized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that failure to do so could not reasonably be expected to have a Material Adverse Effect.</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5.02 Authorization; No Contravention. </w:t>
      </w:r>
      <w:r>
        <w:rPr>
          <w:rFonts w:ascii="Times New Roman" w:cs="Times New Roman" w:eastAsia="Times New Roman" w:hAnsi="Times New Roman"/>
          <w:sz w:val="20"/>
          <w:szCs w:val="20"/>
          <w:color w:val="auto"/>
        </w:rPr>
        <w:t>The execution, delivery and performance by each Loan Party of each Loan Document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the creation of a Lien in favor of the Administrative Agent under the Collateral Documents) under, or require any payment to be made under (i) any Contractual Obligation to which such Person is a party or affecting such Person or the properties of such Person or any of its Restricted Subsidiaries or any arbitral award to which such Person or its property is subject, except in each case referred to in this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where such breach or contravention could not, individually or in the aggregate, reasonably be expected to have a Material Adverse Effect, or (ii) any order, injunction, writ or decree of any Governmental Authority; or (c) violate any Law in any material respect.</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5.03 Governmental Authorization; Other Consents. </w:t>
      </w:r>
      <w:r>
        <w:rPr>
          <w:rFonts w:ascii="Times New Roman" w:cs="Times New Roman" w:eastAsia="Times New Roman" w:hAnsi="Times New Roman"/>
          <w:sz w:val="20"/>
          <w:szCs w:val="20"/>
          <w:color w:val="auto"/>
        </w:rPr>
        <w:t>No approval, consent, exemption, authorization, or other action by,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Permitted Liens) or (d) the exercise by the Administrative Agent or any Lender of its rights under the Loan Documents or the remedies in respect of the Collateral pursuant to the Collateral Documents, in each case, other than (i) such as have been obtained or made and are in full force and effect and (ii) for approvals, consents, exemptions, authorizations, other actions, notices or filings, the failure of which to obtain or make could not, individually or in the aggregate, reasonably be expected to have a Material Adverse Effect.</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5.04 Binding Effect. </w:t>
      </w:r>
      <w:r>
        <w:rPr>
          <w:rFonts w:ascii="Times New Roman" w:cs="Times New Roman" w:eastAsia="Times New Roman" w:hAnsi="Times New Roman"/>
          <w:sz w:val="20"/>
          <w:szCs w:val="20"/>
          <w:color w:val="auto"/>
        </w:rPr>
        <w:t>This Agreement has been, and each other Loan Document, when delivered hereunder, will have been,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such enforcement may be limited by applicable bankruptcy, insolvency,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2" w:name="page103"/>
    <w:bookmarkEnd w:id="102"/>
    <w:p>
      <w:pPr>
        <w:ind w:right="20"/>
        <w:spacing w:after="0" w:line="269" w:lineRule="auto"/>
        <w:rPr>
          <w:sz w:val="20"/>
          <w:szCs w:val="20"/>
          <w:color w:val="auto"/>
        </w:rPr>
      </w:pPr>
      <w:r>
        <w:rPr>
          <w:rFonts w:ascii="Times New Roman" w:cs="Times New Roman" w:eastAsia="Times New Roman" w:hAnsi="Times New Roman"/>
          <w:sz w:val="20"/>
          <w:szCs w:val="20"/>
          <w:color w:val="auto"/>
        </w:rPr>
        <w:t>reorganization or other similar laws relating to or limiting creditors’ rights generally and by general principles of equity (regardless of whether enforcement is sought in a proceeding in equity or at law).</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5.05 Financial Statements; No Material Adverse Effect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4" w:lineRule="auto"/>
        <w:tabs>
          <w:tab w:leader="none" w:pos="152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 that would be required to be disclosed in accordance with GAAP.</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unaudited consolidated balance sheet of the Company and its Subsidiaries dated September 30, 2025,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cash flows and changes in shareholders’ equity for the period covered thereby, subject,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the absence of footnotes and to normal year-end audit adjustments.</w:t>
      </w:r>
    </w:p>
    <w:p>
      <w:pPr>
        <w:spacing w:after="0" w:line="184"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December 31, 2024, there has been no event or circumstance, either individually or in the aggregate, that has had or could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consolidated forecasted balance sheet and statements of income and cash flows of the Company and its Restricted Subsidiaries delivered pursuant to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were prepared in good faith on the basis of the assumptions stated therein, which assumptions were believed to be reasonable at the time of delivery of such forecasts (it being understood that such forecasts are subject to uncertainties and contingencies, some of which are beyond the control of the Company, that no assurance can be given that any particular forecast will be realized, that actual results may differ and that such differences may be material).</w:t>
      </w:r>
    </w:p>
    <w:p>
      <w:pPr>
        <w:spacing w:after="0" w:line="18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5.06 Litigation. </w:t>
      </w:r>
      <w:r>
        <w:rPr>
          <w:rFonts w:ascii="Times New Roman" w:cs="Times New Roman" w:eastAsia="Times New Roman" w:hAnsi="Times New Roman"/>
          <w:sz w:val="20"/>
          <w:szCs w:val="20"/>
          <w:color w:val="auto"/>
        </w:rPr>
        <w:t>There are no actions, suits, proceedings, claims or disputes pending or, to the actual knowledge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after reasonable inquiry, threatened or contemplated, at law, in equity, in arbitration or before any Governmental Authority, by or against the Company or any of its Restricted Subsidiaries or against any of their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5.07 No Default. </w:t>
      </w:r>
      <w:r>
        <w:rPr>
          <w:rFonts w:ascii="Times New Roman" w:cs="Times New Roman" w:eastAsia="Times New Roman" w:hAnsi="Times New Roman"/>
          <w:sz w:val="20"/>
          <w:szCs w:val="20"/>
          <w:color w:val="auto"/>
        </w:rPr>
        <w:t>Neither any Loan Party nor any Restricted Subsidiary thereof is in default under or with respect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5.08 Ownership of Property; Liens. </w:t>
      </w:r>
      <w:r>
        <w:rPr>
          <w:rFonts w:ascii="Times New Roman" w:cs="Times New Roman" w:eastAsia="Times New Roman" w:hAnsi="Times New Roman"/>
          <w:sz w:val="20"/>
          <w:szCs w:val="20"/>
          <w:color w:val="auto"/>
        </w:rPr>
        <w:t>Each of the Company and each Restricted Subsidiary has good record and marketable title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 simple to, or valid leasehold interests in, all real property necessary</w:t>
      </w: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3" w:name="page104"/>
    <w:bookmarkEnd w:id="103"/>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or material to the conduct of its business, except as could not, individually or in the aggregate, reasonably be expected to have a Material Adverse Effect. The property of the Company and its Restricted Subsidiaries is subject to no Liens, other than Liens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5.09 Environmental Compliance. </w:t>
      </w:r>
      <w:r>
        <w:rPr>
          <w:rFonts w:ascii="Times New Roman" w:cs="Times New Roman" w:eastAsia="Times New Roman" w:hAnsi="Times New Roman"/>
          <w:sz w:val="20"/>
          <w:szCs w:val="20"/>
          <w:color w:val="auto"/>
        </w:rPr>
        <w:t>The Company and its Restricted Subsidiaries conduct in the ordinary course of business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review 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5.10 Insurance. </w:t>
      </w:r>
      <w:r>
        <w:rPr>
          <w:rFonts w:ascii="Times New Roman" w:cs="Times New Roman" w:eastAsia="Times New Roman" w:hAnsi="Times New Roman"/>
          <w:sz w:val="20"/>
          <w:szCs w:val="20"/>
          <w:color w:val="auto"/>
        </w:rPr>
        <w:t>The properties of the Company and its Restricted Subsidiaries are insured with financially sound and reputable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companies not Affiliates of any Borrower, in such amounts, with such deductibles and covering such risks as are customarily carried by companies engaged in similar businesses and owning similar properties in localities where the Company or the applicable Restricted Subsidiary operates.</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5.11 Taxes. </w:t>
      </w:r>
      <w:r>
        <w:rPr>
          <w:rFonts w:ascii="Times New Roman" w:cs="Times New Roman" w:eastAsia="Times New Roman" w:hAnsi="Times New Roman"/>
          <w:sz w:val="20"/>
          <w:szCs w:val="20"/>
          <w:color w:val="auto"/>
        </w:rPr>
        <w:t>The Company and its Restricted Subsidiaries have filed all Federal, state and other material tax returns and reports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written proposed tax assessment against the Company or any Subsidiary that would, if made, have a Material Adverse Effect. Neither any Loan Party nor any Subsidiary thereof is party to any tax sharing agreement by or among any one or more other Loan Parties or Subsidiaries that has not been disclosed to the Administrative Agent and the Lenders, excluding, for the avoidance of doubt, commercial agreements with third parties entered into in the ordinary course of business one of the principal purposes of which is not tax.</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5.12 ERISA Compliance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4" w:lineRule="auto"/>
        <w:tabs>
          <w:tab w:leader="none" w:pos="152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or is permitted to rely on an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determination letter is currently being processed by the Internal Revenue Service. To the best knowledge of the Company, nothing has occurred that would prevent or cause the loss of such tax-qualified status.</w:t>
      </w:r>
    </w:p>
    <w:p>
      <w:pPr>
        <w:spacing w:after="0" w:line="185" w:lineRule="exact"/>
        <w:rPr>
          <w:rFonts w:ascii="Times New Roman" w:cs="Times New Roman" w:eastAsia="Times New Roman" w:hAnsi="Times New Roman"/>
          <w:sz w:val="20"/>
          <w:szCs w:val="20"/>
          <w:color w:val="auto"/>
        </w:rPr>
      </w:pPr>
    </w:p>
    <w:p>
      <w:pPr>
        <w:jc w:val="both"/>
        <w:ind w:left="380" w:right="20" w:firstLine="751"/>
        <w:spacing w:after="0" w:line="249" w:lineRule="auto"/>
        <w:tabs>
          <w:tab w:leader="none" w:pos="152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and neither the Company nor any ERISA Affiliate is aware of any fact, event or circumstance that could reasonably be expected to constitute or result in an ERISA Event with respect to any Pension Plan, which has resulted or could reasonably be expected to result in liability of the Company or any of its Restricted Subsidiaries under Title IV of ERISA to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4" w:name="page105"/>
    <w:bookmarkEnd w:id="104"/>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Pension Plan, Multiemployer Plan or the PBGC in an aggregate amount in excess of the Threshold Amount; (ii) the Company and each ERISA Affiliate has met all applicable requirements under the Pension Funding Rules in respect of each Pension Plan, except as could not, either individually or in the aggregate, reasonably be expected to result in a Material Adverse Effect,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which has resulted or could reasonably be expected to result in liability of the Company or any of its Restricted Subsidiaries under Title IV of ERISA to the Pension Plan or the PBGC in an aggregate amount in excess of the Threshold Amount and no Pension Plan has been terminated by the PBGC, and no event or circumstance has occurred or exists that could reasonably be expected to cause the PBGC to institute proceedings under Title IV of ERISA to terminate any Pension Plan.</w:t>
      </w:r>
    </w:p>
    <w:p>
      <w:pPr>
        <w:spacing w:after="0" w:line="196" w:lineRule="exact"/>
        <w:rPr>
          <w:sz w:val="20"/>
          <w:szCs w:val="20"/>
          <w:color w:val="auto"/>
        </w:rPr>
      </w:pPr>
    </w:p>
    <w:p>
      <w:pPr>
        <w:jc w:val="both"/>
        <w:ind w:left="380" w:firstLine="751"/>
        <w:spacing w:after="0" w:line="254" w:lineRule="auto"/>
        <w:tabs>
          <w:tab w:leader="none" w:pos="152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Company nor any ERISA Affiliate maintains or contributes to, or has any unsatisfied obligation to contribute to, or liability under, any active or terminated Pension Plan other than (i) on the Closing Date, those listed on </w:t>
      </w:r>
      <w:r>
        <w:rPr>
          <w:rFonts w:ascii="Times New Roman" w:cs="Times New Roman" w:eastAsia="Times New Roman" w:hAnsi="Times New Roman"/>
          <w:sz w:val="20"/>
          <w:szCs w:val="20"/>
          <w:u w:val="single" w:color="auto"/>
          <w:color w:val="auto"/>
        </w:rPr>
        <w:t>Schedule 5.12(d)</w:t>
      </w:r>
      <w:r>
        <w:rPr>
          <w:rFonts w:ascii="Times New Roman" w:cs="Times New Roman" w:eastAsia="Times New Roman" w:hAnsi="Times New Roman"/>
          <w:sz w:val="20"/>
          <w:szCs w:val="20"/>
          <w:color w:val="auto"/>
        </w:rPr>
        <w:t xml:space="preserve"> and (ii) thereafter, Pension Plans not otherwise prohibited by this Agreement.</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each scheme or arrangement mandated by a government other than the United States (a “ </w:t>
      </w:r>
      <w:r>
        <w:rPr>
          <w:rFonts w:ascii="Times New Roman" w:cs="Times New Roman" w:eastAsia="Times New Roman" w:hAnsi="Times New Roman"/>
          <w:sz w:val="20"/>
          <w:szCs w:val="20"/>
          <w:u w:val="single" w:color="auto"/>
          <w:color w:val="auto"/>
        </w:rPr>
        <w:t>Foreign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 Scheme or Arrangement</w:t>
      </w:r>
      <w:r>
        <w:rPr>
          <w:rFonts w:ascii="Times New Roman" w:cs="Times New Roman" w:eastAsia="Times New Roman" w:hAnsi="Times New Roman"/>
          <w:sz w:val="20"/>
          <w:szCs w:val="20"/>
          <w:color w:val="auto"/>
        </w:rPr>
        <w:t>”) and with respect to each employee benefit plan maintained or contributed to by the Company or any Restricted Subsidiary that is not subject to United States law (a “</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5" w:lineRule="auto"/>
        <w:tabs>
          <w:tab w:leader="none" w:pos="228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either individually or in the aggregate, reasonably be expected to result in a Material Adverse Effect,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84" w:lineRule="exact"/>
        <w:rPr>
          <w:rFonts w:ascii="Times New Roman" w:cs="Times New Roman" w:eastAsia="Times New Roman" w:hAnsi="Times New Roman"/>
          <w:sz w:val="20"/>
          <w:szCs w:val="20"/>
          <w:color w:val="auto"/>
        </w:rPr>
      </w:pPr>
    </w:p>
    <w:p>
      <w:pPr>
        <w:ind w:left="1140" w:right="20" w:firstLine="740"/>
        <w:spacing w:after="0" w:line="269" w:lineRule="auto"/>
        <w:tabs>
          <w:tab w:leader="none" w:pos="228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Foreign Plan required to be registered has been registered and has been maintained in good standing with applicable regulatory authorities.</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5.13 Subsidiaries; Equity Investments; Loan Parties. </w:t>
      </w:r>
      <w:r>
        <w:rPr>
          <w:rFonts w:ascii="Times New Roman" w:cs="Times New Roman" w:eastAsia="Times New Roman" w:hAnsi="Times New Roman"/>
          <w:sz w:val="20"/>
          <w:szCs w:val="20"/>
          <w:color w:val="auto"/>
        </w:rPr>
        <w:t>As of the Closing Date, the Company has no Subsidiaries other than those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specifically disclosed in </w:t>
      </w:r>
      <w:r>
        <w:rPr>
          <w:rFonts w:ascii="Times New Roman" w:cs="Times New Roman" w:eastAsia="Times New Roman" w:hAnsi="Times New Roman"/>
          <w:sz w:val="20"/>
          <w:szCs w:val="20"/>
          <w:u w:val="single" w:color="auto"/>
          <w:color w:val="auto"/>
        </w:rPr>
        <w:t>Part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and all of the outstanding Equity Interests of each Restricted Subsidiary have been validly issued, are fully paid and nonassessable (to the extent such concept is applicable) and are owned by a Loan Party in the amounts specified on </w:t>
      </w:r>
      <w:r>
        <w:rPr>
          <w:rFonts w:ascii="Times New Roman" w:cs="Times New Roman" w:eastAsia="Times New Roman" w:hAnsi="Times New Roman"/>
          <w:sz w:val="20"/>
          <w:szCs w:val="20"/>
          <w:u w:val="single" w:color="auto"/>
          <w:color w:val="auto"/>
        </w:rPr>
        <w:t>Part (a)</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free and clear of all Liens except those created under the Collateral</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5" w:name="page106"/>
    <w:bookmarkEnd w:id="105"/>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Documents. As of the Closing Date, the Company has no equity investments in any other corporation or entity other than those specifically disclosed in </w:t>
      </w:r>
      <w:r>
        <w:rPr>
          <w:rFonts w:ascii="Times New Roman" w:cs="Times New Roman" w:eastAsia="Times New Roman" w:hAnsi="Times New Roman"/>
          <w:sz w:val="20"/>
          <w:szCs w:val="20"/>
          <w:u w:val="single" w:color="auto"/>
          <w:color w:val="auto"/>
        </w:rPr>
        <w:t>Part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All of the outstanding Equity Interests in the Company have been validly issued and are fully paid and nonassessable. Part (c) of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sets forth the name, jurisdiction of organization and U.S. taxpayer identification number of each Loan Party (or, in the case of any Foreign Obligor, the unique identification number of such Person that has been issued by its jurisdiction of organization) as of the Closing Date.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5.14 Margin Regulations; Investment Company 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right="20" w:firstLine="751"/>
        <w:spacing w:after="0" w:line="295" w:lineRule="auto"/>
        <w:tabs>
          <w:tab w:leader="none" w:pos="1525"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Borrower is engaged or will engage, principally or as one of its important activities, in the business of purchasing or carrying margin stock (within the meaning of Regulation U), or extending credit for the purpose of purchasing or carrying margin stock.</w:t>
      </w:r>
    </w:p>
    <w:p>
      <w:pPr>
        <w:spacing w:after="0" w:line="137" w:lineRule="exact"/>
        <w:rPr>
          <w:rFonts w:ascii="Times New Roman" w:cs="Times New Roman" w:eastAsia="Times New Roman" w:hAnsi="Times New Roman"/>
          <w:sz w:val="19"/>
          <w:szCs w:val="19"/>
          <w:color w:val="auto"/>
        </w:rPr>
      </w:pPr>
    </w:p>
    <w:p>
      <w:pPr>
        <w:ind w:left="380" w:firstLine="751"/>
        <w:spacing w:after="0" w:line="269" w:lineRule="auto"/>
        <w:tabs>
          <w:tab w:leader="none" w:pos="152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any Person Controlling the Company, or any Restricted Subsidiary is or is required to be registered as an “investment company” under the Investment Company Act of 1940.</w:t>
      </w:r>
    </w:p>
    <w:p>
      <w:pPr>
        <w:spacing w:after="0" w:line="15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5.15 Disclosure. </w:t>
      </w:r>
      <w:r>
        <w:rPr>
          <w:rFonts w:ascii="Times New Roman" w:cs="Times New Roman" w:eastAsia="Times New Roman" w:hAnsi="Times New Roman"/>
          <w:sz w:val="19"/>
          <w:szCs w:val="19"/>
          <w:color w:val="auto"/>
        </w:rPr>
        <w:t>No report, financial statement, certificate or other written information furnished by or on behalf of any Loan Party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in any material respect;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projected financial information, the Company represents only that such information was prepared in good faith based upon assumptions believed, when taken as a whole, to be reasonable at the time delivered (it being understood that any projected financial information is subject to uncertainties and contingencies, some of which are beyond the control of the Company, that no assurance can be given that any particular projected financial information will be realized, that actual results may differ and that such differences may be material).</w:t>
      </w:r>
    </w:p>
    <w:p>
      <w:pPr>
        <w:spacing w:after="0" w:line="168"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5.16 Compliance with Laws. </w:t>
      </w:r>
      <w:r>
        <w:rPr>
          <w:rFonts w:ascii="Times New Roman" w:cs="Times New Roman" w:eastAsia="Times New Roman" w:hAnsi="Times New Roman"/>
          <w:sz w:val="20"/>
          <w:szCs w:val="20"/>
          <w:color w:val="auto"/>
        </w:rPr>
        <w:t>Each Loan Party and each Restricted Subsidiary thereof is in compliance in all material respects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5.17 Intellectual Property; Licenses, Etc. </w:t>
      </w:r>
      <w:r>
        <w:rPr>
          <w:rFonts w:ascii="Times New Roman" w:cs="Times New Roman" w:eastAsia="Times New Roman" w:hAnsi="Times New Roman"/>
          <w:sz w:val="20"/>
          <w:szCs w:val="20"/>
          <w:color w:val="auto"/>
        </w:rPr>
        <w:t>The Company and its Restricted Subsidiaries own, or possess the right to use,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trademarks, service marks, trade names, copyrights, patents, patent rights, franchises, licenses and other intellectual property rights (collectively, “</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that are reasonably necessary for the operation of their respective businesses, without infringing upon the rights of any other Person. To the best knowledge of the Company,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1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5.18 OFAC. </w:t>
      </w:r>
      <w:r>
        <w:rPr>
          <w:rFonts w:ascii="Times New Roman" w:cs="Times New Roman" w:eastAsia="Times New Roman" w:hAnsi="Times New Roman"/>
          <w:sz w:val="20"/>
          <w:szCs w:val="20"/>
          <w:color w:val="auto"/>
        </w:rPr>
        <w:t>Neither the Company, nor any of its Subsidiaries, nor, to the knowledge of the Company and its Subsidiaries,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officer, employee, agent, affiliate or representative thereof, is an individual or entity that is, or is owned or controlled by one or more individuals or entities that are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6" w:name="page107"/>
    <w:bookmarkEnd w:id="106"/>
    <w:p>
      <w:pPr>
        <w:jc w:val="both"/>
        <w:spacing w:after="0" w:line="246" w:lineRule="auto"/>
        <w:rPr>
          <w:sz w:val="20"/>
          <w:szCs w:val="20"/>
          <w:color w:val="auto"/>
        </w:rPr>
      </w:pPr>
      <w:r>
        <w:rPr>
          <w:rFonts w:ascii="Times New Roman" w:cs="Times New Roman" w:eastAsia="Times New Roman" w:hAnsi="Times New Roman"/>
          <w:sz w:val="20"/>
          <w:szCs w:val="20"/>
          <w:color w:val="auto"/>
        </w:rPr>
        <w:t>currently the subject or target of any Sanctions, (b) included on OFAC’s List of Specially Designated Nationals or HMT’s Consolidated List of Financial Sanctions Targets and the Investment Ban List, or any similar list enforced by any other relevant sanctions authority or (c) located, organized or resident in a Designated Jurisdiction. The Company and its Subsidiaries have conducted their businesses in compliance in all material respects with all applicable Sanctions and have, in their reasonable business judgment, instituted and maintained policies and procedures designed to promote and achieve compliance with such Sanctions.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5.19 Solvency. </w:t>
      </w:r>
      <w:r>
        <w:rPr>
          <w:rFonts w:ascii="Times New Roman" w:cs="Times New Roman" w:eastAsia="Times New Roman" w:hAnsi="Times New Roman"/>
          <w:sz w:val="20"/>
          <w:szCs w:val="20"/>
          <w:color w:val="auto"/>
        </w:rPr>
        <w:t>The Loan Parties, on a consolidated basis, are Solvent.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5.20 [Reserved.]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5.21 Labor Matters. </w:t>
      </w:r>
      <w:r>
        <w:rPr>
          <w:rFonts w:ascii="Times New Roman" w:cs="Times New Roman" w:eastAsia="Times New Roman" w:hAnsi="Times New Roman"/>
          <w:sz w:val="20"/>
          <w:szCs w:val="20"/>
          <w:color w:val="auto"/>
        </w:rPr>
        <w:t>Except for those listed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5.21</w:t>
      </w:r>
      <w:r>
        <w:rPr>
          <w:rFonts w:ascii="Times New Roman" w:cs="Times New Roman" w:eastAsia="Times New Roman" w:hAnsi="Times New Roman"/>
          <w:sz w:val="20"/>
          <w:szCs w:val="20"/>
          <w:color w:val="auto"/>
        </w:rPr>
        <w:t>, there are no collective bargaining agreements or Multiemployer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Plans covering the employees of the Company or any of its Restricted Subsidiaries as of the Closing Date. Neither the Company nor any Restricted Subsidiary has suffered any strikes, walkouts, work stoppages or other material labor difficulty within the last five years.</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5.22 Collateral Documents. </w:t>
      </w:r>
      <w:r>
        <w:rPr>
          <w:rFonts w:ascii="Times New Roman" w:cs="Times New Roman" w:eastAsia="Times New Roman" w:hAnsi="Times New Roman"/>
          <w:sz w:val="20"/>
          <w:szCs w:val="20"/>
          <w:color w:val="auto"/>
        </w:rPr>
        <w:t>The provisions of the Collateral Documents are effective to create in favor of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for the benefit of the Secured Parties a legal, valid and enforceable first priority Lien (subject to Permitted Liens) on all right, title and interest of the respective Loan Parties in the Collateral described therein. Except for filings completed on or prior to the Closing Date and as contemplated hereby and by the Collateral Documents, no filing or other action will be necessary to perfect or protect such Liens.</w:t>
      </w:r>
    </w:p>
    <w:p>
      <w:pPr>
        <w:spacing w:after="0" w:line="176" w:lineRule="exact"/>
        <w:rPr>
          <w:sz w:val="20"/>
          <w:szCs w:val="20"/>
          <w:color w:val="auto"/>
        </w:rPr>
      </w:pPr>
    </w:p>
    <w:p>
      <w:pPr>
        <w:ind w:left="760"/>
        <w:spacing w:after="0"/>
        <w:tabs>
          <w:tab w:leader="none" w:pos="4740" w:val="left"/>
        </w:tabs>
        <w:rPr>
          <w:sz w:val="20"/>
          <w:szCs w:val="20"/>
          <w:color w:val="auto"/>
        </w:rPr>
      </w:pPr>
      <w:r>
        <w:rPr>
          <w:rFonts w:ascii="Times New Roman" w:cs="Times New Roman" w:eastAsia="Times New Roman" w:hAnsi="Times New Roman"/>
          <w:sz w:val="20"/>
          <w:szCs w:val="20"/>
          <w:b w:val="1"/>
          <w:bCs w:val="1"/>
          <w:color w:val="auto"/>
        </w:rPr>
        <w:t>5.23 Representations as to Foreign Obligors.</w:t>
      </w:r>
      <w:r>
        <w:rPr>
          <w:sz w:val="20"/>
          <w:szCs w:val="20"/>
          <w:color w:val="auto"/>
        </w:rPr>
        <w:tab/>
      </w:r>
      <w:r>
        <w:rPr>
          <w:rFonts w:ascii="Times New Roman" w:cs="Times New Roman" w:eastAsia="Times New Roman" w:hAnsi="Times New Roman"/>
          <w:sz w:val="20"/>
          <w:szCs w:val="20"/>
          <w:color w:val="auto"/>
        </w:rPr>
        <w:t>Each of the Company and each Foreign Obligor represents and warrants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the Lenders that:</w:t>
      </w:r>
    </w:p>
    <w:p>
      <w:pPr>
        <w:spacing w:after="0" w:line="194" w:lineRule="exact"/>
        <w:rPr>
          <w:sz w:val="20"/>
          <w:szCs w:val="20"/>
          <w:color w:val="auto"/>
        </w:rPr>
      </w:pPr>
    </w:p>
    <w:p>
      <w:pPr>
        <w:jc w:val="both"/>
        <w:ind w:left="380" w:firstLine="751"/>
        <w:spacing w:after="0" w:line="244" w:lineRule="auto"/>
        <w:tabs>
          <w:tab w:leader="none" w:pos="1525"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0"/>
          <w:szCs w:val="20"/>
          <w:u w:val="single" w:color="auto"/>
          <w:color w:val="auto"/>
        </w:rPr>
        <w:t>Applicable Foreign Obligor Documents</w:t>
      </w:r>
      <w:r>
        <w:rPr>
          <w:rFonts w:ascii="Times New Roman" w:cs="Times New Roman" w:eastAsia="Times New Roman" w:hAnsi="Times New Roman"/>
          <w:sz w:val="20"/>
          <w:szCs w:val="20"/>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57" w:lineRule="auto"/>
        <w:tabs>
          <w:tab w:leader="none" w:pos="1525"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7" w:name="page108"/>
    <w:bookmarkEnd w:id="107"/>
    <w:p>
      <w:pPr>
        <w:jc w:val="both"/>
        <w:ind w:left="380" w:firstLine="751"/>
        <w:spacing w:after="0" w:line="249" w:lineRule="auto"/>
        <w:tabs>
          <w:tab w:leader="none" w:pos="152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clause (ii) shall be made or obtained as soon as is reasonably practicable).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5.24 Anti-Corruption Laws; Sanctions; Use of Proceeds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9" w:lineRule="auto"/>
        <w:tabs>
          <w:tab w:leader="none" w:pos="15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conducted their businesses in compliance with the United States Foreign Corrupt Practices Act of 1977, the UK Bribery Act 2010, and other similar anti-corruption legislation in other jurisdictions to which the Company and its Subsidiaries are subject, and have instituted and maintained policies and procedures designed to promote and achieve compliance with such laws.</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Subsidiary, directly or indirectly, to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Arrangers, the Administrative Agent, the L/C Issuers, the Swing Line Lender, or otherwise) of Sanctions.</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and will not permit any Subsidiary, to directly or indirectly use the proceeds of any Credit Extension for any purpose which would breach the United States Foreign Corrupt Practices Act of 1977, the UK Bribery Act 2010, and other similar anti-corruption legislation in other jurisdictions to which the Company and its Subsidiaries are subject.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5.25 Affected Financial Institution. </w:t>
      </w:r>
      <w:r>
        <w:rPr>
          <w:rFonts w:ascii="Times New Roman" w:cs="Times New Roman" w:eastAsia="Times New Roman" w:hAnsi="Times New Roman"/>
          <w:sz w:val="20"/>
          <w:szCs w:val="20"/>
          <w:color w:val="auto"/>
        </w:rPr>
        <w:t>No Loan Party is an Affected Financial Institution.</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5.26 Borrower ERISA Status. </w:t>
      </w:r>
      <w:r>
        <w:rPr>
          <w:rFonts w:ascii="Times New Roman" w:cs="Times New Roman" w:eastAsia="Times New Roman" w:hAnsi="Times New Roman"/>
          <w:sz w:val="20"/>
          <w:szCs w:val="20"/>
          <w:color w:val="auto"/>
        </w:rPr>
        <w:t>Each Borrower represents and warrants as of the Closing Date that such Borrower is not and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be (a) an employee benefit plan subject to Title I of ERISA, (b) a plan or account subject to Section 4975 of the Code; (c) an entity deemed to hold “plan assets” (within the meaning of Section 3(42) of ERISA or otherwise) of any such plans or accounts for purposes of ERISA or the Code; or (d) a “governmental plan” within the meaning of ERISA.</w:t>
      </w:r>
    </w:p>
    <w:p>
      <w:pPr>
        <w:spacing w:after="0" w:line="17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5.27 Beneficial Ownership Certification. </w:t>
      </w:r>
      <w:r>
        <w:rPr>
          <w:rFonts w:ascii="Times New Roman" w:cs="Times New Roman" w:eastAsia="Times New Roman" w:hAnsi="Times New Roman"/>
          <w:sz w:val="20"/>
          <w:szCs w:val="20"/>
          <w:color w:val="auto"/>
        </w:rPr>
        <w:t>As of the Closing Date, the information included in any Beneficial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Certification, if applicable, is true and correct in all respects.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5.28 Covered Entity. </w:t>
      </w:r>
      <w:r>
        <w:rPr>
          <w:rFonts w:ascii="Times New Roman" w:cs="Times New Roman" w:eastAsia="Times New Roman" w:hAnsi="Times New Roman"/>
          <w:sz w:val="20"/>
          <w:szCs w:val="20"/>
          <w:color w:val="auto"/>
        </w:rPr>
        <w:t>No Loan Party is a Covered Entity.</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5.29 Residency for Dutch Tax Purposes. </w:t>
      </w:r>
      <w:r>
        <w:rPr>
          <w:rFonts w:ascii="Times New Roman" w:cs="Times New Roman" w:eastAsia="Times New Roman" w:hAnsi="Times New Roman"/>
          <w:sz w:val="20"/>
          <w:szCs w:val="20"/>
          <w:color w:val="auto"/>
        </w:rPr>
        <w:t>The Netherlands Designated Borrower or any other Loan Party incorporated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Netherlands is resident for Tax purposes in the Netherlands only, and does not have a permanent establishment or other taxable presence outside the Netherlands.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8" w:name="page109"/>
    <w:bookmarkEnd w:id="108"/>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5.30 Fiscal Unity for Dutch Tax Purposes. </w:t>
      </w:r>
      <w:r>
        <w:rPr>
          <w:rFonts w:ascii="Times New Roman" w:cs="Times New Roman" w:eastAsia="Times New Roman" w:hAnsi="Times New Roman"/>
          <w:sz w:val="20"/>
          <w:szCs w:val="20"/>
          <w:color w:val="auto"/>
        </w:rPr>
        <w:t>Any fiscal unity (</w:t>
      </w:r>
      <w:r>
        <w:rPr>
          <w:rFonts w:ascii="Times New Roman" w:cs="Times New Roman" w:eastAsia="Times New Roman" w:hAnsi="Times New Roman"/>
          <w:sz w:val="20"/>
          <w:szCs w:val="20"/>
          <w:i w:val="1"/>
          <w:iCs w:val="1"/>
          <w:color w:val="auto"/>
        </w:rPr>
        <w:t>fiscale eenheid</w:t>
      </w:r>
      <w:r>
        <w:rPr>
          <w:rFonts w:ascii="Times New Roman" w:cs="Times New Roman" w:eastAsia="Times New Roman" w:hAnsi="Times New Roman"/>
          <w:sz w:val="20"/>
          <w:szCs w:val="20"/>
          <w:color w:val="auto"/>
        </w:rPr>
        <w:t>) for Dutch tax purposes in which a Loan Party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included, consists of Loan Parties only.</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5.31 Centre of Main Interests. </w:t>
      </w:r>
      <w:r>
        <w:rPr>
          <w:rFonts w:ascii="Times New Roman" w:cs="Times New Roman" w:eastAsia="Times New Roman" w:hAnsi="Times New Roman"/>
          <w:sz w:val="20"/>
          <w:szCs w:val="20"/>
          <w:color w:val="auto"/>
        </w:rPr>
        <w:t>For the purposes of the Insolvency Regulation, the centre of main interests of any 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in the Netherlands, is situated in its jurisdiction of incorporation and it has no “establishment” (as that term is used in Article 2(10) of the Insolvency Regulation) in any other jurisdiction.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So long as the Termination Date has not occurred, the Company shall, and shall (except in the case of the covenants set forth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cause each Restricted Subsidiary to:</w:t>
      </w:r>
    </w:p>
    <w:p>
      <w:pPr>
        <w:spacing w:after="0" w:line="190" w:lineRule="exact"/>
        <w:rPr>
          <w:sz w:val="20"/>
          <w:szCs w:val="20"/>
          <w:color w:val="auto"/>
        </w:rPr>
      </w:pPr>
    </w:p>
    <w:p>
      <w:pPr>
        <w:ind w:left="760"/>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6.01 Financial Statements.</w:t>
      </w:r>
      <w:r>
        <w:rPr>
          <w:sz w:val="20"/>
          <w:szCs w:val="20"/>
          <w:color w:val="auto"/>
        </w:rPr>
        <w:tab/>
      </w:r>
      <w:r>
        <w:rPr>
          <w:rFonts w:ascii="Times New Roman" w:cs="Times New Roman" w:eastAsia="Times New Roman" w:hAnsi="Times New Roman"/>
          <w:sz w:val="20"/>
          <w:szCs w:val="20"/>
          <w:color w:val="auto"/>
        </w:rPr>
        <w:t>Deliver to the Administrative Agent, in form and detail reasonably satisfactory to the Required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Lenders:</w:t>
      </w:r>
    </w:p>
    <w:p>
      <w:pPr>
        <w:spacing w:after="0" w:line="194" w:lineRule="exact"/>
        <w:rPr>
          <w:sz w:val="20"/>
          <w:szCs w:val="20"/>
          <w:color w:val="auto"/>
        </w:rPr>
      </w:pPr>
    </w:p>
    <w:p>
      <w:pPr>
        <w:jc w:val="both"/>
        <w:ind w:left="380" w:firstLine="751"/>
        <w:spacing w:after="0" w:line="243" w:lineRule="auto"/>
        <w:tabs>
          <w:tab w:leader="none" w:pos="152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after the end of each fiscal year of the Company (or, if earlier, 15 days after the date required to be filed with the SEC (after giving effect to any extension permitted by the SEC)) (commencing with the fiscal year ended December 31, 2025),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56" w:lineRule="auto"/>
        <w:tabs>
          <w:tab w:leader="none" w:pos="152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45 days after the end of each of the first three fiscal quarters of each fiscal year of the Company (or, if earlier, 5 days after the date required to be filed with the SEC (after giving effect to any extension permitted by the SEC)) (commencing with the fiscal quarter ended March 31, 2026),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180" w:lineRule="exact"/>
        <w:rPr>
          <w:rFonts w:ascii="Times New Roman" w:cs="Times New Roman" w:eastAsia="Times New Roman" w:hAnsi="Times New Roman"/>
          <w:sz w:val="19"/>
          <w:szCs w:val="19"/>
          <w:color w:val="auto"/>
        </w:rPr>
      </w:pPr>
    </w:p>
    <w:p>
      <w:pPr>
        <w:jc w:val="both"/>
        <w:ind w:left="380" w:firstLine="751"/>
        <w:spacing w:after="0" w:line="249" w:lineRule="auto"/>
        <w:tabs>
          <w:tab w:leader="none" w:pos="1525"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Unrestricted Subsidiaries exist at such time, then simultaneously with the delivery of each set of consolidated financial statements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summary statement, in form reasonably satisfactory to the Required Lenders, prepared in good faith by a Responsible Officer of the Company, reflecting adjustments necessary to eliminate the accounts of such Unrestricted Subsidiaries from such consolidated financial statements;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09" w:name="page110"/>
    <w:bookmarkEnd w:id="109"/>
    <w:p>
      <w:pPr>
        <w:jc w:val="both"/>
        <w:ind w:left="380" w:firstLine="751"/>
        <w:spacing w:after="0" w:line="246" w:lineRule="auto"/>
        <w:tabs>
          <w:tab w:leader="none" w:pos="152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of the Company, forecasts prepared by management of the Company, in form reasonably satisfactory to the Required Lenders (it being agreed that the form of forecasts delivered by the Company pursuant to the Existing Credit Agreement are satisfactory), of consolidated balance sheets and statements of income or operations and cash flows of the Company and its Restricted Subsidiaries on an annual basis for the current fiscal year (including the fiscal year in which the Maturity Date occurs).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As to any information contained in materials furnished pursuant to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the Company shall not be separately required to furnish such information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but the foregoing shall not be in derogation of the obligation of the Company to furnish the information and materials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at the times specified therein.</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6.02 Certificates; Other Information. </w:t>
      </w:r>
      <w:r>
        <w:rPr>
          <w:rFonts w:ascii="Times New Roman" w:cs="Times New Roman" w:eastAsia="Times New Roman" w:hAnsi="Times New Roman"/>
          <w:sz w:val="20"/>
          <w:szCs w:val="20"/>
          <w:color w:val="auto"/>
        </w:rPr>
        <w:t>Deliver to the Administrative Agent, in form and detail reasonably satisfactory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Lenders (which delivery may, unless the Administrative Agent or a Lender requests executed originals, be by electronic communication including fax or email and shall be deemed to be an original authentic counterpart thereof for all purposes):</w:t>
      </w:r>
    </w:p>
    <w:p>
      <w:pPr>
        <w:spacing w:after="0" w:line="173" w:lineRule="exact"/>
        <w:rPr>
          <w:sz w:val="20"/>
          <w:szCs w:val="20"/>
          <w:color w:val="auto"/>
        </w:rPr>
      </w:pPr>
    </w:p>
    <w:p>
      <w:pPr>
        <w:jc w:val="both"/>
        <w:ind w:left="380" w:firstLine="751"/>
        <w:spacing w:after="0" w:line="249" w:lineRule="auto"/>
        <w:tabs>
          <w:tab w:leader="none" w:pos="15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(commencing with the fiscal quarter ended December 31, 2025) (i) a duly completed Compliance Certificate signed by the chief executive officer, chief financial officer, treasurer or controller of the Company and (ii) a listing of each Subsidiary designated as an Unrestricted Subsidiary as of the date thereof;</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any request by the Administrative Agent or any Lender, copies of any final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by such agency regarding financial or other operational results of any Loan Party or any Subsidiary thereof;</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request thereof, such other information and documentation required by bank regulatory authorities under applicable “know your customer” and anti-money laundering rules and regulations (including, without limitation, the Act and the Beneficial Ownership Regulation), as from time to time reasonably requested by the Administrative Agent or any Lender; and</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the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0" w:name="page111"/>
    <w:bookmarkEnd w:id="110"/>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Company posts such documents, or provides a link thereto on the Company’s website on the Internet at the website address listed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facsimile or electronic mail) of the posting of any such documents and provide to the Administrative Agent by electronic mail electronic versions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Arrangers may, but shall not be obligated to, make available to the Lenders and the L/C Issuers materials and/or information provided by or on behalf of the Borrowers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Debt Domain,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Issuers and the Lenders to treat such Borrower Materials as not containing any material non-public information with respect to such Borrower or its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Borrower Materials constitute Information, they shall be treated as set forth in Section </w:t>
      </w:r>
      <w:r>
        <w:rPr>
          <w:rFonts w:ascii="Times New Roman" w:cs="Times New Roman" w:eastAsia="Times New Roman" w:hAnsi="Times New Roman"/>
          <w:sz w:val="20"/>
          <w:szCs w:val="20"/>
          <w:u w:val="single" w:color="auto"/>
          <w:color w:val="auto"/>
        </w:rPr>
        <w:t>10.07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6.03 Notices. </w:t>
      </w:r>
      <w:r>
        <w:rPr>
          <w:rFonts w:ascii="Times New Roman" w:cs="Times New Roman" w:eastAsia="Times New Roman" w:hAnsi="Times New Roman"/>
          <w:sz w:val="20"/>
          <w:szCs w:val="20"/>
          <w:color w:val="auto"/>
        </w:rPr>
        <w:t>Promptly notify the Administrative Agent:</w:t>
      </w:r>
    </w:p>
    <w:p>
      <w:pPr>
        <w:spacing w:after="0" w:line="220" w:lineRule="exact"/>
        <w:rPr>
          <w:sz w:val="20"/>
          <w:szCs w:val="20"/>
          <w:color w:val="auto"/>
        </w:rPr>
      </w:pPr>
    </w:p>
    <w:p>
      <w:pPr>
        <w:ind w:left="1520" w:hanging="389"/>
        <w:spacing w:after="0"/>
        <w:tabs>
          <w:tab w:leader="none" w:pos="152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Default;</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matter that has resulted or could reasonably be expected to result in a Material Adverse Effect, including any such matter arising from (i) a breach or non-performance of, or any default under, a Contractual Obligation of the Company or any Restricted Subsidiary involving more than the Threshold Amount; (ii) a material dispute, litigation, investigation, proceeding or suspension between the Company or any Restricted Subsidiary and any Governmental Authority; or (iii) the commencement of, or any material development in, any litigation or proceeding affecting the Company or any Restricted Subsidiary, including pursuant to any applicable Environmental Laws, involving more than the Threshold Amount;</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occurrence of any ERISA Event with respect to any Pension Plan or Multiemployer Plan which has resulted or could reasonably be expected to result in liability of the Company under Title IV of ERISA to such Pension Plan, such Multiemployer Plan or the PBGC in an aggregate amount in excess of the Threshold Amount;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1" w:name="page112"/>
    <w:bookmarkEnd w:id="111"/>
    <w:p>
      <w:pPr>
        <w:ind w:left="380" w:right="40" w:firstLine="751"/>
        <w:spacing w:after="0" w:line="269" w:lineRule="auto"/>
        <w:tabs>
          <w:tab w:leader="none" w:pos="152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any material change in accounting policies or financial reporting practices by the Company or any Subsidiary, including any determination by the Company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(i) occurrence of any Disposition of property or assets for which the Company is required to make a mandatory prepayment pursuant to </w:t>
      </w:r>
      <w:r>
        <w:rPr>
          <w:rFonts w:ascii="Times New Roman" w:cs="Times New Roman" w:eastAsia="Times New Roman" w:hAnsi="Times New Roman"/>
          <w:sz w:val="20"/>
          <w:szCs w:val="20"/>
          <w:u w:val="single" w:color="auto"/>
          <w:color w:val="auto"/>
        </w:rPr>
        <w:t>Section 2.05(b)(i)</w:t>
      </w:r>
      <w:r>
        <w:rPr>
          <w:rFonts w:ascii="Times New Roman" w:cs="Times New Roman" w:eastAsia="Times New Roman" w:hAnsi="Times New Roman"/>
          <w:sz w:val="20"/>
          <w:szCs w:val="20"/>
          <w:color w:val="auto"/>
        </w:rPr>
        <w:t xml:space="preserve">, (ii) incurrence or issuance of any Indebtedness for which the Company is required to make a mandatory prepayment pursuant to </w:t>
      </w:r>
      <w:r>
        <w:rPr>
          <w:rFonts w:ascii="Times New Roman" w:cs="Times New Roman" w:eastAsia="Times New Roman" w:hAnsi="Times New Roman"/>
          <w:sz w:val="20"/>
          <w:szCs w:val="20"/>
          <w:u w:val="single" w:color="auto"/>
          <w:color w:val="auto"/>
        </w:rPr>
        <w:t>Section 2.05(b)(ii)</w:t>
      </w:r>
      <w:r>
        <w:rPr>
          <w:rFonts w:ascii="Times New Roman" w:cs="Times New Roman" w:eastAsia="Times New Roman" w:hAnsi="Times New Roman"/>
          <w:sz w:val="20"/>
          <w:szCs w:val="20"/>
          <w:color w:val="auto"/>
        </w:rPr>
        <w:t xml:space="preserve">, and (iii) the occurrence of any Insurance and Condemnation Event for which the Company is required to make a mandatory prepayment pursuant to </w:t>
      </w:r>
      <w:r>
        <w:rPr>
          <w:rFonts w:ascii="Times New Roman" w:cs="Times New Roman" w:eastAsia="Times New Roman" w:hAnsi="Times New Roman"/>
          <w:sz w:val="20"/>
          <w:szCs w:val="20"/>
          <w:u w:val="single" w:color="auto"/>
          <w:color w:val="auto"/>
        </w:rPr>
        <w:t>Section 2.05(b)(iii)</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6.04 Payment of Obligations. </w:t>
      </w:r>
      <w:r>
        <w:rPr>
          <w:rFonts w:ascii="Times New Roman" w:cs="Times New Roman" w:eastAsia="Times New Roman" w:hAnsi="Times New Roman"/>
          <w:sz w:val="20"/>
          <w:szCs w:val="20"/>
          <w:color w:val="auto"/>
        </w:rPr>
        <w:t>Pay and discharge as the same shall become due and payable, all its material obligations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liabilities, including (a) 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Restricted Subsidiary; (b) all other lawful claims which, if unpaid, would by law become a Lien upon its property; and (c) all Indebtedness, as and when due and payable, but subject to any subordination provisions contained in any instrument or agreement evidencing or governing such Indebtedness.</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6.05 Preservation of Existence, Etc. </w:t>
      </w:r>
      <w:r>
        <w:rPr>
          <w:rFonts w:ascii="Times New Roman" w:cs="Times New Roman" w:eastAsia="Times New Roman" w:hAnsi="Times New Roman"/>
          <w:sz w:val="20"/>
          <w:szCs w:val="20"/>
          <w:color w:val="auto"/>
        </w:rPr>
        <w:t>(a) (i) Preserve, renew and maintain in full force and effect its legal existence under the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the jurisdiction of its organization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and (ii) preserve, renew and maintain in full force and effect its good standing under the Laws of the jurisdiction of its organization except in a transaction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7.05</w:t>
      </w:r>
      <w:r>
        <w:rPr>
          <w:rFonts w:ascii="Times New Roman" w:cs="Times New Roman" w:eastAsia="Times New Roman" w:hAnsi="Times New Roman"/>
          <w:sz w:val="20"/>
          <w:szCs w:val="20"/>
          <w:color w:val="auto"/>
        </w:rPr>
        <w:t xml:space="preserve"> and except to the extent that the failure to do so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6.06 Maintenance of Properties. </w:t>
      </w:r>
      <w:r>
        <w:rPr>
          <w:rFonts w:ascii="Times New Roman" w:cs="Times New Roman" w:eastAsia="Times New Roman" w:hAnsi="Times New Roman"/>
          <w:sz w:val="20"/>
          <w:szCs w:val="20"/>
          <w:color w:val="auto"/>
        </w:rPr>
        <w:t>(a) Maintain, preserve and protect all of its material properties and equipment necessary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 of its business in good working order and condition, ordinary wear and tear excepted and (b) make all necessary repairs thereto and renewals and replacements thereof except, in each case, where the failure to do so could not reasonably be expected to have a Material Adverse Effect.</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6.07 Maintenance of Insurance. </w:t>
      </w:r>
      <w:r>
        <w:rPr>
          <w:rFonts w:ascii="Times New Roman" w:cs="Times New Roman" w:eastAsia="Times New Roman" w:hAnsi="Times New Roman"/>
          <w:sz w:val="20"/>
          <w:szCs w:val="20"/>
          <w:color w:val="auto"/>
        </w:rPr>
        <w:t>Maintain with financially sound and reputable insurance companies not Affiliates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as may be required by Applicable Law and as are required by any Collateral Document. All such insurance shall (unless otherwise agreed to by the Administrative Agent in writing), (a) provide that no cancellation or material modification thereof shall be effective until at least 30 days after receipt by the Administrative Agent of written notice thereof (except in the case of cancellation as a result of non-payment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2" w:name="page113"/>
    <w:bookmarkEnd w:id="112"/>
    <w:p>
      <w:pPr>
        <w:jc w:val="both"/>
        <w:spacing w:after="0" w:line="269" w:lineRule="auto"/>
        <w:rPr>
          <w:sz w:val="20"/>
          <w:szCs w:val="20"/>
          <w:color w:val="auto"/>
        </w:rPr>
      </w:pPr>
      <w:r>
        <w:rPr>
          <w:rFonts w:ascii="Times New Roman" w:cs="Times New Roman" w:eastAsia="Times New Roman" w:hAnsi="Times New Roman"/>
          <w:sz w:val="20"/>
          <w:szCs w:val="20"/>
          <w:color w:val="auto"/>
        </w:rPr>
        <w:t>of premium in which case only 10 days’ prior written notice shall be required) and (b) name the Administrative Agent as an additional insured or lender’s loss payee, as applicable.</w:t>
      </w:r>
    </w:p>
    <w:p>
      <w:pPr>
        <w:spacing w:after="0" w:line="15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6.08 Compliance with Laws. </w:t>
      </w:r>
      <w:r>
        <w:rPr>
          <w:rFonts w:ascii="Times New Roman" w:cs="Times New Roman" w:eastAsia="Times New Roman" w:hAnsi="Times New Roman"/>
          <w:sz w:val="20"/>
          <w:szCs w:val="20"/>
          <w:color w:val="auto"/>
        </w:rPr>
        <w:t>Comply in all material respects with the requirements of all Laws and all orders, writs, injunctions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6.09 Books and Records. </w:t>
      </w:r>
      <w:r>
        <w:rPr>
          <w:rFonts w:ascii="Times New Roman" w:cs="Times New Roman" w:eastAsia="Times New Roman" w:hAnsi="Times New Roman"/>
          <w:sz w:val="20"/>
          <w:szCs w:val="20"/>
          <w:color w:val="auto"/>
        </w:rPr>
        <w:t>Maintain proper books of record and account, with entries that are full, true and correct in all material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respects in conformity with GAAP consistently applied shall be made of all financial transactions and matters involving the assets and business of the Company or such Restricted Subsidiary, as the case may be.</w:t>
      </w:r>
    </w:p>
    <w:p>
      <w:pPr>
        <w:spacing w:after="0" w:line="16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6.10 Inspection Rights. </w:t>
      </w:r>
      <w:r>
        <w:rPr>
          <w:rFonts w:ascii="Times New Roman" w:cs="Times New Roman" w:eastAsia="Times New Roman" w:hAnsi="Times New Roman"/>
          <w:sz w:val="20"/>
          <w:szCs w:val="20"/>
          <w:color w:val="auto"/>
        </w:rPr>
        <w:t>Permit representatives and independent contractors of the Administrative Agent to visit and inspect any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when no Event of Default exists, the Company shall not be obligated to pay for more than one such visitation and inspection in the period beginning on the Closing Date and ending on the day prior to the first anniversary of the Closing Date, or in any subsequent twelve-month period commencing on an anniversary of the Closing Date and ending twelve months thereafter and (b) when an Event of Default exists the Administrative Agent (or its representatives or independent contractors) may do any of the foregoing at the expense of the Company at any time during normal business hours, without advance notice and as often as may be reasonably deemed necessary or prudent to protect the interests of the Secured Parties. Each Lender shall be provided advance notice by the Administrative Agent of any such inspection and shall be permitted, at such Lender’s expense, to accompany (or to have its representatives or independent contractors accompany) the Administrative Agent (or its representatives or independent contractors) on any such inspection.</w:t>
      </w:r>
    </w:p>
    <w:p>
      <w:pPr>
        <w:spacing w:after="0" w:line="187"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6.11 Use of Proceeds. </w:t>
      </w:r>
      <w:r>
        <w:rPr>
          <w:rFonts w:ascii="Times New Roman" w:cs="Times New Roman" w:eastAsia="Times New Roman" w:hAnsi="Times New Roman"/>
          <w:sz w:val="20"/>
          <w:szCs w:val="20"/>
          <w:color w:val="auto"/>
        </w:rPr>
        <w:t>Use the proceeds of the Credit Extensions for general corporate purposes not in contravention of any Law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Loan Document.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6.12 Additional Subsidiaries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2" w:lineRule="auto"/>
        <w:tabs>
          <w:tab w:leader="none" w:pos="152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limits and exclusions set forth in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below, if (1) (i) at any time the Company acquires or forms any additional Subsidiary, merges any Subsidiary into another Person or Disposes of assets from any Subsidiary to another Person and, as a result of such acquisition, formation, merger or Disposition, a Person becomes a Material Subsidiary (other than an Unrestricted Subsidiary), or (ii) as of the end of any fiscal quarter, any Subsidiary that is not already a Subsidiary Guarantor qualifies as a Material Subsidiary (other than an Unrestricted Subsidiary), the Company will promptly notify the Administrative Agent thereof and within thirty days (or such longer period to which the Administrative Agent may agree in its sole discretion) following such acquisition, formation, merger, Disposition or fiscal quarter end, as the case may be, deliver or cause to be delivered to the Administrative Agent each of the following or (2) any Person becomes a Designated Borrower, the Company will concurrently with such Person becoming a Designated Borrower, to the extent such Person has not already complied with this Section as a Subsidiary Guarantor), deliver or cause to be delivered to the Administrative Agent each of the following: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3" w:name="page114"/>
    <w:bookmarkEnd w:id="113"/>
    <w:p>
      <w:pPr>
        <w:ind w:left="840" w:firstLine="740"/>
        <w:spacing w:after="0" w:line="269" w:lineRule="auto"/>
        <w:tabs>
          <w:tab w:leader="none" w:pos="19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Subsidiary Guaranty Agreement or a Subsidiary Guaranty Joinder Agreement, as applicable, duly executed by such Subsidiary;</w:t>
      </w:r>
    </w:p>
    <w:p>
      <w:pPr>
        <w:spacing w:after="0" w:line="159" w:lineRule="exact"/>
        <w:rPr>
          <w:rFonts w:ascii="Times New Roman" w:cs="Times New Roman" w:eastAsia="Times New Roman" w:hAnsi="Times New Roman"/>
          <w:sz w:val="20"/>
          <w:szCs w:val="20"/>
          <w:color w:val="auto"/>
        </w:rPr>
      </w:pPr>
    </w:p>
    <w:p>
      <w:pPr>
        <w:ind w:left="840" w:firstLine="740"/>
        <w:spacing w:after="0" w:line="269" w:lineRule="auto"/>
        <w:tabs>
          <w:tab w:leader="none" w:pos="19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Security Agreement or a Security Joinder Agreement, as applicable, duly executed by such Subsidiary (with all schedules thereto appropriately completed);</w:t>
      </w:r>
    </w:p>
    <w:p>
      <w:pPr>
        <w:spacing w:after="0" w:line="159"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Subsidiary owns Equity Interests in any other Subsidiary, which Equity Interests constitute Collateral, a Pledge Agreement or a Pledge Joinder Agreement, as applicable, duly executed by such Subsidiary (with all schedules thereto appropriately completed);</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Pledge Agreement, Pledge Joinder Agreement or Pledge Agreement Supplement, as applicable, duly executed by the Loan Party owning the Equity Interests of such Subsidiary (in either case, with all schedules thereto appropriately completed);</w:t>
      </w:r>
    </w:p>
    <w:p>
      <w:pPr>
        <w:spacing w:after="0" w:line="174" w:lineRule="exact"/>
        <w:rPr>
          <w:rFonts w:ascii="Times New Roman" w:cs="Times New Roman" w:eastAsia="Times New Roman" w:hAnsi="Times New Roman"/>
          <w:sz w:val="20"/>
          <w:szCs w:val="20"/>
          <w:color w:val="auto"/>
        </w:rPr>
      </w:pPr>
    </w:p>
    <w:p>
      <w:pPr>
        <w:jc w:val="both"/>
        <w:ind w:left="840" w:firstLine="740"/>
        <w:spacing w:after="0" w:line="246" w:lineRule="auto"/>
        <w:tabs>
          <w:tab w:leader="none" w:pos="19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documents referenced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are delivered (or required to be delivered) and if requested by the Administrative Agent, opinions of counsel to the applicable Loan Parties and such Subsidiary with respect to the documents delivered and the transactions contemplated by this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in form and substance reasonably acceptable to the Administrative Agent, including opinions, assumptions and qualifications similar to those contained in the opinions of counsel delivered pursuant to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840" w:firstLine="740"/>
        <w:spacing w:after="0" w:line="249" w:lineRule="auto"/>
        <w:tabs>
          <w:tab w:leader="none" w:pos="19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of the documents referenced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are delivered (or required to be delivered), current copies of the documents of the types referred to in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with respect to such Subsidiary, all certified by the applicable Governmental Authority or appropriate officer as the Administrative Agent may elect, all in form and substance reasonably satisfactory to the Administrative Agent; and</w:t>
      </w:r>
    </w:p>
    <w:p>
      <w:pPr>
        <w:spacing w:after="0" w:line="179" w:lineRule="exact"/>
        <w:rPr>
          <w:rFonts w:ascii="Times New Roman" w:cs="Times New Roman" w:eastAsia="Times New Roman" w:hAnsi="Times New Roman"/>
          <w:sz w:val="20"/>
          <w:szCs w:val="20"/>
          <w:color w:val="auto"/>
        </w:rPr>
      </w:pPr>
    </w:p>
    <w:p>
      <w:pPr>
        <w:jc w:val="both"/>
        <w:ind w:left="840" w:right="20" w:firstLine="740"/>
        <w:spacing w:after="0" w:line="254" w:lineRule="auto"/>
        <w:tabs>
          <w:tab w:leader="none" w:pos="19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evidence reasonably satisfactory to the Administrative Agent that all taxes, filing fees and recording fees related to the perfection of the Liens created under any of the documents delivered pursuant to this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have been paid and all reasonable costs and expenses of the Administrative Agent in connection therewith have been paid.</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within 30 days (or such longer period as approved by the Administrative Agent in its sole discretion) after (i) each delivery or required delivery of financial information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and (ii) any Disposition of any Restricted Subsidiary or any material portion of its assets (including via merger or dissolution), cause one or more Subsidiaries to become Subsidiary Guarantors and take such additional actions of the type described in </w:t>
      </w:r>
      <w:r>
        <w:rPr>
          <w:rFonts w:ascii="Times New Roman" w:cs="Times New Roman" w:eastAsia="Times New Roman" w:hAnsi="Times New Roman"/>
          <w:sz w:val="20"/>
          <w:szCs w:val="20"/>
          <w:u w:val="single" w:color="auto"/>
          <w:color w:val="auto"/>
        </w:rPr>
        <w:t>Section 6.12(a)</w:t>
      </w:r>
      <w:r>
        <w:rPr>
          <w:rFonts w:ascii="Times New Roman" w:cs="Times New Roman" w:eastAsia="Times New Roman" w:hAnsi="Times New Roman"/>
          <w:sz w:val="20"/>
          <w:szCs w:val="20"/>
          <w:color w:val="auto"/>
        </w:rPr>
        <w:t xml:space="preserve"> as if such Subsidiaries were Material Subsidiaries, to the extent necessary to cause, subject to the limits and exclusions set forth in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below:</w:t>
      </w:r>
    </w:p>
    <w:p>
      <w:pPr>
        <w:spacing w:after="0" w:line="184" w:lineRule="exact"/>
        <w:rPr>
          <w:rFonts w:ascii="Times New Roman" w:cs="Times New Roman" w:eastAsia="Times New Roman" w:hAnsi="Times New Roman"/>
          <w:sz w:val="20"/>
          <w:szCs w:val="20"/>
          <w:color w:val="auto"/>
        </w:rPr>
      </w:pPr>
    </w:p>
    <w:p>
      <w:pPr>
        <w:jc w:val="both"/>
        <w:ind w:left="840" w:firstLine="740"/>
        <w:spacing w:after="0" w:line="249" w:lineRule="auto"/>
        <w:tabs>
          <w:tab w:leader="none" w:pos="198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and each other U.S. Borrower to be guaranteed by Domestic Subsidiaries, and secured by the Equity Interests and assets of, Subsidiaries that, together with the Company, account for at least 90% of the Consolidated Total Assets and 90% of the consolidated total revenues of the Company and its Subsidiaries (but excluding from such calculation the assets and revenues of each Foreign Subsidiary); and</w:t>
      </w:r>
    </w:p>
    <w:p>
      <w:pPr>
        <w:spacing w:after="0" w:line="179"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Designated Borrower that is a Foreign Subsidiary to be guaranteed by, and secured by the Equity Interests and assets of, Subsidiaries that, together with the Company, account for at least 90% of Consolidated Total Assets and 90% of the consolidated total revenues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14" w:name="page115"/>
    <w:bookmarkEnd w:id="114"/>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the foregoing calculations, (x) assets shall be determined as of the last day of the most recently ended fiscal quarter for which financial information is available, (y) revenues shall be determined using the results of the four fiscal quarter period of the Company most recently ended for which financial information is available, but giving effect to any pro forma adjustments, with respect to any Specified Transaction, in a manner consistent with the adjustments described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and (z) the assets and revenues of a Subsidiary shall not be deemed to include the assets and revenues of its Subsidiaries.</w:t>
      </w:r>
    </w:p>
    <w:p>
      <w:pPr>
        <w:spacing w:after="0" w:line="185" w:lineRule="exact"/>
        <w:rPr>
          <w:sz w:val="20"/>
          <w:szCs w:val="20"/>
          <w:color w:val="auto"/>
        </w:rPr>
      </w:pPr>
    </w:p>
    <w:p>
      <w:pPr>
        <w:jc w:val="both"/>
        <w:ind w:left="380" w:firstLine="751"/>
        <w:spacing w:after="0" w:line="250" w:lineRule="auto"/>
        <w:tabs>
          <w:tab w:leader="none" w:pos="1525"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to the contrary, it is acknowledged and agreed that (i) in no event shall any Foreign Subsidiary be required to guarantee, or provide collateral security for, any portion of the Obligations of a U.S. Loan Party and</w:t>
      </w:r>
    </w:p>
    <w:p>
      <w:pPr>
        <w:spacing w:after="0" w:line="1" w:lineRule="exact"/>
        <w:rPr>
          <w:rFonts w:ascii="Times New Roman" w:cs="Times New Roman" w:eastAsia="Times New Roman" w:hAnsi="Times New Roman"/>
          <w:sz w:val="20"/>
          <w:szCs w:val="20"/>
          <w:color w:val="auto"/>
        </w:rPr>
      </w:pPr>
    </w:p>
    <w:p>
      <w:pPr>
        <w:jc w:val="both"/>
        <w:ind w:left="380" w:firstLine="2"/>
        <w:spacing w:after="0" w:line="242" w:lineRule="auto"/>
        <w:tabs>
          <w:tab w:leader="none" w:pos="67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 of any Voting Equity Interests (as defined in the U.S. Pledge Agreement) in Foreign Subsidiaries as collateral security for any portion of the Obligations of a U.S. Loan Party shall be limited as provided in the U.S. Pledge Agreement and the other Loan Documents.</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6.13 Compliance with Environmental Laws. </w:t>
      </w:r>
      <w:r>
        <w:rPr>
          <w:rFonts w:ascii="Times New Roman" w:cs="Times New Roman" w:eastAsia="Times New Roman" w:hAnsi="Times New Roman"/>
          <w:sz w:val="20"/>
          <w:szCs w:val="20"/>
          <w:color w:val="auto"/>
        </w:rPr>
        <w:t>Comply, and use commercially reasonable efforts to cause all lessees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neither the Company nor any of its Restricted Subsidiaries shall be required to undertake any such cleanup, removal, remedial or other action to the extent that (a) its obligation to do so is being contested in good faith and by proper proceedings and appropriate reserves are being maintained with respect to such circumstances in accordance with GAAP, or (b) its failure to undertake any such action, either individually or in the aggregate, could not reasonably be expected to have a Material Adverse Effect or result in a penalty, fine or liability to the Company or any of its Restricted Subsidiaries in excess of the Threshold Amount.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6.14 Further Assurances. </w:t>
      </w:r>
      <w:r>
        <w:rPr>
          <w:rFonts w:ascii="Times New Roman" w:cs="Times New Roman" w:eastAsia="Times New Roman" w:hAnsi="Times New Roman"/>
          <w:sz w:val="20"/>
          <w:szCs w:val="20"/>
          <w:color w:val="auto"/>
        </w:rPr>
        <w:t>Promptly upon request by the Administrative Agent, or any Lender through the Administrative Agent,</w:t>
      </w:r>
    </w:p>
    <w:p>
      <w:pPr>
        <w:spacing w:after="0" w:line="26" w:lineRule="exact"/>
        <w:rPr>
          <w:sz w:val="20"/>
          <w:szCs w:val="20"/>
          <w:color w:val="auto"/>
        </w:rPr>
      </w:pPr>
    </w:p>
    <w:p>
      <w:pPr>
        <w:jc w:val="both"/>
        <w:ind w:firstLine="8"/>
        <w:spacing w:after="0"/>
        <w:tabs>
          <w:tab w:leader="none" w:pos="30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6.15 Approvals and Authorizations. </w:t>
      </w:r>
      <w:r>
        <w:rPr>
          <w:rFonts w:ascii="Times New Roman" w:cs="Times New Roman" w:eastAsia="Times New Roman" w:hAnsi="Times New Roman"/>
          <w:sz w:val="20"/>
          <w:szCs w:val="20"/>
          <w:color w:val="auto"/>
        </w:rPr>
        <w:t>Except as would not reasonably be expected to cause a Material Adverse Effect, maintain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5" w:name="page116"/>
    <w:bookmarkEnd w:id="115"/>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6.16 Anti-Corruption Laws; Sanctions. </w:t>
      </w:r>
      <w:r>
        <w:rPr>
          <w:rFonts w:ascii="Times New Roman" w:cs="Times New Roman" w:eastAsia="Times New Roman" w:hAnsi="Times New Roman"/>
          <w:sz w:val="20"/>
          <w:szCs w:val="20"/>
          <w:color w:val="auto"/>
        </w:rPr>
        <w:t>Conduct its businesses in compliance in all material respects with the United States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Corrupt Practices Act of 1977, the UK Bribery Act 2010, and other similar anti-corruption legislation in other jurisdictions applicable to the Company or any of its Restricted Subsidiaries and with all applicable Sanctions and maintain policies and procedures in the Company’s reasonable business judgment designed to promote and achieve compliance with such laws and Sanctions.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6.17 Residency for Dutch Tax Purposes </w:t>
      </w:r>
      <w:r>
        <w:rPr>
          <w:rFonts w:ascii="Times New Roman" w:cs="Times New Roman" w:eastAsia="Times New Roman" w:hAnsi="Times New Roman"/>
          <w:sz w:val="20"/>
          <w:szCs w:val="20"/>
          <w:color w:val="auto"/>
        </w:rPr>
        <w:t>. The Netherlands Designated Borrower or any other Loan Party incorporated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Netherlands will remain resident for tax purposes in the Netherlands only and not create a permanent establishment or other taxable presence outside the Netherlands, unless with the prior written consent of the Administrative Agent.</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6.18 Fiscal Unity for Dutch Tax Purposes</w:t>
      </w:r>
      <w:r>
        <w:rPr>
          <w:rFonts w:ascii="Times New Roman" w:cs="Times New Roman" w:eastAsia="Times New Roman" w:hAnsi="Times New Roman"/>
          <w:sz w:val="20"/>
          <w:szCs w:val="20"/>
          <w:color w:val="auto"/>
        </w:rPr>
        <w:t>. Any fiscal unity (</w:t>
      </w:r>
      <w:r>
        <w:rPr>
          <w:rFonts w:ascii="Times New Roman" w:cs="Times New Roman" w:eastAsia="Times New Roman" w:hAnsi="Times New Roman"/>
          <w:sz w:val="20"/>
          <w:szCs w:val="20"/>
          <w:i w:val="1"/>
          <w:iCs w:val="1"/>
          <w:color w:val="auto"/>
        </w:rPr>
        <w:t>fiscale eenheid</w:t>
      </w:r>
      <w:r>
        <w:rPr>
          <w:rFonts w:ascii="Times New Roman" w:cs="Times New Roman" w:eastAsia="Times New Roman" w:hAnsi="Times New Roman"/>
          <w:sz w:val="20"/>
          <w:szCs w:val="20"/>
          <w:color w:val="auto"/>
        </w:rPr>
        <w:t>) for Dutch tax purposes in which a Loan Party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included, will consist of Loan Parties only, unless with the prior written consent of the Administrative Agent.</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6.19 Centre of Main Interests </w:t>
      </w:r>
      <w:r>
        <w:rPr>
          <w:rFonts w:ascii="Times New Roman" w:cs="Times New Roman" w:eastAsia="Times New Roman" w:hAnsi="Times New Roman"/>
          <w:sz w:val="20"/>
          <w:szCs w:val="20"/>
          <w:color w:val="auto"/>
        </w:rPr>
        <w:t>. Each Person incorporated in the Netherlands shall maintain its centre of main interest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Netherlands for the purposes of the Insolvency Regulation.</w:t>
      </w:r>
    </w:p>
    <w:p>
      <w:pPr>
        <w:spacing w:after="0" w:line="15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6.20 Allocation of Tax Losses upon Termination of Fiscal Unity for Dutch Tax Purposes</w:t>
      </w:r>
      <w:r>
        <w:rPr>
          <w:rFonts w:ascii="Times New Roman" w:cs="Times New Roman" w:eastAsia="Times New Roman" w:hAnsi="Times New Roman"/>
          <w:sz w:val="20"/>
          <w:szCs w:val="20"/>
          <w:color w:val="auto"/>
        </w:rPr>
        <w:t>. If, at any time, a Loan Party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of a fiscal unity (</w:t>
      </w:r>
      <w:r>
        <w:rPr>
          <w:rFonts w:ascii="Times New Roman" w:cs="Times New Roman" w:eastAsia="Times New Roman" w:hAnsi="Times New Roman"/>
          <w:sz w:val="20"/>
          <w:szCs w:val="20"/>
          <w:i w:val="1"/>
          <w:iCs w:val="1"/>
          <w:color w:val="auto"/>
        </w:rPr>
        <w:t>fiscale eenheid</w:t>
      </w:r>
      <w:r>
        <w:rPr>
          <w:rFonts w:ascii="Times New Roman" w:cs="Times New Roman" w:eastAsia="Times New Roman" w:hAnsi="Times New Roman"/>
          <w:sz w:val="20"/>
          <w:szCs w:val="20"/>
          <w:color w:val="auto"/>
        </w:rPr>
        <w:t>) for Dutch corporate income tax (</w:t>
      </w:r>
      <w:r>
        <w:rPr>
          <w:rFonts w:ascii="Times New Roman" w:cs="Times New Roman" w:eastAsia="Times New Roman" w:hAnsi="Times New Roman"/>
          <w:sz w:val="20"/>
          <w:szCs w:val="20"/>
          <w:i w:val="1"/>
          <w:iCs w:val="1"/>
          <w:color w:val="auto"/>
        </w:rPr>
        <w:t>vennootschapsbelasting</w:t>
      </w:r>
      <w:r>
        <w:rPr>
          <w:rFonts w:ascii="Times New Roman" w:cs="Times New Roman" w:eastAsia="Times New Roman" w:hAnsi="Times New Roman"/>
          <w:sz w:val="20"/>
          <w:szCs w:val="20"/>
          <w:color w:val="auto"/>
        </w:rPr>
        <w:t>) purposes and such fiscal unity is, in respect of that Loan Party, terminated (</w:t>
      </w:r>
      <w:r>
        <w:rPr>
          <w:rFonts w:ascii="Times New Roman" w:cs="Times New Roman" w:eastAsia="Times New Roman" w:hAnsi="Times New Roman"/>
          <w:sz w:val="20"/>
          <w:szCs w:val="20"/>
          <w:i w:val="1"/>
          <w:iCs w:val="1"/>
          <w:color w:val="auto"/>
        </w:rPr>
        <w:t>verbroken</w:t>
      </w:r>
      <w:r>
        <w:rPr>
          <w:rFonts w:ascii="Times New Roman" w:cs="Times New Roman" w:eastAsia="Times New Roman" w:hAnsi="Times New Roman"/>
          <w:sz w:val="20"/>
          <w:szCs w:val="20"/>
          <w:color w:val="auto"/>
        </w:rPr>
        <w:t>) or disrupted (</w:t>
      </w:r>
      <w:r>
        <w:rPr>
          <w:rFonts w:ascii="Times New Roman" w:cs="Times New Roman" w:eastAsia="Times New Roman" w:hAnsi="Times New Roman"/>
          <w:sz w:val="20"/>
          <w:szCs w:val="20"/>
          <w:i w:val="1"/>
          <w:iCs w:val="1"/>
          <w:color w:val="auto"/>
        </w:rPr>
        <w:t>beëindigd</w:t>
      </w:r>
      <w:r>
        <w:rPr>
          <w:rFonts w:ascii="Times New Roman" w:cs="Times New Roman" w:eastAsia="Times New Roman" w:hAnsi="Times New Roman"/>
          <w:sz w:val="20"/>
          <w:szCs w:val="20"/>
          <w:color w:val="auto"/>
        </w:rPr>
        <w:t>) as a result of or in connection with the Administrative Agent enforcing its rights under any Netherlands Security Document, such Loan Party shall, at the request of the Administrative Agent and together with the parent company (</w:t>
      </w:r>
      <w:r>
        <w:rPr>
          <w:rFonts w:ascii="Times New Roman" w:cs="Times New Roman" w:eastAsia="Times New Roman" w:hAnsi="Times New Roman"/>
          <w:sz w:val="20"/>
          <w:szCs w:val="20"/>
          <w:i w:val="1"/>
          <w:iCs w:val="1"/>
          <w:color w:val="auto"/>
        </w:rPr>
        <w:t>moedermaatschappij</w:t>
      </w:r>
      <w:r>
        <w:rPr>
          <w:rFonts w:ascii="Times New Roman" w:cs="Times New Roman" w:eastAsia="Times New Roman" w:hAnsi="Times New Roman"/>
          <w:sz w:val="20"/>
          <w:szCs w:val="20"/>
          <w:color w:val="auto"/>
        </w:rPr>
        <w:t>) or deemed parent company (</w:t>
      </w:r>
      <w:r>
        <w:rPr>
          <w:rFonts w:ascii="Times New Roman" w:cs="Times New Roman" w:eastAsia="Times New Roman" w:hAnsi="Times New Roman"/>
          <w:sz w:val="20"/>
          <w:szCs w:val="20"/>
          <w:i w:val="1"/>
          <w:iCs w:val="1"/>
          <w:color w:val="auto"/>
        </w:rPr>
        <w:t>aangewezen moedermaatschappij</w:t>
      </w:r>
      <w:r>
        <w:rPr>
          <w:rFonts w:ascii="Times New Roman" w:cs="Times New Roman" w:eastAsia="Times New Roman" w:hAnsi="Times New Roman"/>
          <w:sz w:val="20"/>
          <w:szCs w:val="20"/>
          <w:color w:val="auto"/>
        </w:rPr>
        <w:t>) of that fiscal unity, for no consideration and as soon as reasonably practicable, lodge a request with the relevant governmental body to allocate and surrender any tax losses (within the meaning of Article 20 of the Dutch Corporate Income Tax Act (</w:t>
      </w:r>
      <w:r>
        <w:rPr>
          <w:rFonts w:ascii="Times New Roman" w:cs="Times New Roman" w:eastAsia="Times New Roman" w:hAnsi="Times New Roman"/>
          <w:sz w:val="20"/>
          <w:szCs w:val="20"/>
          <w:i w:val="1"/>
          <w:iCs w:val="1"/>
          <w:color w:val="auto"/>
        </w:rPr>
        <w:t>Wet op de vennootschapsbelasting 1969</w:t>
      </w:r>
      <w:r>
        <w:rPr>
          <w:rFonts w:ascii="Times New Roman" w:cs="Times New Roman" w:eastAsia="Times New Roman" w:hAnsi="Times New Roman"/>
          <w:sz w:val="20"/>
          <w:szCs w:val="20"/>
          <w:color w:val="auto"/>
        </w:rPr>
        <w:t>)), any interest expenses available for carry forward (within the meaning of Article 15b(5) of the Dutch Corporate Income Tax Act) and/or Tax credit carry forward (within the meaning of Article 25a of the Dutch Corporate Income Tax Act) to the Loan Party leaving the fiscal unity, to the extent such tax losses are attributable (</w:t>
      </w:r>
      <w:r>
        <w:rPr>
          <w:rFonts w:ascii="Times New Roman" w:cs="Times New Roman" w:eastAsia="Times New Roman" w:hAnsi="Times New Roman"/>
          <w:sz w:val="20"/>
          <w:szCs w:val="20"/>
          <w:i w:val="1"/>
          <w:iCs w:val="1"/>
          <w:color w:val="auto"/>
        </w:rPr>
        <w:t>toerekenbaar</w:t>
      </w:r>
      <w:r>
        <w:rPr>
          <w:rFonts w:ascii="Times New Roman" w:cs="Times New Roman" w:eastAsia="Times New Roman" w:hAnsi="Times New Roman"/>
          <w:sz w:val="20"/>
          <w:szCs w:val="20"/>
          <w:color w:val="auto"/>
        </w:rPr>
        <w:t>) to that Loan Party (within the meaning of Articles 15af, 15al and 15ahb of the Dutch Corporate Income Tax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So long as the Termination Date has not occurred, the Company shall not, nor shall it permit any Restricted Subsidiary to, directly or indirectly:</w:t>
      </w:r>
    </w:p>
    <w:p>
      <w:pPr>
        <w:spacing w:after="0" w:line="15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7.01 Liens. </w:t>
      </w:r>
      <w:r>
        <w:rPr>
          <w:rFonts w:ascii="Times New Roman" w:cs="Times New Roman" w:eastAsia="Times New Roman" w:hAnsi="Times New Roman"/>
          <w:sz w:val="20"/>
          <w:szCs w:val="20"/>
          <w:color w:val="auto"/>
        </w:rPr>
        <w:t>Create, incur, assume or suffer to exist any Lien upon any of its property, assets or revenues, whether now owned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hereafter acquired, other than the following:</w:t>
      </w:r>
    </w:p>
    <w:p>
      <w:pPr>
        <w:spacing w:after="0" w:line="156" w:lineRule="exact"/>
        <w:rPr>
          <w:sz w:val="20"/>
          <w:szCs w:val="20"/>
          <w:color w:val="auto"/>
        </w:rPr>
      </w:pPr>
    </w:p>
    <w:p>
      <w:pPr>
        <w:ind w:left="1520" w:hanging="389"/>
        <w:spacing w:after="0"/>
        <w:tabs>
          <w:tab w:leader="none" w:pos="152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pursuant to any Loan Document;</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hereof and listed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and any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7.03(b)</w:t>
      </w:r>
      <w:r>
        <w:rPr>
          <w:rFonts w:ascii="Times New Roman" w:cs="Times New Roman" w:eastAsia="Times New Roman" w:hAnsi="Times New Roman"/>
          <w:sz w:val="20"/>
          <w:szCs w:val="20"/>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(i) not yet due or as to which the period of grace (not to exceed thirty (30) days), if any, related thereto has not expired or (ii) which are being contested in good faith and by</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16" w:name="page117"/>
    <w:bookmarkEnd w:id="116"/>
    <w:p>
      <w:pPr>
        <w:ind w:left="80"/>
        <w:spacing w:after="0" w:line="269" w:lineRule="auto"/>
        <w:rPr>
          <w:sz w:val="20"/>
          <w:szCs w:val="20"/>
          <w:color w:val="auto"/>
        </w:rPr>
      </w:pPr>
      <w:r>
        <w:rPr>
          <w:rFonts w:ascii="Times New Roman" w:cs="Times New Roman" w:eastAsia="Times New Roman" w:hAnsi="Times New Roman"/>
          <w:sz w:val="20"/>
          <w:szCs w:val="20"/>
          <w:color w:val="auto"/>
        </w:rPr>
        <w:t>appropriate proceedings diligently conducted, if adequate reserves with respect thereto are maintained on the books of the applicable Person in accordance with GAAP;</w:t>
      </w:r>
    </w:p>
    <w:p>
      <w:pPr>
        <w:spacing w:after="0" w:line="159" w:lineRule="exact"/>
        <w:rPr>
          <w:sz w:val="20"/>
          <w:szCs w:val="20"/>
          <w:color w:val="auto"/>
        </w:rPr>
      </w:pPr>
    </w:p>
    <w:p>
      <w:pPr>
        <w:jc w:val="both"/>
        <w:ind w:left="80" w:firstLine="751"/>
        <w:spacing w:after="0" w:line="249"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79" w:lineRule="exact"/>
        <w:rPr>
          <w:rFonts w:ascii="Times New Roman" w:cs="Times New Roman" w:eastAsia="Times New Roman" w:hAnsi="Times New Roman"/>
          <w:sz w:val="20"/>
          <w:szCs w:val="20"/>
          <w:color w:val="auto"/>
        </w:rPr>
      </w:pPr>
    </w:p>
    <w:p>
      <w:pPr>
        <w:ind w:left="80" w:right="60" w:firstLine="751"/>
        <w:spacing w:after="0" w:line="269"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59" w:lineRule="exact"/>
        <w:rPr>
          <w:rFonts w:ascii="Times New Roman" w:cs="Times New Roman" w:eastAsia="Times New Roman" w:hAnsi="Times New Roman"/>
          <w:sz w:val="20"/>
          <w:szCs w:val="20"/>
          <w:color w:val="auto"/>
        </w:rPr>
      </w:pPr>
    </w:p>
    <w:p>
      <w:pPr>
        <w:ind w:left="80" w:right="40" w:firstLine="751"/>
        <w:spacing w:after="0" w:line="269"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59"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74"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and, in the case of Indebtedness assumed in connection with a Permitted Acquisition, the property subject thereto immediately prior to such Acquisition and (ii) the Indebtedness secured thereby does not exceed the cost or fair market value, whichever is lower, of the property being acquired on the date of acquisition;</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66" w:lineRule="auto"/>
        <w:tabs>
          <w:tab w:leader="none" w:pos="1225"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if any, in favor of a surety granted by the Company and/or its Restricted Subsidiaries arising by operation of law or under any indemnity agreement or surety agreement entered into in the ordinary course of business in connection with construction-related bid or performance bonds;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Lien does not at any time encumber any property other than the applicable bonded contractual obligation and the accounts receivable, material and equipment under such applicable bonded contractual obligation;</w:t>
      </w:r>
    </w:p>
    <w:p>
      <w:pPr>
        <w:spacing w:after="0" w:line="165" w:lineRule="exact"/>
        <w:rPr>
          <w:rFonts w:ascii="Times New Roman" w:cs="Times New Roman" w:eastAsia="Times New Roman" w:hAnsi="Times New Roman"/>
          <w:sz w:val="19"/>
          <w:szCs w:val="19"/>
          <w:color w:val="auto"/>
        </w:rPr>
      </w:pPr>
    </w:p>
    <w:p>
      <w:pPr>
        <w:jc w:val="both"/>
        <w:ind w:left="80" w:firstLine="751"/>
        <w:spacing w:after="0" w:line="254"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collateral securing Indebtedness permitted under </w:t>
      </w:r>
      <w:r>
        <w:rPr>
          <w:rFonts w:ascii="Times New Roman" w:cs="Times New Roman" w:eastAsia="Times New Roman" w:hAnsi="Times New Roman"/>
          <w:sz w:val="20"/>
          <w:szCs w:val="20"/>
          <w:u w:val="single" w:color="auto"/>
          <w:color w:val="auto"/>
        </w:rPr>
        <w:t>Section 7.03(j)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amount of obligations secured thereby shall not exceed $20,000,000 and (ii) the amount of cash collateral provided shall not exceed 110% of the face amount of the letter of credit or bank guarantee secured thereby;</w:t>
      </w:r>
    </w:p>
    <w:p>
      <w:pPr>
        <w:spacing w:after="0" w:line="174" w:lineRule="exact"/>
        <w:rPr>
          <w:rFonts w:ascii="Times New Roman" w:cs="Times New Roman" w:eastAsia="Times New Roman" w:hAnsi="Times New Roman"/>
          <w:sz w:val="20"/>
          <w:szCs w:val="20"/>
          <w:color w:val="auto"/>
        </w:rPr>
      </w:pPr>
    </w:p>
    <w:p>
      <w:pPr>
        <w:ind w:left="80" w:right="40" w:firstLine="751"/>
        <w:spacing w:after="0" w:line="269"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accounts receivable (and related assets customarily included in such transactions) arising under a Qualified Supply Chain Finance Program permitted under </w:t>
      </w:r>
      <w:r>
        <w:rPr>
          <w:rFonts w:ascii="Times New Roman" w:cs="Times New Roman" w:eastAsia="Times New Roman" w:hAnsi="Times New Roman"/>
          <w:sz w:val="20"/>
          <w:szCs w:val="20"/>
          <w:u w:val="single" w:color="auto"/>
          <w:color w:val="auto"/>
        </w:rPr>
        <w:t>Section 7.05(f)(ii)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80" w:right="20" w:firstLine="751"/>
        <w:spacing w:after="0" w:line="269" w:lineRule="auto"/>
        <w:tabs>
          <w:tab w:leader="none" w:pos="122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Cash Equivalents, deposit accounts and similar items of Foreign Subsidiaries securing obligations under any Cash Pooling Agreements, including any guarantees by any Foreign Subsidiary of such obligations of other Foreign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17" w:name="page118"/>
    <w:bookmarkEnd w:id="117"/>
    <w:p>
      <w:pPr>
        <w:ind w:left="80" w:right="40" w:firstLine="751"/>
        <w:spacing w:after="0" w:line="269" w:lineRule="auto"/>
        <w:tabs>
          <w:tab w:leader="none" w:pos="122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UCC financing statements relating solely to personal property leased pursuant to operating leases or consignment arrangements, in each case, entered into in the ordinary course of business; and</w:t>
      </w:r>
    </w:p>
    <w:p>
      <w:pPr>
        <w:spacing w:after="0" w:line="159"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Liens securing obligations, which do not exceed $10,000,000 at any time outstanding.</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 xml:space="preserve">7.02 Investments. </w:t>
      </w:r>
      <w:r>
        <w:rPr>
          <w:rFonts w:ascii="Times New Roman" w:cs="Times New Roman" w:eastAsia="Times New Roman" w:hAnsi="Times New Roman"/>
          <w:sz w:val="20"/>
          <w:szCs w:val="20"/>
          <w:color w:val="auto"/>
        </w:rPr>
        <w:t>Make or hold any Investments, except:</w:t>
      </w:r>
    </w:p>
    <w:p>
      <w:pPr>
        <w:spacing w:after="0" w:line="220" w:lineRule="exact"/>
        <w:rPr>
          <w:sz w:val="20"/>
          <w:szCs w:val="20"/>
          <w:color w:val="auto"/>
        </w:rPr>
      </w:pPr>
    </w:p>
    <w:p>
      <w:pPr>
        <w:ind w:left="1220" w:hanging="389"/>
        <w:spacing w:after="0"/>
        <w:tabs>
          <w:tab w:leader="none" w:pos="122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the Company or such Restricted Subsidiary in the form of Cash Equivalents;</w:t>
      </w:r>
    </w:p>
    <w:p>
      <w:pPr>
        <w:spacing w:after="0" w:line="215" w:lineRule="exact"/>
        <w:rPr>
          <w:rFonts w:ascii="Times New Roman" w:cs="Times New Roman" w:eastAsia="Times New Roman" w:hAnsi="Times New Roman"/>
          <w:sz w:val="20"/>
          <w:szCs w:val="20"/>
          <w:color w:val="auto"/>
        </w:rPr>
      </w:pPr>
    </w:p>
    <w:p>
      <w:pPr>
        <w:ind w:left="80" w:right="40" w:firstLine="751"/>
        <w:spacing w:after="0" w:line="269" w:lineRule="auto"/>
        <w:tabs>
          <w:tab w:leader="none" w:pos="122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officers, directors and employees of the Company and Restricted Subsidiaries in the ordinary course of business in an aggregate amount not to exceed $1,000,000 at any time outstanding;</w:t>
      </w:r>
    </w:p>
    <w:p>
      <w:pPr>
        <w:spacing w:after="0" w:line="159" w:lineRule="exact"/>
        <w:rPr>
          <w:rFonts w:ascii="Times New Roman" w:cs="Times New Roman" w:eastAsia="Times New Roman" w:hAnsi="Times New Roman"/>
          <w:sz w:val="20"/>
          <w:szCs w:val="20"/>
          <w:color w:val="auto"/>
        </w:rPr>
      </w:pPr>
    </w:p>
    <w:p>
      <w:pPr>
        <w:jc w:val="both"/>
        <w:ind w:left="80" w:firstLine="751"/>
        <w:spacing w:after="0" w:line="243" w:lineRule="auto"/>
        <w:tabs>
          <w:tab w:leader="none" w:pos="122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the Closing Date in Subsidiaries existing on the Closing Date (other than Investments existing on the Closing Date in the Netherlands Designated Borrower); (ii) Investments existing on the Closing Date (other than Investments in Subsidiaries existing on the Closing Date) and described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(iii) Investments made after the Closing Date by any Loan Party in any other Loan Party (limited, in the case of U.S. Loan Parties, to Investments in each other and in other Loan Parties that have Guaranteed the Obligations of the Company); (iv) Investments made after the Closing Date by any Restricted Subsidiary that is not a Loan Party in any other Restricted Subsidiary that is not a Loan Party; (v) Investments made after the Closing Date by any Restricted Subsidiary that is not a Loan Party in any Loan Party; and (vi) Investments made in the ordinary course of business in any Restricted Subsidiary in connection with Cash Pooling Agreements;</w:t>
      </w:r>
    </w:p>
    <w:p>
      <w:pPr>
        <w:spacing w:after="0" w:line="189" w:lineRule="exact"/>
        <w:rPr>
          <w:rFonts w:ascii="Times New Roman" w:cs="Times New Roman" w:eastAsia="Times New Roman" w:hAnsi="Times New Roman"/>
          <w:sz w:val="20"/>
          <w:szCs w:val="20"/>
          <w:color w:val="auto"/>
        </w:rPr>
      </w:pPr>
    </w:p>
    <w:p>
      <w:pPr>
        <w:jc w:val="both"/>
        <w:ind w:left="80" w:right="20" w:firstLine="751"/>
        <w:spacing w:after="0" w:line="254" w:lineRule="auto"/>
        <w:tabs>
          <w:tab w:leader="none" w:pos="122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4"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44" w:lineRule="auto"/>
        <w:tabs>
          <w:tab w:leader="none" w:pos="1225"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any Loan Party after the Closing Date (i) in any Subsidiary that is either not a Loan Party or is a Loan Party that has not Guaranteed the Obligations of the Company or (ii) in joint ventures;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aggregate amount of all such Investments described in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when taken together with the aggregate amount of Investments made in the form of Permitted Acquisitions pursuant to </w:t>
      </w:r>
      <w:r>
        <w:rPr>
          <w:rFonts w:ascii="Times New Roman" w:cs="Times New Roman" w:eastAsia="Times New Roman" w:hAnsi="Times New Roman"/>
          <w:sz w:val="20"/>
          <w:szCs w:val="20"/>
          <w:u w:val="single" w:color="auto"/>
          <w:color w:val="auto"/>
        </w:rPr>
        <w:t>Section 7.02(g)(ii)</w:t>
      </w:r>
      <w:r>
        <w:rPr>
          <w:rFonts w:ascii="Times New Roman" w:cs="Times New Roman" w:eastAsia="Times New Roman" w:hAnsi="Times New Roman"/>
          <w:sz w:val="20"/>
          <w:szCs w:val="20"/>
          <w:color w:val="auto"/>
        </w:rPr>
        <w:t xml:space="preserve">, shall not at any time exceed the Investment Amount and (B) any Investments in the form of loans or advances made by any Loan Party pursuant to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be evidenced by a demand note in form and substance reasonably satisfactory to the Administrative Agent and shall be pledged and delivered to the Administrative Agent pursuant to the Collateral Documents;</w:t>
      </w:r>
    </w:p>
    <w:p>
      <w:pPr>
        <w:spacing w:after="0" w:line="185"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Company or any Restricted Subsidiary in the form of:</w:t>
      </w:r>
    </w:p>
    <w:p>
      <w:pPr>
        <w:spacing w:after="0" w:line="215" w:lineRule="exact"/>
        <w:rPr>
          <w:rFonts w:ascii="Times New Roman" w:cs="Times New Roman" w:eastAsia="Times New Roman" w:hAnsi="Times New Roman"/>
          <w:sz w:val="20"/>
          <w:szCs w:val="20"/>
          <w:color w:val="auto"/>
        </w:rPr>
      </w:pPr>
    </w:p>
    <w:p>
      <w:pPr>
        <w:jc w:val="both"/>
        <w:ind w:left="840" w:firstLine="740"/>
        <w:spacing w:after="0" w:line="254" w:lineRule="auto"/>
        <w:tabs>
          <w:tab w:leader="none" w:pos="198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Acquisitions to the extent that any Person or property acquired in such Permitted Acquisition becomes a part of the Company or a Loan Party that has Guaranteed the Obligations of the Company or becomes a Subsidiary Guarantor which Guarantees the Obligations of the Company in the manner contemplated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840" w:right="60" w:firstLine="740"/>
        <w:spacing w:after="0" w:line="269" w:lineRule="auto"/>
        <w:tabs>
          <w:tab w:leader="none" w:pos="198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after the Closing Date to the extent that any Person or property acquired in such Permitted Acquisition does not become a Loan Party that has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18" w:name="page119"/>
    <w:bookmarkEnd w:id="118"/>
    <w:p>
      <w:pPr>
        <w:jc w:val="both"/>
        <w:ind w:left="840"/>
        <w:spacing w:after="0" w:line="254" w:lineRule="auto"/>
        <w:rPr>
          <w:sz w:val="20"/>
          <w:szCs w:val="20"/>
          <w:color w:val="auto"/>
        </w:rPr>
      </w:pPr>
      <w:r>
        <w:rPr>
          <w:rFonts w:ascii="Times New Roman" w:cs="Times New Roman" w:eastAsia="Times New Roman" w:hAnsi="Times New Roman"/>
          <w:sz w:val="20"/>
          <w:szCs w:val="20"/>
          <w:color w:val="auto"/>
        </w:rPr>
        <w:t xml:space="preserve">Guaranteed the Obligations of the Company or a part of a Loan Party that has Guaranteed the Obligations of the Company in an aggregate amount, when taken together with the aggregate amount of Investments made pursuant to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not to exceed the Investment Amount;</w:t>
      </w:r>
    </w:p>
    <w:p>
      <w:pPr>
        <w:spacing w:after="0" w:line="174" w:lineRule="exact"/>
        <w:rPr>
          <w:sz w:val="20"/>
          <w:szCs w:val="20"/>
          <w:color w:val="auto"/>
        </w:rPr>
      </w:pPr>
    </w:p>
    <w:p>
      <w:pPr>
        <w:jc w:val="both"/>
        <w:ind w:left="80" w:firstLine="751"/>
        <w:spacing w:after="0" w:line="246" w:lineRule="auto"/>
        <w:tabs>
          <w:tab w:leader="none" w:pos="122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of a Person or any of its Restricted Subsidiaries existing at the time such Person becomes a Restricted Subsidiary of the Company or at the time such Person merges or consolidates with the Company or any of its Restricted Subsidiaries, in either case,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Investments were not made by such Person in connection with, or in anticipation or contemplation of, such Person becoming a Restricted Subsidiary of the Company or such merger or consolidation;</w:t>
      </w:r>
    </w:p>
    <w:p>
      <w:pPr>
        <w:spacing w:after="0" w:line="184" w:lineRule="exact"/>
        <w:rPr>
          <w:rFonts w:ascii="Times New Roman" w:cs="Times New Roman" w:eastAsia="Times New Roman" w:hAnsi="Times New Roman"/>
          <w:sz w:val="20"/>
          <w:szCs w:val="20"/>
          <w:color w:val="auto"/>
        </w:rPr>
      </w:pPr>
    </w:p>
    <w:p>
      <w:pPr>
        <w:ind w:left="80" w:firstLine="751"/>
        <w:spacing w:after="0" w:line="295" w:lineRule="auto"/>
        <w:tabs>
          <w:tab w:leader="none" w:pos="1225"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Investments existing on the Closing Date that were made pursuant to either of </w:t>
      </w:r>
      <w:r>
        <w:rPr>
          <w:rFonts w:ascii="Times New Roman" w:cs="Times New Roman" w:eastAsia="Times New Roman" w:hAnsi="Times New Roman"/>
          <w:sz w:val="19"/>
          <w:szCs w:val="19"/>
          <w:u w:val="single" w:color="auto"/>
          <w:color w:val="auto"/>
        </w:rPr>
        <w:t>Section 7.02(f)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(g)(ii)</w:t>
      </w:r>
      <w:r>
        <w:rPr>
          <w:rFonts w:ascii="Times New Roman" w:cs="Times New Roman" w:eastAsia="Times New Roman" w:hAnsi="Times New Roman"/>
          <w:sz w:val="19"/>
          <w:szCs w:val="19"/>
          <w:color w:val="auto"/>
        </w:rPr>
        <w:t xml:space="preserve">, in each case, to the extent permitted pursuant to the terms thereof as in effect immediately prior to the Closing Date, and described on </w:t>
      </w:r>
      <w:r>
        <w:rPr>
          <w:rFonts w:ascii="Times New Roman" w:cs="Times New Roman" w:eastAsia="Times New Roman" w:hAnsi="Times New Roman"/>
          <w:sz w:val="19"/>
          <w:szCs w:val="19"/>
          <w:u w:val="single" w:color="auto"/>
          <w:color w:val="auto"/>
        </w:rPr>
        <w:t>Schedule 7.02</w:t>
      </w:r>
      <w:r>
        <w:rPr>
          <w:rFonts w:ascii="Times New Roman" w:cs="Times New Roman" w:eastAsia="Times New Roman" w:hAnsi="Times New Roman"/>
          <w:sz w:val="19"/>
          <w:szCs w:val="19"/>
          <w:color w:val="auto"/>
        </w:rPr>
        <w:t>;</w:t>
      </w:r>
    </w:p>
    <w:p>
      <w:pPr>
        <w:spacing w:after="0" w:line="137" w:lineRule="exact"/>
        <w:rPr>
          <w:rFonts w:ascii="Times New Roman" w:cs="Times New Roman" w:eastAsia="Times New Roman" w:hAnsi="Times New Roman"/>
          <w:sz w:val="19"/>
          <w:szCs w:val="19"/>
          <w:color w:val="auto"/>
        </w:rPr>
      </w:pPr>
    </w:p>
    <w:p>
      <w:pPr>
        <w:ind w:left="1220" w:hanging="389"/>
        <w:spacing w:after="0"/>
        <w:tabs>
          <w:tab w:leader="none" w:pos="12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Rubber Joint Venture Investment;</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U.S. Loan Parties in the Netherlands Designated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amount of such Investments described in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shall not at any time exceed (1) from the Closing Date through the date on which the Netherlands Designated Borrower has been properly joined hereto as a Designated Borrower in accordance with the terms set forth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$25,000,000 and (2) thereafter, $75,000,000, and (ii) any Investments in the form of loans or advances made by any Loan Party pursuant to this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shall be evidenced by a demand note in form and substance reasonably satisfactory to the Administrative Agent and shall be pledged and delivered to the Administrative Agent pursuant to the Collateral Documents;</w:t>
      </w:r>
    </w:p>
    <w:p>
      <w:pPr>
        <w:spacing w:after="0" w:line="184" w:lineRule="exact"/>
        <w:rPr>
          <w:rFonts w:ascii="Times New Roman" w:cs="Times New Roman" w:eastAsia="Times New Roman" w:hAnsi="Times New Roman"/>
          <w:sz w:val="20"/>
          <w:szCs w:val="20"/>
          <w:color w:val="auto"/>
        </w:rPr>
      </w:pPr>
    </w:p>
    <w:p>
      <w:pPr>
        <w:ind w:left="80" w:right="20" w:firstLine="751"/>
        <w:spacing w:after="0" w:line="295" w:lineRule="auto"/>
        <w:tabs>
          <w:tab w:leader="none" w:pos="1225"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(i) the Korean facility operated by one or more Restricted Subsidiaries in an aggregate amount not to exceed $8,000,000 and (ii) the Indian businesses of one or more Restricted Subsidiaries in an aggregate amount to exceed $10,000,000;</w:t>
      </w:r>
    </w:p>
    <w:p>
      <w:pPr>
        <w:spacing w:after="0" w:line="137" w:lineRule="exact"/>
        <w:rPr>
          <w:rFonts w:ascii="Times New Roman" w:cs="Times New Roman" w:eastAsia="Times New Roman" w:hAnsi="Times New Roman"/>
          <w:sz w:val="19"/>
          <w:szCs w:val="19"/>
          <w:color w:val="auto"/>
        </w:rPr>
      </w:pPr>
    </w:p>
    <w:p>
      <w:pPr>
        <w:ind w:left="1220" w:hanging="389"/>
        <w:spacing w:after="0"/>
        <w:tabs>
          <w:tab w:leader="none" w:pos="122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Bond Hedge Transaction and any Permitted Warrant Transaction; and</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Investments so long as, after giving thereto, the amount of Investments made pursuant to this </w:t>
      </w:r>
      <w:r>
        <w:rPr>
          <w:rFonts w:ascii="Times New Roman" w:cs="Times New Roman" w:eastAsia="Times New Roman" w:hAnsi="Times New Roman"/>
          <w:sz w:val="20"/>
          <w:szCs w:val="20"/>
          <w:u w:val="single" w:color="auto"/>
          <w:color w:val="auto"/>
        </w:rPr>
        <w:t>clause (n)</w:t>
      </w:r>
      <w:r>
        <w:rPr>
          <w:rFonts w:ascii="Times New Roman" w:cs="Times New Roman" w:eastAsia="Times New Roman" w:hAnsi="Times New Roman"/>
          <w:sz w:val="20"/>
          <w:szCs w:val="20"/>
          <w:color w:val="auto"/>
        </w:rPr>
        <w:t xml:space="preserve"> in the fiscal quarter in which such Investment is made and in the three fiscal quarters immediately preceding such fiscal quarter, in the aggregate, does not exceed $10,000,000.</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 xml:space="preserve">7.03 Indebtedness. </w:t>
      </w:r>
      <w:r>
        <w:rPr>
          <w:rFonts w:ascii="Times New Roman" w:cs="Times New Roman" w:eastAsia="Times New Roman" w:hAnsi="Times New Roman"/>
          <w:sz w:val="20"/>
          <w:szCs w:val="20"/>
          <w:color w:val="auto"/>
        </w:rPr>
        <w:t>Create, incur, assume or suffer to exist any Indebtedness, except:</w:t>
      </w:r>
    </w:p>
    <w:p>
      <w:pPr>
        <w:spacing w:after="0" w:line="220" w:lineRule="exact"/>
        <w:rPr>
          <w:sz w:val="20"/>
          <w:szCs w:val="20"/>
          <w:color w:val="auto"/>
        </w:rPr>
      </w:pPr>
    </w:p>
    <w:p>
      <w:pPr>
        <w:ind w:left="1220" w:hanging="389"/>
        <w:spacing w:after="0"/>
        <w:tabs>
          <w:tab w:leader="none" w:pos="122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Loan Documents;</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45" w:lineRule="auto"/>
        <w:tabs>
          <w:tab w:leader="none" w:pos="122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7.03</w:t>
      </w:r>
      <w:r>
        <w:rPr>
          <w:rFonts w:ascii="Times New Roman" w:cs="Times New Roman" w:eastAsia="Times New Roman" w:hAnsi="Times New Roman"/>
          <w:sz w:val="20"/>
          <w:szCs w:val="20"/>
          <w:color w:val="auto"/>
        </w:rPr>
        <w:t xml:space="preserve"> and any refinancings, refundings, renewals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Indebtedness is not increased at the time of such refinancing, refunding, renewal or extension except by (i) an amount equal to a reasonable premium or other reasonable amount paid, and fees and expenses reasonably incurred, in connection with such refinancing, (ii) an amount equal to any existing commitments unutilized thereunder, and (iii) the amount of Indebtedness incurred pursuant to another subsection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and allocated by the Company for such purpose in accordance with the final sentence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 Indebtedness of any U.S. Loan Party to another U.S. Loan Party and Guarantees of any U.S. Loan Party in respect of Indebtedness otherwise permitted hereunder of another U.S. Loan Party; (ii) Indebtedness of any Restricted Subsidiary that is not a Loan Party to another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19" w:name="page120"/>
    <w:bookmarkEnd w:id="119"/>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 xml:space="preserve">Restricted Subsidiary that is not a Loan Party and Guarantees of any Restricted Subsidiary that is not a Loan Party in respect of Indebtedness otherwise permitted hereunder of another Restricted Subsidiary that is not a Loan Party; (iii) Indebtedness of a Restricted Subsidiary that is either not a Loan Party or is a Loan Party that has not Guaranteed the Obligations of the Company to the Company or any wholly-owned Restricted Subsidiary that is a Loan Party to the extent such Indebtedness is permitted by </w:t>
      </w:r>
      <w:r>
        <w:rPr>
          <w:rFonts w:ascii="Times New Roman" w:cs="Times New Roman" w:eastAsia="Times New Roman" w:hAnsi="Times New Roman"/>
          <w:sz w:val="20"/>
          <w:szCs w:val="20"/>
          <w:u w:val="single" w:color="auto"/>
          <w:color w:val="auto"/>
        </w:rPr>
        <w:t>Section 7.02(f)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7.02(i)</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left="80" w:right="20" w:firstLine="2"/>
        <w:spacing w:after="0" w:line="261" w:lineRule="auto"/>
        <w:tabs>
          <w:tab w:leader="none" w:pos="415"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owed by any Loan Party to any Restricted Subsidiary that is not a Loan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Indebtedness shall be subordinated to the Obligations in a manner reasonably satisfactory to the Administrative Agent); and (v) Indebtedness of the Netherlands Designated Borrower payable to U.S. Loan Parties incurred in respect of Investments permitted pursuant to </w:t>
      </w:r>
      <w:r>
        <w:rPr>
          <w:rFonts w:ascii="Times New Roman" w:cs="Times New Roman" w:eastAsia="Times New Roman" w:hAnsi="Times New Roman"/>
          <w:sz w:val="19"/>
          <w:szCs w:val="19"/>
          <w:u w:val="single" w:color="auto"/>
          <w:color w:val="auto"/>
        </w:rPr>
        <w:t>Section 7.02(k)</w:t>
      </w:r>
      <w:r>
        <w:rPr>
          <w:rFonts w:ascii="Times New Roman" w:cs="Times New Roman" w:eastAsia="Times New Roman" w:hAnsi="Times New Roman"/>
          <w:sz w:val="19"/>
          <w:szCs w:val="19"/>
          <w:color w:val="auto"/>
        </w:rPr>
        <w:t>;</w:t>
      </w:r>
    </w:p>
    <w:p>
      <w:pPr>
        <w:spacing w:after="0" w:line="169" w:lineRule="exact"/>
        <w:rPr>
          <w:rFonts w:ascii="Times New Roman" w:cs="Times New Roman" w:eastAsia="Times New Roman" w:hAnsi="Times New Roman"/>
          <w:sz w:val="19"/>
          <w:szCs w:val="19"/>
          <w:color w:val="auto"/>
        </w:rPr>
      </w:pPr>
    </w:p>
    <w:p>
      <w:pPr>
        <w:jc w:val="both"/>
        <w:ind w:left="80" w:firstLine="751"/>
        <w:spacing w:after="0" w:line="245"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Company or any Restricted Subsidiary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84" w:lineRule="exact"/>
        <w:rPr>
          <w:rFonts w:ascii="Times New Roman" w:cs="Times New Roman" w:eastAsia="Times New Roman" w:hAnsi="Times New Roman"/>
          <w:sz w:val="20"/>
          <w:szCs w:val="20"/>
          <w:color w:val="auto"/>
        </w:rPr>
      </w:pPr>
    </w:p>
    <w:p>
      <w:pPr>
        <w:jc w:val="both"/>
        <w:ind w:left="80" w:right="20" w:firstLine="751"/>
        <w:spacing w:after="0" w:line="249"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amount of all such Indebtedness, at any one time outstanding, when added to the aggregate amount of all outstanding Indebtedness permitted under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below, shall not exceed $10,000,000;</w:t>
      </w:r>
    </w:p>
    <w:p>
      <w:pPr>
        <w:spacing w:after="0" w:line="179"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in connection with Permitted Acquisitions (including existing Indebtedness of a Person acquired in connection with a Permitted Acquisition provided such Indebtedness was not incurred in anticipation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aggregate amount of all such Indebtedness, at any one time outstanding, when added to the aggregate amount of all outstanding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above (excluding Attributable Indebtedness of the type described in the second proviso of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above), shall not exceed $40,000,000;</w:t>
      </w:r>
    </w:p>
    <w:p>
      <w:pPr>
        <w:spacing w:after="0" w:line="184" w:lineRule="exact"/>
        <w:rPr>
          <w:rFonts w:ascii="Times New Roman" w:cs="Times New Roman" w:eastAsia="Times New Roman" w:hAnsi="Times New Roman"/>
          <w:sz w:val="20"/>
          <w:szCs w:val="20"/>
          <w:color w:val="auto"/>
        </w:rPr>
      </w:pPr>
    </w:p>
    <w:p>
      <w:pPr>
        <w:ind w:left="80" w:right="60" w:firstLine="751"/>
        <w:spacing w:after="0" w:line="269"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 and similar payments and obligations to make purchase price adjustments, indemnities and the like in connection with Acquisitions permitted hereby;</w:t>
      </w:r>
    </w:p>
    <w:p>
      <w:pPr>
        <w:spacing w:after="0" w:line="159" w:lineRule="exact"/>
        <w:rPr>
          <w:rFonts w:ascii="Times New Roman" w:cs="Times New Roman" w:eastAsia="Times New Roman" w:hAnsi="Times New Roman"/>
          <w:sz w:val="20"/>
          <w:szCs w:val="20"/>
          <w:color w:val="auto"/>
        </w:rPr>
      </w:pPr>
    </w:p>
    <w:p>
      <w:pPr>
        <w:ind w:left="80" w:firstLine="751"/>
        <w:spacing w:after="0" w:line="269"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Restricted Subsidiaries that are Foreign Subsidiaries and Guarantees by the Company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amount of all such Indebtedness, at any one time outstanding, shall not exceed $30,000,000;</w:t>
      </w:r>
    </w:p>
    <w:p>
      <w:pPr>
        <w:spacing w:after="0" w:line="159"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Permitted Standalone Letters of Credit;</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other letters of credit and bank guarantees supporting the operations of the Company or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face amount of all such letters of credit and bank guarantees shall not exceed $20,000,000 at any time;</w:t>
      </w:r>
    </w:p>
    <w:p>
      <w:pPr>
        <w:spacing w:after="0" w:line="174" w:lineRule="exact"/>
        <w:rPr>
          <w:rFonts w:ascii="Times New Roman" w:cs="Times New Roman" w:eastAsia="Times New Roman" w:hAnsi="Times New Roman"/>
          <w:sz w:val="20"/>
          <w:szCs w:val="20"/>
          <w:color w:val="auto"/>
        </w:rPr>
      </w:pPr>
    </w:p>
    <w:p>
      <w:pPr>
        <w:ind w:left="80" w:right="20" w:firstLine="751"/>
        <w:spacing w:after="0" w:line="269"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bid, performance or surety, appeal or similar bonds and completion guarantees, in each case incurred in the ordinary course of business;</w:t>
      </w:r>
    </w:p>
    <w:p>
      <w:pPr>
        <w:spacing w:after="0" w:line="159" w:lineRule="exact"/>
        <w:rPr>
          <w:rFonts w:ascii="Times New Roman" w:cs="Times New Roman" w:eastAsia="Times New Roman" w:hAnsi="Times New Roman"/>
          <w:sz w:val="20"/>
          <w:szCs w:val="20"/>
          <w:color w:val="auto"/>
        </w:rPr>
      </w:pPr>
    </w:p>
    <w:p>
      <w:pPr>
        <w:ind w:left="80" w:firstLine="751"/>
        <w:spacing w:after="0" w:line="269" w:lineRule="auto"/>
        <w:tabs>
          <w:tab w:leader="none" w:pos="1225"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pursuant to a Qualified Supply Chain Finance Program permitted pursuant to </w:t>
      </w:r>
      <w:r>
        <w:rPr>
          <w:rFonts w:ascii="Times New Roman" w:cs="Times New Roman" w:eastAsia="Times New Roman" w:hAnsi="Times New Roman"/>
          <w:sz w:val="20"/>
          <w:szCs w:val="20"/>
          <w:u w:val="single" w:color="auto"/>
          <w:color w:val="auto"/>
        </w:rPr>
        <w:t>Section 7.05(f)(ii)</w:t>
      </w:r>
      <w:r>
        <w:rPr>
          <w:rFonts w:ascii="Times New Roman" w:cs="Times New Roman" w:eastAsia="Times New Roman" w:hAnsi="Times New Roman"/>
          <w:sz w:val="20"/>
          <w:szCs w:val="20"/>
          <w:color w:val="auto"/>
        </w:rPr>
        <w:t xml:space="preserve"> (solely to the extent the sales of accounts receivable under such Qualified</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20" w:name="page121"/>
    <w:bookmarkEnd w:id="120"/>
    <w:p>
      <w:pPr>
        <w:ind w:left="380"/>
        <w:spacing w:after="0"/>
        <w:rPr>
          <w:sz w:val="20"/>
          <w:szCs w:val="20"/>
          <w:color w:val="auto"/>
        </w:rPr>
      </w:pPr>
      <w:r>
        <w:rPr>
          <w:rFonts w:ascii="Times New Roman" w:cs="Times New Roman" w:eastAsia="Times New Roman" w:hAnsi="Times New Roman"/>
          <w:sz w:val="20"/>
          <w:szCs w:val="20"/>
          <w:color w:val="auto"/>
        </w:rPr>
        <w:t>Supply Chain Finance Program are intended to be “true sales” but include precautionary financing provisions);</w:t>
      </w:r>
    </w:p>
    <w:p>
      <w:pPr>
        <w:spacing w:after="0" w:line="216" w:lineRule="exact"/>
        <w:rPr>
          <w:sz w:val="20"/>
          <w:szCs w:val="20"/>
          <w:color w:val="auto"/>
        </w:rPr>
      </w:pPr>
    </w:p>
    <w:p>
      <w:pPr>
        <w:ind w:left="1520" w:hanging="389"/>
        <w:spacing w:after="0"/>
        <w:tabs>
          <w:tab w:leader="none" w:pos="152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Cash Pooling Agreements or guarantees thereof by any Foreign Subsidiary;</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1"/>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in an aggregate principal amount not to exceed $15,000,000 at any time outstanding;</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56" w:lineRule="auto"/>
        <w:tabs>
          <w:tab w:leader="none" w:pos="1525"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Permitted Convertible Indebtedness in an aggregate principal amount not to exceed $450,000,000 at any time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at the time of the incurrence of such Indebtedness, no Default or Event of Default shall exist or would result from the incurrence of such Indebtedness; (ii) both immediately prior to and after giving effect to the incurrence of such Indebtedness the Company shall be in pro forma compliance with the financial covenants set forth in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(which, shall be certified in writing by the Company to the Administrative Agent in the event that any such incurrence of Indebtedness is equal to or greater than $50,000,000);</w:t>
      </w:r>
    </w:p>
    <w:p>
      <w:pPr>
        <w:spacing w:after="0" w:line="4" w:lineRule="exact"/>
        <w:rPr>
          <w:rFonts w:ascii="Times New Roman" w:cs="Times New Roman" w:eastAsia="Times New Roman" w:hAnsi="Times New Roman"/>
          <w:sz w:val="19"/>
          <w:szCs w:val="19"/>
          <w:color w:val="auto"/>
        </w:rPr>
      </w:pPr>
    </w:p>
    <w:p>
      <w:pPr>
        <w:jc w:val="both"/>
        <w:ind w:left="380" w:firstLine="2"/>
        <w:spacing w:after="0"/>
        <w:tabs>
          <w:tab w:leader="none" w:pos="77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does not mature, or require any principal amortization, mandatory prepayment, put right or sinking fund obligation prior to the date that is 91 days after the then latest scheduled maturity date of the Loans and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reasonable and customary prepayment, redemption, repurchase or defeasance obligations in connection with a change of control, asset sale or the exercise of remedies after an event of default shall not disqualify such Indebtedness from satisfying the requirements of this clause (iii) and (B) for purposes of determining whether Permitted Convertible Indebtedness meets the foregoing requirements, neither any settlement upon conversion of or exchange for such Permitted Convertible Indebtedness (whether in cash, stock or other property) nor any required redemption or repurchase thereof upon a “fundamental change” (as customarily defined for such Permitted Convertible Indebtedness) shall disqualify such Permitted Convertible Indebtedness from satisfying such requirements notwithstanding a possible occurrence prior to the then latest scheduled maturity date of the Loans and Commitments; and (iv) the terms of such Indebtedness reflect market terms (taken as a whole) at the time of issuance and (other than pricing, fees, rate floors, premiums and optional prepayment or redemption provisions, taken as a whole, are not materially more restrictive (as determined by the Company in good faith) on the Borrower and its Subsidiaries than the terms and conditions of this Agreement, taken as a whole; and</w:t>
      </w:r>
    </w:p>
    <w:p>
      <w:pPr>
        <w:spacing w:after="0" w:line="188" w:lineRule="exact"/>
        <w:rPr>
          <w:rFonts w:ascii="Times New Roman" w:cs="Times New Roman" w:eastAsia="Times New Roman" w:hAnsi="Times New Roman"/>
          <w:sz w:val="20"/>
          <w:szCs w:val="20"/>
          <w:color w:val="auto"/>
        </w:rPr>
      </w:pPr>
    </w:p>
    <w:p>
      <w:pPr>
        <w:jc w:val="both"/>
        <w:ind w:left="380" w:firstLine="751"/>
        <w:spacing w:after="0" w:line="263" w:lineRule="auto"/>
        <w:tabs>
          <w:tab w:leader="none" w:pos="1525" w:val="left"/>
        </w:tabs>
        <w:numPr>
          <w:ilvl w:val="1"/>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unsecured Indebtedness in an aggregate principal amount not to exceed $150,000,000 at any time outstanding;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at the time of the incurrence of such Indebtedness, no Default or Event of Default shall exist or would result from the incurrence of such Indebtedness and (ii) both immediately prior to and after giving effect to the incurrence of such Indebtedness the Company shall be in pro forma compliance with the financial covenants set forth in </w:t>
      </w:r>
      <w:r>
        <w:rPr>
          <w:rFonts w:ascii="Times New Roman" w:cs="Times New Roman" w:eastAsia="Times New Roman" w:hAnsi="Times New Roman"/>
          <w:sz w:val="19"/>
          <w:szCs w:val="19"/>
          <w:u w:val="single" w:color="auto"/>
          <w:color w:val="auto"/>
        </w:rPr>
        <w:t>Section 7.11</w:t>
      </w:r>
      <w:r>
        <w:rPr>
          <w:rFonts w:ascii="Times New Roman" w:cs="Times New Roman" w:eastAsia="Times New Roman" w:hAnsi="Times New Roman"/>
          <w:sz w:val="19"/>
          <w:szCs w:val="19"/>
          <w:color w:val="auto"/>
        </w:rPr>
        <w:t xml:space="preserve"> (which, shall be certified in writing by the Company to the Administrative Agent in the event that any such incurrence of Indebtedness is equal to or greater than $50,000,000).</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To the extent that the creation, incurrence or assumption of any Indebtedness could be attributable to more than one subsection of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the Company may allocate such Indebtedness to any one or more of such subsections and in no event shall the same portion of Indebtedness be deemed to utilize or be attributable to more than one item.</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7.04 Fundamental Changes. </w:t>
      </w:r>
      <w:r>
        <w:rPr>
          <w:rFonts w:ascii="Times New Roman" w:cs="Times New Roman" w:eastAsia="Times New Roman" w:hAnsi="Times New Roman"/>
          <w:sz w:val="20"/>
          <w:szCs w:val="20"/>
          <w:color w:val="auto"/>
        </w:rPr>
        <w:t>Merge, dissolve, liquidate, consolidate with or into another Person, or Dispose of (whether in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 or in a series of transactions) all or substantially all of its assets (whether now owned or hereafter acquired) to or in favor of any Person (including, in each case, pursuant to a Division), except that, so long as no Event of Default exists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1" w:name="page122"/>
    <w:bookmarkEnd w:id="121"/>
    <w:p>
      <w:pPr>
        <w:jc w:val="both"/>
        <w:ind w:left="80" w:firstLine="751"/>
        <w:spacing w:after="0" w:line="245" w:lineRule="auto"/>
        <w:tabs>
          <w:tab w:leader="none" w:pos="122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merge with (i)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the continuing or surviving Person, or (ii) any one or more other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when any Restricted Subsidiary that is a Loan Party is merging with another Restricted Subsidiary that is not a Loan Party, the Restricted Subsidiary that is a Loan Party shall be the continuing or surviving Person and (ii) when any Restricted Subsidiary that is a Loan Party that has Guaranteed the Obligations of the Company is merging with another Restricted Subsidiary, the Restricted Subsidiary that is a Loan Party that has Guaranteed the Obligations of the Company shall be the continuing or surviving Person;</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Dispose of all or substantially all of its assets (upon voluntary liquidation or otherwise) to the Company or to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transferor in such a transaction is a Loan Party, then the transferee must either be the Company or another Loan Party and (ii) if the transferor of such property is a Loan Party that has Guaranteed the Obligations of the Company, the transferee thereof must either be the Company or a Loan Party that has Guaranteed the Obligations of the Company; and</w:t>
      </w:r>
    </w:p>
    <w:p>
      <w:pPr>
        <w:spacing w:after="0" w:line="184"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2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acquisition permitted under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any Restricted Subsidiary may merge into or consolidate with any other Person or permit any other Person to merge into or consolidate with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each case, immediately after giving effect thereto (i) the Person surviving such merger shall be a wholly-owned Restricted Subsidiary and (ii) in the case of any such merger to which any Loan Party (other than the Company) is a party, such Loan Party is the surviving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 xml:space="preserve">7.05 Dispositions. </w:t>
      </w:r>
      <w:r>
        <w:rPr>
          <w:rFonts w:ascii="Times New Roman" w:cs="Times New Roman" w:eastAsia="Times New Roman" w:hAnsi="Times New Roman"/>
          <w:sz w:val="20"/>
          <w:szCs w:val="20"/>
          <w:color w:val="auto"/>
        </w:rPr>
        <w:t>Make any Disposition, except:</w:t>
      </w:r>
    </w:p>
    <w:p>
      <w:pPr>
        <w:spacing w:after="0" w:line="220" w:lineRule="exact"/>
        <w:rPr>
          <w:sz w:val="20"/>
          <w:szCs w:val="20"/>
          <w:color w:val="auto"/>
        </w:rPr>
      </w:pPr>
    </w:p>
    <w:p>
      <w:pPr>
        <w:ind w:left="80" w:right="20" w:firstLine="751"/>
        <w:spacing w:after="0" w:line="269" w:lineRule="auto"/>
        <w:tabs>
          <w:tab w:leader="none" w:pos="1225"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obsolete or worn out assets or assets no longer used or useful to the business in the reasonable business judgment of the Company, whether now owned or hereafter acquired, in the ordinary course of business;</w:t>
      </w:r>
    </w:p>
    <w:p>
      <w:pPr>
        <w:spacing w:after="0" w:line="159"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in the ordinary course of business;</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64" w:lineRule="auto"/>
        <w:tabs>
          <w:tab w:leader="none" w:pos="1225" w:val="left"/>
        </w:tabs>
        <w:numPr>
          <w:ilvl w:val="1"/>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of property by any Restricted Subsidiary to the Company or to a wholly-owned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the transferor of such property is a Loan Party, the transferee thereof must either be the Company or a Loan Party and</w:t>
      </w:r>
    </w:p>
    <w:p>
      <w:pPr>
        <w:ind w:left="80" w:firstLine="2"/>
        <w:spacing w:after="0" w:line="246" w:lineRule="auto"/>
        <w:tabs>
          <w:tab w:leader="none" w:pos="38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transferor of such property is a Loan Party that has Guaranteed the Obligations of the Company, the transferee thereof must either be the Company or a Loan Party that has Guaranteed the Obligations of the Company;</w:t>
      </w:r>
    </w:p>
    <w:p>
      <w:pPr>
        <w:spacing w:after="0" w:line="181" w:lineRule="exact"/>
        <w:rPr>
          <w:rFonts w:ascii="Times New Roman" w:cs="Times New Roman" w:eastAsia="Times New Roman" w:hAnsi="Times New Roman"/>
          <w:sz w:val="20"/>
          <w:szCs w:val="20"/>
          <w:color w:val="auto"/>
        </w:rPr>
      </w:pPr>
    </w:p>
    <w:p>
      <w:pPr>
        <w:ind w:left="1220" w:hanging="389"/>
        <w:spacing w:after="0"/>
        <w:tabs>
          <w:tab w:leader="none" w:pos="122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of accounts receivable that are at least 180 days past due or are owing from obligors that are the subject of proceedings of the types described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and (ii) Dispositions of accounts receivable (and related assets customarily included in such transactions) in connection with a Qualified Supply Chain Finance Program;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the aggregate amount of accounts receivable sold, assigned, conveyed or otherwise transferred pursuant to the foregoing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exceed $100,000,000 at any one time outstanding;</w:t>
      </w:r>
    </w:p>
    <w:p>
      <w:pPr>
        <w:spacing w:after="0" w:line="184" w:lineRule="exact"/>
        <w:rPr>
          <w:rFonts w:ascii="Times New Roman" w:cs="Times New Roman" w:eastAsia="Times New Roman" w:hAnsi="Times New Roman"/>
          <w:sz w:val="20"/>
          <w:szCs w:val="20"/>
          <w:color w:val="auto"/>
        </w:rPr>
      </w:pPr>
    </w:p>
    <w:p>
      <w:pPr>
        <w:ind w:left="80" w:right="20" w:firstLine="751"/>
        <w:spacing w:after="0" w:line="269" w:lineRule="auto"/>
        <w:tabs>
          <w:tab w:leader="none" w:pos="1225"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non-core assets acquired in a Permitted Acquisition by the Company or any of its Restricted Subsidiaries within 18 months of such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22" w:name="page123"/>
    <w:bookmarkEnd w:id="122"/>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 xml:space="preserve">aggregate book value of all property Disposed of in reliance on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from the Closing Date through the Termination Date shall not exceed the greater of $10,000,000 and 10% of Consolidated EBITDA for the period of four consecutive fiscal quarters most recently ended for which financial information is available;</w:t>
      </w:r>
    </w:p>
    <w:p>
      <w:pPr>
        <w:spacing w:after="0" w:line="174" w:lineRule="exact"/>
        <w:rPr>
          <w:sz w:val="20"/>
          <w:szCs w:val="20"/>
          <w:color w:val="auto"/>
        </w:rPr>
      </w:pPr>
    </w:p>
    <w:p>
      <w:pPr>
        <w:jc w:val="both"/>
        <w:ind w:left="380" w:firstLine="751"/>
        <w:spacing w:after="0" w:line="266" w:lineRule="auto"/>
        <w:tabs>
          <w:tab w:leader="none" w:pos="1525"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sale of real estate located in Utah and the improvements, fixtures and personal property related thereto for up to approximately $8,000,000, (ii) the sale of real estate located in Korea and the improvements, fixtures and personal property related thereto for up to approximately $6,000,000 and (iii) the sale of an existing fleet of vehicles for up to approximately $1,000,000, in each case on the same or substantially consistent terms and conditions as disclosed by the Company to the Lenders prior to the Closing Date;</w:t>
      </w:r>
    </w:p>
    <w:p>
      <w:pPr>
        <w:spacing w:after="0" w:line="165" w:lineRule="exact"/>
        <w:rPr>
          <w:rFonts w:ascii="Times New Roman" w:cs="Times New Roman" w:eastAsia="Times New Roman" w:hAnsi="Times New Roman"/>
          <w:sz w:val="19"/>
          <w:szCs w:val="19"/>
          <w:color w:val="auto"/>
        </w:rPr>
      </w:pPr>
    </w:p>
    <w:p>
      <w:pPr>
        <w:jc w:val="both"/>
        <w:ind w:left="380" w:firstLine="751"/>
        <w:spacing w:after="0" w:line="246" w:lineRule="auto"/>
        <w:tabs>
          <w:tab w:leader="none" w:pos="152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Disclosed Asset Sales;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Disclosed Asset Sale, no Event of Default shall exist or would result from such Disclosed Asset Sale, (ii) each Disclosed Asset Sale shall be for at least 75% cash consideration and (iii) both immediately prior to and after giving effect to such Disclosed Asset Sale the Company shall be in pro forma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which, in each case, shall be certified in writing by the Company to the Administrative Agent prior to such Disclosed Asset Sale; and</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by the Company and its Restricted Subsidiaries not otherwise permitted under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Disposition, no Event of Default shall exist or would result from such Disposition and (ii) the aggregate book value of all property Disposed of in reliance on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from the Closing Date through the Termination Date shall not exceed the greater of $35,000,000 and 25% of Consolidated EBITDA for the period in which such Disposition occurs;</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any Disposition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above shall be for fair market value and, in the case of Dispositions pursuant to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above, shall be for at least 75% cash consideration.</w:t>
      </w:r>
    </w:p>
    <w:p>
      <w:pPr>
        <w:spacing w:after="0" w:line="15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7.06 Restricted Payments. </w:t>
      </w:r>
      <w:r>
        <w:rPr>
          <w:rFonts w:ascii="Times New Roman" w:cs="Times New Roman" w:eastAsia="Times New Roman" w:hAnsi="Times New Roman"/>
          <w:sz w:val="20"/>
          <w:szCs w:val="20"/>
          <w:color w:val="auto"/>
        </w:rPr>
        <w:t>Declare or make, directly or indirectly, any Restricted Payment, or incur any obligation (contingent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to do so, except that:</w:t>
      </w:r>
    </w:p>
    <w:p>
      <w:pPr>
        <w:spacing w:after="0" w:line="156" w:lineRule="exact"/>
        <w:rPr>
          <w:sz w:val="20"/>
          <w:szCs w:val="20"/>
          <w:color w:val="auto"/>
        </w:rPr>
      </w:pPr>
    </w:p>
    <w:p>
      <w:pPr>
        <w:jc w:val="both"/>
        <w:ind w:left="380" w:firstLine="751"/>
        <w:spacing w:after="0" w:line="254" w:lineRule="auto"/>
        <w:tabs>
          <w:tab w:leader="none" w:pos="152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Restricted Subsidiary may make Restricted Payments to the Company, the Subsidiary Guarantors and any other Person that owns an Equity Interest in such Restricted Subsidiary, ratably according to their respective holdings of the type of Equity Interest in respect of which such Restricted Payment is being made;</w:t>
      </w:r>
    </w:p>
    <w:p>
      <w:pPr>
        <w:spacing w:after="0" w:line="174"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Restricted Subsidiary may declare and make dividend payments or other distributions payable solely in the common stock or other common Equity Interests of such Person;</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Restricted Subsidiary may purchase, redeem or otherwise acquire common Equity Interests issued by it with the proceeds received from the substantially concurrent issue of new shares of its common stock or other common Equity Interests;</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Event of Default exists or would result therefrom and after giving effect thereto the Company is in pro forma compliance with the financial covenants set forth in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(calculated as of the last day of the four fiscal quarter period most recently ended for which financial information is available, but, in the case of the Consolidated Fixed Charge Coverage Ratio, ignoring all cash dividends, distributions and redemptions made during such period and instead assuming that the particular cash dividend, distribution or redemption and all other cash dividends, distributions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3" w:name="page124"/>
    <w:bookmarkEnd w:id="123"/>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 xml:space="preserve">redemptions made pursuant to this clause (d) during the trailing 365-day period immediately preceding the day on which such cash dividend, distribution or redemption is proposed to be made were made on the last day of such four fiscal quarter period), the Company may declare and pay cash dividends and distributions to the holders of its Equity Interests or declare and make redemptions of its Equity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Section 7.06(d)</w:t>
      </w:r>
      <w:r>
        <w:rPr>
          <w:rFonts w:ascii="Times New Roman" w:cs="Times New Roman" w:eastAsia="Times New Roman" w:hAnsi="Times New Roman"/>
          <w:sz w:val="20"/>
          <w:szCs w:val="20"/>
          <w:color w:val="auto"/>
        </w:rPr>
        <w:t xml:space="preserve"> shall operate to prevent the making of a previously declared Restricted Payment by the Company so long as (i) at the declaration date, such Restricted Payment was permitted by the foregoing and (ii) such Restricted Payment is made within the earlier of (A) 60 days following such declaration date and (B) any date under Applicable Law on which such Restricted Payment must be made; and</w:t>
      </w:r>
    </w:p>
    <w:p>
      <w:pPr>
        <w:spacing w:after="0" w:line="186" w:lineRule="exact"/>
        <w:rPr>
          <w:sz w:val="20"/>
          <w:szCs w:val="20"/>
          <w:color w:val="auto"/>
        </w:rPr>
      </w:pPr>
    </w:p>
    <w:p>
      <w:pPr>
        <w:ind w:left="380" w:right="20" w:firstLine="751"/>
        <w:spacing w:after="0" w:line="269" w:lineRule="auto"/>
        <w:tabs>
          <w:tab w:leader="none" w:pos="1525"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purchase by the Company of its common Equity Interests contemporaneously and otherwise in connection with the incurrence of Permitted Convertible Indebtedness.</w:t>
      </w:r>
    </w:p>
    <w:p>
      <w:pPr>
        <w:spacing w:after="0" w:line="15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7.07 Change in Nature of Business. </w:t>
      </w:r>
      <w:r>
        <w:rPr>
          <w:rFonts w:ascii="Times New Roman" w:cs="Times New Roman" w:eastAsia="Times New Roman" w:hAnsi="Times New Roman"/>
          <w:sz w:val="20"/>
          <w:szCs w:val="20"/>
          <w:color w:val="auto"/>
        </w:rPr>
        <w:t>Engage in any material line of business substantially different from those lines of business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conducted by the Company and its Restricted Subsidiaries on the Closing Date or any business substantially related or incidental thereto or reasonable extensions thereof.</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7.08 Transactions with Affiliates. </w:t>
      </w:r>
      <w:r>
        <w:rPr>
          <w:rFonts w:ascii="Times New Roman" w:cs="Times New Roman" w:eastAsia="Times New Roman" w:hAnsi="Times New Roman"/>
          <w:sz w:val="20"/>
          <w:szCs w:val="20"/>
          <w:color w:val="auto"/>
        </w:rPr>
        <w:t>Enter into any transaction of any kind with any Affiliate of the Company, whether or not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ordinary 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 shall not apply to transactions between or among the Company and any Subsidiary Guarantor or Designated Borrower, between and among any Designated Borrowers or Subsidiary Guarantors or between and among any Foreign Subsidiaries with respect to any Cash Pooling Agreements.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7.09 Burdensome Agreements. </w:t>
      </w:r>
      <w:r>
        <w:rPr>
          <w:rFonts w:ascii="Times New Roman" w:cs="Times New Roman" w:eastAsia="Times New Roman" w:hAnsi="Times New Roman"/>
          <w:sz w:val="20"/>
          <w:szCs w:val="20"/>
          <w:color w:val="auto"/>
        </w:rPr>
        <w:t>Enter into or permit to exist any Contractual Obligation (other than this Agreement or any other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Document) that:</w:t>
      </w:r>
    </w:p>
    <w:p>
      <w:pPr>
        <w:spacing w:after="0" w:line="194" w:lineRule="exact"/>
        <w:rPr>
          <w:sz w:val="20"/>
          <w:szCs w:val="20"/>
          <w:color w:val="auto"/>
        </w:rPr>
      </w:pPr>
    </w:p>
    <w:p>
      <w:pPr>
        <w:jc w:val="both"/>
        <w:ind w:left="380" w:firstLine="751"/>
        <w:spacing w:after="0" w:line="241" w:lineRule="auto"/>
        <w:tabs>
          <w:tab w:leader="none" w:pos="152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limits the ability (i) of any Restricted Subsidiary to make Restricted Payments to the Company or any Restricted Subsidiary or to otherwise transfer property to the Company or any Restricted Subsidiary that is not a Foreign Subsidiary, (ii) of any Restricted Subsidiary to Guarantee the Indebtedness of the Company or (iii) of the Company or any Restricted Subsidiary to create, incur, assume or suffer to exist Liens on property of such Person, in each case, other than (A) customary restrictions and conditions contained in agreements relating to the sale of all or a substantial part of the Equity Interests or assets of such Person pending such sale (provided such restrictions and conditions apply only to such Person pending such sale and such sale is permitted hereunder), (B) customary restrictions in purchase agreements related to a Disposition of property permitted hereunder that limit the transfer of such property pending the consummation of such Disposition, (C) customary restrictions and conditions imposed by any agreement relating to purchase money Indebtedness or Capitalized Leases permitted hereunder, but only to the extent such restrictions and conditions apply only to the assets secured pursuant to such Indebtedness or Capitalized Lease, (D) customary restrictions and conditions contained in leases and other contracts restricting the assignment thereof, (E) customary provisions in joint venture agreements and other similar agreements applicable to joint ventures permitted hereunder and applicable solely to such joint venture that are entered into in the ordinary course of business but not entered into in contemplation hereof, (F) customary restrictions and conditions imposed on participants under Cash Pooling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(1) do not hinder the Loan Parties’ ability to satisfy their Obligations under the Loan Documents (including, without limitation, the requirements set forth in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 (2) relate only to the cash, Cash Equivalents, deposit accounts and similar items of Foreign Subsidiaries securing obligations under any Cash Pooling Agreements, (G) restrictions or conditions on a Restricted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4" w:name="page125"/>
    <w:bookmarkEnd w:id="124"/>
    <w:p>
      <w:pPr>
        <w:jc w:val="both"/>
        <w:ind w:left="80"/>
        <w:spacing w:after="0" w:line="244" w:lineRule="auto"/>
        <w:rPr>
          <w:sz w:val="20"/>
          <w:szCs w:val="20"/>
          <w:color w:val="auto"/>
        </w:rPr>
      </w:pPr>
      <w:r>
        <w:rPr>
          <w:rFonts w:ascii="Times New Roman" w:cs="Times New Roman" w:eastAsia="Times New Roman" w:hAnsi="Times New Roman"/>
          <w:sz w:val="20"/>
          <w:szCs w:val="20"/>
          <w:color w:val="auto"/>
        </w:rPr>
        <w:t xml:space="preserve">Subsidiary existing prior to such Restricted Subsidiary becoming a Subsidiary of the Company, so long as such restriction or condition only applies to such Restricted Subsidiary and was not entered into in contemplation of such Person becoming a Subsidiary, (H) imposed by any agreement related to Indebtedness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to the extent such restrictions (1) in the Company’s reasonable judgment, are not more restrictive, taken as a whole, than the restrictions contained herein and (2) do not hinder the Loan Parties ability to satisfy their Obligations under the Loan Documents (including, without limitation, the requirements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and (I) restrictions on cash or other deposits imposed by customers under contracts entered into in the ordinary course of business; or</w:t>
      </w:r>
    </w:p>
    <w:p>
      <w:pPr>
        <w:spacing w:after="0" w:line="186" w:lineRule="exact"/>
        <w:rPr>
          <w:sz w:val="20"/>
          <w:szCs w:val="20"/>
          <w:color w:val="auto"/>
        </w:rPr>
      </w:pPr>
    </w:p>
    <w:p>
      <w:pPr>
        <w:ind w:left="840"/>
        <w:spacing w:after="0"/>
        <w:tabs>
          <w:tab w:leader="none" w:pos="12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requires the grant of a Lien to secure an obligation of such Person if a Lien is granted to secure another obligation of such</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Person.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7.10 Use of Proceeds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80" w:right="20" w:firstLine="751"/>
        <w:spacing w:after="0" w:line="254" w:lineRule="auto"/>
        <w:tabs>
          <w:tab w:leader="none" w:pos="122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46" w:lineRule="auto"/>
        <w:tabs>
          <w:tab w:leader="none" w:pos="122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Arrangers, the Administrative Agent, the L/C Issuers, the Swing Line Lender, or otherwise) of Sanctions.</w:t>
      </w:r>
    </w:p>
    <w:p>
      <w:pPr>
        <w:spacing w:after="0" w:line="184" w:lineRule="exact"/>
        <w:rPr>
          <w:rFonts w:ascii="Times New Roman" w:cs="Times New Roman" w:eastAsia="Times New Roman" w:hAnsi="Times New Roman"/>
          <w:sz w:val="20"/>
          <w:szCs w:val="20"/>
          <w:color w:val="auto"/>
        </w:rPr>
      </w:pPr>
    </w:p>
    <w:p>
      <w:pPr>
        <w:ind w:left="80" w:right="20" w:firstLine="751"/>
        <w:spacing w:after="0" w:line="269" w:lineRule="auto"/>
        <w:tabs>
          <w:tab w:leader="none" w:pos="122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b w:val="1"/>
          <w:bCs w:val="1"/>
          <w:color w:val="auto"/>
        </w:rPr>
        <w:t>7.11 Financial Covenants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80" w:right="20" w:firstLine="751"/>
        <w:spacing w:after="0" w:line="269" w:lineRule="auto"/>
        <w:tabs>
          <w:tab w:leader="none" w:pos="122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Fixed Charge Coverage Ratio</w:t>
      </w:r>
      <w:r>
        <w:rPr>
          <w:rFonts w:ascii="Times New Roman" w:cs="Times New Roman" w:eastAsia="Times New Roman" w:hAnsi="Times New Roman"/>
          <w:sz w:val="20"/>
          <w:szCs w:val="20"/>
          <w:color w:val="auto"/>
        </w:rPr>
        <w:t>. Permit the Consolidated Fixed Charge Coverage Ratio as of the last day of any fiscal quarter of the Company (commencing with the fiscal quarter ending December 31, 2025) to be less than 1.25 to 1.00.</w:t>
      </w:r>
    </w:p>
    <w:p>
      <w:pPr>
        <w:spacing w:after="0" w:line="159"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Net Leverage Ratio</w:t>
      </w:r>
      <w:r>
        <w:rPr>
          <w:rFonts w:ascii="Times New Roman" w:cs="Times New Roman" w:eastAsia="Times New Roman" w:hAnsi="Times New Roman"/>
          <w:sz w:val="20"/>
          <w:szCs w:val="20"/>
          <w:color w:val="auto"/>
        </w:rPr>
        <w:t xml:space="preserve">. Permit the Consolidated Net Leverage Ratio as of the last day of any fiscal quarter of the Company (commencing with the fiscal quarter ending December 31, 2025) to be greater than 4.00 to 1.00 (subject to adjustment as set forth in </w:t>
      </w:r>
      <w:r>
        <w:rPr>
          <w:rFonts w:ascii="Times New Roman" w:cs="Times New Roman" w:eastAsia="Times New Roman" w:hAnsi="Times New Roman"/>
          <w:sz w:val="20"/>
          <w:szCs w:val="20"/>
          <w:u w:val="single" w:color="auto"/>
          <w:color w:val="auto"/>
        </w:rPr>
        <w:t>Section 7.11(d)</w:t>
      </w:r>
      <w:r>
        <w:rPr>
          <w:rFonts w:ascii="Times New Roman" w:cs="Times New Roman" w:eastAsia="Times New Roman" w:hAnsi="Times New Roman"/>
          <w:sz w:val="20"/>
          <w:szCs w:val="20"/>
          <w:color w:val="auto"/>
        </w:rPr>
        <w:t xml:space="preserve"> in connection with an Elevated Ratio Period).</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54" w:lineRule="auto"/>
        <w:tabs>
          <w:tab w:leader="none" w:pos="1225"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Secured Net Leverage Ratio</w:t>
      </w:r>
      <w:r>
        <w:rPr>
          <w:rFonts w:ascii="Times New Roman" w:cs="Times New Roman" w:eastAsia="Times New Roman" w:hAnsi="Times New Roman"/>
          <w:sz w:val="20"/>
          <w:szCs w:val="20"/>
          <w:color w:val="auto"/>
        </w:rPr>
        <w:t xml:space="preserve">. Permit the Consolidated Secured Net Leverage Ratio as of the last day of any fiscal quarter of the Company (commencing with the fiscal quarter ending December 31, 2025) to be greater than 3.50 to 1.00 (subject to adjustment as set forth in </w:t>
      </w:r>
      <w:r>
        <w:rPr>
          <w:rFonts w:ascii="Times New Roman" w:cs="Times New Roman" w:eastAsia="Times New Roman" w:hAnsi="Times New Roman"/>
          <w:sz w:val="20"/>
          <w:szCs w:val="20"/>
          <w:u w:val="single" w:color="auto"/>
          <w:color w:val="auto"/>
        </w:rPr>
        <w:t>Section 7.11(d)</w:t>
      </w:r>
      <w:r>
        <w:rPr>
          <w:rFonts w:ascii="Times New Roman" w:cs="Times New Roman" w:eastAsia="Times New Roman" w:hAnsi="Times New Roman"/>
          <w:sz w:val="20"/>
          <w:szCs w:val="20"/>
          <w:color w:val="auto"/>
        </w:rPr>
        <w:t xml:space="preserve"> in connection with an Elevated Ratio Period).</w:t>
      </w:r>
    </w:p>
    <w:p>
      <w:pPr>
        <w:spacing w:after="0" w:line="174"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52"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Elevated Ratio Period</w:t>
      </w:r>
      <w:r>
        <w:rPr>
          <w:rFonts w:ascii="Times New Roman" w:cs="Times New Roman" w:eastAsia="Times New Roman" w:hAnsi="Times New Roman"/>
          <w:sz w:val="20"/>
          <w:szCs w:val="20"/>
          <w:color w:val="auto"/>
        </w:rPr>
        <w:t>. Notwithstanding the foregoing, if Permitted Acquisitions involving aggregate consideration of $40,000,000 or more are consummated during any contiguous 90-day period ending after the Closing Date, at the request of the Company (which shall be made on or prior to the date of consummation of the Permitted Acquisition resulting in the aggregate consideration for all Permitted Acquisitions consummated during such contiguous 90-day period equaling or exceeding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25" w:name="page126"/>
    <w:bookmarkEnd w:id="125"/>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$40,000,000, such Permitted Acquisition, the “</w:t>
      </w:r>
      <w:r>
        <w:rPr>
          <w:rFonts w:ascii="Times New Roman" w:cs="Times New Roman" w:eastAsia="Times New Roman" w:hAnsi="Times New Roman"/>
          <w:sz w:val="20"/>
          <w:szCs w:val="20"/>
          <w:u w:val="single" w:color="auto"/>
          <w:color w:val="auto"/>
        </w:rPr>
        <w:t>Trigger Acquisition</w:t>
      </w:r>
      <w:r>
        <w:rPr>
          <w:rFonts w:ascii="Times New Roman" w:cs="Times New Roman" w:eastAsia="Times New Roman" w:hAnsi="Times New Roman"/>
          <w:sz w:val="20"/>
          <w:szCs w:val="20"/>
          <w:color w:val="auto"/>
        </w:rPr>
        <w:t>”), the maximum permitted Consolidated Net Leverage Ratio and (subject to the proviso below) Consolidated Secured Net Leverage Ratio shall be increased to 4.50 to 1.00 (in the case of the Consolidated Net Leverage Ratio) and (subject to the proviso below) 4.00 to 1.00 (in the case of the Consolidated Secured Net Leverage Ratio) during the fiscal quarter in which the Trigger Acquisition is consummated and the subsequent three fiscal quarters (such four fiscal quarters, an “</w:t>
      </w:r>
      <w:r>
        <w:rPr>
          <w:rFonts w:ascii="Times New Roman" w:cs="Times New Roman" w:eastAsia="Times New Roman" w:hAnsi="Times New Roman"/>
          <w:sz w:val="20"/>
          <w:szCs w:val="20"/>
          <w:u w:val="single" w:color="auto"/>
          <w:color w:val="auto"/>
        </w:rPr>
        <w:t>Elevated Ratio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(i) there shall be at least one full fiscal quarter between Elevated Ratio Periods during which the Consolidated Net Leverage Ratio and the Consolidated Secured Net Leverage Ratio is not in excess of 4.00 to 1.00 or 3.50 to 1.00, as applicable, as of the last day thereof, (ii) the Company may in its discretion, by written notice to the Administrative Agent, elect to end an Elevated Ratio Period early and (iii) such increase shall apply solely with respect to compliance with the maintenance financial covenants and any incurrence tests for purposes of the definition of Permitted Acquisition and any incurrence test with respect to any Indebtedness used to finance a Permitted Acquisition and shall not apply to any other incurrence test set forth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(i) the Elevated Ratio Period with respect to the Consolidated Secured Net Leverage Ratio shall only be given effect in the event that the Permitted Acquisitions are financed via secured Indebtedness in an aggregate principal amount of no less than $40,000,000 and (ii) in the case of a Limited Condition Acquisition that would result in an Elevated Ratio Period, an Elevated Ratio Period shall be deemed to be in effect solely for purposes of determining compliance on a pro forma basis with any incurrence tests with respect to </w:t>
      </w:r>
      <w:r>
        <w:rPr>
          <w:rFonts w:ascii="Times New Roman" w:cs="Times New Roman" w:eastAsia="Times New Roman" w:hAnsi="Times New Roman"/>
          <w:sz w:val="20"/>
          <w:szCs w:val="20"/>
          <w:u w:val="single" w:color="auto"/>
          <w:color w:val="auto"/>
        </w:rPr>
        <w:t>Section 7.11(b)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for purposes of the definition of Permitted Acquisition and any incurrence test with respect to any Indebtedness used to finance a Permitted Acquisition as of the last day of the most recently ended fiscal quarter for which financial information is available prior to the LCA Test Date.</w:t>
      </w:r>
    </w:p>
    <w:p>
      <w:pPr>
        <w:spacing w:after="0" w:line="188"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7.12 Amendment or Modification of Organization Documents. </w:t>
      </w:r>
      <w:r>
        <w:rPr>
          <w:rFonts w:ascii="Times New Roman" w:cs="Times New Roman" w:eastAsia="Times New Roman" w:hAnsi="Times New Roman"/>
          <w:sz w:val="20"/>
          <w:szCs w:val="20"/>
          <w:color w:val="auto"/>
        </w:rPr>
        <w:t>Amend any of its Organization Documents in any manner that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and adverse to the interests of any Secured Party.</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7.13 Accounting Changes. </w:t>
      </w:r>
      <w:r>
        <w:rPr>
          <w:rFonts w:ascii="Times New Roman" w:cs="Times New Roman" w:eastAsia="Times New Roman" w:hAnsi="Times New Roman"/>
          <w:sz w:val="20"/>
          <w:szCs w:val="20"/>
          <w:color w:val="auto"/>
        </w:rPr>
        <w:t>Make any material change in (a) accounting policies or reporting practices, except as required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GAAP, or (b) fiscal year, except that any Subsidiary can conform its fiscal year to that of the Company.</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7.14 Payments and Modifications of Permitted Convertible Indebtedness.</w:t>
      </w:r>
    </w:p>
    <w:p>
      <w:pPr>
        <w:spacing w:after="0" w:line="220" w:lineRule="exact"/>
        <w:rPr>
          <w:sz w:val="20"/>
          <w:szCs w:val="20"/>
          <w:color w:val="auto"/>
        </w:rPr>
      </w:pPr>
    </w:p>
    <w:p>
      <w:pPr>
        <w:jc w:val="both"/>
        <w:ind w:left="380" w:firstLine="751"/>
        <w:spacing w:after="0" w:line="254" w:lineRule="auto"/>
        <w:tabs>
          <w:tab w:leader="none" w:pos="152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modify, waive or supplement (or permit the modification, amendment, waiver or supplement of) any of the terms or provisions of any Permitted Convertible Indebtedness in any respect which would materially and adversely affect the rights or interests of the Administrative Agent and Lenders hereunder.</w:t>
      </w:r>
    </w:p>
    <w:p>
      <w:pPr>
        <w:spacing w:after="0" w:line="174" w:lineRule="exact"/>
        <w:rPr>
          <w:rFonts w:ascii="Times New Roman" w:cs="Times New Roman" w:eastAsia="Times New Roman" w:hAnsi="Times New Roman"/>
          <w:sz w:val="20"/>
          <w:szCs w:val="20"/>
          <w:color w:val="auto"/>
        </w:rPr>
      </w:pPr>
    </w:p>
    <w:p>
      <w:pPr>
        <w:jc w:val="both"/>
        <w:ind w:left="380" w:right="20" w:firstLine="751"/>
        <w:spacing w:after="0" w:line="249" w:lineRule="auto"/>
        <w:tabs>
          <w:tab w:leader="none" w:pos="152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 repay, redeem, purchase, defease or acquire for value (including (x) by way of depositing with any trustee with respect thereto money or securities before due for the purpose of paying when due and (y) at the maturity thereof), cancel, forgive, make (directly or indirectly) any distribution (whether in cash, securities or other property) in respect of, or otherwise satisfy prior to the scheduled maturity date thereof, any Permitted Convertible Indebtedness, except:</w:t>
      </w:r>
    </w:p>
    <w:p>
      <w:pPr>
        <w:spacing w:after="0" w:line="179"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refinancing thereof as permitted by </w:t>
      </w:r>
      <w:r>
        <w:rPr>
          <w:rFonts w:ascii="Times New Roman" w:cs="Times New Roman" w:eastAsia="Times New Roman" w:hAnsi="Times New Roman"/>
          <w:sz w:val="20"/>
          <w:szCs w:val="20"/>
          <w:u w:val="single" w:color="auto"/>
          <w:color w:val="auto"/>
        </w:rPr>
        <w:t>Section 7.03(o)</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interest, expenses and indemnities in respect thereof; and</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payment upon maturity (or otherwise required pursuant to customary prepayment, redemption, repurchase or defeasance obligations in connection with a change of control, fundamental change or asset sale) of any Permitted Convertible Indebtedness, and (B) (1) the conversion or exchange of any Permitted Convertible Indebtedness in accordance with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6" w:name="page127"/>
    <w:bookmarkEnd w:id="126"/>
    <w:p>
      <w:pPr>
        <w:jc w:val="both"/>
        <w:ind w:left="1140"/>
        <w:spacing w:after="0" w:line="243" w:lineRule="auto"/>
        <w:rPr>
          <w:sz w:val="20"/>
          <w:szCs w:val="20"/>
          <w:color w:val="auto"/>
        </w:rPr>
      </w:pPr>
      <w:r>
        <w:rPr>
          <w:rFonts w:ascii="Times New Roman" w:cs="Times New Roman" w:eastAsia="Times New Roman" w:hAnsi="Times New Roman"/>
          <w:sz w:val="20"/>
          <w:szCs w:val="20"/>
          <w:color w:val="auto"/>
        </w:rPr>
        <w:t>its terms into or for shares of Qualified Equity Interests of the Company and the making of a payment of cash in lieu of fractional shares of the Company’s Qualified Equity Interests deliverable upon any such conversion or exchange or (2) the delivery of cash in connection with any conversion or exchange of any Permitted Convertible Indebtedness in an aggregate amount since the date of the indenture governing such Permitted Convertible Indebtedness not to exceed the sum of (x) the principal amount of such Permitted Convertible Indebtedness, as applicable, and (y) the amount of any payments required to be made to the Company or any of its Restricted Subsidiaries upon the exercise, settlement, termination or unwind of any related Permitted Bond Hedge Transaction substantially concurrently with, or a commercially reasonable period of time before or after, the settlement date for the exchange or conversion of such relevant Permitted Convertible Indebtedness.</w:t>
      </w:r>
    </w:p>
    <w:p>
      <w:pPr>
        <w:spacing w:after="0" w:line="185"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7.15 Post-Closing Actions. </w:t>
      </w:r>
      <w:r>
        <w:rPr>
          <w:rFonts w:ascii="Times New Roman" w:cs="Times New Roman" w:eastAsia="Times New Roman" w:hAnsi="Times New Roman"/>
          <w:sz w:val="20"/>
          <w:szCs w:val="20"/>
          <w:color w:val="auto"/>
        </w:rPr>
        <w:t>Fail to deliver to the Administrative Agent the items described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7.15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the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period specified therein.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8.01 Events of Default. </w:t>
      </w:r>
      <w:r>
        <w:rPr>
          <w:rFonts w:ascii="Times New Roman" w:cs="Times New Roman" w:eastAsia="Times New Roman" w:hAnsi="Times New Roman"/>
          <w:sz w:val="20"/>
          <w:szCs w:val="20"/>
          <w:color w:val="auto"/>
        </w:rPr>
        <w:t>Any of the following shall constitute an event of default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6" w:lineRule="auto"/>
        <w:tabs>
          <w:tab w:leader="none" w:pos="1525"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The Company or any other Loan Party fails to (i) pay when and as required to be paid herein, and in the currency required hereunder,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The Company or Restricted Subsidiary fails to perform or observe any term, covenant or agreement contained in any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6.05(a)</w:t>
      </w:r>
      <w:r>
        <w:rPr>
          <w:rFonts w:ascii="Times New Roman" w:cs="Times New Roman" w:eastAsia="Times New Roman" w:hAnsi="Times New Roman"/>
          <w:sz w:val="20"/>
          <w:szCs w:val="20"/>
          <w:color w:val="auto"/>
        </w:rPr>
        <w:t xml:space="preserve"> (in the case of any Borrower only), </w:t>
      </w:r>
      <w:r>
        <w:rPr>
          <w:rFonts w:ascii="Times New Roman" w:cs="Times New Roman" w:eastAsia="Times New Roman" w:hAnsi="Times New Roman"/>
          <w:sz w:val="20"/>
          <w:szCs w:val="20"/>
          <w:u w:val="single" w:color="auto"/>
          <w:color w:val="auto"/>
        </w:rPr>
        <w:t>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or</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1"/>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Any Loan Party fails to perform or observe any other covenant or agreement (not specified in </w:t>
      </w:r>
      <w:r>
        <w:rPr>
          <w:rFonts w:ascii="Times New Roman" w:cs="Times New Roman" w:eastAsia="Times New Roman" w:hAnsi="Times New Roman"/>
          <w:sz w:val="20"/>
          <w:szCs w:val="20"/>
          <w:u w:val="single" w:color="auto"/>
          <w:color w:val="auto"/>
        </w:rPr>
        <w:t>subsection</w:t>
      </w:r>
    </w:p>
    <w:p>
      <w:pPr>
        <w:spacing w:after="0" w:line="21" w:lineRule="exact"/>
        <w:rPr>
          <w:rFonts w:ascii="Times New Roman" w:cs="Times New Roman" w:eastAsia="Times New Roman" w:hAnsi="Times New Roman"/>
          <w:sz w:val="20"/>
          <w:szCs w:val="20"/>
          <w:color w:val="auto"/>
        </w:rPr>
      </w:pPr>
    </w:p>
    <w:p>
      <w:pPr>
        <w:ind w:left="380" w:firstLine="2"/>
        <w:spacing w:after="0" w:line="246" w:lineRule="auto"/>
        <w:tabs>
          <w:tab w:leader="none" w:pos="656" w:val="left"/>
        </w:tabs>
        <w:numPr>
          <w:ilvl w:val="0"/>
          <w:numId w:val="1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contained in any Loan Document on its part to be performed or observed and such failure continues for (i) 5 Business Days, in the case of any covenant or agreement contained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6.10</w:t>
      </w:r>
      <w:r>
        <w:rPr>
          <w:rFonts w:ascii="Times New Roman" w:cs="Times New Roman" w:eastAsia="Times New Roman" w:hAnsi="Times New Roman"/>
          <w:sz w:val="20"/>
          <w:szCs w:val="20"/>
          <w:color w:val="auto"/>
        </w:rPr>
        <w:t xml:space="preserve"> or (ii) 30 days, in all other cases; or</w:t>
      </w:r>
    </w:p>
    <w:p>
      <w:pPr>
        <w:spacing w:after="0" w:line="181" w:lineRule="exact"/>
        <w:rPr>
          <w:rFonts w:ascii="Times New Roman" w:cs="Times New Roman" w:eastAsia="Times New Roman" w:hAnsi="Times New Roman"/>
          <w:sz w:val="20"/>
          <w:szCs w:val="20"/>
          <w:u w:val="single" w:color="auto"/>
          <w:color w:val="auto"/>
        </w:rPr>
      </w:pPr>
    </w:p>
    <w:p>
      <w:pPr>
        <w:jc w:val="both"/>
        <w:ind w:left="380" w:firstLine="751"/>
        <w:spacing w:after="0" w:line="254" w:lineRule="auto"/>
        <w:tabs>
          <w:tab w:leader="none" w:pos="1525"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52"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The Company or any Restricted Subsidiary (A) fails to make any payment when due (whether by scheduled maturity, required prepayment, acceleration, demand, or otherwise but taking into account any applicable period of grace)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taking into account any applicable period of grace) any other agreement or condition relating to any such Indebtedness or Guarantee or contained in any instrument or agreement evidencing, securing or relating thereto, or any other event occurs (other than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7" w:name="page128"/>
    <w:bookmarkEnd w:id="127"/>
    <w:p>
      <w:pPr>
        <w:jc w:val="both"/>
        <w:ind w:left="80" w:firstLine="2"/>
        <w:spacing w:after="0" w:line="242" w:lineRule="auto"/>
        <w:tabs>
          <w:tab w:leader="none" w:pos="39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that permits holders of any Permitted Convertible Indebtedness to convert or exchange such Indebtedness or (y) the conversion or exchange of any Permitted Convertible Indebtedness, in either of the foregoing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into common stock of the Company (or other securities or property following a merger event, reclassification or other change of the common stock of the Company), cash or a combination thereof),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w:t>
      </w:r>
    </w:p>
    <w:p>
      <w:pPr>
        <w:jc w:val="both"/>
        <w:ind w:left="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 shall not apply to the occurrence of any early termination or cancellation and payment (each howsoever defined) under any Permitted Bond Hedge Transaction or any Permitted Warrant Transaction; or</w:t>
      </w:r>
    </w:p>
    <w:p>
      <w:pPr>
        <w:spacing w:after="0" w:line="191" w:lineRule="exact"/>
        <w:rPr>
          <w:rFonts w:ascii="Times New Roman" w:cs="Times New Roman" w:eastAsia="Times New Roman" w:hAnsi="Times New Roman"/>
          <w:sz w:val="20"/>
          <w:szCs w:val="20"/>
          <w:color w:val="auto"/>
        </w:rPr>
      </w:pPr>
    </w:p>
    <w:p>
      <w:pPr>
        <w:jc w:val="both"/>
        <w:ind w:left="80" w:firstLine="751"/>
        <w:spacing w:after="0" w:line="244" w:lineRule="auto"/>
        <w:tabs>
          <w:tab w:leader="none" w:pos="123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5"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25"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xml:space="preserve">. (i) The Company or any Restricted Subsidiary becomes unable or admits in writing its inability or fails generally to pay its debts as they become due, or (ii) any writ or warrant of attachment (including a </w:t>
      </w:r>
      <w:r>
        <w:rPr>
          <w:rFonts w:ascii="Times New Roman" w:cs="Times New Roman" w:eastAsia="Times New Roman" w:hAnsi="Times New Roman"/>
          <w:sz w:val="20"/>
          <w:szCs w:val="20"/>
          <w:i w:val="1"/>
          <w:iCs w:val="1"/>
          <w:color w:val="auto"/>
        </w:rPr>
        <w:t>conservatoir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beslag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executoriaal beslag</w:t>
      </w:r>
      <w:r>
        <w:rPr>
          <w:rFonts w:ascii="Times New Roman" w:cs="Times New Roman" w:eastAsia="Times New Roman" w:hAnsi="Times New Roman"/>
          <w:sz w:val="20"/>
          <w:szCs w:val="20"/>
          <w:color w:val="auto"/>
        </w:rPr>
        <w:t>) or execution or similar process is issued or levied against all or any material part of the property of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Person and is not released, vacated or fully bonded within 30 days after its issue or levy; or</w:t>
      </w:r>
    </w:p>
    <w:p>
      <w:pPr>
        <w:spacing w:after="0" w:line="179" w:lineRule="exact"/>
        <w:rPr>
          <w:rFonts w:ascii="Times New Roman" w:cs="Times New Roman" w:eastAsia="Times New Roman" w:hAnsi="Times New Roman"/>
          <w:sz w:val="20"/>
          <w:szCs w:val="20"/>
          <w:color w:val="auto"/>
        </w:rPr>
      </w:pPr>
    </w:p>
    <w:p>
      <w:pPr>
        <w:jc w:val="both"/>
        <w:ind w:left="80" w:firstLine="751"/>
        <w:spacing w:after="0" w:line="244" w:lineRule="auto"/>
        <w:tabs>
          <w:tab w:leader="none" w:pos="1225"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the Company or any Restricted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85" w:lineRule="exact"/>
        <w:rPr>
          <w:rFonts w:ascii="Times New Roman" w:cs="Times New Roman" w:eastAsia="Times New Roman" w:hAnsi="Times New Roman"/>
          <w:sz w:val="20"/>
          <w:szCs w:val="20"/>
          <w:color w:val="auto"/>
        </w:rPr>
      </w:pPr>
    </w:p>
    <w:p>
      <w:pPr>
        <w:jc w:val="both"/>
        <w:ind w:left="80" w:firstLine="751"/>
        <w:spacing w:after="0" w:line="249" w:lineRule="auto"/>
        <w:tabs>
          <w:tab w:leader="none" w:pos="1238"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the Company or any of its Restricted Subsidiaries under Title IV of ERISA to the Pension Plan, Multiemployer Plan or the PBGC in an aggregate amount in excess of the Threshold Amount, or (ii) the Company or any ERISA Affiliate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28" w:name="page129"/>
    <w:bookmarkEnd w:id="128"/>
    <w:p>
      <w:pPr>
        <w:ind w:left="380"/>
        <w:spacing w:after="0" w:line="269" w:lineRule="auto"/>
        <w:rPr>
          <w:sz w:val="20"/>
          <w:szCs w:val="20"/>
          <w:color w:val="auto"/>
        </w:rPr>
      </w:pPr>
      <w:r>
        <w:rPr>
          <w:rFonts w:ascii="Times New Roman" w:cs="Times New Roman" w:eastAsia="Times New Roman" w:hAnsi="Times New Roman"/>
          <w:sz w:val="20"/>
          <w:szCs w:val="20"/>
          <w:color w:val="auto"/>
        </w:rPr>
        <w:t>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59" w:lineRule="exact"/>
        <w:rPr>
          <w:sz w:val="20"/>
          <w:szCs w:val="20"/>
          <w:color w:val="auto"/>
        </w:rPr>
      </w:pPr>
    </w:p>
    <w:p>
      <w:pPr>
        <w:jc w:val="both"/>
        <w:ind w:left="380" w:firstLine="751"/>
        <w:spacing w:after="0" w:line="246" w:lineRule="auto"/>
        <w:tabs>
          <w:tab w:leader="none" w:pos="155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material provision of any Loan Document; or any Loan Party denies that it has any or further liability or obligation under any Loan Document, or purports to revoke, terminate or rescind any provision of any Loan Document; or</w:t>
      </w:r>
    </w:p>
    <w:p>
      <w:pPr>
        <w:spacing w:after="0" w:line="18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 or</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3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Any Collateral Document after delivery thereof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xml:space="preserve"> shall for any reason (other than pursuant to the terms thereof) cease to create a valid Lien on any portion of the Collateral purported to be covered thereby the aggregate fair market value of which is in excess of $1,000,000.</w:t>
      </w:r>
    </w:p>
    <w:p>
      <w:pPr>
        <w:spacing w:after="0" w:line="17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8.02 Remedies Upon Event of Default. </w:t>
      </w:r>
      <w:r>
        <w:rPr>
          <w:rFonts w:ascii="Times New Roman" w:cs="Times New Roman" w:eastAsia="Times New Roman" w:hAnsi="Times New Roman"/>
          <w:sz w:val="20"/>
          <w:szCs w:val="20"/>
          <w:color w:val="auto"/>
        </w:rPr>
        <w:t>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156" w:lineRule="exact"/>
        <w:rPr>
          <w:sz w:val="20"/>
          <w:szCs w:val="20"/>
          <w:color w:val="auto"/>
        </w:rPr>
      </w:pPr>
    </w:p>
    <w:p>
      <w:pPr>
        <w:ind w:left="380" w:right="40" w:firstLine="751"/>
        <w:spacing w:after="0" w:line="269" w:lineRule="auto"/>
        <w:tabs>
          <w:tab w:leader="none" w:pos="152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each L/C Issuer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Company Cash Collateralize the L/C Obligations (in an amount equal to the Minimum Collateral Amount with respect thereto) and Cash Collateralize the Secured Permitted Bilateral Letters of Credit (in an amount equal to the maximum potential drawings thereunder); and</w:t>
      </w:r>
    </w:p>
    <w:p>
      <w:pPr>
        <w:spacing w:after="0" w:line="174"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Issuers all rights and remedies available to it, the Lenders and the L/C Issuers under the Loan Documents;</w:t>
      </w:r>
    </w:p>
    <w:p>
      <w:pPr>
        <w:spacing w:after="0" w:line="1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the occurrence of an actual or deemed entry of an order for relief with respect to any Borrower under the Bankruptcy Code of the United States, the obligation of each Lender to make Loans and any obligation of any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and Secured Permitted Standalone Letters of Credit as aforesaid shall automatically become effective, in each case without further act of the Administrative Agent or any Lender.</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8.03 Application of Funds. </w:t>
      </w:r>
      <w:r>
        <w:rPr>
          <w:rFonts w:ascii="Times New Roman" w:cs="Times New Roman" w:eastAsia="Times New Roman" w:hAnsi="Times New Roman"/>
          <w:sz w:val="20"/>
          <w:szCs w:val="20"/>
          <w:color w:val="auto"/>
        </w:rPr>
        <w:t>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after the Loans have automatically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be applied by the Administrative Agent in the following order: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9" w:name="page130"/>
    <w:bookmarkEnd w:id="129"/>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charges and disbursements of counsel to the Administrative Agent (to the extent required to be paid or reimbursed hereunder)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arising under the Loan Documents constituting fees, indemnities and other amounts (other than principal, interest and Letter of Credit Fees) payable to the Lenders and the L/C Issuers (including fees, charges and disbursements of counsel to the respective Lenders and the L/C Issuers (to the extent required to be paid or reimbursed hereunder)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Issuers, the Hedge Banks, the Cash Management Banks and the PSLOC Banks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L/C Issuers and the PSLOC Banks, to Cash Collateralize that portion of L/C Obligations comprised of the aggregate undrawn amount of Letters of Credit and obligations comprised of the aggregate undrawn amount of Secured Permitted Standalone Letters of Credit, in each case to the extent not otherwise Cash Collateralized by the Company pursuant to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the terms of such Secured Permitted Standalone Letters of Credit ratably among the L/C Issuers and the PSLOC Banks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held by them; and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u w:val="single" w:color="auto"/>
          <w:color w:val="auto"/>
        </w:rPr>
        <w:t>Last</w:t>
      </w:r>
      <w:r>
        <w:rPr>
          <w:rFonts w:ascii="Times New Roman" w:cs="Times New Roman" w:eastAsia="Times New Roman" w:hAnsi="Times New Roman"/>
          <w:sz w:val="19"/>
          <w:szCs w:val="19"/>
          <w:color w:val="auto"/>
        </w:rPr>
        <w:t>, the balance, if any, after all of the Obligations have been indefeasibly paid in full, to the Company or as otherwise required 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amounts used to Cash Collateralize the aggregate undrawn amount of Letters of Credit and Secured Permitted Standalone Letters of Credit pursuant to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above shall be applied to satisfy drawings under such Letters of Credit and Secured Permitted Standalone Letters of Credit as they occur. If any amount remains on deposit as Cash Collateral after all Letters of Credit and Secured Permitted Standalone Letters of Credit have either been fully drawn or expired, such remaining amount shall be applied to the other Obligations, if any, in the order set forth above.</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Secured Cash Management Agreements, Secured Hedge Agreements and Secured Permitted Standalone Letters of Credit shall be excluded from the application described above if the Administrative 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 for itself and its Affiliates as if a “Lender”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9.01 Appointment and Authority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2" w:lineRule="auto"/>
        <w:tabs>
          <w:tab w:leader="none" w:pos="152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(including in its capacities as a potential Hedge Bank, a potential Cash Management Bank and a potential PSLOC Bank)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rFonts w:ascii="Times New Roman" w:cs="Times New Roman" w:eastAsia="Times New Roman" w:hAnsi="Times New Roman"/>
          <w:sz w:val="20"/>
          <w:szCs w:val="20"/>
          <w:color w:val="auto"/>
        </w:rPr>
      </w:pPr>
    </w:p>
    <w:p>
      <w:pPr>
        <w:jc w:val="both"/>
        <w:ind w:left="380" w:firstLine="751"/>
        <w:spacing w:after="0" w:line="242" w:lineRule="auto"/>
        <w:tabs>
          <w:tab w:leader="none" w:pos="152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act as the “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under the Loan Documents, and each of the Lenders (including in its capacities as a potential Hedge Bank, a potential Cash Management Bank and a potential PSLOC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9.02 Rights as a Lender. </w:t>
      </w:r>
      <w:r>
        <w:rPr>
          <w:rFonts w:ascii="Times New Roman" w:cs="Times New Roman" w:eastAsia="Times New Roman" w:hAnsi="Times New Roman"/>
          <w:sz w:val="20"/>
          <w:szCs w:val="20"/>
          <w:color w:val="auto"/>
        </w:rPr>
        <w:t>The Person serving as the Administrative Agent hereunder shall have the same rights and powers in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Borrower or any Subsidiary or other Affiliate thereof as if such Person were not the Administrative Agent hereunder and without any duty to account therefor to the Lenders or to provide notice or consent of the Lenders with respect thereto.</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9.03 Exculpatory Provisions. </w:t>
      </w:r>
      <w:r>
        <w:rPr>
          <w:rFonts w:ascii="Times New Roman" w:cs="Times New Roman" w:eastAsia="Times New Roman" w:hAnsi="Times New Roman"/>
          <w:sz w:val="20"/>
          <w:szCs w:val="20"/>
          <w:color w:val="auto"/>
        </w:rPr>
        <w:t>The Administrative Agent or the Arrangers, as applicable, shall not have any duties or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those expressly set forth herein and in the other Loan Documents, and its duties hereunder shall be administrative in nature. Without limiting the generality of the foregoing, the Administrative Agent or the Arrangers, as applicable, and its Related Parties:</w:t>
      </w:r>
    </w:p>
    <w:p>
      <w:pPr>
        <w:spacing w:after="0" w:line="173" w:lineRule="exact"/>
        <w:rPr>
          <w:sz w:val="20"/>
          <w:szCs w:val="20"/>
          <w:color w:val="auto"/>
        </w:rPr>
      </w:pPr>
    </w:p>
    <w:p>
      <w:pPr>
        <w:ind w:left="1520" w:hanging="389"/>
        <w:spacing w:after="0"/>
        <w:tabs>
          <w:tab w:leader="none" w:pos="152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31" w:name="page132"/>
    <w:bookmarkEnd w:id="131"/>
    <w:p>
      <w:pPr>
        <w:jc w:val="both"/>
        <w:ind w:left="380" w:firstLine="751"/>
        <w:spacing w:after="0" w:line="259" w:lineRule="auto"/>
        <w:tabs>
          <w:tab w:leader="none" w:pos="1525"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72" w:lineRule="exact"/>
        <w:rPr>
          <w:rFonts w:ascii="Times New Roman" w:cs="Times New Roman" w:eastAsia="Times New Roman" w:hAnsi="Times New Roman"/>
          <w:sz w:val="19"/>
          <w:szCs w:val="19"/>
          <w:color w:val="auto"/>
        </w:rPr>
      </w:pPr>
    </w:p>
    <w:p>
      <w:pPr>
        <w:jc w:val="both"/>
        <w:ind w:left="380" w:firstLine="751"/>
        <w:spacing w:after="0" w:line="246" w:lineRule="auto"/>
        <w:tabs>
          <w:tab w:leader="none" w:pos="152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Arrangers or any of their Related Parties in any capacity, except for notices, reports and other documents expressly required to be furnished to the Lenders by the Administrative Agent herein;</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4" w:lineRule="auto"/>
        <w:tabs>
          <w:tab w:leader="none" w:pos="152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 and</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3" w:lineRule="auto"/>
        <w:tabs>
          <w:tab w:leader="none" w:pos="1525"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9.04 Reliance by Administrative Agent. </w:t>
      </w:r>
      <w:r>
        <w:rPr>
          <w:rFonts w:ascii="Times New Roman" w:cs="Times New Roman" w:eastAsia="Times New Roman" w:hAnsi="Times New Roman"/>
          <w:sz w:val="20"/>
          <w:szCs w:val="20"/>
          <w:color w:val="auto"/>
        </w:rPr>
        <w:t>The Administrative Agent shall be entitled to rely upon, and shall not incur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2" w:name="page133"/>
    <w:bookmarkEnd w:id="132"/>
    <w:p>
      <w:pPr>
        <w:jc w:val="both"/>
        <w:spacing w:after="0" w:line="249" w:lineRule="auto"/>
        <w:rPr>
          <w:sz w:val="20"/>
          <w:szCs w:val="20"/>
          <w:color w:val="auto"/>
        </w:rPr>
      </w:pPr>
      <w:r>
        <w:rPr>
          <w:rFonts w:ascii="Times New Roman" w:cs="Times New Roman" w:eastAsia="Times New Roman" w:hAnsi="Times New Roman"/>
          <w:sz w:val="20"/>
          <w:szCs w:val="20"/>
          <w:color w:val="auto"/>
        </w:rPr>
        <w:t>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9.05 Delegation of Duties. </w:t>
      </w:r>
      <w:r>
        <w:rPr>
          <w:rFonts w:ascii="Times New Roman" w:cs="Times New Roman" w:eastAsia="Times New Roman" w:hAnsi="Times New Roman"/>
          <w:sz w:val="19"/>
          <w:szCs w:val="19"/>
          <w:color w:val="auto"/>
        </w:rPr>
        <w:t>The Administrative Agent may perform any and all of its duties and exercise its rights and powers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b w:val="1"/>
          <w:bCs w:val="1"/>
          <w:color w:val="auto"/>
        </w:rPr>
        <w:t xml:space="preserve">9.06 Resignation of Administrative Agent. </w:t>
      </w:r>
      <w:r>
        <w:rPr>
          <w:rFonts w:ascii="Times New Roman" w:cs="Times New Roman" w:eastAsia="Times New Roman" w:hAnsi="Times New Roman"/>
          <w:sz w:val="19"/>
          <w:szCs w:val="19"/>
          <w:color w:val="auto"/>
        </w:rPr>
        <w:t>The Administrative Agent may at any time give notice of its resignation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Lenders, the L/C Issuers and the Company. Upon receipt of any such notice of resignation, the Required Lenders shall have the right, with the consent of the Company so long as no Event of Default has occurred and is continuing (such consent not to be unreasonably withheld, conditioned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9"/>
          <w:szCs w:val="19"/>
          <w:u w:val="single" w:color="auto"/>
          <w:color w:val="auto"/>
        </w:rPr>
        <w:t>Resignation Effective Date</w:t>
      </w:r>
      <w:r>
        <w:rPr>
          <w:rFonts w:ascii="Times New Roman" w:cs="Times New Roman" w:eastAsia="Times New Roman" w:hAnsi="Times New Roman"/>
          <w:sz w:val="19"/>
          <w:szCs w:val="19"/>
          <w:color w:val="auto"/>
        </w:rPr>
        <w:t xml:space="preserve">”), then the retiring Administrative Agent may (but shall not be obligated to) on behalf of the Lenders and the L/C Issuers, appoint a successor Administrative Agent meeting the qualifications set forth above with the consent of the Company so long as no Event of Default has occurred and is continuing (such consent not to be unreasonably withheld, conditioned or delayed). Whether or not a successor has been appointed, such resignation shall become effective in accordance with such notice on the Resignation Effective Date. 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cs="Times New Roman" w:eastAsia="Times New Roman" w:hAnsi="Times New Roman"/>
          <w:sz w:val="19"/>
          <w:szCs w:val="19"/>
          <w:u w:val="single" w:color="auto"/>
          <w:color w:val="auto"/>
        </w:rPr>
        <w:t>Section 3.01(g)</w:t>
      </w:r>
      <w:r>
        <w:rPr>
          <w:rFonts w:ascii="Times New Roman" w:cs="Times New Roman" w:eastAsia="Times New Roman" w:hAnsi="Times New Roman"/>
          <w:sz w:val="19"/>
          <w:szCs w:val="19"/>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cs="Times New Roman" w:eastAsia="Times New Roman" w:hAnsi="Times New Roman"/>
          <w:sz w:val="19"/>
          <w:szCs w:val="19"/>
          <w:u w:val="single" w:color="auto"/>
          <w:color w:val="auto"/>
        </w:rPr>
        <w:t>Section 10.04</w:t>
      </w:r>
      <w:r>
        <w:rPr>
          <w:rFonts w:ascii="Times New Roman" w:cs="Times New Roman" w:eastAsia="Times New Roman" w:hAnsi="Times New Roman"/>
          <w:sz w:val="19"/>
          <w:szCs w:val="19"/>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3" w:name="page134"/>
    <w:bookmarkEnd w:id="133"/>
    <w:p>
      <w:pPr>
        <w:jc w:val="both"/>
        <w:spacing w:after="0" w:line="254" w:lineRule="auto"/>
        <w:rPr>
          <w:sz w:val="20"/>
          <w:szCs w:val="20"/>
          <w:color w:val="auto"/>
        </w:rPr>
      </w:pPr>
      <w:r>
        <w:rPr>
          <w:rFonts w:ascii="Times New Roman" w:cs="Times New Roman" w:eastAsia="Times New Roman" w:hAnsi="Times New Roman"/>
          <w:sz w:val="20"/>
          <w:szCs w:val="20"/>
          <w:color w:val="auto"/>
        </w:rPr>
        <w:t>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an L/C Issuer and the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9.07 Non-Reliance on Administrative Agent, Arrangers and Other Lenders. </w:t>
      </w:r>
      <w:r>
        <w:rPr>
          <w:rFonts w:ascii="Times New Roman" w:cs="Times New Roman" w:eastAsia="Times New Roman" w:hAnsi="Times New Roman"/>
          <w:sz w:val="20"/>
          <w:szCs w:val="20"/>
          <w:color w:val="auto"/>
        </w:rPr>
        <w:t>Each Lender and each L/C Issuer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of any Affiliate thereof, shall be deemed to constitute any representation or warranty by the Administrative Agent or any Arranger to any Lender or each L/C Issuer as to any matter, including whether the Administrative Agent or any Arranger have disclosed material information in their (or their Related Parties’) possession. Each Lender and each L/C Issuer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4" w:name="page135"/>
    <w:bookmarkEnd w:id="134"/>
    <w:p>
      <w:pPr>
        <w:jc w:val="both"/>
        <w:spacing w:after="0" w:line="249" w:lineRule="auto"/>
        <w:rPr>
          <w:sz w:val="20"/>
          <w:szCs w:val="20"/>
          <w:color w:val="auto"/>
        </w:rPr>
      </w:pPr>
      <w:r>
        <w:rPr>
          <w:rFonts w:ascii="Times New Roman" w:cs="Times New Roman" w:eastAsia="Times New Roman" w:hAnsi="Times New Roman"/>
          <w:sz w:val="20"/>
          <w:szCs w:val="20"/>
          <w:color w:val="auto"/>
        </w:rPr>
        <w:t>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9.08 No Other Duties, Etc. </w:t>
      </w:r>
      <w:r>
        <w:rPr>
          <w:rFonts w:ascii="Times New Roman" w:cs="Times New Roman" w:eastAsia="Times New Roman" w:hAnsi="Times New Roman"/>
          <w:sz w:val="20"/>
          <w:szCs w:val="20"/>
          <w:color w:val="auto"/>
        </w:rPr>
        <w:t>Anything herein to the contrary notwithstanding, none of the arranger(s), bookrunner(s), syndication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agent(s) or documentation 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9.09 Administrative Agent May File Proofs of Claim; Credit Bidding. </w:t>
      </w:r>
      <w:r>
        <w:rPr>
          <w:rFonts w:ascii="Times New Roman" w:cs="Times New Roman" w:eastAsia="Times New Roman" w:hAnsi="Times New Roman"/>
          <w:sz w:val="20"/>
          <w:szCs w:val="20"/>
          <w:color w:val="auto"/>
        </w:rPr>
        <w:t>In case of the pendency of any proceeding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left="380" w:firstLine="751"/>
        <w:spacing w:after="0" w:line="245" w:lineRule="auto"/>
        <w:tabs>
          <w:tab w:leader="none" w:pos="152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18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5" w:name="page136"/>
    <w:bookmarkEnd w:id="135"/>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9.10 Collateral and Guaranty Matters. </w:t>
      </w:r>
      <w:r>
        <w:rPr>
          <w:rFonts w:ascii="Times New Roman" w:cs="Times New Roman" w:eastAsia="Times New Roman" w:hAnsi="Times New Roman"/>
          <w:sz w:val="20"/>
          <w:szCs w:val="20"/>
          <w:color w:val="auto"/>
        </w:rPr>
        <w:t>Each of the Lenders (including in its capacities as a potential Cash Management Bank,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potential Hedge Bank and a potential PSLOC Bank) and each L/C Issuer irrevocably authorize the Administrative Agent at its option and in its discretion,</w:t>
      </w:r>
    </w:p>
    <w:p>
      <w:pPr>
        <w:spacing w:after="0" w:line="173" w:lineRule="exact"/>
        <w:rPr>
          <w:sz w:val="20"/>
          <w:szCs w:val="20"/>
          <w:color w:val="auto"/>
        </w:rPr>
      </w:pPr>
    </w:p>
    <w:p>
      <w:pPr>
        <w:jc w:val="both"/>
        <w:ind w:left="380" w:firstLine="751"/>
        <w:spacing w:after="0" w:line="242" w:lineRule="auto"/>
        <w:tabs>
          <w:tab w:leader="none" w:pos="152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(i) upon termination of the Aggregate Commitments and payment in full of all Obligations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the expiration or termination of all Letters of Credit and Secured Permitted Standalone Letters of Credit (other than Letters of Credit or Secured Permitted Standalone Letters of Credit as to which other arrangements with respect thereto reasonably satisfactory to the Administrative Agent and each L/C Issuer or the applicable PSLOC Bank, as applicable, shall have been made), (ii) that is sold or otherwise Disposed of or to be sold or otherwise Disposed of as part of or in connection with any sale or other Disposition permitted hereunder or under any other Loan Document to a Person that is not a Loan Party, (iii) that no longer constitutes Collateral or is no longer required to secure the Obligations or (iv) subject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if approved, authorized or ratified in writing by the Required Lenders;</w:t>
      </w:r>
    </w:p>
    <w:p>
      <w:pPr>
        <w:spacing w:after="0" w:line="18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7.01(i)</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Subsidiary Guarantor from its obligations under the Loan Documents to which it is a party if such Person ceases to be a Restricted Subsidiary or is no longer required to be a</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6" w:name="page137"/>
    <w:bookmarkEnd w:id="136"/>
    <w:p>
      <w:pPr>
        <w:ind w:left="380"/>
        <w:spacing w:after="0"/>
        <w:rPr>
          <w:sz w:val="20"/>
          <w:szCs w:val="20"/>
          <w:color w:val="auto"/>
        </w:rPr>
      </w:pPr>
      <w:r>
        <w:rPr>
          <w:rFonts w:ascii="Times New Roman" w:cs="Times New Roman" w:eastAsia="Times New Roman" w:hAnsi="Times New Roman"/>
          <w:sz w:val="20"/>
          <w:szCs w:val="20"/>
          <w:color w:val="auto"/>
        </w:rPr>
        <w:t>Subsidiary Guarantor, in each case, as a result of a transaction permitted hereunder or as otherwise permitted hereunder.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Loan Documents to which it is a party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9.11 Secured Cash Management Agreements, Secured Hedge Agreements and Secured Permitted Standalone Letters of Credit. </w:t>
      </w:r>
      <w:r>
        <w:rPr>
          <w:rFonts w:ascii="Times New Roman" w:cs="Times New Roman" w:eastAsia="Times New Roman" w:hAnsi="Times New Roman"/>
          <w:sz w:val="20"/>
          <w:szCs w:val="20"/>
          <w:color w:val="auto"/>
        </w:rPr>
        <w:t>No Cash Management Bank, Hedge Bank or PSLOC Bank that obtains the benefit of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any Guaranty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reasonably satisfactory arrangements have been made with respect to, Obligations arising under 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9.12 Certain ERISA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380" w:firstLine="751"/>
        <w:spacing w:after="0" w:line="249" w:lineRule="auto"/>
        <w:tabs>
          <w:tab w:leader="none" w:pos="1525"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Company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5" w:lineRule="auto"/>
        <w:tabs>
          <w:tab w:leader="none" w:pos="228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7" w:name="page138"/>
    <w:bookmarkEnd w:id="137"/>
    <w:p>
      <w:pPr>
        <w:ind w:left="1140"/>
        <w:spacing w:after="0" w:line="269" w:lineRule="auto"/>
        <w:rPr>
          <w:sz w:val="20"/>
          <w:szCs w:val="20"/>
          <w:color w:val="auto"/>
        </w:rPr>
      </w:pPr>
      <w:r>
        <w:rPr>
          <w:rFonts w:ascii="Times New Roman" w:cs="Times New Roman" w:eastAsia="Times New Roman" w:hAnsi="Times New Roman"/>
          <w:sz w:val="20"/>
          <w:szCs w:val="20"/>
          <w:color w:val="auto"/>
        </w:rPr>
        <w:t>Lender’s entrance into, participation in, administration of and performance of the Loans, the Letters of Credit, the Commitments and this Agreement,</w:t>
      </w:r>
    </w:p>
    <w:p>
      <w:pPr>
        <w:spacing w:after="0" w:line="159" w:lineRule="exact"/>
        <w:rPr>
          <w:sz w:val="20"/>
          <w:szCs w:val="20"/>
          <w:color w:val="auto"/>
        </w:rPr>
      </w:pPr>
    </w:p>
    <w:p>
      <w:pPr>
        <w:jc w:val="both"/>
        <w:ind w:left="1140" w:firstLine="740"/>
        <w:spacing w:after="0" w:line="243" w:lineRule="auto"/>
        <w:tabs>
          <w:tab w:leader="none" w:pos="228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9" w:lineRule="exact"/>
        <w:rPr>
          <w:rFonts w:ascii="Times New Roman" w:cs="Times New Roman" w:eastAsia="Times New Roman" w:hAnsi="Times New Roman"/>
          <w:sz w:val="20"/>
          <w:szCs w:val="20"/>
          <w:color w:val="auto"/>
        </w:rPr>
      </w:pPr>
    </w:p>
    <w:p>
      <w:pPr>
        <w:ind w:left="1140" w:firstLine="740"/>
        <w:spacing w:after="0" w:line="269" w:lineRule="auto"/>
        <w:tabs>
          <w:tab w:leader="none" w:pos="228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3" w:lineRule="auto"/>
        <w:tabs>
          <w:tab w:leader="none" w:pos="152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9.13 Recovery of Erroneous Payments. </w:t>
      </w:r>
      <w:r>
        <w:rPr>
          <w:rFonts w:ascii="Times New Roman" w:cs="Times New Roman" w:eastAsia="Times New Roman" w:hAnsi="Times New Roman"/>
          <w:sz w:val="20"/>
          <w:szCs w:val="20"/>
          <w:color w:val="auto"/>
        </w:rPr>
        <w:t>Without limitation of any other provision in this Agreement, if at any time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10.01 Amendments, Etc.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last three paragraphs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no amendment or waiver of any provision of this Agreement or any other Loan Document, and no consent to any departure by the Company or any other Loan Party therefrom, shall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8" w:name="page139"/>
    <w:bookmarkEnd w:id="13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be effective unless in writing signed by the Required Lenders (or the Administrative Agent acting with the authorization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amendment, waiver or consent shall:</w:t>
      </w:r>
    </w:p>
    <w:p>
      <w:pPr>
        <w:spacing w:after="0" w:line="180" w:lineRule="exact"/>
        <w:rPr>
          <w:sz w:val="20"/>
          <w:szCs w:val="20"/>
          <w:color w:val="auto"/>
        </w:rPr>
      </w:pPr>
    </w:p>
    <w:p>
      <w:pPr>
        <w:ind w:left="1520" w:hanging="389"/>
        <w:spacing w:after="0"/>
        <w:tabs>
          <w:tab w:leader="none" w:pos="15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4.01(h)</w:t>
      </w:r>
      <w:r>
        <w:rPr>
          <w:rFonts w:ascii="Times New Roman" w:cs="Times New Roman" w:eastAsia="Times New Roman" w:hAnsi="Times New Roman"/>
          <w:sz w:val="20"/>
          <w:szCs w:val="20"/>
          <w:color w:val="auto"/>
        </w:rPr>
        <w:t>) without the written consent of each Lender;</w:t>
      </w:r>
    </w:p>
    <w:p>
      <w:pPr>
        <w:spacing w:after="0" w:line="215"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any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without the written consent of such Lender;</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45"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interest,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6"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change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any other provision hereof in a manner that would have the effect of altering the ratable reduction of Commitments or the pro rata sharing of payments otherwise required hereunder or the order of application of payments required thereby without the written consent of each Lender adversely and directly affected thereby or (ii) subordinate, or change any provision hereof that would have the effect of subordinating, the Obligations hereunder to any other Indebtedness or other obligation, without the written consent of each Lender adversely and directly affected thereby;</w:t>
      </w:r>
    </w:p>
    <w:p>
      <w:pPr>
        <w:spacing w:after="0" w:line="184"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subordinate all or substantially all Liens on any property granted to or held by the Administrative Agent under any Loan Document without the written consent of each Lender, except to the extent the subordination of such Lien is permitted by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4"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or the definition of “Alternative Currency” without the written consent of each Lender;</w:t>
      </w:r>
    </w:p>
    <w:p>
      <w:pPr>
        <w:spacing w:after="0" w:line="215" w:lineRule="exact"/>
        <w:rPr>
          <w:rFonts w:ascii="Times New Roman" w:cs="Times New Roman" w:eastAsia="Times New Roman" w:hAnsi="Times New Roman"/>
          <w:sz w:val="20"/>
          <w:szCs w:val="20"/>
          <w:color w:val="auto"/>
        </w:rPr>
      </w:pPr>
    </w:p>
    <w:p>
      <w:pPr>
        <w:ind w:left="380" w:right="40" w:firstLine="751"/>
        <w:spacing w:after="0" w:line="269"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all or substantially all of the Collateral in any transaction or series of related transactions, without the written consent of each Lender;</w:t>
      </w:r>
    </w:p>
    <w:p>
      <w:pPr>
        <w:spacing w:after="0" w:line="159" w:lineRule="exact"/>
        <w:rPr>
          <w:rFonts w:ascii="Times New Roman" w:cs="Times New Roman" w:eastAsia="Times New Roman" w:hAnsi="Times New Roman"/>
          <w:sz w:val="20"/>
          <w:szCs w:val="20"/>
          <w:color w:val="auto"/>
        </w:rPr>
      </w:pPr>
    </w:p>
    <w:p>
      <w:pPr>
        <w:ind w:left="380" w:right="60" w:firstLine="751"/>
        <w:spacing w:after="0" w:line="269" w:lineRule="auto"/>
        <w:tabs>
          <w:tab w:leader="none" w:pos="152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(i) the Company from the Company Guaranty without the written consent of each Lender, or (ii) all or substantially all of the value of the Subsidiary Guaranties without the written</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9" w:name="page140"/>
    <w:bookmarkEnd w:id="139"/>
    <w:p>
      <w:pPr>
        <w:ind w:left="380"/>
        <w:spacing w:after="0" w:line="269" w:lineRule="auto"/>
        <w:rPr>
          <w:sz w:val="20"/>
          <w:szCs w:val="20"/>
          <w:color w:val="auto"/>
        </w:rPr>
      </w:pPr>
      <w:r>
        <w:rPr>
          <w:rFonts w:ascii="Times New Roman" w:cs="Times New Roman" w:eastAsia="Times New Roman" w:hAnsi="Times New Roman"/>
          <w:sz w:val="20"/>
          <w:szCs w:val="20"/>
          <w:color w:val="auto"/>
        </w:rPr>
        <w:t xml:space="preserve">consent of each Lender, except to the extent the release of any Subsidiary Guarantor is permitted pursuant to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which case such release may be made by the Administrative Agent acting alone); or</w:t>
      </w:r>
    </w:p>
    <w:p>
      <w:pPr>
        <w:spacing w:after="0" w:line="159" w:lineRule="exact"/>
        <w:rPr>
          <w:sz w:val="20"/>
          <w:szCs w:val="20"/>
          <w:color w:val="auto"/>
        </w:rPr>
      </w:pPr>
    </w:p>
    <w:p>
      <w:pPr>
        <w:ind w:left="380" w:firstLine="751"/>
        <w:spacing w:after="0" w:line="269" w:lineRule="auto"/>
        <w:tabs>
          <w:tab w:leader="none" w:pos="1525"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as it relates to the termination of a Designated Borrower’s status as such without the written consent of each Lender;</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 no amendment, waiver or consent shall, unless in writing and signed by such L/C Issuer in addition to the Lenders required above, affect the rights or duties of any L/C Issuer under this Agreement or any Issuer Document relating to any Letter of Credit issued or to be issued by it (including, without limitation, any amendment, waiver or consent that would change </w:t>
      </w:r>
      <w:r>
        <w:rPr>
          <w:rFonts w:ascii="Times New Roman" w:cs="Times New Roman" w:eastAsia="Times New Roman" w:hAnsi="Times New Roman"/>
          <w:sz w:val="19"/>
          <w:szCs w:val="19"/>
          <w:u w:val="single" w:color="auto"/>
          <w:color w:val="auto"/>
        </w:rPr>
        <w:t>Section 1.09</w:t>
      </w:r>
      <w:r>
        <w:rPr>
          <w:rFonts w:ascii="Times New Roman" w:cs="Times New Roman" w:eastAsia="Times New Roman" w:hAnsi="Times New Roman"/>
          <w:sz w:val="19"/>
          <w:szCs w:val="19"/>
          <w:color w:val="auto"/>
        </w:rPr>
        <w:t xml:space="preserve"> or the definition of Alternative Currency);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Letters may be amended, or rights or privileges thereunder waived, in a writing executed only by the parties thereto; and (v) the L/C Commitment of any L/C Issuer may be amended in a writing executed only by each of the L/C Issuers and the Company and acknowledged by the Administrative Agent.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the maturity of any of its Loans may not be extended, the rate of interest on any of its Loans may not be reduced and the principal amount of any of its Loans may not be forgiven, in each case without the consent of such Defaulting Lender and (y) any waiver, amendment, consent or modification requiring the consent of all Lenders or each affected Lender that by its terms affects any Defaulting Lender more adversely relative to other affected Lenders shall require the consent of such Defaulting Lender.</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 provision herein to the contrary, this Agreement may be amended with the written consent of the Administrative Agent, the L/C Issuers, the Company and the Lenders affected thereby to amend the definition of “Alternative Currency” or “Alternative Currency Daily Rate” or “Alternative Currency Term Rate” or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solely to add additional currency options and the applicable interest rate with respect thereto, in each case solely to the extent permitted pursuant to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in this Agreement to the contrary, each Lender hereby irrevocably authorizes the Administrative Agent on its behalf, and without further consent of any Lender (but with the consent of the Borrowers or the other applicable Loan Parties and the Administrative Agent), to (x) amend and restate this Agreement and the other Loan Documents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the other Loan Documents and (y) enter into amendments or modifications to this Agreement (including amendments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any of the other Loan Documents or to enter into additional Loan Documents as the Administrative Agent reasonably deems appropriate in order to effectuate the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(including as applicable, (1) to permit the Additional Commitments and Additional Loans to share ratably in the benefits of this Agreement and the other Loan Documents and (2) to include Additional Commitments and Additional Loans, as applicable, in any determination of (i) Required Lenders or (ii) similar required lender terms applicable thereto, including the introduction of tranche voting);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amendment or modification shall result in any increase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0" w:name="page141"/>
    <w:bookmarkEnd w:id="140"/>
    <w:p>
      <w:pPr>
        <w:jc w:val="both"/>
        <w:spacing w:after="0" w:line="269" w:lineRule="auto"/>
        <w:rPr>
          <w:sz w:val="20"/>
          <w:szCs w:val="20"/>
          <w:color w:val="auto"/>
        </w:rPr>
      </w:pPr>
      <w:r>
        <w:rPr>
          <w:rFonts w:ascii="Times New Roman" w:cs="Times New Roman" w:eastAsia="Times New Roman" w:hAnsi="Times New Roman"/>
          <w:sz w:val="20"/>
          <w:szCs w:val="20"/>
          <w:color w:val="auto"/>
        </w:rPr>
        <w:t>in the amount of any Lender’s Commitment or any increase in any Lender’s Applicable Percentage, in each case, without the written consent of such affected Lender.</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Times New Roman" w:cs="Times New Roman" w:eastAsia="Times New Roman" w:hAnsi="Times New Roman"/>
          <w:sz w:val="19"/>
          <w:szCs w:val="19"/>
          <w:b w:val="1"/>
          <w:bCs w:val="1"/>
          <w:color w:val="auto"/>
        </w:rPr>
        <w:t>Notices; Effectiveness; Electronic Communication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80" w:firstLine="751"/>
        <w:spacing w:after="0" w:line="246" w:lineRule="auto"/>
        <w:tabs>
          <w:tab w:leader="none" w:pos="1525"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Company, the Administrative Agent or Bank of America, in its capacity as an L/C Issuer or the Swing Line Lender,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1140" w:firstLine="740"/>
        <w:spacing w:after="0" w:line="249" w:lineRule="auto"/>
        <w:tabs>
          <w:tab w:leader="none" w:pos="228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80" w:firstLine="751"/>
        <w:spacing w:after="0" w:line="243" w:lineRule="auto"/>
        <w:tabs>
          <w:tab w:leader="none" w:pos="153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any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such L/C Issuer, as applicable, has notified the Administrative Agent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1" w:name="page142"/>
    <w:bookmarkEnd w:id="14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5" w:lineRule="exact"/>
        <w:rPr>
          <w:sz w:val="20"/>
          <w:szCs w:val="20"/>
          <w:color w:val="auto"/>
        </w:rPr>
      </w:pPr>
    </w:p>
    <w:p>
      <w:pPr>
        <w:ind w:left="1540" w:hanging="409"/>
        <w:spacing w:after="0"/>
        <w:tabs>
          <w:tab w:leader="none" w:pos="15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spacing w:after="0" w:line="21" w:lineRule="exact"/>
        <w:rPr>
          <w:rFonts w:ascii="Times New Roman" w:cs="Times New Roman" w:eastAsia="Times New Roman" w:hAnsi="Times New Roman"/>
          <w:sz w:val="20"/>
          <w:szCs w:val="20"/>
          <w:color w:val="auto"/>
        </w:rPr>
      </w:pPr>
    </w:p>
    <w:p>
      <w:pPr>
        <w:jc w:val="both"/>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 any Borrower, any other Loan Party, any Lender, any L/C Issuer or any other Person for losses, claims, damages, liabilities or expenses of any kind (whether in tort, contract or otherwise) arising out of any Borrower’s, any other Loan Party’s or the Administrative Agent’s transmission of Borrower Materials or notices through the Platform, any other electronic platform or electronic messaging service or through the Internet.</w:t>
      </w:r>
    </w:p>
    <w:p>
      <w:pPr>
        <w:spacing w:after="0" w:line="189" w:lineRule="exact"/>
        <w:rPr>
          <w:rFonts w:ascii="Times New Roman" w:cs="Times New Roman" w:eastAsia="Times New Roman" w:hAnsi="Times New Roman"/>
          <w:sz w:val="20"/>
          <w:szCs w:val="20"/>
          <w:color w:val="auto"/>
        </w:rPr>
      </w:pPr>
    </w:p>
    <w:p>
      <w:pPr>
        <w:jc w:val="both"/>
        <w:ind w:left="380" w:firstLine="751"/>
        <w:spacing w:after="0" w:line="242" w:lineRule="auto"/>
        <w:tabs>
          <w:tab w:leader="none" w:pos="153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Borrowers, the Administrative Agent, the L/C Issuers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87" w:lineRule="exact"/>
        <w:rPr>
          <w:rFonts w:ascii="Times New Roman" w:cs="Times New Roman" w:eastAsia="Times New Roman" w:hAnsi="Times New Roman"/>
          <w:sz w:val="20"/>
          <w:szCs w:val="20"/>
          <w:color w:val="auto"/>
        </w:rPr>
      </w:pPr>
    </w:p>
    <w:p>
      <w:pPr>
        <w:jc w:val="both"/>
        <w:ind w:left="380" w:firstLine="751"/>
        <w:spacing w:after="0" w:line="243" w:lineRule="auto"/>
        <w:tabs>
          <w:tab w:leader="none" w:pos="152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Reliance by Administrative Agent, L/C Issuers and Lenders</w:t>
      </w:r>
      <w:r>
        <w:rPr>
          <w:rFonts w:ascii="Times New Roman" w:cs="Times New Roman" w:eastAsia="Times New Roman" w:hAnsi="Times New Roman"/>
          <w:sz w:val="20"/>
          <w:szCs w:val="20"/>
          <w:color w:val="auto"/>
        </w:rPr>
        <w:t>. The Administrative Agent, the L/C Issuers and the Lenders shall be entitled to rely and act upon any notices (including telephonic or electronic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liabilities and reasonable and documented out-of-pocket expenses resulting from the reliance by such Person on each notice purportedly given by or on behalf of any Borrower. All telephonic notices to and other telephonic communications with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2" w:name="page143"/>
    <w:bookmarkEnd w:id="142"/>
    <w:p>
      <w:pPr>
        <w:ind w:left="380"/>
        <w:spacing w:after="0"/>
        <w:rPr>
          <w:sz w:val="20"/>
          <w:szCs w:val="20"/>
          <w:color w:val="auto"/>
        </w:rPr>
      </w:pPr>
      <w:r>
        <w:rPr>
          <w:rFonts w:ascii="Times New Roman" w:cs="Times New Roman" w:eastAsia="Times New Roman" w:hAnsi="Times New Roman"/>
          <w:sz w:val="20"/>
          <w:szCs w:val="20"/>
          <w:color w:val="auto"/>
        </w:rPr>
        <w:t>Administrative Agent may be recorded by the Administrative Agent, and each of the parties hereto hereby consents to such recording.</w:t>
      </w:r>
    </w:p>
    <w:p>
      <w:pPr>
        <w:spacing w:after="0" w:line="21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10.03 No Waiver; Cumulative Remedies; Enforcement. </w:t>
      </w:r>
      <w:r>
        <w:rPr>
          <w:rFonts w:ascii="Times New Roman" w:cs="Times New Roman" w:eastAsia="Times New Roman" w:hAnsi="Times New Roman"/>
          <w:sz w:val="20"/>
          <w:szCs w:val="20"/>
          <w:color w:val="auto"/>
        </w:rPr>
        <w:t>No failure by any Lender, any L/C Issuer or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92"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Times New Roman" w:cs="Times New Roman" w:eastAsia="Times New Roman" w:hAnsi="Times New Roman"/>
          <w:sz w:val="19"/>
          <w:szCs w:val="19"/>
          <w:b w:val="1"/>
          <w:bCs w:val="1"/>
          <w:color w:val="auto"/>
        </w:rPr>
        <w:t>Expenses; Indemnity; Damage Waiver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80" w:firstLine="751"/>
        <w:spacing w:after="0" w:line="253" w:lineRule="auto"/>
        <w:tabs>
          <w:tab w:leader="none" w:pos="1525"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 and Expenses</w:t>
      </w:r>
      <w:r>
        <w:rPr>
          <w:rFonts w:ascii="Times New Roman" w:cs="Times New Roman" w:eastAsia="Times New Roman" w:hAnsi="Times New Roman"/>
          <w:sz w:val="19"/>
          <w:szCs w:val="19"/>
          <w:color w:val="auto"/>
        </w:rPr>
        <w:t>. The Company shall pay (i) all reasonable and documented out-of-pocket expenses incurred by the Administrative Agent and its Affiliates (including the reasonable and documented fees, disbursements and other charges of one counsel for the Administrative Agent and the Arrangers, taken as a whole, and, if reasonably necessary, of one local counsel and one regulatory counsel in any relevant jurisdiction for the Administrative Agent and the Arrangers,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 of any Letter of Credit or any demand for payment thereunder and (iii) all documented out-of-pocket expenses incurred by the Administrative Agent, any Lender or any L/C Issuer (including the documented fees, disbursements and other charges of one counsel for the Administrative Agent, the Lenders and the L/C Issuers, taken as a whole, and, if reasonably necessary, of one local counsel and one applicable regulatory counsel in each relevant jurisdiction for the Administrative Agent, the Lenders and each L/C Issuer, taken as a whole, and, solely in the case of a conflict of interest, one additional counsel to all such affected Persons similarly situated, taken as a whole), in connection with the enforcement or protection of its rights (A) in connection with this Agreement and the other Loan Documents, including its rights under this Section, or</w:t>
      </w:r>
    </w:p>
    <w:p>
      <w:pPr>
        <w:spacing w:after="0" w:line="10" w:lineRule="exact"/>
        <w:rPr>
          <w:rFonts w:ascii="Times New Roman" w:cs="Times New Roman" w:eastAsia="Times New Roman" w:hAnsi="Times New Roman"/>
          <w:sz w:val="19"/>
          <w:szCs w:val="19"/>
          <w:color w:val="auto"/>
        </w:rPr>
      </w:pPr>
    </w:p>
    <w:p>
      <w:pPr>
        <w:ind w:left="700" w:hanging="318"/>
        <w:spacing w:after="0"/>
        <w:tabs>
          <w:tab w:leader="none" w:pos="7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3" w:name="page144"/>
    <w:bookmarkEnd w:id="143"/>
    <w:p>
      <w:pPr>
        <w:ind w:left="80"/>
        <w:spacing w:after="0" w:line="269" w:lineRule="auto"/>
        <w:rPr>
          <w:sz w:val="20"/>
          <w:szCs w:val="20"/>
          <w:color w:val="auto"/>
        </w:rPr>
      </w:pPr>
      <w:r>
        <w:rPr>
          <w:rFonts w:ascii="Times New Roman" w:cs="Times New Roman" w:eastAsia="Times New Roman" w:hAnsi="Times New Roman"/>
          <w:sz w:val="20"/>
          <w:szCs w:val="20"/>
          <w:color w:val="auto"/>
        </w:rPr>
        <w:t>with the Loans made or Letters of Credit issued hereunder, including all such documented out-of-pocket expenses incurred during any workout, restructuring or negotiations in respect of such Loans or Letters of Credit.</w:t>
      </w:r>
    </w:p>
    <w:p>
      <w:pPr>
        <w:spacing w:after="0" w:line="159" w:lineRule="exact"/>
        <w:rPr>
          <w:sz w:val="20"/>
          <w:szCs w:val="20"/>
          <w:color w:val="auto"/>
        </w:rPr>
      </w:pPr>
    </w:p>
    <w:p>
      <w:pPr>
        <w:jc w:val="both"/>
        <w:ind w:left="80" w:firstLine="751"/>
        <w:spacing w:after="0" w:line="253" w:lineRule="auto"/>
        <w:tabs>
          <w:tab w:leader="none" w:pos="1225"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Company</w:t>
      </w:r>
      <w:r>
        <w:rPr>
          <w:rFonts w:ascii="Times New Roman" w:cs="Times New Roman" w:eastAsia="Times New Roman" w:hAnsi="Times New Roman"/>
          <w:sz w:val="19"/>
          <w:szCs w:val="19"/>
          <w:color w:val="auto"/>
        </w:rPr>
        <w:t>. The Company shall indemnify the Administrative Agent (and any sub-agent thereof), each Lender and each L/C Issuer, and each Related Party of any of the foregoing Persons (each such Person being called an “</w:t>
      </w:r>
      <w:r>
        <w:rPr>
          <w:rFonts w:ascii="Times New Roman" w:cs="Times New Roman" w:eastAsia="Times New Roman" w:hAnsi="Times New Roman"/>
          <w:sz w:val="19"/>
          <w:szCs w:val="19"/>
          <w:u w:val="single" w:color="auto"/>
          <w:color w:val="auto"/>
        </w:rPr>
        <w:t>Indemnitee</w:t>
      </w:r>
      <w:r>
        <w:rPr>
          <w:rFonts w:ascii="Times New Roman" w:cs="Times New Roman" w:eastAsia="Times New Roman" w:hAnsi="Times New Roman"/>
          <w:sz w:val="19"/>
          <w:szCs w:val="19"/>
          <w:color w:val="auto"/>
        </w:rPr>
        <w:t xml:space="preserve">”) against, and hold each Indemnitee harmless from, any and all losses, claims, damages, liabilities and related expenses (including the reasonable and documented out-of-pocket fees, disbursements and other charges of one counsel to the Indemnitees, taken as a whole, and, if reasonably necessary, of one local counsel and one applicable regulatory counsel in each relevant jurisdiction to all such Indemnitees, taken as a whole, and, solely in the case of a conflict of interest, one additional counsel to all affected Indemnitees similarly situated, taken as a whole),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9"/>
          <w:szCs w:val="19"/>
          <w:u w:val="single" w:color="auto"/>
          <w:color w:val="auto"/>
        </w:rPr>
        <w:t>Section 3.01(c)</w:t>
      </w:r>
      <w:r>
        <w:rPr>
          <w:rFonts w:ascii="Times New Roman" w:cs="Times New Roman" w:eastAsia="Times New Roman" w:hAnsi="Times New Roman"/>
          <w:sz w:val="19"/>
          <w:szCs w:val="19"/>
          <w:color w:val="auto"/>
        </w:rPr>
        <w:t xml:space="preserve">, this </w:t>
      </w:r>
      <w:r>
        <w:rPr>
          <w:rFonts w:ascii="Times New Roman" w:cs="Times New Roman" w:eastAsia="Times New Roman" w:hAnsi="Times New Roman"/>
          <w:sz w:val="19"/>
          <w:szCs w:val="19"/>
          <w:u w:val="single" w:color="auto"/>
          <w:color w:val="auto"/>
        </w:rPr>
        <w:t>Section 10.04(b)</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 claim.</w:t>
      </w:r>
    </w:p>
    <w:p>
      <w:pPr>
        <w:spacing w:after="0" w:line="200" w:lineRule="exact"/>
        <w:rPr>
          <w:rFonts w:ascii="Times New Roman" w:cs="Times New Roman" w:eastAsia="Times New Roman" w:hAnsi="Times New Roman"/>
          <w:sz w:val="19"/>
          <w:szCs w:val="19"/>
          <w:color w:val="auto"/>
        </w:rPr>
      </w:pPr>
    </w:p>
    <w:p>
      <w:pPr>
        <w:spacing w:after="0" w:line="225" w:lineRule="exact"/>
        <w:rPr>
          <w:rFonts w:ascii="Times New Roman" w:cs="Times New Roman" w:eastAsia="Times New Roman" w:hAnsi="Times New Roman"/>
          <w:sz w:val="19"/>
          <w:szCs w:val="19"/>
          <w:color w:val="auto"/>
        </w:rPr>
      </w:pPr>
    </w:p>
    <w:p>
      <w:pPr>
        <w:jc w:val="both"/>
        <w:ind w:left="80" w:firstLine="751"/>
        <w:spacing w:after="0" w:line="243" w:lineRule="auto"/>
        <w:tabs>
          <w:tab w:leader="none" w:pos="122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Company for any reason fails to indefeasibly pay any amount required under </w:t>
      </w:r>
      <w:r>
        <w:rPr>
          <w:rFonts w:ascii="Times New Roman" w:cs="Times New Roman" w:eastAsia="Times New Roman" w:hAnsi="Times New Roman"/>
          <w:sz w:val="20"/>
          <w:szCs w:val="20"/>
          <w:u w:val="single" w:color="auto"/>
          <w:color w:val="auto"/>
        </w:rPr>
        <w:t>subsection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aggregate Total Credit Exposures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44" w:name="page145"/>
    <w:bookmarkEnd w:id="144"/>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 xml:space="preserve">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80" w:firstLine="751"/>
        <w:spacing w:after="0" w:line="256" w:lineRule="auto"/>
        <w:tabs>
          <w:tab w:leader="none" w:pos="1525"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of Consequential Damages, Etc.</w:t>
      </w:r>
      <w:r>
        <w:rPr>
          <w:rFonts w:ascii="Times New Roman" w:cs="Times New Roman" w:eastAsia="Times New Roman" w:hAnsi="Times New Roman"/>
          <w:sz w:val="19"/>
          <w:szCs w:val="19"/>
          <w:color w:val="auto"/>
        </w:rPr>
        <w:t xml:space="preserve"> To the fullest extent permitted by Applicable Law, no Borrower shall assert,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9"/>
          <w:szCs w:val="19"/>
          <w:u w:val="single" w:color="auto"/>
          <w:color w:val="auto"/>
        </w:rPr>
        <w:t>subsection</w:t>
      </w:r>
    </w:p>
    <w:p>
      <w:pPr>
        <w:spacing w:after="0" w:line="4" w:lineRule="exact"/>
        <w:rPr>
          <w:rFonts w:ascii="Times New Roman" w:cs="Times New Roman" w:eastAsia="Times New Roman" w:hAnsi="Times New Roman"/>
          <w:sz w:val="19"/>
          <w:szCs w:val="19"/>
          <w:color w:val="auto"/>
        </w:rPr>
      </w:pPr>
    </w:p>
    <w:p>
      <w:pPr>
        <w:jc w:val="both"/>
        <w:ind w:left="380" w:firstLine="2"/>
        <w:spacing w:after="0" w:line="241" w:lineRule="auto"/>
        <w:tabs>
          <w:tab w:leader="none" w:pos="665" w:val="left"/>
        </w:tabs>
        <w:numPr>
          <w:ilvl w:val="0"/>
          <w:numId w:val="1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86" w:lineRule="exact"/>
        <w:rPr>
          <w:rFonts w:ascii="Times New Roman" w:cs="Times New Roman" w:eastAsia="Times New Roman" w:hAnsi="Times New Roman"/>
          <w:sz w:val="20"/>
          <w:szCs w:val="20"/>
          <w:u w:val="single" w:color="auto"/>
          <w:color w:val="auto"/>
        </w:rPr>
      </w:pPr>
    </w:p>
    <w:p>
      <w:pPr>
        <w:ind w:left="1520" w:hanging="389"/>
        <w:spacing w:after="0"/>
        <w:tabs>
          <w:tab w:leader="none" w:pos="152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 therefor.</w:t>
      </w:r>
    </w:p>
    <w:p>
      <w:pPr>
        <w:spacing w:after="0" w:line="215"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10.02(e)</w:t>
      </w:r>
      <w:r>
        <w:rPr>
          <w:rFonts w:ascii="Times New Roman" w:cs="Times New Roman" w:eastAsia="Times New Roman" w:hAnsi="Times New Roman"/>
          <w:sz w:val="20"/>
          <w:szCs w:val="20"/>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10.05 Payments Set Aside. </w:t>
      </w:r>
      <w:r>
        <w:rPr>
          <w:rFonts w:ascii="Times New Roman" w:cs="Times New Roman" w:eastAsia="Times New Roman" w:hAnsi="Times New Roman"/>
          <w:sz w:val="20"/>
          <w:szCs w:val="20"/>
          <w:color w:val="auto"/>
        </w:rPr>
        <w:t>To the extent that any payment by or on behalf of any Borrower is made to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preceding sentence shall survive the payment in full of the Obligations and the termination of this Agreement.</w:t>
      </w:r>
    </w:p>
    <w:p>
      <w:pPr>
        <w:spacing w:after="0" w:line="187"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80" w:firstLine="751"/>
        <w:spacing w:after="0" w:line="249" w:lineRule="auto"/>
        <w:tabs>
          <w:tab w:leader="none" w:pos="152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5" w:name="page146"/>
    <w:bookmarkEnd w:id="145"/>
    <w:p>
      <w:pPr>
        <w:jc w:val="both"/>
        <w:ind w:left="80"/>
        <w:spacing w:after="0" w:line="244" w:lineRule="auto"/>
        <w:rPr>
          <w:sz w:val="20"/>
          <w:szCs w:val="20"/>
          <w:color w:val="auto"/>
        </w:rPr>
      </w:pPr>
      <w:r>
        <w:rPr>
          <w:rFonts w:ascii="Times New Roman" w:cs="Times New Roman" w:eastAsia="Times New Roman" w:hAnsi="Times New Roman"/>
          <w:sz w:val="20"/>
          <w:szCs w:val="20"/>
          <w:color w:val="auto"/>
        </w:rPr>
        <w:t xml:space="preserve">accordance with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(ii) by way of participation in accordance with the provisions of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or (iii) by way of pledge or assignment of a security interest subject to the restrictions of </w:t>
      </w:r>
      <w:r>
        <w:rPr>
          <w:rFonts w:ascii="Times New Roman" w:cs="Times New Roman" w:eastAsia="Times New Roman" w:hAnsi="Times New Roman"/>
          <w:sz w:val="20"/>
          <w:szCs w:val="20"/>
          <w:u w:val="single" w:color="auto"/>
          <w:color w:val="auto"/>
        </w:rPr>
        <w:t>subsection (e)</w:t>
      </w:r>
      <w:r>
        <w:rPr>
          <w:rFonts w:ascii="Times New Roman" w:cs="Times New Roman" w:eastAsia="Times New Roman" w:hAnsi="Times New Roman"/>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186" w:lineRule="exact"/>
        <w:rPr>
          <w:sz w:val="20"/>
          <w:szCs w:val="20"/>
          <w:color w:val="auto"/>
        </w:rPr>
      </w:pPr>
    </w:p>
    <w:p>
      <w:pPr>
        <w:jc w:val="both"/>
        <w:ind w:left="80" w:firstLine="751"/>
        <w:spacing w:after="0" w:line="249" w:lineRule="auto"/>
        <w:tabs>
          <w:tab w:leader="none" w:pos="122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and the other Loan Documents(including all or a portion of its Commitment(s) and the Loans (including for purposes of this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79" w:lineRule="exact"/>
        <w:rPr>
          <w:rFonts w:ascii="Times New Roman" w:cs="Times New Roman" w:eastAsia="Times New Roman" w:hAnsi="Times New Roman"/>
          <w:sz w:val="20"/>
          <w:szCs w:val="20"/>
          <w:color w:val="auto"/>
        </w:rPr>
      </w:pPr>
    </w:p>
    <w:p>
      <w:pPr>
        <w:ind w:left="1980" w:hanging="400"/>
        <w:spacing w:after="0"/>
        <w:tabs>
          <w:tab w:leader="none" w:pos="1980"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firstLine="748"/>
        <w:spacing w:after="0" w:line="246" w:lineRule="auto"/>
        <w:tabs>
          <w:tab w:leader="none" w:pos="2724"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jc w:val="both"/>
        <w:ind w:left="1580" w:firstLine="748"/>
        <w:spacing w:after="0" w:line="259" w:lineRule="auto"/>
        <w:tabs>
          <w:tab w:leader="none" w:pos="2724" w:val="left"/>
        </w:tabs>
        <w:numPr>
          <w:ilvl w:val="2"/>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any case not described in </w:t>
      </w:r>
      <w:r>
        <w:rPr>
          <w:rFonts w:ascii="Times New Roman" w:cs="Times New Roman" w:eastAsia="Times New Roman" w:hAnsi="Times New Roman"/>
          <w:sz w:val="19"/>
          <w:szCs w:val="19"/>
          <w:u w:val="single" w:color="auto"/>
          <w:color w:val="auto"/>
        </w:rPr>
        <w:t>subsection (b)(i)(A)</w:t>
      </w:r>
      <w:r>
        <w:rPr>
          <w:rFonts w:ascii="Times New Roman" w:cs="Times New Roman" w:eastAsia="Times New Roman" w:hAnsi="Times New Roman"/>
          <w:sz w:val="19"/>
          <w:szCs w:val="19"/>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72" w:lineRule="exact"/>
        <w:rPr>
          <w:rFonts w:ascii="Times New Roman" w:cs="Times New Roman" w:eastAsia="Times New Roman" w:hAnsi="Times New Roman"/>
          <w:sz w:val="19"/>
          <w:szCs w:val="19"/>
          <w:color w:val="auto"/>
        </w:rPr>
      </w:pPr>
    </w:p>
    <w:p>
      <w:pPr>
        <w:jc w:val="both"/>
        <w:ind w:left="840" w:firstLine="740"/>
        <w:spacing w:after="0" w:line="249" w:lineRule="auto"/>
        <w:tabs>
          <w:tab w:leader="none" w:pos="1998"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and the other Loan Documents with respect to the Loans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apply to the Swing Line Lender’s rights and obligations in respect of Swing Line Loans.</w:t>
      </w:r>
    </w:p>
    <w:p>
      <w:pPr>
        <w:spacing w:after="0" w:line="179" w:lineRule="exact"/>
        <w:rPr>
          <w:rFonts w:ascii="Times New Roman" w:cs="Times New Roman" w:eastAsia="Times New Roman" w:hAnsi="Times New Roman"/>
          <w:sz w:val="20"/>
          <w:szCs w:val="20"/>
          <w:color w:val="auto"/>
        </w:rPr>
      </w:pPr>
    </w:p>
    <w:p>
      <w:pPr>
        <w:ind w:left="840" w:firstLine="740"/>
        <w:spacing w:after="0" w:line="269" w:lineRule="auto"/>
        <w:tabs>
          <w:tab w:leader="none" w:pos="1984"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subsection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(b)(i)(B)</w:t>
      </w:r>
      <w:r>
        <w:rPr>
          <w:rFonts w:ascii="Times New Roman" w:cs="Times New Roman" w:eastAsia="Times New Roman" w:hAnsi="Times New Roman"/>
          <w:sz w:val="20"/>
          <w:szCs w:val="20"/>
          <w:color w:val="auto"/>
        </w:rPr>
        <w:t xml:space="preserve"> of this Section and, in addition:</w:t>
      </w:r>
    </w:p>
    <w:p>
      <w:pPr>
        <w:spacing w:after="0" w:line="159" w:lineRule="exact"/>
        <w:rPr>
          <w:rFonts w:ascii="Times New Roman" w:cs="Times New Roman" w:eastAsia="Times New Roman" w:hAnsi="Times New Roman"/>
          <w:sz w:val="20"/>
          <w:szCs w:val="20"/>
          <w:color w:val="auto"/>
        </w:rPr>
      </w:pPr>
    </w:p>
    <w:p>
      <w:pPr>
        <w:jc w:val="both"/>
        <w:ind w:left="1580" w:firstLine="748"/>
        <w:spacing w:after="0" w:line="249" w:lineRule="auto"/>
        <w:tabs>
          <w:tab w:leader="none" w:pos="2724" w:val="left"/>
        </w:tabs>
        <w:numPr>
          <w:ilvl w:val="2"/>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deemed to have consented to any such assignment unless it shall object thereto by written notice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332" w:right="339" w:bottom="1440" w:gutter="0" w:footer="0" w:header="0"/>
        </w:sectPr>
      </w:pPr>
    </w:p>
    <w:bookmarkStart w:id="146" w:name="page147"/>
    <w:bookmarkEnd w:id="146"/>
    <w:p>
      <w:pPr>
        <w:jc w:val="center"/>
        <w:ind w:right="-59"/>
        <w:spacing w:after="0"/>
        <w:rPr>
          <w:sz w:val="20"/>
          <w:szCs w:val="20"/>
          <w:color w:val="auto"/>
        </w:rPr>
      </w:pPr>
      <w:r>
        <w:rPr>
          <w:rFonts w:ascii="Times New Roman" w:cs="Times New Roman" w:eastAsia="Times New Roman" w:hAnsi="Times New Roman"/>
          <w:sz w:val="20"/>
          <w:szCs w:val="20"/>
          <w:color w:val="auto"/>
        </w:rPr>
        <w:t>to the Administrative Agent within five (5) Business Days after having received notice thereof;</w:t>
      </w:r>
    </w:p>
    <w:p>
      <w:pPr>
        <w:spacing w:after="0" w:line="216" w:lineRule="exact"/>
        <w:rPr>
          <w:sz w:val="20"/>
          <w:szCs w:val="20"/>
          <w:color w:val="auto"/>
        </w:rPr>
      </w:pPr>
    </w:p>
    <w:p>
      <w:pPr>
        <w:jc w:val="both"/>
        <w:ind w:left="1880" w:firstLine="748"/>
        <w:spacing w:after="0" w:line="254" w:lineRule="auto"/>
        <w:tabs>
          <w:tab w:leader="none" w:pos="3024"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to a Person that is not a Lender, an Affiliate of such Lender or an Approved Fund with respect to such Lender; and</w:t>
      </w:r>
    </w:p>
    <w:p>
      <w:pPr>
        <w:spacing w:after="0" w:line="174" w:lineRule="exact"/>
        <w:rPr>
          <w:rFonts w:ascii="Times New Roman" w:cs="Times New Roman" w:eastAsia="Times New Roman" w:hAnsi="Times New Roman"/>
          <w:sz w:val="20"/>
          <w:szCs w:val="20"/>
          <w:color w:val="auto"/>
        </w:rPr>
      </w:pPr>
    </w:p>
    <w:p>
      <w:pPr>
        <w:ind w:left="3020" w:hanging="392"/>
        <w:spacing w:after="0"/>
        <w:tabs>
          <w:tab w:leader="none" w:pos="3020"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each L/C Issuer and the Swing Line Lender shall be required for any assignment.</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46" w:lineRule="auto"/>
        <w:tabs>
          <w:tab w:leader="none" w:pos="229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46" w:lineRule="auto"/>
        <w:tabs>
          <w:tab w:leader="none" w:pos="231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or (C) to a natural Person (or to a holding company, investment vehicle or trust for, or owned and operated by or for the primary benefit of a natural Person).</w:t>
      </w:r>
    </w:p>
    <w:p>
      <w:pPr>
        <w:spacing w:after="0" w:line="184" w:lineRule="exact"/>
        <w:rPr>
          <w:rFonts w:ascii="Times New Roman" w:cs="Times New Roman" w:eastAsia="Times New Roman" w:hAnsi="Times New Roman"/>
          <w:sz w:val="20"/>
          <w:szCs w:val="20"/>
          <w:color w:val="auto"/>
        </w:rPr>
      </w:pPr>
    </w:p>
    <w:p>
      <w:pPr>
        <w:jc w:val="both"/>
        <w:ind w:left="1140" w:firstLine="740"/>
        <w:spacing w:after="0" w:line="241" w:lineRule="auto"/>
        <w:tabs>
          <w:tab w:leader="none" w:pos="229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7"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98"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Assignee is not a Competitor</w:t>
      </w:r>
      <w:r>
        <w:rPr>
          <w:rFonts w:ascii="Times New Roman" w:cs="Times New Roman" w:eastAsia="Times New Roman" w:hAnsi="Times New Roman"/>
          <w:sz w:val="20"/>
          <w:szCs w:val="20"/>
          <w:color w:val="auto"/>
        </w:rPr>
        <w:t xml:space="preserve">. Unless an Event of Default has occurred and is continuing (in which case this </w:t>
      </w:r>
      <w:r>
        <w:rPr>
          <w:rFonts w:ascii="Times New Roman" w:cs="Times New Roman" w:eastAsia="Times New Roman" w:hAnsi="Times New Roman"/>
          <w:sz w:val="20"/>
          <w:szCs w:val="20"/>
          <w:u w:val="single" w:color="auto"/>
          <w:color w:val="auto"/>
        </w:rPr>
        <w:t>clause (vii)</w:t>
      </w:r>
      <w:r>
        <w:rPr>
          <w:rFonts w:ascii="Times New Roman" w:cs="Times New Roman" w:eastAsia="Times New Roman" w:hAnsi="Times New Roman"/>
          <w:sz w:val="20"/>
          <w:szCs w:val="20"/>
          <w:color w:val="auto"/>
        </w:rPr>
        <w:t xml:space="preserve"> shall not apply to such assignment), each assignee represents and warrants to the Company that such assignee is not a Competitor.</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subsection (c)</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to this Agreement and, to the extent of the interest assigned by such Assignment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7" w:name="page148"/>
    <w:bookmarkEnd w:id="14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with respect to facts and circumstances occurring prior to the effective date of such assignment (subject to the requirements and limitations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subsection (d)</w:t>
      </w:r>
      <w:r>
        <w:rPr>
          <w:rFonts w:ascii="Times New Roman" w:cs="Times New Roman" w:eastAsia="Times New Roman" w:hAnsi="Times New Roman"/>
          <w:sz w:val="20"/>
          <w:szCs w:val="20"/>
          <w:color w:val="auto"/>
        </w:rPr>
        <w:t xml:space="preserve"> of this Section.</w:t>
      </w:r>
    </w:p>
    <w:p>
      <w:pPr>
        <w:spacing w:after="0" w:line="192" w:lineRule="exact"/>
        <w:rPr>
          <w:sz w:val="20"/>
          <w:szCs w:val="20"/>
          <w:color w:val="auto"/>
        </w:rPr>
      </w:pPr>
    </w:p>
    <w:p>
      <w:pPr>
        <w:jc w:val="both"/>
        <w:ind w:left="380" w:firstLine="751"/>
        <w:spacing w:after="0" w:line="243" w:lineRule="auto"/>
        <w:tabs>
          <w:tab w:leader="none" w:pos="1525"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(and stated interest on)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(including within the meaning of section 151 Dutch Code of Civil Procedure)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each of the Borrowers and any Lender, at any reasonable time and from time to time upon reasonable prior notice.</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42" w:lineRule="auto"/>
        <w:tabs>
          <w:tab w:leader="none" w:pos="153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10.04(c)</w:t>
      </w:r>
      <w:r>
        <w:rPr>
          <w:rFonts w:ascii="Times New Roman" w:cs="Times New Roman" w:eastAsia="Times New Roman" w:hAnsi="Times New Roman"/>
          <w:sz w:val="20"/>
          <w:szCs w:val="20"/>
          <w:color w:val="auto"/>
        </w:rPr>
        <w:t xml:space="preserve"> without regard to the existence of any participation.</w:t>
      </w:r>
    </w:p>
    <w:p>
      <w:pPr>
        <w:spacing w:after="0" w:line="19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(subject to the requirements and limitations set forth therein)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8" w:name="page149"/>
    <w:bookmarkEnd w:id="148"/>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of (and stated interest on)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(including within the meaning of section 151 Dutch Code of Civil Procedure)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left="380" w:firstLine="751"/>
        <w:spacing w:after="0" w:line="249" w:lineRule="auto"/>
        <w:tabs>
          <w:tab w:leader="none" w:pos="152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0"/>
          <w:szCs w:val="20"/>
          <w:color w:val="auto"/>
        </w:rPr>
      </w:pPr>
    </w:p>
    <w:p>
      <w:pPr>
        <w:jc w:val="both"/>
        <w:ind w:left="380" w:firstLine="751"/>
        <w:spacing w:after="0" w:line="255" w:lineRule="auto"/>
        <w:tabs>
          <w:tab w:leader="none" w:pos="1525"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 as an L/C Issuer or Swing Line Lender after Assignment</w:t>
      </w:r>
      <w:r>
        <w:rPr>
          <w:rFonts w:ascii="Times New Roman" w:cs="Times New Roman" w:eastAsia="Times New Roman" w:hAnsi="Times New Roman"/>
          <w:sz w:val="19"/>
          <w:szCs w:val="19"/>
          <w:color w:val="auto"/>
        </w:rPr>
        <w:t xml:space="preserve">. Notwithstanding anything to the contrary contained herein, (i) if at any time Bank of America assigns all of its Commitment and Revolving Credit Loans pursuant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above, Bank of America may, (A) upon 30 days’ notice to the Company and the Lenders, resign as an L/C Issuer and/or (B) upon 30 days’ notice to the Company, resign as Swing Line Lender, and (ii) if at any time any other Lender acting as an L/C Issuer assigns all of its Commitment and Revolving Credit Loans pursuant to </w:t>
      </w:r>
      <w:r>
        <w:rPr>
          <w:rFonts w:ascii="Times New Roman" w:cs="Times New Roman" w:eastAsia="Times New Roman" w:hAnsi="Times New Roman"/>
          <w:sz w:val="19"/>
          <w:szCs w:val="19"/>
          <w:u w:val="single" w:color="auto"/>
          <w:color w:val="auto"/>
        </w:rPr>
        <w:t>subsection (b)</w:t>
      </w:r>
      <w:r>
        <w:rPr>
          <w:rFonts w:ascii="Times New Roman" w:cs="Times New Roman" w:eastAsia="Times New Roman" w:hAnsi="Times New Roman"/>
          <w:sz w:val="19"/>
          <w:szCs w:val="19"/>
          <w:color w:val="auto"/>
        </w:rPr>
        <w:t xml:space="preserve"> above, such Lender may, upon 30 days’ notice to the Company and the Lenders, resign as an L/C Issuer. In the event of any such resignation as an L/C Issuer or Swing Line Lender, the Company shall be entitled to appoint from among the Lenders a successor L/C Issuer or Swing Line Lender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failure by the Company to appoint any such successor shall affect the resignation of Bank of America as an L/C Issuer or Swing Line Lender, as the case may be, or any other Lender as an L/C Issuer. If Bank of America or any other Lender resigns as an L/C Issuer, it shall retain all the rights, powers, privileges and duties of an L/C Issuer hereunder with respect to all Letters of Credit outstanding and issued by it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Times New Roman" w:cs="Times New Roman" w:eastAsia="Times New Roman" w:hAnsi="Times New Roman"/>
          <w:sz w:val="19"/>
          <w:szCs w:val="19"/>
          <w:u w:val="single" w:color="auto"/>
          <w:color w:val="auto"/>
        </w:rPr>
        <w:t>Section 2.03(c)</w:t>
      </w:r>
      <w:r>
        <w:rPr>
          <w:rFonts w:ascii="Times New Roman" w:cs="Times New Roman" w:eastAsia="Times New Roman" w:hAnsi="Times New Roman"/>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Times New Roman" w:cs="Times New Roman" w:eastAsia="Times New Roman" w:hAnsi="Times New Roman"/>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49" w:name="page150"/>
    <w:bookmarkEnd w:id="149"/>
    <w:p>
      <w:pPr>
        <w:jc w:val="both"/>
        <w:ind w:left="380"/>
        <w:spacing w:after="0" w:line="245" w:lineRule="auto"/>
        <w:rPr>
          <w:sz w:val="20"/>
          <w:szCs w:val="20"/>
          <w:color w:val="auto"/>
        </w:rPr>
      </w:pP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reasonably satisfactory to Bank of America or such other retiring L/C Issuer, as the case may be, to effectively assume the obligations of Bank of America or such other retiring L/C Issuer, as the case may be, with respect to such Letters of Credit issued by it.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10.07 Treatment of Certain Information; Confidentiality. </w:t>
      </w:r>
      <w:r>
        <w:rPr>
          <w:rFonts w:ascii="Times New Roman" w:cs="Times New Roman" w:eastAsia="Times New Roman" w:hAnsi="Times New Roman"/>
          <w:sz w:val="20"/>
          <w:szCs w:val="20"/>
          <w:color w:val="auto"/>
        </w:rPr>
        <w:t>Each of the Administrative Agent, the Lenders and the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Issuers agree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or (ii) any actual or prospective 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Issuers acknowledge that (a) the Information may include material non-public information concerning the Company or a Subsidiary, as the</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0" w:name="page151"/>
    <w:bookmarkEnd w:id="150"/>
    <w:p>
      <w:pPr>
        <w:jc w:val="both"/>
        <w:spacing w:after="0" w:line="269" w:lineRule="auto"/>
        <w:rPr>
          <w:sz w:val="20"/>
          <w:szCs w:val="20"/>
          <w:color w:val="auto"/>
        </w:rPr>
      </w:pPr>
      <w:r>
        <w:rPr>
          <w:rFonts w:ascii="Times New Roman" w:cs="Times New Roman" w:eastAsia="Times New Roman" w:hAnsi="Times New Roman"/>
          <w:sz w:val="20"/>
          <w:szCs w:val="20"/>
          <w:color w:val="auto"/>
        </w:rPr>
        <w:t>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b w:val="1"/>
          <w:bCs w:val="1"/>
          <w:color w:val="auto"/>
        </w:rPr>
        <w:t xml:space="preserve">10.08 Right of Setoff. </w:t>
      </w:r>
      <w:r>
        <w:rPr>
          <w:rFonts w:ascii="Times New Roman" w:cs="Times New Roman" w:eastAsia="Times New Roman" w:hAnsi="Times New Roman"/>
          <w:sz w:val="19"/>
          <w:szCs w:val="19"/>
          <w:color w:val="auto"/>
        </w:rPr>
        <w:t>If an Event of Default shall have occurred and be continuing, each Lender, each L/C Issuer and each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against any and all of the obligations of such Borrower now or hereafter existing under this Agreement or any other Loan Document to such Lender or such L/C Issuer or their respective Affiliates, irrespective of whether or not such Lender, such L/C Issuer or such Affiliate shall have made any demand under this Agreement or any other Loan Document and although such obligations of such Borrower may be contingent or unmatured or are owed to a branch, office or Affiliate of such Lender or such L/C Issuer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10.09 Interest Rate Limitation. </w:t>
      </w:r>
      <w:r>
        <w:rPr>
          <w:rFonts w:ascii="Times New Roman" w:cs="Times New Roman" w:eastAsia="Times New Roman" w:hAnsi="Times New Roman"/>
          <w:sz w:val="20"/>
          <w:szCs w:val="20"/>
          <w:color w:val="auto"/>
        </w:rPr>
        <w:t>Notwithstanding anything to the contrary contained in any Loan Document, the interest paid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10.10 Integration; Effectiveness. </w:t>
      </w:r>
      <w:r>
        <w:rPr>
          <w:rFonts w:ascii="Times New Roman" w:cs="Times New Roman" w:eastAsia="Times New Roman" w:hAnsi="Times New Roman"/>
          <w:sz w:val="20"/>
          <w:szCs w:val="20"/>
          <w:color w:val="auto"/>
        </w:rPr>
        <w:t>This Agreement, the other Loan Documents, and any separate letter agreements with respect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fees payable to the Administrative Agent or any L/C Issuer, constitute the entire contract among the parties relating to the subject matter hereof and supersede any and all previous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1" w:name="page152"/>
    <w:bookmarkEnd w:id="15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7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10.11 Survival of Representations and Warranties. </w:t>
      </w:r>
      <w:r>
        <w:rPr>
          <w:rFonts w:ascii="Times New Roman" w:cs="Times New Roman" w:eastAsia="Times New Roman" w:hAnsi="Times New Roman"/>
          <w:sz w:val="20"/>
          <w:szCs w:val="20"/>
          <w:color w:val="auto"/>
        </w:rPr>
        <w:t>All representations and warranties made hereunder and in any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10.12 Severability. </w:t>
      </w:r>
      <w:r>
        <w:rPr>
          <w:rFonts w:ascii="Times New Roman" w:cs="Times New Roman" w:eastAsia="Times New Roman" w:hAnsi="Times New Roman"/>
          <w:sz w:val="20"/>
          <w:szCs w:val="20"/>
          <w:color w:val="auto"/>
        </w:rPr>
        <w:t>If any provision of this Agreement or the other Loan Documents is held to be illegal, invalid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10.13 Replacement of Lenders. </w:t>
      </w:r>
      <w:r>
        <w:rPr>
          <w:rFonts w:ascii="Times New Roman" w:cs="Times New Roman" w:eastAsia="Times New Roman" w:hAnsi="Times New Roman"/>
          <w:sz w:val="20"/>
          <w:szCs w:val="20"/>
          <w:color w:val="auto"/>
        </w:rPr>
        <w:t>If the Company is entitled to replace a Lender pursuant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or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3" w:lineRule="exact"/>
        <w:rPr>
          <w:sz w:val="20"/>
          <w:szCs w:val="20"/>
          <w:color w:val="auto"/>
        </w:rPr>
      </w:pPr>
    </w:p>
    <w:p>
      <w:pPr>
        <w:ind w:left="380" w:right="20" w:firstLine="751"/>
        <w:spacing w:after="0" w:line="269" w:lineRule="auto"/>
        <w:tabs>
          <w:tab w:leader="none" w:pos="152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(or caused a Designated Borrower to pay) to the Administrative Agent the assignment fee (if any) specified in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49" w:lineRule="auto"/>
        <w:tabs>
          <w:tab w:leader="none" w:pos="152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Company or applicable Designated Borrower (in the case of all other amounts);</w:t>
      </w:r>
    </w:p>
    <w:p>
      <w:pPr>
        <w:spacing w:after="0" w:line="179"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2" w:name="page153"/>
    <w:bookmarkEnd w:id="152"/>
    <w:p>
      <w:pPr>
        <w:ind w:left="380" w:right="20" w:firstLine="751"/>
        <w:spacing w:after="0" w:line="269" w:lineRule="auto"/>
        <w:tabs>
          <w:tab w:leader="none" w:pos="152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Times New Roman" w:cs="Times New Roman" w:eastAsia="Times New Roman" w:hAnsi="Times New Roman"/>
          <w:sz w:val="19"/>
          <w:szCs w:val="19"/>
          <w:b w:val="1"/>
          <w:bCs w:val="1"/>
          <w:color w:val="auto"/>
        </w:rPr>
        <w:t>Governing Law; Jurisdiction; Etc</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left="380" w:firstLine="751"/>
        <w:spacing w:after="0" w:line="245" w:lineRule="auto"/>
        <w:tabs>
          <w:tab w:leader="none" w:pos="157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4" w:lineRule="exact"/>
        <w:rPr>
          <w:rFonts w:ascii="Times New Roman" w:cs="Times New Roman" w:eastAsia="Times New Roman" w:hAnsi="Times New Roman"/>
          <w:sz w:val="20"/>
          <w:szCs w:val="20"/>
          <w:color w:val="auto"/>
        </w:rPr>
      </w:pPr>
    </w:p>
    <w:p>
      <w:pPr>
        <w:jc w:val="both"/>
        <w:ind w:left="380" w:firstLine="751"/>
        <w:spacing w:after="0" w:line="242" w:lineRule="auto"/>
        <w:tabs>
          <w:tab w:leader="none" w:pos="152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EXCEPT TO THE EXTENT MANDATED BY APPLICABLE LAW OR RULES OF PROCEDURE, OR AS OTHERWISE EXPRESSLY REQUIRED IN ANY OTHER LOAN DOCUMENT,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3" w:name="page154"/>
    <w:bookmarkEnd w:id="153"/>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 JURISDICTION.</w:t>
      </w:r>
    </w:p>
    <w:p>
      <w:pPr>
        <w:spacing w:after="0" w:line="186" w:lineRule="exact"/>
        <w:rPr>
          <w:sz w:val="20"/>
          <w:szCs w:val="20"/>
          <w:color w:val="auto"/>
        </w:rPr>
      </w:pPr>
    </w:p>
    <w:p>
      <w:pPr>
        <w:jc w:val="both"/>
        <w:ind w:left="380" w:firstLine="751"/>
        <w:spacing w:after="0" w:line="244" w:lineRule="auto"/>
        <w:tabs>
          <w:tab w:leader="none" w:pos="152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3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0" w:lineRule="exact"/>
        <w:rPr>
          <w:rFonts w:ascii="Times New Roman" w:cs="Times New Roman" w:eastAsia="Times New Roman" w:hAnsi="Times New Roman"/>
          <w:sz w:val="20"/>
          <w:szCs w:val="20"/>
          <w:color w:val="auto"/>
        </w:rPr>
      </w:pPr>
    </w:p>
    <w:p>
      <w:pPr>
        <w:jc w:val="both"/>
        <w:ind w:left="380" w:firstLine="751"/>
        <w:spacing w:after="0" w:line="250" w:lineRule="auto"/>
        <w:tabs>
          <w:tab w:leader="none" w:pos="152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Power of Attorney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Each party acknowledges and accepts that, if a party is represented by an attorney in connection with the signing and/or execution of this Agreement or any other agreement, deed or document referred to in this Agreement or made pursuant to this Agreement, and the power of attorney is governed by Dutch law, that the existence and extent of the attorney’s authority and the effects of the attorney's exercise or purported exercise of its authority shall be governed by Dutch law.</w:t>
      </w:r>
    </w:p>
    <w:p>
      <w:pPr>
        <w:spacing w:after="0" w:line="175" w:lineRule="exact"/>
        <w:rPr>
          <w:rFonts w:ascii="Times New Roman" w:cs="Times New Roman" w:eastAsia="Times New Roman" w:hAnsi="Times New Roman"/>
          <w:sz w:val="20"/>
          <w:szCs w:val="20"/>
          <w:color w:val="auto"/>
        </w:rPr>
      </w:pPr>
    </w:p>
    <w:p>
      <w:pPr>
        <w:jc w:val="both"/>
        <w:ind w:left="380" w:firstLine="751"/>
        <w:spacing w:after="0" w:line="256" w:lineRule="auto"/>
        <w:tabs>
          <w:tab w:leader="none" w:pos="1525"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Instruction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Each Loan Party waives any right or power to vote as a creditor of any Loan Party incorporated in the Netherlands or its estate other than in accordance with the instruction of the Administrative Agent for an </w:t>
      </w:r>
      <w:r>
        <w:rPr>
          <w:rFonts w:ascii="Times New Roman" w:cs="Times New Roman" w:eastAsia="Times New Roman" w:hAnsi="Times New Roman"/>
          <w:sz w:val="20"/>
          <w:szCs w:val="20"/>
          <w:i w:val="1"/>
          <w:iCs w:val="1"/>
          <w:color w:val="auto"/>
        </w:rPr>
        <w:t>akkoord</w:t>
      </w:r>
      <w:r>
        <w:rPr>
          <w:rFonts w:ascii="Times New Roman" w:cs="Times New Roman" w:eastAsia="Times New Roman" w:hAnsi="Times New Roman"/>
          <w:sz w:val="20"/>
          <w:szCs w:val="20"/>
          <w:color w:val="auto"/>
        </w:rPr>
        <w:t xml:space="preserve"> within the meaning of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10.15 Waiver of Jury Trial. </w:t>
      </w:r>
      <w:r>
        <w:rPr>
          <w:rFonts w:ascii="Times New Roman" w:cs="Times New Roman" w:eastAsia="Times New Roman" w:hAnsi="Times New Roman"/>
          <w:sz w:val="20"/>
          <w:szCs w:val="20"/>
          <w:color w:val="auto"/>
        </w:rPr>
        <w:t>EACH PARTY HERETO HEREBY IRREVOCABLY WAIVES, TO THE FULLEST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4" w:name="page155"/>
    <w:bookmarkEnd w:id="154"/>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10.16 No Advisory or Fiduciary Responsibility. </w:t>
      </w:r>
      <w:r>
        <w:rPr>
          <w:rFonts w:ascii="Times New Roman" w:cs="Times New Roman" w:eastAsia="Times New Roman" w:hAnsi="Times New Roman"/>
          <w:sz w:val="20"/>
          <w:szCs w:val="20"/>
          <w:color w:val="auto"/>
        </w:rPr>
        <w:t>In connection with all aspects of each transaction contemplated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the Arrangers nor any Lender has any obligation to such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such Borrower and its Affiliates, and neither the Administrative Agent, the Arrangers nor any Lender has any obligation to disclose any of such interests to any Borrower or any of their respective Affiliates. To the fullest extent permitted by law, each of the Borrowers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9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10.17 Electronic Execution; Electronic Records; Counterparts. </w:t>
      </w:r>
      <w:r>
        <w:rPr>
          <w:rFonts w:ascii="Times New Roman" w:cs="Times New Roman" w:eastAsia="Times New Roman" w:hAnsi="Times New Roman"/>
          <w:sz w:val="20"/>
          <w:szCs w:val="20"/>
          <w:color w:val="auto"/>
        </w:rPr>
        <w:t>This Agreement, any Loan Document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55" w:name="page156"/>
    <w:bookmarkEnd w:id="155"/>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Neither the Administrative Agent, any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10.18 USA PATRIOT Act. </w:t>
      </w:r>
      <w:r>
        <w:rPr>
          <w:rFonts w:ascii="Times New Roman" w:cs="Times New Roman" w:eastAsia="Times New Roman" w:hAnsi="Times New Roman"/>
          <w:sz w:val="20"/>
          <w:szCs w:val="20"/>
          <w:color w:val="auto"/>
        </w:rPr>
        <w:t>Each Lender that is subject to the Act (as hereinafter defined) and the Administrative Agent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10.19 Keepwell. </w:t>
      </w:r>
      <w:r>
        <w:rPr>
          <w:rFonts w:ascii="Times New Roman" w:cs="Times New Roman" w:eastAsia="Times New Roman" w:hAnsi="Times New Roman"/>
          <w:sz w:val="20"/>
          <w:szCs w:val="20"/>
          <w:color w:val="auto"/>
        </w:rPr>
        <w:t>The Company hereby absolutely, unconditionally and irrevocably undertakes to provide such funds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support to each Subsidiary Guarantor as may be needed by such Subsidiary Guarantor from time to time to honor all of its obligations under the Subsidiary Guaranty to which it is a party and the other Loan Documents to which it is a party in respect of Swap Obligations that would, in absence of the agreement in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otherwise constitute Excluded Swap Obligations (but, in each case, only up to the maximum amount of such liability that can be hereby incurred without rendering the Company’s obligations and undertakings under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the Company under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shall remain in full force and effect until the Obligations have been indefeasibly paid and performed in full. The Company intends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Subsidiary Guarantor for all purposes of the Commodity Exchange Act.</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10.20 Judgment Currency. </w:t>
      </w:r>
      <w:r>
        <w:rPr>
          <w:rFonts w:ascii="Times New Roman" w:cs="Times New Roman" w:eastAsia="Times New Roman" w:hAnsi="Times New Roman"/>
          <w:sz w:val="20"/>
          <w:szCs w:val="20"/>
          <w:color w:val="auto"/>
        </w:rPr>
        <w:t>If, for the purposes of obtaining judgment in any court, it is necessary to convert a sum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6" w:name="page157"/>
    <w:bookmarkEnd w:id="156"/>
    <w:p>
      <w:pPr>
        <w:jc w:val="both"/>
        <w:spacing w:after="0" w:line="242" w:lineRule="auto"/>
        <w:rPr>
          <w:sz w:val="20"/>
          <w:szCs w:val="20"/>
          <w:color w:val="auto"/>
        </w:rPr>
      </w:pPr>
      <w:r>
        <w:rPr>
          <w:rFonts w:ascii="Times New Roman" w:cs="Times New Roman" w:eastAsia="Times New Roman" w:hAnsi="Times New Roman"/>
          <w:sz w:val="20"/>
          <w:szCs w:val="20"/>
          <w:color w:val="auto"/>
        </w:rPr>
        <w:t>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10.21 Amendment and Restatement; No Novation. </w:t>
      </w:r>
      <w:r>
        <w:rPr>
          <w:rFonts w:ascii="Times New Roman" w:cs="Times New Roman" w:eastAsia="Times New Roman" w:hAnsi="Times New Roman"/>
          <w:sz w:val="20"/>
          <w:szCs w:val="20"/>
          <w:color w:val="auto"/>
        </w:rPr>
        <w:t>This Agreement constitutes an amendment and restatement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Applicable Percentages of the Lenders hereunder and the Borrowers agree to pay any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in connection with such transfers as if all Loans under the Existing Credit Agreement were repaid on the Closing Date, to the extent not waived by the applicable Lenders.</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10.22 Acknowledgment and Consent to Bail-In of Affected Financial Institutions. </w:t>
      </w:r>
      <w:r>
        <w:rPr>
          <w:rFonts w:ascii="Times New Roman" w:cs="Times New Roman" w:eastAsia="Times New Roman" w:hAnsi="Times New Roman"/>
          <w:sz w:val="20"/>
          <w:szCs w:val="20"/>
          <w:color w:val="auto"/>
        </w:rPr>
        <w:t>Solely to the extent any Lender or L/C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ind w:left="380" w:right="20" w:firstLine="751"/>
        <w:spacing w:after="0" w:line="269" w:lineRule="auto"/>
        <w:tabs>
          <w:tab w:leader="none" w:pos="1525"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5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280" w:hanging="400"/>
        <w:spacing w:after="0"/>
        <w:tabs>
          <w:tab w:leader="none" w:pos="228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7" w:name="page158"/>
    <w:bookmarkEnd w:id="157"/>
    <w:p>
      <w:pPr>
        <w:ind w:left="1140"/>
        <w:spacing w:after="0" w:line="269" w:lineRule="auto"/>
        <w:rPr>
          <w:sz w:val="20"/>
          <w:szCs w:val="20"/>
          <w:color w:val="auto"/>
        </w:rPr>
      </w:pPr>
      <w:r>
        <w:rPr>
          <w:rFonts w:ascii="Times New Roman" w:cs="Times New Roman" w:eastAsia="Times New Roman" w:hAnsi="Times New Roman"/>
          <w:sz w:val="20"/>
          <w:szCs w:val="20"/>
          <w:color w:val="auto"/>
        </w:rPr>
        <w:t>of ownership will be accepted by it in lieu of any rights with respect to any such liability under this Agreement or any other Loan Document; or</w:t>
      </w:r>
    </w:p>
    <w:p>
      <w:pPr>
        <w:spacing w:after="0" w:line="159" w:lineRule="exact"/>
        <w:rPr>
          <w:sz w:val="20"/>
          <w:szCs w:val="20"/>
          <w:color w:val="auto"/>
        </w:rPr>
      </w:pPr>
    </w:p>
    <w:p>
      <w:pPr>
        <w:ind w:left="1140" w:right="20" w:firstLine="740"/>
        <w:spacing w:after="0" w:line="269" w:lineRule="auto"/>
        <w:tabs>
          <w:tab w:leader="none" w:pos="228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b w:val="1"/>
          <w:bCs w:val="1"/>
          <w:color w:val="auto"/>
        </w:rPr>
        <w:t>10.23 Acknowledgement Regarding Any Supported QFCs</w:t>
      </w:r>
      <w:r>
        <w:rPr>
          <w:rFonts w:ascii="Times New Roman" w:cs="Times New Roman" w:eastAsia="Times New Roman" w:hAnsi="Times New Roman"/>
          <w:sz w:val="19"/>
          <w:szCs w:val="19"/>
          <w:color w:val="auto"/>
        </w:rPr>
        <w:t>. To the extent that the Loan Documents provide support, through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0" w:lineRule="exact"/>
        <w:rPr>
          <w:sz w:val="20"/>
          <w:szCs w:val="20"/>
          <w:color w:val="auto"/>
        </w:rPr>
      </w:pPr>
    </w:p>
    <w:p>
      <w:pPr>
        <w:jc w:val="both"/>
        <w:ind w:left="380" w:firstLine="751"/>
        <w:spacing w:after="0" w:line="256" w:lineRule="auto"/>
        <w:tabs>
          <w:tab w:leader="none" w:pos="1525"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3" w:lineRule="exact"/>
        <w:rPr>
          <w:rFonts w:ascii="Times New Roman" w:cs="Times New Roman" w:eastAsia="Times New Roman" w:hAnsi="Times New Roman"/>
          <w:sz w:val="19"/>
          <w:szCs w:val="19"/>
          <w:color w:val="auto"/>
        </w:rPr>
      </w:pPr>
    </w:p>
    <w:p>
      <w:pPr>
        <w:ind w:left="1520" w:hanging="389"/>
        <w:spacing w:after="0"/>
        <w:tabs>
          <w:tab w:leader="none" w:pos="152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the following terms have the following meanings:</w:t>
      </w:r>
    </w:p>
    <w:p>
      <w:pPr>
        <w:spacing w:after="0" w:line="216" w:lineRule="exact"/>
        <w:rPr>
          <w:sz w:val="20"/>
          <w:szCs w:val="20"/>
          <w:color w:val="auto"/>
        </w:rPr>
      </w:pPr>
    </w:p>
    <w:p>
      <w:pPr>
        <w:jc w:val="both"/>
        <w:ind w:left="1220" w:firstLine="65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left="1220" w:firstLine="65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0" w:lineRule="exact"/>
        <w:rPr>
          <w:sz w:val="20"/>
          <w:szCs w:val="20"/>
          <w:color w:val="auto"/>
        </w:rPr>
      </w:pPr>
    </w:p>
    <w:p>
      <w:pPr>
        <w:jc w:val="both"/>
        <w:ind w:left="1220" w:firstLine="65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1220" w:right="20" w:firstLine="65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58" w:name="page159"/>
    <w:bookmarkEnd w:id="158"/>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10.24 Press Releases </w:t>
      </w:r>
      <w:r>
        <w:rPr>
          <w:rFonts w:ascii="Times New Roman" w:cs="Times New Roman" w:eastAsia="Times New Roman" w:hAnsi="Times New Roman"/>
          <w:sz w:val="20"/>
          <w:szCs w:val="20"/>
          <w:color w:val="auto"/>
        </w:rPr>
        <w:t>. Each Borrower, on behalf of itself and its Affiliates, agrees that it will not in the future issue any press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releases or other public disclosure using the name of the Administrative Agent, any Arranger or any Lender or their respective Affiliates or referring to this Agreement or any of the Loan Documents without the prior written consent of the Administrative Agent, unless (and only to the extent that) such Borrower or such Affiliate is required to do so under Applicable Law and then, in any event such Borrower or such Affiliate will consult with the Administrative Agent, such Arranger, such Lender or such Affiliate of any of the foregoing, as applicable, before issuing such press release or other public disclosure.</w:t>
      </w:r>
    </w:p>
    <w:p>
      <w:pPr>
        <w:spacing w:after="0" w:line="17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10.25</w:t>
      </w:r>
      <w:r>
        <w:rPr>
          <w:sz w:val="20"/>
          <w:szCs w:val="20"/>
          <w:color w:val="auto"/>
        </w:rPr>
        <w:tab/>
      </w:r>
      <w:r>
        <w:rPr>
          <w:rFonts w:ascii="Times New Roman" w:cs="Times New Roman" w:eastAsia="Times New Roman" w:hAnsi="Times New Roman"/>
          <w:sz w:val="20"/>
          <w:szCs w:val="20"/>
          <w:b w:val="1"/>
          <w:bCs w:val="1"/>
          <w:color w:val="auto"/>
        </w:rPr>
        <w:t>Parallel Debt.</w:t>
      </w:r>
    </w:p>
    <w:p>
      <w:pPr>
        <w:spacing w:after="0" w:line="220" w:lineRule="exact"/>
        <w:rPr>
          <w:sz w:val="20"/>
          <w:szCs w:val="20"/>
          <w:color w:val="auto"/>
        </w:rPr>
      </w:pPr>
    </w:p>
    <w:p>
      <w:pPr>
        <w:jc w:val="both"/>
        <w:ind w:left="380" w:firstLine="751"/>
        <w:spacing w:after="0" w:line="274" w:lineRule="auto"/>
        <w:tabs>
          <w:tab w:leader="none" w:pos="1525"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Party hereby irrevocably and unconditionally undertakes to pay to Bank of America, N.A. in its capacity as Administrative Agent amounts equal to the amounts due in respect of such Loan Party's Corresponding Obligations as they may exist from time to time. The payment undertakings of each Loan Party under this </w:t>
      </w:r>
      <w:r>
        <w:rPr>
          <w:rFonts w:ascii="Times New Roman" w:cs="Times New Roman" w:eastAsia="Times New Roman" w:hAnsi="Times New Roman"/>
          <w:sz w:val="19"/>
          <w:szCs w:val="19"/>
          <w:u w:val="single" w:color="auto"/>
          <w:color w:val="auto"/>
        </w:rPr>
        <w:t>Section 10.25</w:t>
      </w:r>
      <w:r>
        <w:rPr>
          <w:rFonts w:ascii="Times New Roman" w:cs="Times New Roman" w:eastAsia="Times New Roman" w:hAnsi="Times New Roman"/>
          <w:sz w:val="19"/>
          <w:szCs w:val="19"/>
          <w:color w:val="auto"/>
        </w:rPr>
        <w:t xml:space="preserve"> are each to be referred to as a "Parallel Debt".</w:t>
      </w:r>
    </w:p>
    <w:p>
      <w:pPr>
        <w:spacing w:after="0" w:line="156" w:lineRule="exact"/>
        <w:rPr>
          <w:rFonts w:ascii="Times New Roman" w:cs="Times New Roman" w:eastAsia="Times New Roman" w:hAnsi="Times New Roman"/>
          <w:sz w:val="19"/>
          <w:szCs w:val="19"/>
          <w:color w:val="auto"/>
        </w:rPr>
      </w:pPr>
    </w:p>
    <w:p>
      <w:pPr>
        <w:jc w:val="both"/>
        <w:ind w:left="380" w:firstLine="751"/>
        <w:spacing w:after="0" w:line="249" w:lineRule="auto"/>
        <w:tabs>
          <w:tab w:leader="none" w:pos="152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Parallel Debt will be payable in the currency or currencies of the relevant Corresponding Obligations and will become due and payable as and when and to the extent the relevant Corresponding Obligations become due and payable. An Event of Default in respect of the payment of the Corresponding Obligations shall constitute a default within the meaning of section 3:248 Dutch Civil Code with respect to the payment of the Parallel Debts without any notice being required.</w:t>
      </w:r>
    </w:p>
    <w:p>
      <w:pPr>
        <w:spacing w:after="0" w:line="179" w:lineRule="exact"/>
        <w:rPr>
          <w:rFonts w:ascii="Times New Roman" w:cs="Times New Roman" w:eastAsia="Times New Roman" w:hAnsi="Times New Roman"/>
          <w:sz w:val="20"/>
          <w:szCs w:val="20"/>
          <w:color w:val="auto"/>
        </w:rPr>
      </w:pPr>
    </w:p>
    <w:p>
      <w:pPr>
        <w:ind w:left="1520" w:hanging="389"/>
        <w:spacing w:after="0"/>
        <w:tabs>
          <w:tab w:leader="none" w:pos="152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to this Agreement hereby acknowledges that:</w:t>
      </w:r>
    </w:p>
    <w:p>
      <w:pPr>
        <w:spacing w:after="0" w:line="215" w:lineRule="exact"/>
        <w:rPr>
          <w:rFonts w:ascii="Times New Roman" w:cs="Times New Roman" w:eastAsia="Times New Roman" w:hAnsi="Times New Roman"/>
          <w:sz w:val="20"/>
          <w:szCs w:val="20"/>
          <w:color w:val="auto"/>
        </w:rPr>
      </w:pPr>
    </w:p>
    <w:p>
      <w:pPr>
        <w:ind w:left="1140" w:right="40" w:firstLine="740"/>
        <w:spacing w:after="0" w:line="269" w:lineRule="auto"/>
        <w:tabs>
          <w:tab w:leader="none" w:pos="2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Parallel Debt constitutes an undertaking, obligation and liability to the Administrative Agent which is separate and independent from, and without prejudice to, the Corresponding Obligations of the relevant Loan Party; and</w:t>
      </w:r>
    </w:p>
    <w:p>
      <w:pPr>
        <w:spacing w:after="0" w:line="159" w:lineRule="exact"/>
        <w:rPr>
          <w:rFonts w:ascii="Times New Roman" w:cs="Times New Roman" w:eastAsia="Times New Roman" w:hAnsi="Times New Roman"/>
          <w:sz w:val="20"/>
          <w:szCs w:val="20"/>
          <w:color w:val="auto"/>
        </w:rPr>
      </w:pPr>
    </w:p>
    <w:p>
      <w:pPr>
        <w:ind w:left="1140" w:right="60" w:firstLine="740"/>
        <w:spacing w:after="0" w:line="269" w:lineRule="auto"/>
        <w:tabs>
          <w:tab w:leader="none" w:pos="2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Parallel Debt represents the Administrative Agent’s own separate and independent claim to receive payment of each Parallel Debt from the relevant Loan Party,</w:t>
      </w:r>
    </w:p>
    <w:p>
      <w:pPr>
        <w:spacing w:after="0" w:line="159" w:lineRule="exact"/>
        <w:rPr>
          <w:rFonts w:ascii="Times New Roman" w:cs="Times New Roman" w:eastAsia="Times New Roman" w:hAnsi="Times New Roman"/>
          <w:sz w:val="20"/>
          <w:szCs w:val="20"/>
          <w:color w:val="auto"/>
        </w:rPr>
      </w:pPr>
    </w:p>
    <w:p>
      <w:pPr>
        <w:jc w:val="both"/>
        <w:ind w:left="1140" w:firstLine="740"/>
        <w:spacing w:after="0" w:line="254" w:lineRule="auto"/>
        <w:tabs>
          <w:tab w:leader="none" w:pos="228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being understood, in each case, that the amounts which may be payable by each Loan Party as Parallel Debt at any time shall never exceed the total of the amounts which are payable under or in connection with the Corresponding Obligations at that time.</w:t>
      </w:r>
    </w:p>
    <w:p>
      <w:pPr>
        <w:spacing w:after="0" w:line="174" w:lineRule="exact"/>
        <w:rPr>
          <w:rFonts w:ascii="Times New Roman" w:cs="Times New Roman" w:eastAsia="Times New Roman" w:hAnsi="Times New Roman"/>
          <w:sz w:val="20"/>
          <w:szCs w:val="20"/>
          <w:color w:val="auto"/>
        </w:rPr>
      </w:pPr>
    </w:p>
    <w:p>
      <w:pPr>
        <w:ind w:left="380" w:right="20" w:firstLine="751"/>
        <w:spacing w:after="0" w:line="269" w:lineRule="auto"/>
        <w:tabs>
          <w:tab w:leader="none" w:pos="152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paid by a Loan Party to the Administrative Agent in respect of a Parallel Debt will discharge the liability of the Loan Party under the Corresponding Obligations in an equal amount.</w:t>
      </w:r>
    </w:p>
    <w:p>
      <w:pPr>
        <w:spacing w:after="0" w:line="159" w:lineRule="exact"/>
        <w:rPr>
          <w:rFonts w:ascii="Times New Roman" w:cs="Times New Roman" w:eastAsia="Times New Roman" w:hAnsi="Times New Roman"/>
          <w:sz w:val="20"/>
          <w:szCs w:val="20"/>
          <w:color w:val="auto"/>
        </w:rPr>
      </w:pPr>
    </w:p>
    <w:p>
      <w:pPr>
        <w:ind w:left="380" w:firstLine="751"/>
        <w:spacing w:after="0" w:line="269" w:lineRule="auto"/>
        <w:tabs>
          <w:tab w:leader="none" w:pos="152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 of this </w:t>
      </w:r>
      <w:r>
        <w:rPr>
          <w:rFonts w:ascii="Times New Roman" w:cs="Times New Roman" w:eastAsia="Times New Roman" w:hAnsi="Times New Roman"/>
          <w:sz w:val="20"/>
          <w:szCs w:val="20"/>
          <w:u w:val="single" w:color="auto"/>
          <w:color w:val="auto"/>
        </w:rPr>
        <w:t>Section 10.25</w:t>
      </w:r>
      <w:r>
        <w:rPr>
          <w:rFonts w:ascii="Times New Roman" w:cs="Times New Roman" w:eastAsia="Times New Roman" w:hAnsi="Times New Roman"/>
          <w:sz w:val="20"/>
          <w:szCs w:val="20"/>
          <w:color w:val="auto"/>
        </w:rPr>
        <w:t>, the Administrative Agent acts in its own name and for the benefit of the Secured Parties, but not as representative of the Secured Parties.</w:t>
      </w:r>
    </w:p>
    <w:p>
      <w:pPr>
        <w:spacing w:after="0" w:line="159" w:lineRule="exact"/>
        <w:rPr>
          <w:rFonts w:ascii="Times New Roman" w:cs="Times New Roman" w:eastAsia="Times New Roman" w:hAnsi="Times New Roman"/>
          <w:sz w:val="20"/>
          <w:szCs w:val="20"/>
          <w:color w:val="auto"/>
        </w:rPr>
      </w:pPr>
    </w:p>
    <w:p>
      <w:pPr>
        <w:jc w:val="both"/>
        <w:ind w:left="380" w:firstLine="751"/>
        <w:spacing w:after="0" w:line="254" w:lineRule="auto"/>
        <w:tabs>
          <w:tab w:leader="none" w:pos="1525"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Lien governed by Dutch law, any resignation by, or removal of, the Administrative Agent is not effective with respect to its rights under the Parallel Debts until all rights and obligations under the Parallel Debts have been assigned and assumed to a successor administrative agent.</w:t>
      </w:r>
    </w:p>
    <w:p>
      <w:pPr>
        <w:spacing w:after="0" w:line="174" w:lineRule="exact"/>
        <w:rPr>
          <w:rFonts w:ascii="Times New Roman" w:cs="Times New Roman" w:eastAsia="Times New Roman" w:hAnsi="Times New Roman"/>
          <w:sz w:val="20"/>
          <w:szCs w:val="20"/>
          <w:color w:val="auto"/>
        </w:rPr>
      </w:pPr>
    </w:p>
    <w:p>
      <w:pPr>
        <w:jc w:val="both"/>
        <w:ind w:left="380" w:firstLine="751"/>
        <w:spacing w:after="0" w:line="266" w:lineRule="auto"/>
        <w:tabs>
          <w:tab w:leader="none" w:pos="1525"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will reasonably cooperate in assigning its rights and obligations under the Parallel Debts to a successor administrative agent and will reasonably cooperate in transferring all rights and obligations under any Netherlands Security Document to such successor administrative agent. All other parties to this Agreement hereby, in advance, irrevocably grant their cooperation (</w:t>
      </w:r>
      <w:r>
        <w:rPr>
          <w:rFonts w:ascii="Times New Roman" w:cs="Times New Roman" w:eastAsia="Times New Roman" w:hAnsi="Times New Roman"/>
          <w:sz w:val="19"/>
          <w:szCs w:val="19"/>
          <w:i w:val="1"/>
          <w:iCs w:val="1"/>
          <w:color w:val="auto"/>
        </w:rPr>
        <w:t>medewerking</w:t>
      </w:r>
      <w:r>
        <w:rPr>
          <w:rFonts w:ascii="Times New Roman" w:cs="Times New Roman" w:eastAsia="Times New Roman" w:hAnsi="Times New Roman"/>
          <w:sz w:val="19"/>
          <w:szCs w:val="19"/>
          <w:color w:val="auto"/>
        </w:rPr>
        <w:t>) to such transfer of all rights and obligations by the Administrative Agent to a successor administrative agent.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59" w:name="page160"/>
    <w:bookmarkEnd w:id="159"/>
    <w:p>
      <w:pPr>
        <w:jc w:val="right"/>
        <w:ind w:right="3519"/>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39"/>
          </w:cols>
          <w:pgMar w:left="620" w:top="1332" w:right="1440" w:bottom="1440" w:gutter="0" w:footer="0" w:header="0"/>
        </w:sectPr>
      </w:pPr>
    </w:p>
    <w:bookmarkStart w:id="160" w:name="page161"/>
    <w:bookmarkEnd w:id="160"/>
    <w:p>
      <w:pPr>
        <w:ind w:firstLine="749"/>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IN WITNESS WHEREOF, </w:t>
      </w:r>
      <w:r>
        <w:rPr>
          <w:rFonts w:ascii="Times New Roman" w:cs="Times New Roman" w:eastAsia="Times New Roman" w:hAnsi="Times New Roman"/>
          <w:sz w:val="20"/>
          <w:szCs w:val="20"/>
          <w:color w:val="auto"/>
        </w:rPr>
        <w:t>the parties hereto have caused this Fourth Amended and Restated Credit Agreement to be duly executed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 of the date first above written.</w:t>
      </w:r>
    </w:p>
    <w:p>
      <w:pPr>
        <w:spacing w:after="0" w:line="1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CECO ENVIRONMENTAL CORP.</w:t>
      </w:r>
    </w:p>
    <w:p>
      <w:pPr>
        <w:spacing w:after="0" w:line="200" w:lineRule="exact"/>
        <w:rPr>
          <w:sz w:val="20"/>
          <w:szCs w:val="20"/>
          <w:color w:val="auto"/>
        </w:rPr>
      </w:pPr>
    </w:p>
    <w:p>
      <w:pPr>
        <w:spacing w:after="0" w:line="35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3102610</wp:posOffset>
            </wp:positionH>
            <wp:positionV relativeFrom="paragraph">
              <wp:posOffset>-10795</wp:posOffset>
            </wp:positionV>
            <wp:extent cx="101155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Peter Johansson</w:t>
      </w:r>
    </w:p>
    <w:p>
      <w:pPr>
        <w:ind w:left="4500"/>
        <w:spacing w:after="0"/>
        <w:tabs>
          <w:tab w:leader="none" w:pos="5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161" w:name="page162"/>
    <w:bookmarkEnd w:id="161"/>
    <w:p>
      <w:pPr>
        <w:ind w:left="3380"/>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Administrative Agent</w:t>
      </w:r>
    </w:p>
    <w:p>
      <w:pPr>
        <w:spacing w:after="0" w:line="200" w:lineRule="exact"/>
        <w:rPr>
          <w:sz w:val="20"/>
          <w:szCs w:val="20"/>
          <w:color w:val="auto"/>
        </w:rPr>
      </w:pPr>
    </w:p>
    <w:p>
      <w:pPr>
        <w:spacing w:after="0" w:line="3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Kyle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Kyle D Harding</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36" w:right="1440" w:bottom="1440" w:gutter="0" w:footer="0" w:header="0"/>
        </w:sectPr>
      </w:pPr>
    </w:p>
    <w:bookmarkStart w:id="162" w:name="page163"/>
    <w:bookmarkEnd w:id="162"/>
    <w:p>
      <w:pPr>
        <w:ind w:left="3380"/>
        <w:spacing w:after="0"/>
        <w:rPr>
          <w:sz w:val="20"/>
          <w:szCs w:val="20"/>
          <w:color w:val="auto"/>
        </w:rPr>
      </w:pPr>
      <w:r>
        <w:rPr>
          <w:rFonts w:ascii="Times New Roman" w:cs="Times New Roman" w:eastAsia="Times New Roman" w:hAnsi="Times New Roman"/>
          <w:sz w:val="19"/>
          <w:szCs w:val="19"/>
          <w:b w:val="1"/>
          <w:bCs w:val="1"/>
          <w:color w:val="auto"/>
        </w:rPr>
        <w:t xml:space="preserve">BANK OF AMERICA, N.A., </w:t>
      </w:r>
      <w:r>
        <w:rPr>
          <w:rFonts w:ascii="Times New Roman" w:cs="Times New Roman" w:eastAsia="Times New Roman" w:hAnsi="Times New Roman"/>
          <w:sz w:val="19"/>
          <w:szCs w:val="19"/>
          <w:color w:val="auto"/>
        </w:rPr>
        <w:t>as a Lender, an L/C Issuer and Swing Line Lender</w:t>
      </w:r>
    </w:p>
    <w:p>
      <w:pPr>
        <w:spacing w:after="0" w:line="200" w:lineRule="exact"/>
        <w:rPr>
          <w:sz w:val="20"/>
          <w:szCs w:val="20"/>
          <w:color w:val="auto"/>
        </w:rPr>
      </w:pPr>
    </w:p>
    <w:p>
      <w:pPr>
        <w:spacing w:after="0" w:line="36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Gregg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21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Gregg Bush</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0"/>
          </w:cols>
          <w:pgMar w:left="1440" w:top="1436" w:right="599" w:bottom="1440" w:gutter="0" w:footer="0" w:header="0"/>
        </w:sectPr>
      </w:pPr>
    </w:p>
    <w:bookmarkStart w:id="163" w:name="page164"/>
    <w:bookmarkEnd w:id="163"/>
    <w:p>
      <w:pPr>
        <w:ind w:left="3380"/>
        <w:spacing w:after="0"/>
        <w:rPr>
          <w:sz w:val="20"/>
          <w:szCs w:val="20"/>
          <w:color w:val="auto"/>
        </w:rPr>
      </w:pPr>
      <w:r>
        <w:rPr>
          <w:rFonts w:ascii="Times New Roman" w:cs="Times New Roman" w:eastAsia="Times New Roman" w:hAnsi="Times New Roman"/>
          <w:sz w:val="19"/>
          <w:szCs w:val="19"/>
          <w:b w:val="1"/>
          <w:bCs w:val="1"/>
          <w:color w:val="auto"/>
        </w:rPr>
        <w:t xml:space="preserve">THE TORONTO-DOMINION BANK, NEW YORK BRANCH, </w:t>
      </w:r>
      <w:r>
        <w:rPr>
          <w:rFonts w:ascii="Times New Roman" w:cs="Times New Roman" w:eastAsia="Times New Roman" w:hAnsi="Times New Roman"/>
          <w:sz w:val="19"/>
          <w:szCs w:val="19"/>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David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David Perlman</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12"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0"/>
          </w:cols>
          <w:pgMar w:left="1440" w:top="1328" w:right="699" w:bottom="1440" w:gutter="0" w:footer="0" w:header="0"/>
        </w:sectPr>
      </w:pPr>
    </w:p>
    <w:bookmarkStart w:id="164" w:name="page165"/>
    <w:bookmarkEnd w:id="164"/>
    <w:p>
      <w:pPr>
        <w:jc w:val="right"/>
        <w:ind w:right="99"/>
        <w:spacing w:after="0"/>
        <w:rPr>
          <w:sz w:val="20"/>
          <w:szCs w:val="20"/>
          <w:color w:val="auto"/>
        </w:rPr>
      </w:pPr>
      <w:r>
        <w:rPr>
          <w:rFonts w:ascii="Times New Roman" w:cs="Times New Roman" w:eastAsia="Times New Roman" w:hAnsi="Times New Roman"/>
          <w:sz w:val="20"/>
          <w:szCs w:val="20"/>
          <w:b w:val="1"/>
          <w:bCs w:val="1"/>
          <w:color w:val="auto"/>
        </w:rPr>
        <w:t xml:space="preserve">FIFTH THIRD BANK, NATIONAL ASSOCIATION,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Jacob Osterman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Jacob Osterman</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65" w:name="page166"/>
    <w:bookmarkEnd w:id="165"/>
    <w:p>
      <w:pPr>
        <w:jc w:val="right"/>
        <w:ind w:right="999"/>
        <w:spacing w:after="0"/>
        <w:rPr>
          <w:sz w:val="20"/>
          <w:szCs w:val="20"/>
          <w:color w:val="auto"/>
        </w:rPr>
      </w:pPr>
      <w:r>
        <w:rPr>
          <w:rFonts w:ascii="Times New Roman" w:cs="Times New Roman" w:eastAsia="Times New Roman" w:hAnsi="Times New Roman"/>
          <w:sz w:val="20"/>
          <w:szCs w:val="20"/>
          <w:b w:val="1"/>
          <w:bCs w:val="1"/>
          <w:color w:val="auto"/>
        </w:rPr>
        <w:t xml:space="preserve">PNC BANK, NATIONAL ASSOCIATION,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Jacob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Jacob Mandel</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66" w:name="page167"/>
    <w:bookmarkEnd w:id="166"/>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 xml:space="preserve">CITIBANK, N.A.,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Bill Tovell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7607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0730"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Bill Tovell</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67" w:name="page168"/>
    <w:bookmarkEnd w:id="167"/>
    <w:p>
      <w:pPr>
        <w:jc w:val="right"/>
        <w:ind w:right="2399"/>
        <w:spacing w:after="0"/>
        <w:rPr>
          <w:sz w:val="20"/>
          <w:szCs w:val="20"/>
          <w:color w:val="auto"/>
        </w:rPr>
      </w:pPr>
      <w:r>
        <w:rPr>
          <w:rFonts w:ascii="Times New Roman" w:cs="Times New Roman" w:eastAsia="Times New Roman" w:hAnsi="Times New Roman"/>
          <w:sz w:val="20"/>
          <w:szCs w:val="20"/>
          <w:b w:val="1"/>
          <w:bCs w:val="1"/>
          <w:color w:val="auto"/>
        </w:rPr>
        <w:t xml:space="preserve">CITY NATIONAL BANK,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Sanjna Daphtary</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Sanjna Daphtary</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68" w:name="page169"/>
    <w:bookmarkEnd w:id="168"/>
    <w:p>
      <w:pPr>
        <w:jc w:val="right"/>
        <w:ind w:right="1639"/>
        <w:spacing w:after="0"/>
        <w:rPr>
          <w:sz w:val="20"/>
          <w:szCs w:val="20"/>
          <w:color w:val="auto"/>
        </w:rPr>
      </w:pPr>
      <w:r>
        <w:rPr>
          <w:rFonts w:ascii="Times New Roman" w:cs="Times New Roman" w:eastAsia="Times New Roman" w:hAnsi="Times New Roman"/>
          <w:sz w:val="20"/>
          <w:szCs w:val="20"/>
          <w:b w:val="1"/>
          <w:bCs w:val="1"/>
          <w:color w:val="auto"/>
        </w:rPr>
        <w:t xml:space="preserve">JPMORGAN CHASE BANK, N.A.,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 Valles</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Matt Valles</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Officer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WELLS FARGO BANK, NATIONAL ASSOCIATION,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Rick Macias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10115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Rick Macias</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Director</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80"/>
          </w:cols>
          <w:pgMar w:left="1440" w:top="1328" w:right="1379" w:bottom="1440" w:gutter="0" w:footer="0" w:header="0"/>
        </w:sectPr>
      </w:pPr>
    </w:p>
    <w:bookmarkStart w:id="170" w:name="page171"/>
    <w:bookmarkEnd w:id="170"/>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 xml:space="preserve">BMO BANK N.A.,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Aaron Hemphill</w:t>
      </w:r>
    </w:p>
    <w:p>
      <w:pPr>
        <w:spacing w:after="0" w:line="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Aaron Hemphill</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71" w:name="page172"/>
    <w:bookmarkEnd w:id="171"/>
    <w:p>
      <w:pPr>
        <w:jc w:val="right"/>
        <w:ind w:right="419"/>
        <w:spacing w:after="0"/>
        <w:rPr>
          <w:sz w:val="20"/>
          <w:szCs w:val="20"/>
          <w:color w:val="auto"/>
        </w:rPr>
      </w:pPr>
      <w:r>
        <w:rPr>
          <w:rFonts w:ascii="Times New Roman" w:cs="Times New Roman" w:eastAsia="Times New Roman" w:hAnsi="Times New Roman"/>
          <w:sz w:val="20"/>
          <w:szCs w:val="20"/>
          <w:b w:val="1"/>
          <w:bCs w:val="1"/>
          <w:color w:val="auto"/>
        </w:rPr>
        <w:t xml:space="preserve">HSBC BANK USA, NATIONAL ASSOCIATION,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By: /s/ Jay 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2391410</wp:posOffset>
            </wp:positionH>
            <wp:positionV relativeFrom="paragraph">
              <wp:posOffset>-10795</wp:posOffset>
            </wp:positionV>
            <wp:extent cx="7607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0730" cy="8890"/>
                    </a:xfrm>
                    <a:prstGeom prst="rect">
                      <a:avLst/>
                    </a:prstGeom>
                    <a:noFill/>
                  </pic:spPr>
                </pic:pic>
              </a:graphicData>
            </a:graphic>
          </wp:anchor>
        </w:drawing>
      </w:r>
    </w:p>
    <w:p>
      <w:pPr>
        <w:spacing w:after="0" w:line="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Name: Jay Fort</w:t>
      </w:r>
    </w:p>
    <w:p>
      <w:pPr>
        <w:ind w:left="3380"/>
        <w:spacing w:after="0"/>
        <w:tabs>
          <w:tab w:leader="none" w:pos="39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Fourth Amended and Restated 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72" w:name="page173"/>
    <w:bookmarkEnd w:id="1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A"/>
      <w:numFmt w:val="bullet"/>
      <w:start w:val="1"/>
    </w:lvl>
  </w:abstractNum>
  <w:abstractNum w:abstractNumId="2">
    <w:nsid w:val="488AC1A"/>
    <w:multiLevelType w:val="hybridMultilevel"/>
    <w:lvl w:ilvl="0">
      <w:lvlJc w:val="left"/>
      <w:lvlText w:val="B"/>
      <w:numFmt w:val="bullet"/>
      <w:start w:val="1"/>
    </w:lvl>
  </w:abstractNum>
  <w:abstractNum w:abstractNumId="3">
    <w:nsid w:val="5FB8011C"/>
    <w:multiLevelType w:val="hybridMultilevel"/>
    <w:lvl w:ilvl="0">
      <w:lvlJc w:val="left"/>
      <w:lvlText w:val="C"/>
      <w:numFmt w:val="bullet"/>
      <w:start w:val="1"/>
    </w:lvl>
  </w:abstractNum>
  <w:abstractNum w:abstractNumId="4">
    <w:nsid w:val="6AA78F7F"/>
    <w:multiLevelType w:val="hybridMultilevel"/>
    <w:lvl w:ilvl="0">
      <w:lvlJc w:val="left"/>
      <w:lvlText w:val="D"/>
      <w:numFmt w:val="bullet"/>
      <w:start w:val="1"/>
    </w:lvl>
  </w:abstractNum>
  <w:abstractNum w:abstractNumId="5">
    <w:nsid w:val="7672BD23"/>
    <w:multiLevelType w:val="hybridMultilevel"/>
    <w:lvl w:ilvl="0">
      <w:lvlJc w:val="left"/>
      <w:lvlText w:val="E"/>
      <w:numFmt w:val="bullet"/>
      <w:start w:val="1"/>
    </w:lvl>
  </w:abstractNum>
  <w:abstractNum w:abstractNumId="6">
    <w:nsid w:val="6FC75AF8"/>
    <w:multiLevelType w:val="hybridMultilevel"/>
    <w:lvl w:ilvl="0">
      <w:lvlJc w:val="left"/>
      <w:lvlText w:val="F"/>
      <w:numFmt w:val="bullet"/>
      <w:start w:val="1"/>
    </w:lvl>
  </w:abstractNum>
  <w:abstractNum w:abstractNumId="7">
    <w:nsid w:val="6A5F7029"/>
    <w:multiLevelType w:val="hybridMultilevel"/>
    <w:lvl w:ilvl="0">
      <w:lvlJc w:val="left"/>
      <w:lvlText w:val="G"/>
      <w:numFmt w:val="bullet"/>
      <w:start w:val="1"/>
    </w:lvl>
  </w:abstractNum>
  <w:abstractNum w:abstractNumId="8">
    <w:nsid w:val="7D5E18F8"/>
    <w:multiLevelType w:val="hybridMultilevel"/>
    <w:lvl w:ilvl="0">
      <w:lvlJc w:val="left"/>
      <w:lvlText w:val="H"/>
      <w:numFmt w:val="bullet"/>
      <w:start w:val="1"/>
    </w:lvl>
  </w:abstractNum>
  <w:abstractNum w:abstractNumId="9">
    <w:nsid w:val="5F3534A4"/>
    <w:multiLevelType w:val="hybridMultilevel"/>
    <w:lvl w:ilvl="0">
      <w:lvlJc w:val="left"/>
      <w:lvlText w:val="I"/>
      <w:numFmt w:val="bullet"/>
      <w:start w:val="1"/>
    </w:lvl>
  </w:abstractNum>
  <w:abstractNum w:abstractNumId="10">
    <w:nsid w:val="73A1821B"/>
    <w:multiLevelType w:val="hybridMultilevel"/>
    <w:lvl w:ilvl="0">
      <w:lvlJc w:val="left"/>
      <w:lvlText w:val="J"/>
      <w:numFmt w:val="bullet"/>
      <w:start w:val="1"/>
    </w:lvl>
  </w:abstractNum>
  <w:abstractNum w:abstractNumId="11">
    <w:nsid w:val="7DE67713"/>
    <w:multiLevelType w:val="hybridMultilevel"/>
    <w:lvl w:ilvl="0">
      <w:lvlJc w:val="left"/>
      <w:lvlText w:val="%1."/>
      <w:numFmt w:val="upperLetter"/>
      <w:start w:val="1"/>
    </w:lvl>
  </w:abstractNum>
  <w:abstractNum w:abstractNumId="12">
    <w:nsid w:val="555C55B5"/>
    <w:multiLevelType w:val="hybridMultilevel"/>
    <w:lvl w:ilvl="0">
      <w:lvlJc w:val="left"/>
      <w:lvlText w:val="(%1)"/>
      <w:numFmt w:val="lowerLetter"/>
      <w:start w:val="1"/>
    </w:lvl>
  </w:abstractNum>
  <w:abstractNum w:abstractNumId="13">
    <w:nsid w:val="3FA62ACA"/>
    <w:multiLevelType w:val="hybridMultilevel"/>
    <w:lvl w:ilvl="0">
      <w:lvlJc w:val="left"/>
      <w:lvlText w:val="(%1)"/>
      <w:numFmt w:val="lowerLetter"/>
      <w:start w:val="1"/>
    </w:lvl>
  </w:abstractNum>
  <w:abstractNum w:abstractNumId="14">
    <w:nsid w:val="14FCE74E"/>
    <w:multiLevelType w:val="hybridMultilevel"/>
    <w:lvl w:ilvl="0">
      <w:lvlJc w:val="left"/>
      <w:lvlText w:val="(%1)"/>
      <w:numFmt w:val="lowerLetter"/>
      <w:start w:val="1"/>
    </w:lvl>
  </w:abstractNum>
  <w:abstractNum w:abstractNumId="15">
    <w:nsid w:val="6A3DD3E8"/>
    <w:multiLevelType w:val="hybridMultilevel"/>
    <w:lvl w:ilvl="0">
      <w:lvlJc w:val="left"/>
      <w:lvlText w:val="(%1)"/>
      <w:numFmt w:val="lowerLetter"/>
      <w:start w:val="1"/>
    </w:lvl>
  </w:abstractNum>
  <w:abstractNum w:abstractNumId="16">
    <w:nsid w:val="71C91298"/>
    <w:multiLevelType w:val="hybridMultilevel"/>
    <w:lvl w:ilvl="0">
      <w:lvlJc w:val="left"/>
      <w:lvlText w:val="(%1)"/>
      <w:numFmt w:val="lowerLetter"/>
      <w:start w:val="1"/>
    </w:lvl>
  </w:abstractNum>
  <w:abstractNum w:abstractNumId="17">
    <w:nsid w:val="9DAF632"/>
    <w:multiLevelType w:val="hybridMultilevel"/>
    <w:lvl w:ilvl="0">
      <w:lvlJc w:val="left"/>
      <w:lvlText w:val="(%1)"/>
      <w:numFmt w:val="lowerLetter"/>
      <w:start w:val="2"/>
    </w:lvl>
  </w:abstractNum>
  <w:abstractNum w:abstractNumId="18">
    <w:nsid w:val="53299938"/>
    <w:multiLevelType w:val="hybridMultilevel"/>
    <w:lvl w:ilvl="0">
      <w:lvlJc w:val="left"/>
      <w:lvlText w:val="(%1)"/>
      <w:numFmt w:val="lowerLetter"/>
      <w:start w:val="1"/>
    </w:lvl>
  </w:abstractNum>
  <w:abstractNum w:abstractNumId="19">
    <w:nsid w:val="1FBFE8E0"/>
    <w:multiLevelType w:val="hybridMultilevel"/>
    <w:lvl w:ilvl="0">
      <w:lvlJc w:val="left"/>
      <w:lvlText w:val="(%1)"/>
      <w:numFmt w:val="lowerLetter"/>
      <w:start w:val="1"/>
    </w:lvl>
    <w:lvl w:ilvl="1">
      <w:lvlJc w:val="left"/>
      <w:lvlText w:val="(%2)"/>
      <w:numFmt w:val="lowerLetter"/>
      <w:start w:val="9"/>
    </w:lvl>
  </w:abstractNum>
  <w:abstractNum w:abstractNumId="20">
    <w:nsid w:val="5092CA79"/>
    <w:multiLevelType w:val="hybridMultilevel"/>
    <w:lvl w:ilvl="0">
      <w:lvlJc w:val="left"/>
      <w:lvlText w:val="(%1)"/>
      <w:numFmt w:val="lowerRoman"/>
      <w:start w:val="2"/>
    </w:lvl>
  </w:abstractNum>
  <w:abstractNum w:abstractNumId="21">
    <w:nsid w:val="1D545C4D"/>
    <w:multiLevelType w:val="hybridMultilevel"/>
    <w:lvl w:ilvl="0">
      <w:lvlJc w:val="left"/>
      <w:lvlText w:val="(%1)"/>
      <w:numFmt w:val="lowerLetter"/>
      <w:start w:val="3"/>
    </w:lvl>
    <w:lvl w:ilvl="1">
      <w:lvlJc w:val="left"/>
      <w:lvlText w:val="(%2)"/>
      <w:numFmt w:val="lowerRoman"/>
      <w:start w:val="1"/>
    </w:lvl>
  </w:abstractNum>
  <w:abstractNum w:abstractNumId="22">
    <w:nsid w:val="59ADEA3D"/>
    <w:multiLevelType w:val="hybridMultilevel"/>
    <w:lvl w:ilvl="0">
      <w:lvlJc w:val="left"/>
      <w:lvlText w:val="(%1)"/>
      <w:numFmt w:val="lowerRoman"/>
      <w:start w:val="3"/>
    </w:lvl>
  </w:abstractNum>
  <w:abstractNum w:abstractNumId="23">
    <w:nsid w:val="288F1A34"/>
    <w:multiLevelType w:val="hybridMultilevel"/>
    <w:lvl w:ilvl="0">
      <w:lvlJc w:val="left"/>
      <w:lvlText w:val="(%1)"/>
      <w:numFmt w:val="lowerLetter"/>
      <w:start w:val="23"/>
    </w:lvl>
  </w:abstractNum>
  <w:abstractNum w:abstractNumId="24">
    <w:nsid w:val="2A155DBC"/>
    <w:multiLevelType w:val="hybridMultilevel"/>
    <w:lvl w:ilvl="0">
      <w:lvlJc w:val="left"/>
      <w:lvlText w:val="(%1)"/>
      <w:numFmt w:val="lowerLetter"/>
      <w:start w:val="1"/>
    </w:lvl>
  </w:abstractNum>
  <w:abstractNum w:abstractNumId="25">
    <w:nsid w:val="1D9F6E5F"/>
    <w:multiLevelType w:val="hybridMultilevel"/>
    <w:lvl w:ilvl="0">
      <w:lvlJc w:val="left"/>
      <w:lvlText w:val="(%1)"/>
      <w:numFmt w:val="lowerLetter"/>
      <w:start w:val="1"/>
    </w:lvl>
  </w:abstractNum>
  <w:abstractNum w:abstractNumId="26">
    <w:nsid w:val="97E1B4E"/>
    <w:multiLevelType w:val="hybridMultilevel"/>
    <w:lvl w:ilvl="0">
      <w:lvlJc w:val="left"/>
      <w:lvlText w:val="(%1)"/>
      <w:numFmt w:val="lowerLetter"/>
      <w:start w:val="1"/>
    </w:lvl>
  </w:abstractNum>
  <w:abstractNum w:abstractNumId="27">
    <w:nsid w:val="51088277"/>
    <w:multiLevelType w:val="hybridMultilevel"/>
    <w:lvl w:ilvl="0">
      <w:lvlJc w:val="left"/>
      <w:lvlText w:val="(%1)"/>
      <w:numFmt w:val="lowerLetter"/>
      <w:start w:val="1"/>
    </w:lvl>
  </w:abstractNum>
  <w:abstractNum w:abstractNumId="28">
    <w:nsid w:val="1CA0C5FA"/>
    <w:multiLevelType w:val="hybridMultilevel"/>
    <w:lvl w:ilvl="0">
      <w:lvlJc w:val="left"/>
      <w:lvlText w:val="(%1)"/>
      <w:numFmt w:val="lowerLetter"/>
      <w:start w:val="1"/>
    </w:lvl>
  </w:abstractNum>
  <w:abstractNum w:abstractNumId="29">
    <w:nsid w:val="53584BCB"/>
    <w:multiLevelType w:val="hybridMultilevel"/>
    <w:lvl w:ilvl="0">
      <w:lvlJc w:val="left"/>
      <w:lvlText w:val="(%1)"/>
      <w:numFmt w:val="lowerLetter"/>
      <w:start w:val="1"/>
    </w:lvl>
  </w:abstractNum>
  <w:abstractNum w:abstractNumId="30">
    <w:nsid w:val="415E286C"/>
    <w:multiLevelType w:val="hybridMultilevel"/>
    <w:lvl w:ilvl="0">
      <w:lvlJc w:val="left"/>
      <w:lvlText w:val="(%1)"/>
      <w:numFmt w:val="lowerLetter"/>
      <w:start w:val="2"/>
    </w:lvl>
  </w:abstractNum>
  <w:abstractNum w:abstractNumId="31">
    <w:nsid w:val="7C58FD05"/>
    <w:multiLevelType w:val="hybridMultilevel"/>
    <w:lvl w:ilvl="0">
      <w:lvlJc w:val="left"/>
      <w:lvlText w:val="(%1)"/>
      <w:numFmt w:val="lowerLetter"/>
      <w:start w:val="1"/>
    </w:lvl>
  </w:abstractNum>
  <w:abstractNum w:abstractNumId="32">
    <w:nsid w:val="23D86AAC"/>
    <w:multiLevelType w:val="hybridMultilevel"/>
    <w:lvl w:ilvl="0">
      <w:lvlJc w:val="left"/>
      <w:lvlText w:val="(%1)"/>
      <w:numFmt w:val="lowerLetter"/>
      <w:start w:val="2"/>
    </w:lvl>
    <w:lvl w:ilvl="1">
      <w:lvlJc w:val="left"/>
      <w:lvlText w:val="(%2)"/>
      <w:numFmt w:val="lowerRoman"/>
      <w:start w:val="1"/>
    </w:lvl>
  </w:abstractNum>
  <w:abstractNum w:abstractNumId="33">
    <w:nsid w:val="45E6D486"/>
    <w:multiLevelType w:val="hybridMultilevel"/>
    <w:lvl w:ilvl="0">
      <w:lvlJc w:val="left"/>
      <w:lvlText w:val="(%1)"/>
      <w:numFmt w:val="lowerLetter"/>
      <w:start w:val="1"/>
    </w:lvl>
  </w:abstractNum>
  <w:abstractNum w:abstractNumId="34">
    <w:nsid w:val="5C10FE21"/>
    <w:multiLevelType w:val="hybridMultilevel"/>
    <w:lvl w:ilvl="0">
      <w:lvlJc w:val="left"/>
      <w:lvlText w:val="(%1)"/>
      <w:numFmt w:val="lowerLetter"/>
      <w:start w:val="1"/>
    </w:lvl>
  </w:abstractNum>
  <w:abstractNum w:abstractNumId="35">
    <w:nsid w:val="E7FFA2B"/>
    <w:multiLevelType w:val="hybridMultilevel"/>
    <w:lvl w:ilvl="0">
      <w:lvlJc w:val="left"/>
      <w:lvlText w:val="(%1)"/>
      <w:numFmt w:val="lowerLetter"/>
      <w:start w:val="3"/>
    </w:lvl>
  </w:abstractNum>
  <w:abstractNum w:abstractNumId="36">
    <w:nsid w:val="3C5991AA"/>
    <w:multiLevelType w:val="hybridMultilevel"/>
    <w:lvl w:ilvl="0">
      <w:lvlJc w:val="left"/>
      <w:lvlText w:val="(%1)"/>
      <w:numFmt w:val="lowerLetter"/>
      <w:start w:val="1"/>
    </w:lvl>
  </w:abstractNum>
  <w:abstractNum w:abstractNumId="37">
    <w:nsid w:val="4BD8591A"/>
    <w:multiLevelType w:val="hybridMultilevel"/>
    <w:lvl w:ilvl="0">
      <w:lvlJc w:val="left"/>
      <w:lvlText w:val="(%1)"/>
      <w:numFmt w:val="lowerLetter"/>
      <w:start w:val="1"/>
    </w:lvl>
  </w:abstractNum>
  <w:abstractNum w:abstractNumId="38">
    <w:nsid w:val="78DF6A55"/>
    <w:multiLevelType w:val="hybridMultilevel"/>
    <w:lvl w:ilvl="0">
      <w:lvlJc w:val="left"/>
      <w:lvlText w:val="(%1)"/>
      <w:numFmt w:val="lowerLetter"/>
      <w:start w:val="1"/>
    </w:lvl>
  </w:abstractNum>
  <w:abstractNum w:abstractNumId="39">
    <w:nsid w:val="39B7AAA2"/>
    <w:multiLevelType w:val="hybridMultilevel"/>
    <w:lvl w:ilvl="0">
      <w:lvlJc w:val="left"/>
      <w:lvlText w:val="(%1)"/>
      <w:numFmt w:val="lowerLetter"/>
      <w:start w:val="3"/>
    </w:lvl>
  </w:abstractNum>
  <w:abstractNum w:abstractNumId="40">
    <w:nsid w:val="2B0D8DBE"/>
    <w:multiLevelType w:val="hybridMultilevel"/>
    <w:lvl w:ilvl="0">
      <w:lvlJc w:val="left"/>
      <w:lvlText w:val="(%1)"/>
      <w:numFmt w:val="lowerLetter"/>
      <w:start w:val="1"/>
    </w:lvl>
  </w:abstractNum>
  <w:abstractNum w:abstractNumId="41">
    <w:nsid w:val="6C80EC70"/>
    <w:multiLevelType w:val="hybridMultilevel"/>
    <w:lvl w:ilvl="0">
      <w:lvlJc w:val="left"/>
      <w:lvlText w:val="(%1)"/>
      <w:numFmt w:val="lowerLetter"/>
      <w:start w:val="2"/>
    </w:lvl>
  </w:abstractNum>
  <w:abstractNum w:abstractNumId="42">
    <w:nsid w:val="379E21B5"/>
    <w:multiLevelType w:val="hybridMultilevel"/>
    <w:lvl w:ilvl="0">
      <w:lvlJc w:val="left"/>
      <w:lvlText w:val="(%1)"/>
      <w:numFmt w:val="lowerLetter"/>
      <w:start w:val="5"/>
    </w:lvl>
  </w:abstractNum>
  <w:abstractNum w:abstractNumId="43">
    <w:nsid w:val="69E373"/>
    <w:multiLevelType w:val="hybridMultilevel"/>
    <w:lvl w:ilvl="0">
      <w:lvlJc w:val="left"/>
      <w:lvlText w:val="(%1)"/>
      <w:numFmt w:val="lowerLetter"/>
      <w:start w:val="1"/>
    </w:lvl>
    <w:lvl w:ilvl="1">
      <w:lvlJc w:val="left"/>
      <w:lvlText w:val="(%2)"/>
      <w:numFmt w:val="lowerLetter"/>
      <w:start w:val="9"/>
    </w:lvl>
  </w:abstractNum>
  <w:abstractNum w:abstractNumId="44">
    <w:nsid w:val="2C27173B"/>
    <w:multiLevelType w:val="hybridMultilevel"/>
    <w:lvl w:ilvl="0">
      <w:lvlJc w:val="left"/>
      <w:lvlText w:val="(%1)"/>
      <w:numFmt w:val="lowerRoman"/>
      <w:start w:val="2"/>
    </w:lvl>
    <w:lvl w:ilvl="1">
      <w:lvlJc w:val="left"/>
      <w:lvlText w:val="(%2)"/>
      <w:numFmt w:val="upperLetter"/>
      <w:start w:val="1"/>
    </w:lvl>
  </w:abstractNum>
  <w:abstractNum w:abstractNumId="45">
    <w:nsid w:val="4C9B0904"/>
    <w:multiLevelType w:val="hybridMultilevel"/>
    <w:lvl w:ilvl="0">
      <w:lvlJc w:val="left"/>
      <w:lvlText w:val="%1"/>
      <w:numFmt w:val="lowerLetter"/>
      <w:start w:val="1"/>
    </w:lvl>
    <w:lvl w:ilvl="1">
      <w:lvlJc w:val="left"/>
      <w:lvlText w:val="(%2)"/>
      <w:numFmt w:val="lowerRoman"/>
      <w:start w:val="5"/>
    </w:lvl>
  </w:abstractNum>
  <w:abstractNum w:abstractNumId="46">
    <w:nsid w:val="6AA7B75C"/>
    <w:multiLevelType w:val="hybridMultilevel"/>
    <w:lvl w:ilvl="0">
      <w:lvlJc w:val="left"/>
      <w:lvlText w:val="(%1)"/>
      <w:numFmt w:val="lowerLetter"/>
      <w:start w:val="2"/>
    </w:lvl>
    <w:lvl w:ilvl="1">
      <w:lvlJc w:val="left"/>
      <w:lvlText w:val="(%2)"/>
      <w:numFmt w:val="lowerRoman"/>
      <w:start w:val="1"/>
    </w:lvl>
  </w:abstractNum>
  <w:abstractNum w:abstractNumId="47">
    <w:nsid w:val="1DF029D3"/>
    <w:multiLevelType w:val="hybridMultilevel"/>
    <w:lvl w:ilvl="0">
      <w:lvlJc w:val="left"/>
      <w:lvlText w:val="%1"/>
      <w:numFmt w:val="lowerLetter"/>
      <w:start w:val="1"/>
    </w:lvl>
    <w:lvl w:ilvl="1">
      <w:lvlJc w:val="left"/>
      <w:lvlText w:val="(%2)"/>
      <w:numFmt w:val="lowerRoman"/>
      <w:start w:val="3"/>
    </w:lvl>
  </w:abstractNum>
  <w:abstractNum w:abstractNumId="48">
    <w:nsid w:val="5675FF36"/>
    <w:multiLevelType w:val="hybridMultilevel"/>
    <w:lvl w:ilvl="0">
      <w:lvlJc w:val="left"/>
      <w:lvlText w:val="(%1)"/>
      <w:numFmt w:val="lowerLetter"/>
      <w:start w:val="3"/>
    </w:lvl>
    <w:lvl w:ilvl="1">
      <w:lvlJc w:val="left"/>
      <w:lvlText w:val="(%2)"/>
      <w:numFmt w:val="lowerRoman"/>
      <w:start w:val="1"/>
    </w:lvl>
  </w:abstractNum>
  <w:abstractNum w:abstractNumId="49">
    <w:nsid w:val="3DD15094"/>
    <w:multiLevelType w:val="hybridMultilevel"/>
    <w:lvl w:ilvl="0">
      <w:lvlJc w:val="left"/>
      <w:lvlText w:val="(%1)"/>
      <w:numFmt w:val="lowerRoman"/>
      <w:start w:val="2"/>
    </w:lvl>
  </w:abstractNum>
  <w:abstractNum w:abstractNumId="50">
    <w:nsid w:val="3DB012B3"/>
    <w:multiLevelType w:val="hybridMultilevel"/>
    <w:lvl w:ilvl="0">
      <w:lvlJc w:val="left"/>
      <w:lvlText w:val="%1"/>
      <w:numFmt w:val="upperLetter"/>
      <w:start w:val="1"/>
    </w:lvl>
    <w:lvl w:ilvl="1">
      <w:lvlJc w:val="left"/>
      <w:lvlText w:val="(%2)"/>
      <w:numFmt w:val="lowerRoman"/>
      <w:start w:val="4"/>
    </w:lvl>
  </w:abstractNum>
  <w:abstractNum w:abstractNumId="51">
    <w:nsid w:val="2708C9AF"/>
    <w:multiLevelType w:val="hybridMultilevel"/>
    <w:lvl w:ilvl="0">
      <w:lvlJc w:val="left"/>
      <w:lvlText w:val="(%1)"/>
      <w:numFmt w:val="upperLetter"/>
      <w:start w:val="2"/>
    </w:lvl>
    <w:lvl w:ilvl="1">
      <w:lvlJc w:val="left"/>
      <w:lvlText w:val="(%2)"/>
      <w:numFmt w:val="lowerRoman"/>
      <w:start w:val="6"/>
    </w:lvl>
  </w:abstractNum>
  <w:abstractNum w:abstractNumId="52">
    <w:nsid w:val="5B25ACE2"/>
    <w:multiLevelType w:val="hybridMultilevel"/>
    <w:lvl w:ilvl="0">
      <w:lvlJc w:val="left"/>
      <w:lvlText w:val="(%1)"/>
      <w:numFmt w:val="lowerLetter"/>
      <w:start w:val="4"/>
    </w:lvl>
    <w:lvl w:ilvl="1">
      <w:lvlJc w:val="left"/>
      <w:lvlText w:val="(%2)"/>
      <w:numFmt w:val="lowerRoman"/>
      <w:start w:val="1"/>
    </w:lvl>
  </w:abstractNum>
  <w:abstractNum w:abstractNumId="53">
    <w:nsid w:val="175DFCF0"/>
    <w:multiLevelType w:val="hybridMultilevel"/>
    <w:lvl w:ilvl="0">
      <w:lvlJc w:val="left"/>
      <w:lvlText w:val="(%1)"/>
      <w:numFmt w:val="lowerLetter"/>
      <w:start w:val="5"/>
    </w:lvl>
    <w:lvl w:ilvl="1">
      <w:lvlJc w:val="left"/>
      <w:lvlText w:val="(%2)"/>
      <w:numFmt w:val="lowerRoman"/>
      <w:start w:val="1"/>
    </w:lvl>
  </w:abstractNum>
  <w:abstractNum w:abstractNumId="54">
    <w:nsid w:val="4F97E3E4"/>
    <w:multiLevelType w:val="hybridMultilevel"/>
    <w:lvl w:ilvl="0">
      <w:lvlJc w:val="left"/>
      <w:lvlText w:val="(%1)"/>
      <w:numFmt w:val="lowerLetter"/>
      <w:start w:val="6"/>
    </w:lvl>
  </w:abstractNum>
  <w:abstractNum w:abstractNumId="55">
    <w:nsid w:val="53B0A9E"/>
    <w:multiLevelType w:val="hybridMultilevel"/>
    <w:lvl w:ilvl="0">
      <w:lvlJc w:val="left"/>
      <w:lvlText w:val="(%1)"/>
      <w:numFmt w:val="lowerLetter"/>
      <w:start w:val="8"/>
    </w:lvl>
  </w:abstractNum>
  <w:abstractNum w:abstractNumId="56">
    <w:nsid w:val="34FD6B4F"/>
    <w:multiLevelType w:val="hybridMultilevel"/>
    <w:lvl w:ilvl="0">
      <w:lvlJc w:val="left"/>
      <w:lvlText w:val="(%1)"/>
      <w:numFmt w:val="lowerLetter"/>
      <w:start w:val="10"/>
    </w:lvl>
  </w:abstractNum>
  <w:abstractNum w:abstractNumId="57">
    <w:nsid w:val="5915FF32"/>
    <w:multiLevelType w:val="hybridMultilevel"/>
    <w:lvl w:ilvl="0">
      <w:lvlJc w:val="left"/>
      <w:lvlText w:val="(%1)"/>
      <w:numFmt w:val="lowerLetter"/>
      <w:start w:val="1"/>
    </w:lvl>
  </w:abstractNum>
  <w:abstractNum w:abstractNumId="58">
    <w:nsid w:val="56438D15"/>
    <w:multiLevelType w:val="hybridMultilevel"/>
    <w:lvl w:ilvl="0">
      <w:lvlJc w:val="left"/>
      <w:lvlText w:val="(%1)"/>
      <w:numFmt w:val="lowerLetter"/>
      <w:start w:val="2"/>
    </w:lvl>
    <w:lvl w:ilvl="1">
      <w:lvlJc w:val="left"/>
      <w:lvlText w:val="(%2)"/>
      <w:numFmt w:val="lowerLetter"/>
      <w:start w:val="9"/>
    </w:lvl>
  </w:abstractNum>
  <w:abstractNum w:abstractNumId="59">
    <w:nsid w:val="519E3149"/>
    <w:multiLevelType w:val="hybridMultilevel"/>
    <w:lvl w:ilvl="0">
      <w:lvlJc w:val="left"/>
      <w:lvlText w:val="%1"/>
      <w:numFmt w:val="lowerLetter"/>
      <w:start w:val="1"/>
    </w:lvl>
    <w:lvl w:ilvl="1">
      <w:lvlJc w:val="left"/>
      <w:lvlText w:val="(%2)"/>
      <w:numFmt w:val="lowerRoman"/>
      <w:start w:val="2"/>
    </w:lvl>
  </w:abstractNum>
  <w:abstractNum w:abstractNumId="60">
    <w:nsid w:val="2C6E4AFD"/>
    <w:multiLevelType w:val="hybridMultilevel"/>
    <w:lvl w:ilvl="0">
      <w:lvlJc w:val="left"/>
      <w:lvlText w:val="(%1)"/>
      <w:numFmt w:val="lowerLetter"/>
      <w:start w:val="4"/>
    </w:lvl>
    <w:lvl w:ilvl="1">
      <w:lvlJc w:val="left"/>
      <w:lvlText w:val="(%2)"/>
      <w:numFmt w:val="lowerRoman"/>
      <w:start w:val="1"/>
    </w:lvl>
  </w:abstractNum>
  <w:abstractNum w:abstractNumId="61">
    <w:nsid w:val="17A1B582"/>
    <w:multiLevelType w:val="hybridMultilevel"/>
    <w:lvl w:ilvl="0">
      <w:lvlJc w:val="left"/>
      <w:lvlText w:val="(%1)"/>
      <w:numFmt w:val="lowerLetter"/>
      <w:start w:val="5"/>
    </w:lvl>
  </w:abstractNum>
  <w:abstractNum w:abstractNumId="62">
    <w:nsid w:val="4DF72E4E"/>
    <w:multiLevelType w:val="hybridMultilevel"/>
    <w:lvl w:ilvl="0">
      <w:lvlJc w:val="left"/>
      <w:lvlText w:val="(%1)"/>
      <w:numFmt w:val="lowerLetter"/>
      <w:start w:val="1"/>
    </w:lvl>
    <w:lvl w:ilvl="1">
      <w:lvlJc w:val="left"/>
      <w:lvlText w:val="(%2)"/>
      <w:numFmt w:val="lowerRoman"/>
      <w:start w:val="1"/>
    </w:lvl>
  </w:abstractNum>
  <w:abstractNum w:abstractNumId="63">
    <w:nsid w:val="5046B5A9"/>
    <w:multiLevelType w:val="hybridMultilevel"/>
    <w:lvl w:ilvl="0">
      <w:lvlJc w:val="left"/>
      <w:lvlText w:val="(%1)"/>
      <w:numFmt w:val="lowerLetter"/>
      <w:start w:val="2"/>
    </w:lvl>
    <w:lvl w:ilvl="1">
      <w:lvlJc w:val="left"/>
      <w:lvlText w:val="(%2)"/>
      <w:numFmt w:val="lowerRoman"/>
      <w:start w:val="1"/>
    </w:lvl>
  </w:abstractNum>
  <w:abstractNum w:abstractNumId="64">
    <w:nsid w:val="5D888A08"/>
    <w:multiLevelType w:val="hybridMultilevel"/>
    <w:lvl w:ilvl="0">
      <w:lvlJc w:val="left"/>
      <w:lvlText w:val="(%1)"/>
      <w:numFmt w:val="lowerRoman"/>
      <w:start w:val="4"/>
    </w:lvl>
    <w:lvl w:ilvl="1">
      <w:lvlJc w:val="left"/>
      <w:lvlText w:val="(%2)"/>
      <w:numFmt w:val="upperLetter"/>
      <w:start w:val="1"/>
    </w:lvl>
  </w:abstractNum>
  <w:abstractNum w:abstractNumId="65">
    <w:nsid w:val="2A082C70"/>
    <w:multiLevelType w:val="hybridMultilevel"/>
    <w:lvl w:ilvl="0">
      <w:lvlJc w:val="left"/>
      <w:lvlText w:val="%1"/>
      <w:numFmt w:val="upperLetter"/>
      <w:start w:val="1"/>
    </w:lvl>
    <w:lvl w:ilvl="1">
      <w:lvlJc w:val="left"/>
      <w:lvlText w:val="(%2)"/>
      <w:numFmt w:val="lowerRoman"/>
      <w:start w:val="6"/>
    </w:lvl>
  </w:abstractNum>
  <w:abstractNum w:abstractNumId="66">
    <w:nsid w:val="5EC6AFD4"/>
    <w:multiLevelType w:val="hybridMultilevel"/>
    <w:lvl w:ilvl="0">
      <w:lvlJc w:val="left"/>
      <w:lvlText w:val="(%1)"/>
      <w:numFmt w:val="upperLetter"/>
      <w:start w:val="1"/>
    </w:lvl>
    <w:lvl w:ilvl="1">
      <w:lvlJc w:val="left"/>
      <w:lvlText w:val="%2"/>
      <w:numFmt w:val="lowerRoman"/>
      <w:start w:val="1"/>
    </w:lvl>
  </w:abstractNum>
  <w:abstractNum w:abstractNumId="67">
    <w:nsid w:val="19E21BB2"/>
    <w:multiLevelType w:val="hybridMultilevel"/>
    <w:lvl w:ilvl="0">
      <w:lvlJc w:val="left"/>
      <w:lvlText w:val="(%1)"/>
      <w:numFmt w:val="lowerLetter"/>
      <w:start w:val="1"/>
    </w:lvl>
  </w:abstractNum>
  <w:abstractNum w:abstractNumId="68">
    <w:nsid w:val="75E0858A"/>
    <w:multiLevelType w:val="hybridMultilevel"/>
    <w:lvl w:ilvl="0">
      <w:lvlJc w:val="left"/>
      <w:lvlText w:val="(%1)"/>
      <w:numFmt w:val="lowerLetter"/>
      <w:start w:val="1"/>
    </w:lvl>
  </w:abstractNum>
  <w:abstractNum w:abstractNumId="69">
    <w:nsid w:val="57A61A29"/>
    <w:multiLevelType w:val="hybridMultilevel"/>
    <w:lvl w:ilvl="0">
      <w:lvlJc w:val="left"/>
      <w:lvlText w:val="(%1)"/>
      <w:numFmt w:val="lowerLetter"/>
      <w:start w:val="1"/>
    </w:lvl>
    <w:lvl w:ilvl="1">
      <w:lvlJc w:val="left"/>
      <w:lvlText w:val="(%2)"/>
      <w:numFmt w:val="lowerRoman"/>
      <w:start w:val="2"/>
    </w:lvl>
  </w:abstractNum>
  <w:abstractNum w:abstractNumId="70">
    <w:nsid w:val="5399C654"/>
    <w:multiLevelType w:val="hybridMultilevel"/>
    <w:lvl w:ilvl="0">
      <w:lvlJc w:val="left"/>
      <w:lvlText w:val="(%1)"/>
      <w:numFmt w:val="lowerLetter"/>
      <w:start w:val="3"/>
    </w:lvl>
  </w:abstractNum>
  <w:abstractNum w:abstractNumId="71">
    <w:nsid w:val="20EE1348"/>
    <w:multiLevelType w:val="hybridMultilevel"/>
    <w:lvl w:ilvl="0">
      <w:lvlJc w:val="left"/>
      <w:lvlText w:val="(%1)"/>
      <w:numFmt w:val="lowerLetter"/>
      <w:start w:val="1"/>
    </w:lvl>
    <w:lvl w:ilvl="1">
      <w:lvlJc w:val="left"/>
      <w:lvlText w:val="(%2)"/>
      <w:numFmt w:val="lowerLetter"/>
      <w:start w:val="35"/>
    </w:lvl>
  </w:abstractNum>
  <w:abstractNum w:abstractNumId="72">
    <w:nsid w:val="4427069A"/>
    <w:multiLevelType w:val="hybridMultilevel"/>
    <w:lvl w:ilvl="0">
      <w:lvlJc w:val="left"/>
      <w:lvlText w:val="(%1)"/>
      <w:numFmt w:val="lowerLetter"/>
      <w:start w:val="1"/>
    </w:lvl>
  </w:abstractNum>
  <w:abstractNum w:abstractNumId="73">
    <w:nsid w:val="B37E80A"/>
    <w:multiLevelType w:val="hybridMultilevel"/>
    <w:lvl w:ilvl="0">
      <w:lvlJc w:val="left"/>
      <w:lvlText w:val="(%1)"/>
      <w:numFmt w:val="lowerLetter"/>
      <w:start w:val="1"/>
    </w:lvl>
  </w:abstractNum>
  <w:abstractNum w:abstractNumId="74">
    <w:nsid w:val="2157F6BC"/>
    <w:multiLevelType w:val="hybridMultilevel"/>
    <w:lvl w:ilvl="0">
      <w:lvlJc w:val="left"/>
      <w:lvlText w:val="(%1)"/>
      <w:numFmt w:val="lowerLetter"/>
      <w:start w:val="2"/>
    </w:lvl>
    <w:lvl w:ilvl="1">
      <w:lvlJc w:val="left"/>
      <w:lvlText w:val="(%2)"/>
      <w:numFmt w:val="lowerLetter"/>
      <w:start w:val="35"/>
    </w:lvl>
  </w:abstractNum>
  <w:abstractNum w:abstractNumId="75">
    <w:nsid w:val="704E1DD5"/>
    <w:multiLevelType w:val="hybridMultilevel"/>
    <w:lvl w:ilvl="0">
      <w:lvlJc w:val="left"/>
      <w:lvlText w:val="(%1)"/>
      <w:numFmt w:val="decimal"/>
      <w:start w:val="1"/>
    </w:lvl>
  </w:abstractNum>
  <w:abstractNum w:abstractNumId="76">
    <w:nsid w:val="57D2F10E"/>
    <w:multiLevelType w:val="hybridMultilevel"/>
    <w:lvl w:ilvl="0">
      <w:lvlJc w:val="left"/>
      <w:lvlText w:val="(%1)"/>
      <w:numFmt w:val="lowerLetter"/>
      <w:start w:val="3"/>
    </w:lvl>
  </w:abstractNum>
  <w:abstractNum w:abstractNumId="77">
    <w:nsid w:val="BFFAE18"/>
    <w:multiLevelType w:val="hybridMultilevel"/>
    <w:lvl w:ilvl="0">
      <w:lvlJc w:val="left"/>
      <w:lvlText w:val="(%1)"/>
      <w:numFmt w:val="lowerRoman"/>
      <w:start w:val="1"/>
    </w:lvl>
  </w:abstractNum>
  <w:abstractNum w:abstractNumId="78">
    <w:nsid w:val="E3E47A8"/>
    <w:multiLevelType w:val="hybridMultilevel"/>
    <w:lvl w:ilvl="0">
      <w:lvlJc w:val="left"/>
      <w:lvlText w:val="(%1)"/>
      <w:numFmt w:val="lowerLetter"/>
      <w:start w:val="1"/>
    </w:lvl>
  </w:abstractNum>
  <w:abstractNum w:abstractNumId="79">
    <w:nsid w:val="2E48F044"/>
    <w:multiLevelType w:val="hybridMultilevel"/>
    <w:lvl w:ilvl="0">
      <w:lvlJc w:val="left"/>
      <w:lvlText w:val="(%1)"/>
      <w:numFmt w:val="lowerLetter"/>
      <w:start w:val="2"/>
    </w:lvl>
  </w:abstractNum>
  <w:abstractNum w:abstractNumId="80">
    <w:nsid w:val="49D0FEAC"/>
    <w:multiLevelType w:val="hybridMultilevel"/>
    <w:lvl w:ilvl="0">
      <w:lvlJc w:val="left"/>
      <w:lvlText w:val="(%1)"/>
      <w:numFmt w:val="lowerLetter"/>
      <w:start w:val="1"/>
    </w:lvl>
  </w:abstractNum>
  <w:abstractNum w:abstractNumId="81">
    <w:nsid w:val="4BEE5A5B"/>
    <w:multiLevelType w:val="hybridMultilevel"/>
    <w:lvl w:ilvl="0">
      <w:lvlJc w:val="left"/>
      <w:lvlText w:val="(%1)"/>
      <w:numFmt w:val="lowerLetter"/>
      <w:start w:val="4"/>
    </w:lvl>
    <w:lvl w:ilvl="1">
      <w:lvlJc w:val="left"/>
      <w:lvlText w:val="(%2)"/>
      <w:numFmt w:val="lowerRoman"/>
      <w:start w:val="1"/>
    </w:lvl>
  </w:abstractNum>
  <w:abstractNum w:abstractNumId="82">
    <w:nsid w:val="5551B9F3"/>
    <w:multiLevelType w:val="hybridMultilevel"/>
    <w:lvl w:ilvl="0">
      <w:lvlJc w:val="left"/>
      <w:lvlText w:val="%1"/>
      <w:numFmt w:val="lowerLetter"/>
      <w:start w:val="1"/>
    </w:lvl>
    <w:lvl w:ilvl="1">
      <w:lvlJc w:val="left"/>
      <w:lvlText w:val="(%2)"/>
      <w:numFmt w:val="lowerRoman"/>
      <w:start w:val="4"/>
    </w:lvl>
  </w:abstractNum>
  <w:abstractNum w:abstractNumId="83">
    <w:nsid w:val="24F6AB8E"/>
    <w:multiLevelType w:val="hybridMultilevel"/>
    <w:lvl w:ilvl="0">
      <w:lvlJc w:val="left"/>
      <w:lvlText w:val="(%1)"/>
      <w:numFmt w:val="lowerLetter"/>
      <w:start w:val="7"/>
    </w:lvl>
    <w:lvl w:ilvl="1">
      <w:lvlJc w:val="left"/>
      <w:lvlText w:val="%2"/>
      <w:numFmt w:val="lowerRoman"/>
      <w:start w:val="1"/>
    </w:lvl>
  </w:abstractNum>
  <w:abstractNum w:abstractNumId="84">
    <w:nsid w:val="634C574C"/>
    <w:multiLevelType w:val="hybridMultilevel"/>
    <w:lvl w:ilvl="0">
      <w:lvlJc w:val="left"/>
      <w:lvlText w:val="%1"/>
      <w:numFmt w:val="lowerRoman"/>
      <w:start w:val="1"/>
    </w:lvl>
    <w:lvl w:ilvl="1">
      <w:lvlJc w:val="left"/>
      <w:lvlText w:val="(%2)"/>
      <w:numFmt w:val="lowerLetter"/>
      <w:start w:val="1"/>
    </w:lvl>
  </w:abstractNum>
  <w:abstractNum w:abstractNumId="85">
    <w:nsid w:val="24E99DD7"/>
    <w:multiLevelType w:val="hybridMultilevel"/>
    <w:lvl w:ilvl="0">
      <w:lvlJc w:val="left"/>
      <w:lvlText w:val="(%1)"/>
      <w:numFmt w:val="lowerRoman"/>
      <w:start w:val="4"/>
    </w:lvl>
    <w:lvl w:ilvl="1">
      <w:lvlJc w:val="left"/>
      <w:lvlText w:val="(%2)"/>
      <w:numFmt w:val="lowerLetter"/>
      <w:start w:val="2"/>
    </w:lvl>
  </w:abstractNum>
  <w:abstractNum w:abstractNumId="86">
    <w:nsid w:val="2A31B62D"/>
    <w:multiLevelType w:val="hybridMultilevel"/>
    <w:lvl w:ilvl="0">
      <w:lvlJc w:val="left"/>
      <w:lvlText w:val="(%1)"/>
      <w:numFmt w:val="lowerLetter"/>
      <w:start w:val="1"/>
    </w:lvl>
    <w:lvl w:ilvl="1">
      <w:lvlJc w:val="left"/>
      <w:lvlText w:val="(%2)"/>
      <w:numFmt w:val="lowerRoman"/>
      <w:start w:val="1"/>
    </w:lvl>
  </w:abstractNum>
  <w:abstractNum w:abstractNumId="87">
    <w:nsid w:val="1849C29B"/>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8">
    <w:nsid w:val="7DFF9D0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754342"/>
    <w:multiLevelType w:val="hybridMultilevel"/>
    <w:lvl w:ilvl="0">
      <w:lvlJc w:val="left"/>
      <w:lvlText w:val="(%1)"/>
      <w:numFmt w:val="lowerLetter"/>
      <w:start w:val="3"/>
    </w:lvl>
  </w:abstractNum>
  <w:abstractNum w:abstractNumId="90">
    <w:nsid w:val="69E7F3E5"/>
    <w:multiLevelType w:val="hybridMultilevel"/>
    <w:lvl w:ilvl="0">
      <w:lvlJc w:val="left"/>
      <w:lvlText w:val="(%1)"/>
      <w:numFmt w:val="lowerLetter"/>
      <w:start w:val="1"/>
    </w:lvl>
  </w:abstractNum>
  <w:abstractNum w:abstractNumId="91">
    <w:nsid w:val="2A6DE806"/>
    <w:multiLevelType w:val="hybridMultilevel"/>
    <w:lvl w:ilvl="0">
      <w:lvlJc w:val="left"/>
      <w:lvlText w:val="(%1)"/>
      <w:numFmt w:val="lowerLetter"/>
      <w:start w:val="3"/>
    </w:lvl>
  </w:abstractNum>
  <w:abstractNum w:abstractNumId="92">
    <w:nsid w:val="1816F8C4"/>
    <w:multiLevelType w:val="hybridMultilevel"/>
    <w:lvl w:ilvl="0">
      <w:lvlJc w:val="left"/>
      <w:lvlText w:val="(%1)"/>
      <w:numFmt w:val="lowerLetter"/>
      <w:start w:val="1"/>
    </w:lvl>
    <w:lvl w:ilvl="1">
      <w:lvlJc w:val="left"/>
      <w:lvlText w:val="(%2)"/>
      <w:numFmt w:val="lowerRoman"/>
      <w:start w:val="1"/>
    </w:lvl>
  </w:abstractNum>
  <w:abstractNum w:abstractNumId="93">
    <w:nsid w:val="37DF2233"/>
    <w:multiLevelType w:val="hybridMultilevel"/>
    <w:lvl w:ilvl="0">
      <w:lvlJc w:val="left"/>
      <w:lvlText w:val="(%1)"/>
      <w:numFmt w:val="lowerLetter"/>
      <w:start w:val="2"/>
    </w:lvl>
    <w:lvl w:ilvl="1">
      <w:lvlJc w:val="left"/>
      <w:lvlText w:val="(%2)"/>
      <w:numFmt w:val="lowerRoman"/>
      <w:start w:val="1"/>
    </w:lvl>
  </w:abstractNum>
  <w:abstractNum w:abstractNumId="94">
    <w:nsid w:val="7AB49DA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5">
    <w:nsid w:val="759F82CD"/>
    <w:multiLevelType w:val="hybridMultilevel"/>
    <w:lvl w:ilvl="0">
      <w:lvlJc w:val="left"/>
      <w:lvlText w:val="(%1)"/>
      <w:numFmt w:val="upperLetter"/>
      <w:start w:val="35"/>
    </w:lvl>
  </w:abstractNum>
  <w:abstractNum w:abstractNumId="96">
    <w:nsid w:val="61E74EA3"/>
    <w:multiLevelType w:val="hybridMultilevel"/>
    <w:lvl w:ilvl="0">
      <w:lvlJc w:val="left"/>
      <w:lvlText w:val="%1"/>
      <w:numFmt w:val="upperLetter"/>
      <w:start w:val="1"/>
    </w:lvl>
    <w:lvl w:ilvl="1">
      <w:lvlJc w:val="left"/>
      <w:lvlText w:val="(%2)"/>
      <w:numFmt w:val="upperLetter"/>
      <w:start w:val="22"/>
    </w:lvl>
  </w:abstractNum>
  <w:abstractNum w:abstractNumId="97">
    <w:nsid w:val="597B4D84"/>
    <w:multiLevelType w:val="hybridMultilevel"/>
    <w:lvl w:ilvl="0">
      <w:lvlJc w:val="left"/>
      <w:lvlText w:val="(%1)"/>
      <w:numFmt w:val="upperLetter"/>
      <w:start w:val="3"/>
    </w:lvl>
    <w:lvl w:ilvl="1">
      <w:lvlJc w:val="left"/>
      <w:lvlText w:val="%2"/>
      <w:numFmt w:val="upperLetter"/>
      <w:start w:val="1"/>
    </w:lvl>
  </w:abstractNum>
  <w:abstractNum w:abstractNumId="98">
    <w:nsid w:val="F819E7F"/>
    <w:multiLevelType w:val="hybridMultilevel"/>
    <w:lvl w:ilvl="0">
      <w:lvlJc w:val="left"/>
      <w:lvlText w:val="%1"/>
      <w:numFmt w:val="lowerLetter"/>
      <w:start w:val="1"/>
    </w:lvl>
    <w:lvl w:ilvl="1">
      <w:lvlJc w:val="left"/>
      <w:lvlText w:val="(%2)"/>
      <w:numFmt w:val="lowerLetter"/>
      <w:start w:val="61"/>
    </w:lvl>
  </w:abstractNum>
  <w:abstractNum w:abstractNumId="99">
    <w:nsid w:val="57C7D42D"/>
    <w:multiLevelType w:val="hybridMultilevel"/>
    <w:lvl w:ilvl="0">
      <w:lvlJc w:val="left"/>
      <w:lvlText w:val="(%1)"/>
      <w:numFmt w:val="lowerLetter"/>
      <w:start w:val="6"/>
    </w:lvl>
    <w:lvl w:ilvl="1">
      <w:lvlJc w:val="left"/>
      <w:lvlText w:val="%2"/>
      <w:numFmt w:val="lowerLetter"/>
      <w:start w:val="1"/>
    </w:lvl>
  </w:abstractNum>
  <w:abstractNum w:abstractNumId="100">
    <w:nsid w:val="312167AD"/>
    <w:multiLevelType w:val="hybridMultilevel"/>
    <w:lvl w:ilvl="0">
      <w:lvlJc w:val="left"/>
      <w:lvlText w:val="(%1)"/>
      <w:numFmt w:val="lowerLetter"/>
      <w:start w:val="1"/>
    </w:lvl>
  </w:abstractNum>
  <w:abstractNum w:abstractNumId="101">
    <w:nsid w:val="631B64D4"/>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102">
    <w:nsid w:val="78B5E776"/>
    <w:multiLevelType w:val="hybridMultilevel"/>
    <w:lvl w:ilvl="0">
      <w:lvlJc w:val="left"/>
      <w:lvlText w:val="(%1)"/>
      <w:numFmt w:val="lowerLetter"/>
      <w:start w:val="3"/>
    </w:lvl>
    <w:lvl w:ilvl="1">
      <w:lvlJc w:val="left"/>
      <w:lvlText w:val="(%2)"/>
      <w:numFmt w:val="lowerRoman"/>
      <w:start w:val="1"/>
    </w:lvl>
  </w:abstractNum>
  <w:abstractNum w:abstractNumId="103">
    <w:nsid w:val="75486E47"/>
    <w:multiLevelType w:val="hybridMultilevel"/>
    <w:lvl w:ilvl="0">
      <w:lvlJc w:val="left"/>
      <w:lvlText w:val="(%1)"/>
      <w:numFmt w:val="lowerLetter"/>
      <w:start w:val="4"/>
    </w:lvl>
  </w:abstractNum>
  <w:abstractNum w:abstractNumId="104">
    <w:nsid w:val="6E534CDE"/>
    <w:multiLevelType w:val="hybridMultilevel"/>
    <w:lvl w:ilvl="0">
      <w:lvlJc w:val="left"/>
      <w:lvlText w:val="(%1)"/>
      <w:numFmt w:val="lowerLetter"/>
      <w:start w:val="5"/>
    </w:lvl>
  </w:abstractNum>
  <w:abstractNum w:abstractNumId="105">
    <w:nsid w:val="1A0DDE32"/>
    <w:multiLevelType w:val="hybridMultilevel"/>
    <w:lvl w:ilvl="0">
      <w:lvlJc w:val="left"/>
      <w:lvlText w:val="(%1)"/>
      <w:numFmt w:val="lowerLetter"/>
      <w:start w:val="1"/>
    </w:lvl>
    <w:lvl w:ilvl="1">
      <w:lvlJc w:val="left"/>
      <w:lvlText w:val="(%2)"/>
      <w:numFmt w:val="lowerRoman"/>
      <w:start w:val="1"/>
    </w:lvl>
  </w:abstractNum>
  <w:abstractNum w:abstractNumId="106">
    <w:nsid w:val="65968C1C"/>
    <w:multiLevelType w:val="hybridMultilevel"/>
    <w:lvl w:ilvl="0">
      <w:lvlJc w:val="left"/>
      <w:lvlText w:val="(%1)"/>
      <w:numFmt w:val="lowerLetter"/>
      <w:start w:val="2"/>
    </w:lvl>
  </w:abstractNum>
  <w:abstractNum w:abstractNumId="107">
    <w:nsid w:val="46263DEC"/>
    <w:multiLevelType w:val="hybridMultilevel"/>
    <w:lvl w:ilvl="0">
      <w:lvlJc w:val="left"/>
      <w:lvlText w:val="%1"/>
      <w:numFmt w:val="lowerLetter"/>
      <w:start w:val="1"/>
    </w:lvl>
    <w:lvl w:ilvl="1">
      <w:lvlJc w:val="left"/>
      <w:lvlText w:val="(%2)"/>
      <w:numFmt w:val="lowerLetter"/>
      <w:start w:val="3"/>
    </w:lvl>
  </w:abstractNum>
  <w:abstractNum w:abstractNumId="108">
    <w:nsid w:val="260D8C4A"/>
    <w:multiLevelType w:val="hybridMultilevel"/>
    <w:lvl w:ilvl="0">
      <w:lvlJc w:val="left"/>
      <w:lvlText w:val="(%1)"/>
      <w:numFmt w:val="lowerLetter"/>
      <w:start w:val="1"/>
    </w:lvl>
    <w:lvl w:ilvl="1">
      <w:lvlJc w:val="left"/>
      <w:lvlText w:val="(%2)"/>
      <w:numFmt w:val="lowerLetter"/>
      <w:start w:val="4"/>
    </w:lvl>
  </w:abstractNum>
  <w:abstractNum w:abstractNumId="109">
    <w:nsid w:val="73D4D3C4"/>
    <w:multiLevelType w:val="hybridMultilevel"/>
    <w:lvl w:ilvl="0">
      <w:lvlJc w:val="left"/>
      <w:lvlText w:val="(%1)"/>
      <w:numFmt w:val="lowerLetter"/>
      <w:start w:val="1"/>
    </w:lvl>
  </w:abstractNum>
  <w:abstractNum w:abstractNumId="110">
    <w:nsid w:val="746F2E30"/>
    <w:multiLevelType w:val="hybridMultilevel"/>
    <w:lvl w:ilvl="0">
      <w:lvlJc w:val="left"/>
      <w:lvlText w:val="(%1)"/>
      <w:numFmt w:val="lowerLetter"/>
      <w:start w:val="4"/>
    </w:lvl>
  </w:abstractNum>
  <w:abstractNum w:abstractNumId="111">
    <w:nsid w:val="6FDE8AF6"/>
    <w:multiLevelType w:val="hybridMultilevel"/>
    <w:lvl w:ilvl="0">
      <w:lvlJc w:val="left"/>
      <w:lvlText w:val="%1"/>
      <w:numFmt w:val="lowerLetter"/>
      <w:start w:val="1"/>
    </w:lvl>
    <w:lvl w:ilvl="1">
      <w:lvlJc w:val="left"/>
      <w:lvlText w:val="(%2)"/>
      <w:numFmt w:val="lowerLetter"/>
      <w:start w:val="1"/>
    </w:lvl>
  </w:abstractNum>
  <w:abstractNum w:abstractNumId="112">
    <w:nsid w:val="3FC32E20"/>
    <w:multiLevelType w:val="hybridMultilevel"/>
    <w:lvl w:ilvl="0">
      <w:lvlJc w:val="left"/>
      <w:lvlText w:val="(%1)"/>
      <w:numFmt w:val="lowerLetter"/>
      <w:start w:val="35"/>
    </w:lvl>
    <w:lvl w:ilvl="1">
      <w:lvlJc w:val="left"/>
      <w:lvlText w:val="(%2)"/>
      <w:numFmt w:val="lowerLetter"/>
      <w:start w:val="2"/>
    </w:lvl>
  </w:abstractNum>
  <w:abstractNum w:abstractNumId="113">
    <w:nsid w:val="49C0E823"/>
    <w:multiLevelType w:val="hybridMultilevel"/>
    <w:lvl w:ilvl="0">
      <w:lvlJc w:val="left"/>
      <w:lvlText w:val="(%1)"/>
      <w:numFmt w:val="lowerLetter"/>
      <w:start w:val="1"/>
    </w:lvl>
    <w:lvl w:ilvl="1">
      <w:lvlJc w:val="left"/>
      <w:lvlText w:val="(%2)"/>
      <w:numFmt w:val="lowerRoman"/>
      <w:start w:val="1"/>
    </w:lvl>
  </w:abstractNum>
  <w:abstractNum w:abstractNumId="114">
    <w:nsid w:val="14D53685"/>
    <w:multiLevelType w:val="hybridMultilevel"/>
    <w:lvl w:ilvl="0">
      <w:lvlJc w:val="left"/>
      <w:lvlText w:val="%1"/>
      <w:numFmt w:val="lowerLetter"/>
      <w:start w:val="1"/>
    </w:lvl>
    <w:lvl w:ilvl="1">
      <w:lvlJc w:val="left"/>
      <w:lvlText w:val="(%2)"/>
      <w:numFmt w:val="lowerRoman"/>
      <w:start w:val="10"/>
    </w:lvl>
  </w:abstractNum>
  <w:abstractNum w:abstractNumId="115">
    <w:nsid w:val="230F856C"/>
    <w:multiLevelType w:val="hybridMultilevel"/>
    <w:lvl w:ilvl="0">
      <w:lvlJc w:val="left"/>
      <w:lvlText w:val="(%1)"/>
      <w:numFmt w:val="lowerLetter"/>
      <w:start w:val="2"/>
    </w:lvl>
    <w:lvl w:ilvl="1">
      <w:lvlJc w:val="left"/>
      <w:lvlText w:val="%2"/>
      <w:numFmt w:val="lowerRoman"/>
      <w:start w:val="1"/>
    </w:lvl>
  </w:abstractNum>
  <w:abstractNum w:abstractNumId="116">
    <w:nsid w:val="6EAA85FB"/>
    <w:multiLevelType w:val="hybridMultilevel"/>
    <w:lvl w:ilvl="0">
      <w:lvlJc w:val="left"/>
      <w:lvlText w:val="(%1)"/>
      <w:numFmt w:val="lowerLetter"/>
      <w:start w:val="7"/>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1)"/>
      <w:numFmt w:val="lowerLetter"/>
      <w:start w:val="1"/>
    </w:lvl>
  </w:abstractNum>
  <w:abstractNum w:abstractNumId="119">
    <w:nsid w:val="6CAA2304"/>
    <w:multiLevelType w:val="hybridMultilevel"/>
    <w:lvl w:ilvl="0">
      <w:lvlJc w:val="left"/>
      <w:lvlText w:val="(%1)"/>
      <w:numFmt w:val="lowerLetter"/>
      <w:start w:val="1"/>
    </w:lvl>
  </w:abstractNum>
  <w:abstractNum w:abstractNumId="120">
    <w:nsid w:val="3F7C2FF4"/>
    <w:multiLevelType w:val="hybridMultilevel"/>
    <w:lvl w:ilvl="0">
      <w:lvlJc w:val="left"/>
      <w:lvlText w:val="(%1)"/>
      <w:numFmt w:val="lowerLetter"/>
      <w:start w:val="4"/>
    </w:lvl>
    <w:lvl w:ilvl="1">
      <w:lvlJc w:val="left"/>
      <w:lvlText w:val="(%2)"/>
      <w:numFmt w:val="lowerRoman"/>
      <w:start w:val="1"/>
    </w:lvl>
  </w:abstractNum>
  <w:abstractNum w:abstractNumId="121">
    <w:nsid w:val="25413BEC"/>
    <w:multiLevelType w:val="hybridMultilevel"/>
    <w:lvl w:ilvl="0">
      <w:lvlJc w:val="left"/>
      <w:lvlText w:val="(%1)"/>
      <w:numFmt w:val="lowerLetter"/>
      <w:start w:val="1"/>
    </w:lvl>
  </w:abstractNum>
  <w:abstractNum w:abstractNumId="122">
    <w:nsid w:val="17180B0B"/>
    <w:multiLevelType w:val="hybridMultilevel"/>
    <w:lvl w:ilvl="0">
      <w:lvlJc w:val="left"/>
      <w:lvlText w:val="(%1)"/>
      <w:numFmt w:val="lowerLetter"/>
      <w:start w:val="1"/>
    </w:lvl>
  </w:abstractNum>
  <w:abstractNum w:abstractNumId="123">
    <w:nsid w:val="579328B9"/>
    <w:multiLevelType w:val="hybridMultilevel"/>
    <w:lvl w:ilvl="0">
      <w:lvlJc w:val="left"/>
      <w:lvlText w:val="(%1)"/>
      <w:numFmt w:val="lowerLetter"/>
      <w:start w:val="3"/>
    </w:lvl>
  </w:abstractNum>
  <w:abstractNum w:abstractNumId="124">
    <w:nsid w:val="5D205E20"/>
    <w:multiLevelType w:val="hybridMultilevel"/>
    <w:lvl w:ilvl="0">
      <w:lvlJc w:val="left"/>
      <w:lvlText w:val="(%1)"/>
      <w:numFmt w:val="lowerLetter"/>
      <w:start w:val="1"/>
    </w:lvl>
  </w:abstractNum>
  <w:abstractNum w:abstractNumId="125">
    <w:nsid w:val="11CCA8BA"/>
    <w:multiLevelType w:val="hybridMultilevel"/>
    <w:lvl w:ilvl="0">
      <w:lvlJc w:val="left"/>
      <w:lvlText w:val="(%1)"/>
      <w:numFmt w:val="lowerLetter"/>
      <w:start w:val="1"/>
    </w:lvl>
  </w:abstractNum>
  <w:abstractNum w:abstractNumId="126">
    <w:nsid w:val="4D32AB86"/>
    <w:multiLevelType w:val="hybridMultilevel"/>
    <w:lvl w:ilvl="0">
      <w:lvlJc w:val="left"/>
      <w:lvlText w:val="(%1)"/>
      <w:numFmt w:val="lowerLetter"/>
      <w:start w:val="4"/>
    </w:lvl>
  </w:abstractNum>
  <w:abstractNum w:abstractNumId="127">
    <w:nsid w:val="3F07ACC3"/>
    <w:multiLevelType w:val="hybridMultilevel"/>
    <w:lvl w:ilvl="0">
      <w:lvlJc w:val="left"/>
      <w:lvlText w:val="(%1)"/>
      <w:numFmt w:val="lowerLetter"/>
      <w:start w:val="1"/>
    </w:lvl>
  </w:abstractNum>
  <w:abstractNum w:abstractNumId="128">
    <w:nsid w:val="6B47F63E"/>
    <w:multiLevelType w:val="hybridMultilevel"/>
    <w:lvl w:ilvl="0">
      <w:lvlJc w:val="left"/>
      <w:lvlText w:val="(%1)"/>
      <w:numFmt w:val="lowerLetter"/>
      <w:start w:val="1"/>
    </w:lvl>
  </w:abstractNum>
  <w:abstractNum w:abstractNumId="129">
    <w:nsid w:val="5CB44A05"/>
    <w:multiLevelType w:val="hybridMultilevel"/>
    <w:lvl w:ilvl="0">
      <w:lvlJc w:val="left"/>
      <w:lvlText w:val="(%1)"/>
      <w:numFmt w:val="lowerLetter"/>
      <w:start w:val="4"/>
    </w:lvl>
  </w:abstractNum>
  <w:abstractNum w:abstractNumId="130">
    <w:nsid w:val="16CF80F1"/>
    <w:multiLevelType w:val="hybridMultilevel"/>
    <w:lvl w:ilvl="0">
      <w:lvlJc w:val="left"/>
      <w:lvlText w:val="(%1)"/>
      <w:numFmt w:val="lowerLetter"/>
      <w:start w:val="1"/>
    </w:lvl>
  </w:abstractNum>
  <w:abstractNum w:abstractNumId="131">
    <w:nsid w:val="1C695DEC"/>
    <w:multiLevelType w:val="hybridMultilevel"/>
    <w:lvl w:ilvl="0">
      <w:lvlJc w:val="left"/>
      <w:lvlText w:val="%1"/>
      <w:numFmt w:val="lowerLetter"/>
      <w:start w:val="1"/>
    </w:lvl>
    <w:lvl w:ilvl="1">
      <w:lvlJc w:val="left"/>
      <w:lvlText w:val="(%2)"/>
      <w:numFmt w:val="lowerRoman"/>
      <w:start w:val="1"/>
    </w:lvl>
  </w:abstractNum>
  <w:abstractNum w:abstractNumId="132">
    <w:nsid w:val="3FCFAED9"/>
    <w:multiLevelType w:val="hybridMultilevel"/>
    <w:lvl w:ilvl="0">
      <w:lvlJc w:val="left"/>
      <w:lvlText w:val="(%1)"/>
      <w:numFmt w:val="lowerLetter"/>
      <w:start w:val="2"/>
    </w:lvl>
    <w:lvl w:ilvl="1">
      <w:lvlJc w:val="left"/>
      <w:lvlText w:val="(%2)"/>
      <w:numFmt w:val="lowerRoman"/>
      <w:start w:val="1"/>
    </w:lvl>
  </w:abstractNum>
  <w:abstractNum w:abstractNumId="133">
    <w:nsid w:val="F856867"/>
    <w:multiLevelType w:val="hybridMultilevel"/>
    <w:lvl w:ilvl="0">
      <w:lvlJc w:val="left"/>
      <w:lvlText w:val="%1"/>
      <w:numFmt w:val="lowerLetter"/>
      <w:start w:val="1"/>
    </w:lvl>
    <w:lvl w:ilvl="1">
      <w:lvlJc w:val="left"/>
      <w:lvlText w:val="(%2)"/>
      <w:numFmt w:val="lowerLetter"/>
      <w:start w:val="3"/>
    </w:lvl>
  </w:abstractNum>
  <w:abstractNum w:abstractNumId="134">
    <w:nsid w:val="11B1CC33"/>
    <w:multiLevelType w:val="hybridMultilevel"/>
    <w:lvl w:ilvl="0">
      <w:lvlJc w:val="left"/>
      <w:lvlText w:val="(%1)"/>
      <w:numFmt w:val="lowerLetter"/>
      <w:start w:val="35"/>
    </w:lvl>
    <w:lvl w:ilvl="1">
      <w:lvlJc w:val="left"/>
      <w:lvlText w:val="%2"/>
      <w:numFmt w:val="lowerLetter"/>
      <w:start w:val="1"/>
    </w:lvl>
  </w:abstractNum>
  <w:abstractNum w:abstractNumId="135">
    <w:nsid w:val="2E22FBB7"/>
    <w:multiLevelType w:val="hybridMultilevel"/>
    <w:lvl w:ilvl="0">
      <w:lvlJc w:val="left"/>
      <w:lvlText w:val="(%1)"/>
      <w:numFmt w:val="lowerLetter"/>
      <w:start w:val="1"/>
    </w:lvl>
  </w:abstractNum>
  <w:abstractNum w:abstractNumId="136">
    <w:nsid w:val="29934699"/>
    <w:multiLevelType w:val="hybridMultilevel"/>
    <w:lvl w:ilvl="0">
      <w:lvlJc w:val="left"/>
      <w:lvlText w:val="(%1)"/>
      <w:numFmt w:val="lowerLetter"/>
      <w:start w:val="1"/>
    </w:lvl>
  </w:abstractNum>
  <w:abstractNum w:abstractNumId="137">
    <w:nsid w:val="77485850"/>
    <w:multiLevelType w:val="hybridMultilevel"/>
    <w:lvl w:ilvl="0">
      <w:lvlJc w:val="left"/>
      <w:lvlText w:val="(%1)"/>
      <w:numFmt w:val="lowerLetter"/>
      <w:start w:val="4"/>
    </w:lvl>
  </w:abstractNum>
  <w:abstractNum w:abstractNumId="138">
    <w:nsid w:val="744939A3"/>
    <w:multiLevelType w:val="hybridMultilevel"/>
    <w:lvl w:ilvl="0">
      <w:lvlJc w:val="left"/>
      <w:lvlText w:val="(%1)"/>
      <w:numFmt w:val="lowerLetter"/>
      <w:start w:val="14"/>
    </w:lvl>
  </w:abstractNum>
  <w:abstractNum w:abstractNumId="139">
    <w:nsid w:val="4FA0D2E3"/>
    <w:multiLevelType w:val="hybridMultilevel"/>
    <w:lvl w:ilvl="0">
      <w:lvlJc w:val="left"/>
      <w:lvlText w:val="(%1)"/>
      <w:numFmt w:val="lowerLetter"/>
      <w:start w:val="1"/>
    </w:lvl>
    <w:lvl w:ilvl="1">
      <w:lvlJc w:val="left"/>
      <w:lvlText w:val="(%2)"/>
      <w:numFmt w:val="lowerRoman"/>
      <w:start w:val="1"/>
    </w:lvl>
  </w:abstractNum>
  <w:abstractNum w:abstractNumId="140">
    <w:nsid w:val="6B1D2C14"/>
    <w:multiLevelType w:val="hybridMultilevel"/>
    <w:lvl w:ilvl="0">
      <w:lvlJc w:val="left"/>
      <w:lvlText w:val="(%1)"/>
      <w:numFmt w:val="lowerLetter"/>
      <w:start w:val="8"/>
    </w:lvl>
  </w:abstractNum>
  <w:abstractNum w:abstractNumId="141">
    <w:nsid w:val="68B867D3"/>
    <w:multiLevelType w:val="hybridMultilevel"/>
    <w:lvl w:ilvl="0">
      <w:lvlJc w:val="left"/>
      <w:lvlText w:val="(%1)"/>
      <w:numFmt w:val="lowerLetter"/>
      <w:start w:val="1"/>
    </w:lvl>
  </w:abstractNum>
  <w:abstractNum w:abstractNumId="142">
    <w:nsid w:val="3F7F5DD9"/>
    <w:multiLevelType w:val="hybridMultilevel"/>
    <w:lvl w:ilvl="0">
      <w:lvlJc w:val="left"/>
      <w:lvlText w:val="(%1)"/>
      <w:numFmt w:val="lowerRoman"/>
      <w:start w:val="4"/>
    </w:lvl>
    <w:lvl w:ilvl="1">
      <w:lvlJc w:val="left"/>
      <w:lvlText w:val="(%2)"/>
      <w:numFmt w:val="lowerLetter"/>
      <w:start w:val="4"/>
    </w:lvl>
  </w:abstractNum>
  <w:abstractNum w:abstractNumId="143">
    <w:nsid w:val="2AE05A34"/>
    <w:multiLevelType w:val="hybridMultilevel"/>
    <w:lvl w:ilvl="0">
      <w:lvlJc w:val="left"/>
      <w:lvlText w:val="%1"/>
      <w:numFmt w:val="lowerLetter"/>
      <w:start w:val="1"/>
    </w:lvl>
    <w:lvl w:ilvl="1">
      <w:lvlJc w:val="left"/>
      <w:lvlText w:val="(%2)"/>
      <w:numFmt w:val="lowerLetter"/>
      <w:start w:val="13"/>
    </w:lvl>
  </w:abstractNum>
  <w:abstractNum w:abstractNumId="144">
    <w:nsid w:val="32794FF7"/>
    <w:multiLevelType w:val="hybridMultilevel"/>
    <w:lvl w:ilvl="0">
      <w:lvlJc w:val="left"/>
      <w:lvlText w:val="(%1)"/>
      <w:numFmt w:val="lowerLetter"/>
      <w:start w:val="61"/>
    </w:lvl>
    <w:lvl w:ilvl="1">
      <w:lvlJc w:val="left"/>
      <w:lvlText w:val="(%2)"/>
      <w:numFmt w:val="lowerLetter"/>
      <w:start w:val="16"/>
    </w:lvl>
  </w:abstractNum>
  <w:abstractNum w:abstractNumId="145">
    <w:nsid w:val="5454945E"/>
    <w:multiLevelType w:val="hybridMultilevel"/>
    <w:lvl w:ilvl="0">
      <w:lvlJc w:val="left"/>
      <w:lvlText w:val="(%1)"/>
      <w:numFmt w:val="lowerLetter"/>
      <w:start w:val="1"/>
    </w:lvl>
  </w:abstractNum>
  <w:abstractNum w:abstractNumId="146">
    <w:nsid w:val="4DEFDFA0"/>
    <w:multiLevelType w:val="hybridMultilevel"/>
    <w:lvl w:ilvl="0">
      <w:lvlJc w:val="left"/>
      <w:lvlText w:val="%1"/>
      <w:numFmt w:val="lowerLetter"/>
      <w:start w:val="1"/>
    </w:lvl>
    <w:lvl w:ilvl="1">
      <w:lvlJc w:val="left"/>
      <w:lvlText w:val="(%2)"/>
      <w:numFmt w:val="lowerLetter"/>
      <w:start w:val="1"/>
    </w:lvl>
  </w:abstractNum>
  <w:abstractNum w:abstractNumId="147">
    <w:nsid w:val="2123D5F2"/>
    <w:multiLevelType w:val="hybridMultilevel"/>
    <w:lvl w:ilvl="0">
      <w:lvlJc w:val="left"/>
      <w:lvlText w:val="(%1)"/>
      <w:numFmt w:val="lowerLetter"/>
      <w:start w:val="35"/>
    </w:lvl>
    <w:lvl w:ilvl="1">
      <w:lvlJc w:val="left"/>
      <w:lvlText w:val="(%2)"/>
      <w:numFmt w:val="lowerLetter"/>
      <w:start w:val="5"/>
    </w:lvl>
  </w:abstractNum>
  <w:abstractNum w:abstractNumId="148">
    <w:nsid w:val="135B8110"/>
    <w:multiLevelType w:val="hybridMultilevel"/>
    <w:lvl w:ilvl="0">
      <w:lvlJc w:val="left"/>
      <w:lvlText w:val="(%1)"/>
      <w:numFmt w:val="lowerLetter"/>
      <w:start w:val="8"/>
    </w:lvl>
  </w:abstractNum>
  <w:abstractNum w:abstractNumId="149">
    <w:nsid w:val="94927A8"/>
    <w:multiLevelType w:val="hybridMultilevel"/>
    <w:lvl w:ilvl="0">
      <w:lvlJc w:val="left"/>
      <w:lvlText w:val="(%1)"/>
      <w:numFmt w:val="lowerLetter"/>
      <w:start w:val="1"/>
    </w:lvl>
  </w:abstractNum>
  <w:abstractNum w:abstractNumId="150">
    <w:nsid w:val="DCDF8F6"/>
    <w:multiLevelType w:val="hybridMultilevel"/>
    <w:lvl w:ilvl="0">
      <w:lvlJc w:val="left"/>
      <w:lvlText w:val="(%1)"/>
      <w:numFmt w:val="lowerLetter"/>
      <w:start w:val="5"/>
    </w:lvl>
  </w:abstractNum>
  <w:abstractNum w:abstractNumId="151">
    <w:nsid w:val="52D7B105"/>
    <w:multiLevelType w:val="hybridMultilevel"/>
    <w:lvl w:ilvl="0">
      <w:lvlJc w:val="left"/>
      <w:lvlText w:val="(%1)"/>
      <w:numFmt w:val="lowerLetter"/>
      <w:start w:val="1"/>
    </w:lvl>
  </w:abstractNum>
  <w:abstractNum w:abstractNumId="152">
    <w:nsid w:val="2E8A6394"/>
    <w:multiLevelType w:val="hybridMultilevel"/>
    <w:lvl w:ilvl="0">
      <w:lvlJc w:val="left"/>
      <w:lvlText w:val="(%1)"/>
      <w:numFmt w:val="lowerLetter"/>
      <w:start w:val="1"/>
    </w:lvl>
  </w:abstractNum>
  <w:abstractNum w:abstractNumId="153">
    <w:nsid w:val="24E60401"/>
    <w:multiLevelType w:val="hybridMultilevel"/>
    <w:lvl w:ilvl="0">
      <w:lvlJc w:val="left"/>
      <w:lvlText w:val="(%1)"/>
      <w:numFmt w:val="lowerLetter"/>
      <w:start w:val="1"/>
    </w:lvl>
  </w:abstractNum>
  <w:abstractNum w:abstractNumId="154">
    <w:nsid w:val="2A6AD9BE"/>
    <w:multiLevelType w:val="hybridMultilevel"/>
    <w:lvl w:ilvl="0">
      <w:lvlJc w:val="left"/>
      <w:lvlText w:val="(%1)"/>
      <w:numFmt w:val="lowerLetter"/>
      <w:start w:val="1"/>
    </w:lvl>
    <w:lvl w:ilvl="1">
      <w:lvlJc w:val="left"/>
      <w:lvlText w:val="(%2)"/>
      <w:numFmt w:val="lowerRoman"/>
      <w:start w:val="1"/>
    </w:lvl>
  </w:abstractNum>
  <w:abstractNum w:abstractNumId="155">
    <w:nsid w:val="BAAC1B4"/>
    <w:multiLevelType w:val="hybridMultilevel"/>
    <w:lvl w:ilvl="0">
      <w:lvlJc w:val="left"/>
      <w:lvlText w:val="%1"/>
      <w:numFmt w:val="lowerLetter"/>
      <w:start w:val="1"/>
    </w:lvl>
    <w:lvl w:ilvl="1">
      <w:lvlJc w:val="left"/>
      <w:lvlText w:val="(%2)"/>
      <w:numFmt w:val="lowerLetter"/>
      <w:start w:val="1"/>
    </w:lvl>
  </w:abstractNum>
  <w:abstractNum w:abstractNumId="156">
    <w:nsid w:val="36B2ACBC"/>
    <w:multiLevelType w:val="hybridMultilevel"/>
    <w:lvl w:ilvl="0">
      <w:lvlJc w:val="left"/>
      <w:lvlText w:val="(%1)"/>
      <w:numFmt w:val="lowerLetter"/>
      <w:start w:val="1"/>
    </w:lvl>
    <w:lvl w:ilvl="1">
      <w:lvlJc w:val="left"/>
      <w:lvlText w:val="(%2)"/>
      <w:numFmt w:val="lowerLetter"/>
      <w:start w:val="4"/>
    </w:lvl>
  </w:abstractNum>
  <w:abstractNum w:abstractNumId="157">
    <w:nsid w:val="779D8544"/>
    <w:multiLevelType w:val="hybridMultilevel"/>
    <w:lvl w:ilvl="0">
      <w:lvlJc w:val="left"/>
      <w:lvlText w:val="(%1)"/>
      <w:numFmt w:val="lowerLetter"/>
      <w:start w:val="24"/>
    </w:lvl>
    <w:lvl w:ilvl="1">
      <w:lvlJc w:val="left"/>
      <w:lvlText w:val="(%2)"/>
      <w:numFmt w:val="lowerLetter"/>
      <w:start w:val="6"/>
    </w:lvl>
  </w:abstractNum>
  <w:abstractNum w:abstractNumId="158">
    <w:nsid w:val="4AB26E78"/>
    <w:multiLevelType w:val="hybridMultilevel"/>
    <w:lvl w:ilvl="0">
      <w:lvlJc w:val="left"/>
      <w:lvlText w:val="(%1)"/>
      <w:numFmt w:val="lowerLetter"/>
      <w:start w:val="10"/>
    </w:lvl>
  </w:abstractNum>
  <w:abstractNum w:abstractNumId="159">
    <w:nsid w:val="21FAA2FA"/>
    <w:multiLevelType w:val="hybridMultilevel"/>
    <w:lvl w:ilvl="0">
      <w:lvlJc w:val="left"/>
      <w:lvlText w:val="(%1)"/>
      <w:numFmt w:val="lowerLetter"/>
      <w:start w:val="1"/>
    </w:lvl>
  </w:abstractNum>
  <w:abstractNum w:abstractNumId="160">
    <w:nsid w:val="5451CF49"/>
    <w:multiLevelType w:val="hybridMultilevel"/>
    <w:lvl w:ilvl="0">
      <w:lvlJc w:val="left"/>
      <w:lvlText w:val="(%1)"/>
      <w:numFmt w:val="lowerLetter"/>
      <w:start w:val="1"/>
    </w:lvl>
  </w:abstractNum>
  <w:abstractNum w:abstractNumId="161">
    <w:nsid w:val="6181EF69"/>
    <w:multiLevelType w:val="hybridMultilevel"/>
    <w:lvl w:ilvl="0">
      <w:lvlJc w:val="left"/>
      <w:lvlText w:val="(%1)"/>
      <w:numFmt w:val="lowerLetter"/>
      <w:start w:val="1"/>
    </w:lvl>
  </w:abstractNum>
  <w:abstractNum w:abstractNumId="162">
    <w:nsid w:val="3E6400E6"/>
    <w:multiLevelType w:val="hybridMultilevel"/>
    <w:lvl w:ilvl="0">
      <w:lvlJc w:val="left"/>
      <w:lvlText w:val="(%1)"/>
      <w:numFmt w:val="lowerLetter"/>
      <w:start w:val="2"/>
    </w:lvl>
  </w:abstractNum>
  <w:abstractNum w:abstractNumId="163">
    <w:nsid w:val="14217E23"/>
    <w:multiLevelType w:val="hybridMultilevel"/>
    <w:lvl w:ilvl="0">
      <w:lvlJc w:val="left"/>
      <w:lvlText w:val="(%1)"/>
      <w:numFmt w:val="lowerLetter"/>
      <w:start w:val="1"/>
    </w:lvl>
  </w:abstractNum>
  <w:abstractNum w:abstractNumId="164">
    <w:nsid w:val="710757D0"/>
    <w:multiLevelType w:val="hybridMultilevel"/>
    <w:lvl w:ilvl="0">
      <w:lvlJc w:val="left"/>
      <w:lvlText w:val="(%1)"/>
      <w:numFmt w:val="lowerLetter"/>
      <w:start w:val="1"/>
    </w:lvl>
  </w:abstractNum>
  <w:abstractNum w:abstractNumId="165">
    <w:nsid w:val="5015CD1A"/>
    <w:multiLevelType w:val="hybridMultilevel"/>
    <w:lvl w:ilvl="0">
      <w:lvlJc w:val="left"/>
      <w:lvlText w:val="(%1)"/>
      <w:numFmt w:val="lowerLetter"/>
      <w:start w:val="1"/>
    </w:lvl>
    <w:lvl w:ilvl="1">
      <w:lvlJc w:val="left"/>
      <w:lvlText w:val="(%2)"/>
      <w:numFmt w:val="lowerRoman"/>
      <w:start w:val="1"/>
    </w:lvl>
  </w:abstractNum>
  <w:abstractNum w:abstractNumId="166">
    <w:nsid w:val="424479DA"/>
    <w:multiLevelType w:val="hybridMultilevel"/>
    <w:lvl w:ilvl="0">
      <w:lvlJc w:val="left"/>
      <w:lvlText w:val="%1"/>
      <w:numFmt w:val="lowerLetter"/>
      <w:start w:val="1"/>
    </w:lvl>
    <w:lvl w:ilvl="1">
      <w:lvlJc w:val="left"/>
      <w:lvlText w:val="(%2)"/>
      <w:numFmt w:val="lowerRoman"/>
      <w:start w:val="3"/>
    </w:lvl>
  </w:abstractNum>
  <w:abstractNum w:abstractNumId="167">
    <w:nsid w:val="1A9A9E69"/>
    <w:multiLevelType w:val="hybridMultilevel"/>
    <w:lvl w:ilvl="0">
      <w:lvlJc w:val="left"/>
      <w:lvlText w:val="(%1)"/>
      <w:numFmt w:val="lowerLetter"/>
      <w:start w:val="2"/>
    </w:lvl>
    <w:lvl w:ilvl="1">
      <w:lvlJc w:val="left"/>
      <w:lvlText w:val="%2"/>
      <w:numFmt w:val="lowerRoman"/>
      <w:start w:val="1"/>
    </w:lvl>
  </w:abstractNum>
  <w:abstractNum w:abstractNumId="168">
    <w:nsid w:val="475E256A"/>
    <w:multiLevelType w:val="hybridMultilevel"/>
    <w:lvl w:ilvl="0">
      <w:lvlJc w:val="left"/>
      <w:lvlText w:val="(%1)"/>
      <w:numFmt w:val="lowerLetter"/>
      <w:start w:val="1"/>
    </w:lvl>
  </w:abstractNum>
  <w:abstractNum w:abstractNumId="169">
    <w:nsid w:val="368DB37E"/>
    <w:multiLevelType w:val="hybridMultilevel"/>
    <w:lvl w:ilvl="0">
      <w:lvlJc w:val="left"/>
      <w:lvlText w:val="(%1)"/>
      <w:numFmt w:val="lowerLetter"/>
      <w:start w:val="12"/>
    </w:lvl>
  </w:abstractNum>
  <w:abstractNum w:abstractNumId="170">
    <w:nsid w:val="6A3B714C"/>
    <w:multiLevelType w:val="hybridMultilevel"/>
    <w:lvl w:ilvl="0">
      <w:lvlJc w:val="left"/>
      <w:lvlText w:val="(%1)"/>
      <w:numFmt w:val="lowerLetter"/>
      <w:start w:val="1"/>
    </w:lvl>
    <w:lvl w:ilvl="1">
      <w:lvlJc w:val="left"/>
      <w:lvlText w:val="(%2)"/>
      <w:numFmt w:val="lowerRoman"/>
      <w:start w:val="1"/>
    </w:lvl>
  </w:abstractNum>
  <w:abstractNum w:abstractNumId="171">
    <w:nsid w:val="327B517E"/>
    <w:multiLevelType w:val="hybridMultilevel"/>
    <w:lvl w:ilvl="0">
      <w:lvlJc w:val="left"/>
      <w:lvlText w:val="(%1)"/>
      <w:numFmt w:val="lowerLetter"/>
      <w:start w:val="2"/>
    </w:lvl>
  </w:abstractNum>
  <w:abstractNum w:abstractNumId="172">
    <w:nsid w:val="1F461B51"/>
    <w:multiLevelType w:val="hybridMultilevel"/>
    <w:lvl w:ilvl="0">
      <w:lvlJc w:val="left"/>
      <w:lvlText w:val="(%1)"/>
      <w:numFmt w:val="lowerLetter"/>
      <w:start w:val="3"/>
    </w:lvl>
  </w:abstractNum>
  <w:abstractNum w:abstractNumId="173">
    <w:nsid w:val="29BACF25"/>
    <w:multiLevelType w:val="hybridMultilevel"/>
    <w:lvl w:ilvl="0">
      <w:lvlJc w:val="left"/>
      <w:lvlText w:val="%1"/>
      <w:numFmt w:val="upperLetter"/>
      <w:start w:val="1"/>
    </w:lvl>
    <w:lvl w:ilvl="1">
      <w:lvlJc w:val="left"/>
      <w:lvlText w:val="(%2)"/>
      <w:numFmt w:val="lowerLetter"/>
      <w:start w:val="1"/>
    </w:lvl>
  </w:abstractNum>
  <w:abstractNum w:abstractNumId="174">
    <w:nsid w:val="5D5BABB3"/>
    <w:multiLevelType w:val="hybridMultilevel"/>
    <w:lvl w:ilvl="0">
      <w:lvlJc w:val="left"/>
      <w:lvlText w:val="(%1)"/>
      <w:numFmt w:val="upperLetter"/>
      <w:start w:val="2"/>
    </w:lvl>
    <w:lvl w:ilvl="1">
      <w:lvlJc w:val="left"/>
      <w:lvlText w:val="%2"/>
      <w:numFmt w:val="lowerLetter"/>
      <w:start w:val="1"/>
    </w:lvl>
  </w:abstractNum>
  <w:abstractNum w:abstractNumId="175">
    <w:nsid w:val="51BF6B48"/>
    <w:multiLevelType w:val="hybridMultilevel"/>
    <w:lvl w:ilvl="0">
      <w:lvlJc w:val="left"/>
      <w:lvlText w:val="(%1)"/>
      <w:numFmt w:val="lowerLetter"/>
      <w:start w:val="2"/>
    </w:lvl>
  </w:abstractNum>
  <w:abstractNum w:abstractNumId="176">
    <w:nsid w:val="7E0F6384"/>
    <w:multiLevelType w:val="hybridMultilevel"/>
    <w:lvl w:ilvl="0">
      <w:lvlJc w:val="left"/>
      <w:lvlText w:val="%1"/>
      <w:numFmt w:val="lowerLetter"/>
      <w:start w:val="1"/>
    </w:lvl>
    <w:lvl w:ilvl="1">
      <w:lvlJc w:val="left"/>
      <w:lvlText w:val="(%2)"/>
      <w:numFmt w:val="lowerLetter"/>
      <w:start w:val="4"/>
    </w:lvl>
  </w:abstractNum>
  <w:abstractNum w:abstractNumId="177">
    <w:nsid w:val="2B4B8B53"/>
    <w:multiLevelType w:val="hybridMultilevel"/>
    <w:lvl w:ilvl="0">
      <w:lvlJc w:val="left"/>
      <w:lvlText w:val="(%1)"/>
      <w:numFmt w:val="lowerLetter"/>
      <w:start w:val="2"/>
    </w:lvl>
    <w:lvl w:ilvl="1">
      <w:lvlJc w:val="left"/>
      <w:lvlText w:val="(%2)"/>
      <w:numFmt w:val="lowerLetter"/>
      <w:start w:val="5"/>
    </w:lvl>
  </w:abstractNum>
  <w:abstractNum w:abstractNumId="178">
    <w:nsid w:val="72E3413A"/>
    <w:multiLevelType w:val="hybridMultilevel"/>
    <w:lvl w:ilvl="0">
      <w:lvlJc w:val="left"/>
      <w:lvlText w:val="(%1)"/>
      <w:numFmt w:val="lowerLetter"/>
      <w:start w:val="1"/>
    </w:lvl>
  </w:abstractNum>
  <w:abstractNum w:abstractNumId="179">
    <w:nsid w:val="116AE49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80">
    <w:nsid w:val="3494B2FB"/>
    <w:multiLevelType w:val="hybridMultilevel"/>
    <w:lvl w:ilvl="0">
      <w:lvlJc w:val="left"/>
      <w:lvlText w:val="%1"/>
      <w:numFmt w:val="lowerRoman"/>
      <w:start w:val="1"/>
    </w:lvl>
    <w:lvl w:ilvl="1">
      <w:lvlJc w:val="left"/>
      <w:lvlText w:val="(%2)"/>
      <w:numFmt w:val="upperLetter"/>
      <w:start w:val="2"/>
    </w:lvl>
  </w:abstractNum>
  <w:abstractNum w:abstractNumId="181">
    <w:nsid w:val="B13A31"/>
    <w:multiLevelType w:val="hybridMultilevel"/>
    <w:lvl w:ilvl="0">
      <w:lvlJc w:val="left"/>
      <w:lvlText w:val="(%1)"/>
      <w:numFmt w:val="lowerRoman"/>
      <w:start w:val="4"/>
    </w:lvl>
    <w:lvl w:ilvl="1">
      <w:lvlJc w:val="left"/>
      <w:lvlText w:val="%2"/>
      <w:numFmt w:val="upperLetter"/>
      <w:start w:val="1"/>
    </w:lvl>
  </w:abstractNum>
  <w:abstractNum w:abstractNumId="182">
    <w:nsid w:val="64429599"/>
    <w:multiLevelType w:val="hybridMultilevel"/>
    <w:lvl w:ilvl="0">
      <w:lvlJc w:val="left"/>
      <w:lvlText w:val="(%1)"/>
      <w:numFmt w:val="lowerLetter"/>
      <w:start w:val="3"/>
    </w:lvl>
  </w:abstractNum>
  <w:abstractNum w:abstractNumId="183">
    <w:nsid w:val="631F1690"/>
    <w:multiLevelType w:val="hybridMultilevel"/>
    <w:lvl w:ilvl="0">
      <w:lvlJc w:val="left"/>
      <w:lvlText w:val="(%1)"/>
      <w:numFmt w:val="lowerLetter"/>
      <w:start w:val="5"/>
    </w:lvl>
  </w:abstractNum>
  <w:abstractNum w:abstractNumId="184">
    <w:nsid w:val="25973E32"/>
    <w:multiLevelType w:val="hybridMultilevel"/>
    <w:lvl w:ilvl="0">
      <w:lvlJc w:val="left"/>
      <w:lvlText w:val="(%1)"/>
      <w:numFmt w:val="lowerLetter"/>
      <w:start w:val="1"/>
    </w:lvl>
  </w:abstractNum>
  <w:abstractNum w:abstractNumId="185">
    <w:nsid w:val="EAD6F57"/>
    <w:multiLevelType w:val="hybridMultilevel"/>
    <w:lvl w:ilvl="0">
      <w:lvlJc w:val="left"/>
      <w:lvlText w:val="(%1)"/>
      <w:numFmt w:val="lowerLetter"/>
      <w:start w:val="5"/>
    </w:lvl>
  </w:abstractNum>
  <w:abstractNum w:abstractNumId="186">
    <w:nsid w:val="6EC9D844"/>
    <w:multiLevelType w:val="hybridMultilevel"/>
    <w:lvl w:ilvl="0">
      <w:lvlJc w:val="left"/>
      <w:lvlText w:val="(%1)"/>
      <w:numFmt w:val="lowerLetter"/>
      <w:start w:val="1"/>
    </w:lvl>
  </w:abstractNum>
  <w:abstractNum w:abstractNumId="187">
    <w:nsid w:val="5C49EAEE"/>
    <w:multiLevelType w:val="hybridMultilevel"/>
    <w:lvl w:ilvl="0">
      <w:lvlJc w:val="left"/>
      <w:lvlText w:val="(%1)"/>
      <w:numFmt w:val="lowerLetter"/>
      <w:start w:val="3"/>
    </w:lvl>
  </w:abstractNum>
  <w:abstractNum w:abstractNumId="188">
    <w:nsid w:val="64AF49B"/>
    <w:multiLevelType w:val="hybridMultilevel"/>
    <w:lvl w:ilvl="0">
      <w:lvlJc w:val="left"/>
      <w:lvlText w:val="(%1)"/>
      <w:numFmt w:val="lowerLetter"/>
      <w:start w:val="1"/>
    </w:lvl>
    <w:lvl w:ilvl="1">
      <w:lvlJc w:val="left"/>
      <w:lvlText w:val="(%2)"/>
      <w:numFmt w:val="lowerRoman"/>
      <w:start w:val="1"/>
    </w:lvl>
  </w:abstractNum>
  <w:abstractNum w:abstractNumId="189">
    <w:nsid w:val="397C46BC"/>
    <w:multiLevelType w:val="hybridMultilevel"/>
    <w:lvl w:ilvl="0">
      <w:lvlJc w:val="left"/>
      <w:lvlText w:val="(%1)"/>
      <w:numFmt w:val="lowerRoman"/>
      <w:start w:val="3"/>
    </w:lvl>
  </w:abstractNum>
  <w:abstractNum w:abstractNumId="190">
    <w:nsid w:val="7E448DE9"/>
    <w:multiLevelType w:val="hybridMultilevel"/>
    <w:lvl w:ilvl="0">
      <w:lvlJc w:val="left"/>
      <w:lvlText w:val="(%1)"/>
      <w:numFmt w:val="lowerLetter"/>
      <w:start w:val="1"/>
    </w:lvl>
  </w:abstractNum>
  <w:abstractNum w:abstractNumId="191">
    <w:nsid w:val="5A9CC3E5"/>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2026-02-04T08:09:33Z</dcterms:created>
  <dcterms:modified xsi:type="dcterms:W3CDTF">2026-02-04T08:09:33Z</dcterms:modified>
</cp:coreProperties>
</file>