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8k.htm"/>
      <w:bookmarkStart w:id="1" w:name="ks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May 11, 2010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jc w:val="center"/>
        <w:rPr>
          <w:rFonts w:ascii="Times New Roman" w:hAnsi="Times New Roman"/>
          <w:b/>
          <w:sz w:val="48"/>
        </w:rPr>
      </w:pPr>
      <w:r>
        <w:rPr>
          <w:rFonts w:ascii="Times New Roman" w:hAnsi="Times New Roman"/>
          <w:b/>
          <w:sz w:val="48"/>
        </w:rPr>
        <w:t xml:space="preserve">CECO Environmental Corp.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1"/>
        <w:gridCol w:w="3267"/>
        <w:gridCol w:w="101"/>
        <w:gridCol w:w="3267"/>
      </w:tblGrid>
      <w:tr>
        <w:trPr/>
        <w:tc>
          <w:tcPr>
            <w:tcW w:w="3469"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3267"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000-7099</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13-2566064</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 corporation)</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1" w:type="dxa"/>
            <w:tcBorders/>
            <w:shd w:fill="auto" w:val="clear"/>
            <w:vAlign w:val="bottom"/>
          </w:tcPr>
          <w:p>
            <w:pPr>
              <w:pStyle w:val="TableContents"/>
              <w:spacing w:before="0" w:after="283"/>
              <w:rPr/>
            </w:pPr>
            <w:r>
              <w:rPr/>
              <w:t> </w:t>
            </w:r>
          </w:p>
        </w:tc>
        <w:tc>
          <w:tcPr>
            <w:tcW w:w="3267"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2"/>
        <w:gridCol w:w="202"/>
        <w:gridCol w:w="4901"/>
      </w:tblGrid>
      <w:tr>
        <w:trPr/>
        <w:tc>
          <w:tcPr>
            <w:tcW w:w="51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4901"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3120 Forrer Street, Cincinnati, OH</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45209</w:t>
            </w:r>
          </w:p>
        </w:tc>
      </w:tr>
      <w:tr>
        <w:trPr/>
        <w:tc>
          <w:tcPr>
            <w:tcW w:w="5102"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202" w:type="dxa"/>
            <w:tcBorders/>
            <w:shd w:fill="auto" w:val="clear"/>
            <w:vAlign w:val="bottom"/>
          </w:tcPr>
          <w:p>
            <w:pPr>
              <w:pStyle w:val="TableContents"/>
              <w:spacing w:before="0" w:after="283"/>
              <w:rPr/>
            </w:pPr>
            <w:r>
              <w:rPr/>
              <w:t> </w:t>
            </w:r>
          </w:p>
        </w:tc>
        <w:tc>
          <w:tcPr>
            <w:tcW w:w="4901"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(416) 593-6543 </w:t>
      </w:r>
    </w:p>
    <w:p>
      <w:pPr>
        <w:pStyle w:val="TextBody"/>
        <w:spacing w:before="180" w:after="0"/>
        <w:jc w:val="center"/>
        <w:rPr>
          <w:rFonts w:ascii="Times New Roman" w:hAnsi="Times New Roman"/>
          <w:b/>
          <w:sz w:val="20"/>
        </w:rPr>
      </w:pPr>
      <w:r>
        <w:rPr>
          <w:rFonts w:ascii="Times New Roman" w:hAnsi="Times New Roman"/>
          <w:b/>
          <w:sz w:val="20"/>
        </w:rPr>
        <w:t xml:space="preserve">Not applicable </w:t>
      </w:r>
    </w:p>
    <w:p>
      <w:pPr>
        <w:pStyle w:val="TextBody"/>
        <w:spacing w:before="0" w:after="0"/>
        <w:jc w:val="center"/>
        <w:rPr>
          <w:rFonts w:ascii="Times New Roman" w:hAnsi="Times New Roman"/>
          <w:b/>
          <w:sz w:val="14"/>
        </w:rPr>
      </w:pPr>
      <w:r>
        <w:rPr>
          <w:rFonts w:ascii="Times New Roman" w:hAnsi="Times New Roman"/>
          <w:b/>
          <w:sz w:val="14"/>
        </w:rPr>
        <w:t xml:space="preserve">(Former Name or Former Address, if Changed Since Last Report)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18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pPr>
            <w:r>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pPr>
            <w:r>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18"/>
        <w:gridCol w:w="9287"/>
      </w:tblGrid>
      <w:tr>
        <w:trPr/>
        <w:tc>
          <w:tcPr>
            <w:tcW w:w="91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2.02.</w:t>
            </w:r>
          </w:p>
        </w:tc>
        <w:tc>
          <w:tcPr>
            <w:tcW w:w="928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Results of Operations and Financial Condition. </w:t>
            </w:r>
          </w:p>
        </w:tc>
      </w:tr>
    </w:tbl>
    <w:p>
      <w:pPr>
        <w:pStyle w:val="TextBody"/>
        <w:spacing w:before="90" w:after="0"/>
        <w:rPr>
          <w:rFonts w:ascii="Times New Roman" w:hAnsi="Times New Roman"/>
          <w:sz w:val="20"/>
        </w:rPr>
      </w:pPr>
      <w:r>
        <w:rPr>
          <w:rFonts w:ascii="Times New Roman" w:hAnsi="Times New Roman"/>
          <w:sz w:val="20"/>
        </w:rPr>
        <w:t xml:space="preserve">On May 11, 2010, CECO Environmental Corp. (the Company) issued a press release announcing its financial results for the three months ended March 31, 2010. A copy of the press release is furnished as Exhibit 99.1. to this report and is incorporated herein by reference. </w:t>
      </w:r>
    </w:p>
    <w:p>
      <w:pPr>
        <w:pStyle w:val="TextBody"/>
        <w:spacing w:before="180" w:after="0"/>
        <w:rPr>
          <w:rFonts w:ascii="Times New Roman" w:hAnsi="Times New Roman"/>
          <w:sz w:val="20"/>
        </w:rPr>
      </w:pPr>
      <w:r>
        <w:rPr>
          <w:rFonts w:ascii="Times New Roman" w:hAnsi="Times New Roman"/>
          <w:sz w:val="20"/>
        </w:rPr>
        <w:t xml:space="preserve">The information in this Item 2.02, including the exhibits,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7"/>
        <w:gridCol w:w="9288"/>
      </w:tblGrid>
      <w:tr>
        <w:trPr/>
        <w:tc>
          <w:tcPr>
            <w:tcW w:w="91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88"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Exhibits </w:t>
            </w:r>
          </w:p>
        </w:tc>
      </w:tr>
    </w:tbl>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03"/>
        <w:gridCol w:w="532"/>
        <w:gridCol w:w="9170"/>
      </w:tblGrid>
      <w:tr>
        <w:trPr/>
        <w:tc>
          <w:tcPr>
            <w:tcW w:w="50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bottom"/>
          </w:tcPr>
          <w:p>
            <w:pPr>
              <w:pStyle w:val="TableContents"/>
              <w:spacing w:before="0" w:after="283"/>
              <w:rPr>
                <w:sz w:val="4"/>
                <w:szCs w:val="4"/>
              </w:rPr>
            </w:pPr>
            <w:r>
              <w:rPr>
                <w:sz w:val="4"/>
                <w:szCs w:val="4"/>
              </w:rPr>
            </w:r>
          </w:p>
        </w:tc>
        <w:tc>
          <w:tcPr>
            <w:tcW w:w="9170" w:type="dxa"/>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vAlign w:val="bottom"/>
          </w:tcPr>
          <w:p>
            <w:pPr>
              <w:pStyle w:val="TableContents"/>
              <w:pBdr>
                <w:bottom w:val="single" w:sz="2" w:space="1" w:color="000000"/>
              </w:pBdr>
              <w:spacing w:before="0" w:after="283"/>
              <w:jc w:val="center"/>
              <w:rPr>
                <w:rFonts w:ascii="Times New Roman" w:hAnsi="Times New Roman"/>
                <w:b/>
                <w:sz w:val="14"/>
              </w:rPr>
            </w:pPr>
            <w:r>
              <w:rPr>
                <w:rFonts w:ascii="Times New Roman" w:hAnsi="Times New Roman"/>
                <w:b/>
                <w:sz w:val="14"/>
              </w:rPr>
              <w:t>Exhibit</w:t>
              <w:br/>
              <w:t>Number</w:t>
            </w:r>
          </w:p>
        </w:tc>
        <w:tc>
          <w:tcPr>
            <w:tcW w:w="532" w:type="dxa"/>
            <w:tcBorders/>
            <w:shd w:fill="auto" w:val="clear"/>
            <w:vAlign w:val="bottom"/>
          </w:tcPr>
          <w:p>
            <w:pPr>
              <w:pStyle w:val="TableContents"/>
              <w:spacing w:before="0" w:after="283"/>
              <w:rPr/>
            </w:pPr>
            <w:r>
              <w:rPr/>
              <w:t>  </w:t>
            </w:r>
          </w:p>
        </w:tc>
        <w:tc>
          <w:tcPr>
            <w:tcW w:w="9170" w:type="dxa"/>
            <w:tcBorders/>
            <w:shd w:fill="auto" w:val="clear"/>
            <w:vAlign w:val="bottom"/>
          </w:tcPr>
          <w:p>
            <w:pPr>
              <w:pStyle w:val="TableContents"/>
              <w:pBdr>
                <w:bottom w:val="single" w:sz="2" w:space="1" w:color="000000"/>
              </w:pBdr>
              <w:spacing w:before="0" w:after="283"/>
              <w:rPr>
                <w:rFonts w:ascii="Times New Roman" w:hAnsi="Times New Roman"/>
                <w:b/>
                <w:sz w:val="14"/>
              </w:rPr>
            </w:pPr>
            <w:r>
              <w:rPr>
                <w:rFonts w:ascii="Times New Roman" w:hAnsi="Times New Roman"/>
                <w:b/>
                <w:sz w:val="14"/>
              </w:rPr>
              <w:t>Exhibit Title</w:t>
            </w:r>
          </w:p>
        </w:tc>
      </w:tr>
      <w:tr>
        <w:trPr>
          <w:trHeight w:val="120" w:hRule="atLeast"/>
        </w:trPr>
        <w:tc>
          <w:tcPr>
            <w:tcW w:w="503" w:type="dxa"/>
            <w:tcBorders/>
            <w:shd w:fill="auto" w:val="clear"/>
            <w:vAlign w:val="center"/>
          </w:tcPr>
          <w:p>
            <w:pPr>
              <w:pStyle w:val="TableContents"/>
              <w:spacing w:before="0" w:after="283"/>
              <w:rPr>
                <w:sz w:val="4"/>
                <w:szCs w:val="4"/>
              </w:rPr>
            </w:pPr>
            <w:r>
              <w:rPr>
                <w:sz w:val="4"/>
                <w:szCs w:val="4"/>
              </w:rPr>
            </w:r>
          </w:p>
        </w:tc>
        <w:tc>
          <w:tcPr>
            <w:tcW w:w="9702" w:type="dxa"/>
            <w:gridSpan w:val="2"/>
            <w:tcBorders/>
            <w:shd w:fill="auto" w:val="clear"/>
            <w:vAlign w:val="center"/>
          </w:tcPr>
          <w:p>
            <w:pPr>
              <w:pStyle w:val="TableContents"/>
              <w:spacing w:before="0" w:after="283"/>
              <w:rPr>
                <w:sz w:val="4"/>
                <w:szCs w:val="4"/>
              </w:rPr>
            </w:pPr>
            <w:r>
              <w:rPr>
                <w:sz w:val="4"/>
                <w:szCs w:val="4"/>
              </w:rPr>
            </w:r>
          </w:p>
        </w:tc>
      </w:tr>
      <w:tr>
        <w:trPr/>
        <w:tc>
          <w:tcPr>
            <w:tcW w:w="503" w:type="dxa"/>
            <w:tcBorders/>
            <w:shd w:fill="auto" w:val="clear"/>
          </w:tcPr>
          <w:p>
            <w:pPr>
              <w:pStyle w:val="TableContents"/>
              <w:spacing w:before="0" w:after="283"/>
              <w:rPr>
                <w:rFonts w:ascii="Times New Roman" w:hAnsi="Times New Roman"/>
                <w:sz w:val="20"/>
              </w:rPr>
            </w:pPr>
            <w:r>
              <w:rPr>
                <w:rFonts w:ascii="Times New Roman" w:hAnsi="Times New Roman"/>
                <w:sz w:val="20"/>
              </w:rPr>
              <w:t>99.1</w:t>
            </w:r>
          </w:p>
        </w:tc>
        <w:tc>
          <w:tcPr>
            <w:tcW w:w="532" w:type="dxa"/>
            <w:tcBorders/>
            <w:shd w:fill="auto" w:val="clear"/>
            <w:vAlign w:val="bottom"/>
          </w:tcPr>
          <w:p>
            <w:pPr>
              <w:pStyle w:val="TableContents"/>
              <w:spacing w:before="0" w:after="283"/>
              <w:rPr/>
            </w:pPr>
            <w:r>
              <w:rPr/>
              <w:t>  </w:t>
            </w:r>
          </w:p>
        </w:tc>
        <w:tc>
          <w:tcPr>
            <w:tcW w:w="9170" w:type="dxa"/>
            <w:tcBorders/>
            <w:shd w:fill="auto" w:val="clear"/>
          </w:tcPr>
          <w:p>
            <w:pPr>
              <w:pStyle w:val="TableContents"/>
              <w:spacing w:before="0" w:after="283"/>
              <w:rPr>
                <w:rFonts w:ascii="Times New Roman" w:hAnsi="Times New Roman"/>
                <w:sz w:val="20"/>
              </w:rPr>
            </w:pPr>
            <w:r>
              <w:rPr>
                <w:rFonts w:ascii="Times New Roman" w:hAnsi="Times New Roman"/>
                <w:sz w:val="20"/>
              </w:rPr>
              <w:t>Press Release dated May 11, 2010.</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784"/>
        <w:gridCol w:w="114"/>
        <w:gridCol w:w="268"/>
        <w:gridCol w:w="114"/>
        <w:gridCol w:w="4925"/>
      </w:tblGrid>
      <w:tr>
        <w:trPr/>
        <w:tc>
          <w:tcPr>
            <w:tcW w:w="478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sz w:val="4"/>
                <w:szCs w:val="4"/>
              </w:rPr>
            </w:pPr>
            <w:r>
              <w:rPr>
                <w:sz w:val="4"/>
                <w:szCs w:val="4"/>
              </w:rPr>
            </w:r>
          </w:p>
        </w:tc>
        <w:tc>
          <w:tcPr>
            <w:tcW w:w="4925" w:type="dxa"/>
            <w:tcBorders/>
            <w:shd w:fill="auto" w:val="clear"/>
            <w:vAlign w:val="center"/>
          </w:tcPr>
          <w:p>
            <w:pPr>
              <w:pStyle w:val="TableContents"/>
              <w:spacing w:before="0" w:after="283"/>
              <w:rPr>
                <w:sz w:val="4"/>
                <w:szCs w:val="4"/>
              </w:rPr>
            </w:pPr>
            <w:r>
              <w:rPr>
                <w:sz w:val="4"/>
                <w:szCs w:val="4"/>
              </w:rPr>
            </w:r>
          </w:p>
        </w:tc>
      </w:tr>
      <w:tr>
        <w:trPr/>
        <w:tc>
          <w:tcPr>
            <w:tcW w:w="4784" w:type="dxa"/>
            <w:tcBorders/>
            <w:shd w:fill="auto" w:val="clear"/>
          </w:tcPr>
          <w:p>
            <w:pPr>
              <w:pStyle w:val="TableContents"/>
              <w:spacing w:before="0" w:after="283"/>
              <w:rPr>
                <w:rFonts w:ascii="Times New Roman" w:hAnsi="Times New Roman"/>
                <w:sz w:val="20"/>
              </w:rPr>
            </w:pPr>
            <w:r>
              <w:rPr>
                <w:rFonts w:ascii="Times New Roman" w:hAnsi="Times New Roman"/>
                <w:sz w:val="20"/>
              </w:rPr>
              <w:t>Date: May 11, 2010</w:t>
            </w:r>
          </w:p>
        </w:tc>
        <w:tc>
          <w:tcPr>
            <w:tcW w:w="114" w:type="dxa"/>
            <w:tcBorders/>
            <w:shd w:fill="auto" w:val="clear"/>
            <w:vAlign w:val="bottom"/>
          </w:tcPr>
          <w:p>
            <w:pPr>
              <w:pStyle w:val="TableContents"/>
              <w:spacing w:before="0" w:after="283"/>
              <w:rPr/>
            </w:pPr>
            <w:r>
              <w:rPr/>
              <w:t> </w:t>
            </w:r>
          </w:p>
        </w:tc>
        <w:tc>
          <w:tcPr>
            <w:tcW w:w="5307"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CECO Environmental Corp.</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rPr>
                <w:sz w:val="4"/>
                <w:szCs w:val="4"/>
              </w:rPr>
            </w:pPr>
            <w:r>
              <w:rPr>
                <w:sz w:val="4"/>
                <w:szCs w:val="4"/>
              </w:rPr>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By:</w:t>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pBdr>
                <w:bottom w:val="single" w:sz="2" w:space="1" w:color="000000"/>
              </w:pBdr>
              <w:spacing w:before="0" w:after="15"/>
              <w:jc w:val="center"/>
              <w:rPr>
                <w:rFonts w:ascii="Times New Roman" w:hAnsi="Times New Roman"/>
                <w:sz w:val="20"/>
              </w:rPr>
            </w:pPr>
            <w:r>
              <w:rPr>
                <w:rFonts w:ascii="Times New Roman" w:hAnsi="Times New Roman"/>
                <w:sz w:val="20"/>
              </w:rPr>
              <w:t>/</w:t>
            </w:r>
            <w:r>
              <w:rPr>
                <w:rFonts w:ascii="Times New Roman" w:hAnsi="Times New Roman"/>
                <w:sz w:val="14"/>
              </w:rPr>
              <w:t>S</w:t>
            </w:r>
            <w:r>
              <w:rPr>
                <w:rFonts w:ascii="Times New Roman" w:hAnsi="Times New Roman"/>
                <w:sz w:val="20"/>
              </w:rPr>
              <w:t>/    D</w:t>
            </w:r>
            <w:r>
              <w:rPr>
                <w:rFonts w:ascii="Times New Roman" w:hAnsi="Times New Roman"/>
                <w:sz w:val="14"/>
              </w:rPr>
              <w:t>ENNIS</w:t>
            </w:r>
            <w:r>
              <w:rPr>
                <w:rFonts w:ascii="Times New Roman" w:hAnsi="Times New Roman"/>
                <w:sz w:val="20"/>
              </w:rPr>
              <w:t xml:space="preserve"> W. B</w:t>
            </w:r>
            <w:r>
              <w:rPr>
                <w:rFonts w:ascii="Times New Roman" w:hAnsi="Times New Roman"/>
                <w:sz w:val="14"/>
              </w:rPr>
              <w:t>LAZER        </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Dennis W. Blazer</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Vice PresidentFinance and Administration</w:t>
            </w:r>
          </w:p>
        </w:tc>
      </w:tr>
      <w:tr>
        <w:trPr/>
        <w:tc>
          <w:tcPr>
            <w:tcW w:w="4784" w:type="dxa"/>
            <w:tcBorders/>
            <w:shd w:fill="auto" w:val="clear"/>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268" w:type="dxa"/>
            <w:tcBorders/>
            <w:shd w:fill="auto" w:val="clear"/>
            <w:vAlign w:val="bottom"/>
          </w:tcPr>
          <w:p>
            <w:pPr>
              <w:pStyle w:val="TableContents"/>
              <w:spacing w:before="0" w:after="283"/>
              <w:rPr>
                <w:sz w:val="4"/>
                <w:szCs w:val="4"/>
              </w:rPr>
            </w:pPr>
            <w:r>
              <w:rPr>
                <w:sz w:val="4"/>
                <w:szCs w:val="4"/>
              </w:rPr>
            </w:r>
          </w:p>
        </w:tc>
        <w:tc>
          <w:tcPr>
            <w:tcW w:w="114" w:type="dxa"/>
            <w:tcBorders/>
            <w:shd w:fill="auto" w:val="clear"/>
            <w:vAlign w:val="bottom"/>
          </w:tcPr>
          <w:p>
            <w:pPr>
              <w:pStyle w:val="TableContents"/>
              <w:spacing w:before="0" w:after="283"/>
              <w:rPr/>
            </w:pPr>
            <w:r>
              <w:rPr/>
              <w:t> </w:t>
            </w:r>
          </w:p>
        </w:tc>
        <w:tc>
          <w:tcPr>
            <w:tcW w:w="4925" w:type="dxa"/>
            <w:tcBorders/>
            <w:shd w:fill="auto" w:val="clear"/>
            <w:vAlign w:val="bottom"/>
          </w:tcPr>
          <w:p>
            <w:pPr>
              <w:pStyle w:val="TableContents"/>
              <w:spacing w:before="0" w:after="283"/>
              <w:jc w:val="center"/>
              <w:rPr>
                <w:rFonts w:ascii="Times New Roman" w:hAnsi="Times New Roman"/>
                <w:b/>
                <w:sz w:val="14"/>
              </w:rPr>
            </w:pPr>
            <w:r>
              <w:rPr>
                <w:rFonts w:ascii="Times New Roman" w:hAnsi="Times New Roman"/>
                <w:b/>
                <w:sz w:val="14"/>
              </w:rPr>
              <w:t>And Chief Financial Officer</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TextBody"/>
        <w:spacing w:before="0" w:after="0"/>
        <w:jc w:val="right"/>
        <w:rPr>
          <w:rFonts w:ascii="Times New Roman" w:hAnsi="Times New Roman"/>
          <w:b/>
          <w:sz w:val="20"/>
        </w:rPr>
      </w:pPr>
      <w:bookmarkStart w:id="2" w:name="dex991.htm"/>
      <w:bookmarkStart w:id="3" w:name="ksdex991"/>
      <w:bookmarkEnd w:id="2"/>
      <w:bookmarkEnd w:id="3"/>
      <w:r>
        <w:rPr>
          <w:rFonts w:ascii="Times New Roman" w:hAnsi="Times New Roman"/>
          <w:b/>
          <w:sz w:val="20"/>
        </w:rPr>
        <w:t xml:space="preserve">Exhibit 99.1 </w:t>
      </w:r>
    </w:p>
    <w:p>
      <w:pPr>
        <w:pStyle w:val="TextBody"/>
        <w:spacing w:before="180" w:after="0"/>
        <w:jc w:val="center"/>
        <w:rPr/>
      </w:pPr>
      <w:r>
        <w:rPr/>
        <w:drawing>
          <wp:inline distT="0" distB="0" distL="0" distR="0">
            <wp:extent cx="17145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514350"/>
                    </a:xfrm>
                    <a:prstGeom prst="rect">
                      <a:avLst/>
                    </a:prstGeom>
                  </pic:spPr>
                </pic:pic>
              </a:graphicData>
            </a:graphic>
          </wp:inline>
        </w:drawing>
      </w:r>
      <w:r>
        <w:rPr/>
        <w:t xml:space="preserv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104"/>
        <w:gridCol w:w="201"/>
        <w:gridCol w:w="4900"/>
      </w:tblGrid>
      <w:tr>
        <w:trPr/>
        <w:tc>
          <w:tcPr>
            <w:tcW w:w="5104"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bottom"/>
          </w:tcPr>
          <w:p>
            <w:pPr>
              <w:pStyle w:val="TableContents"/>
              <w:spacing w:before="0" w:after="283"/>
              <w:rPr>
                <w:sz w:val="4"/>
                <w:szCs w:val="4"/>
              </w:rPr>
            </w:pPr>
            <w:r>
              <w:rPr>
                <w:sz w:val="4"/>
                <w:szCs w:val="4"/>
              </w:rPr>
            </w:r>
          </w:p>
        </w:tc>
        <w:tc>
          <w:tcPr>
            <w:tcW w:w="4900" w:type="dxa"/>
            <w:tcBorders/>
            <w:shd w:fill="auto" w:val="clear"/>
            <w:vAlign w:val="center"/>
          </w:tcPr>
          <w:p>
            <w:pPr>
              <w:pStyle w:val="TableContents"/>
              <w:spacing w:before="0" w:after="283"/>
              <w:rPr>
                <w:sz w:val="4"/>
                <w:szCs w:val="4"/>
              </w:rPr>
            </w:pPr>
            <w:r>
              <w:rPr>
                <w:sz w:val="4"/>
                <w:szCs w:val="4"/>
              </w:rPr>
            </w:r>
          </w:p>
        </w:tc>
      </w:tr>
      <w:tr>
        <w:trPr/>
        <w:tc>
          <w:tcPr>
            <w:tcW w:w="5104" w:type="dxa"/>
            <w:tcBorders/>
            <w:shd w:fill="auto" w:val="clear"/>
          </w:tcPr>
          <w:p>
            <w:pPr>
              <w:pStyle w:val="TableContents"/>
              <w:spacing w:before="0" w:after="283"/>
              <w:rPr>
                <w:rFonts w:ascii="Times New Roman" w:hAnsi="Times New Roman"/>
                <w:b/>
                <w:sz w:val="20"/>
              </w:rPr>
            </w:pPr>
            <w:r>
              <w:rPr>
                <w:rFonts w:ascii="Times New Roman" w:hAnsi="Times New Roman"/>
                <w:b/>
                <w:sz w:val="20"/>
              </w:rPr>
              <w:t>NasdaqGM:CECE</w:t>
            </w:r>
          </w:p>
        </w:tc>
        <w:tc>
          <w:tcPr>
            <w:tcW w:w="201" w:type="dxa"/>
            <w:tcBorders/>
            <w:shd w:fill="auto" w:val="clear"/>
            <w:vAlign w:val="bottom"/>
          </w:tcPr>
          <w:p>
            <w:pPr>
              <w:pStyle w:val="TableContents"/>
              <w:spacing w:before="0" w:after="283"/>
              <w:rPr/>
            </w:pPr>
            <w:r>
              <w:rPr/>
              <w:t> </w:t>
            </w:r>
          </w:p>
        </w:tc>
        <w:tc>
          <w:tcPr>
            <w:tcW w:w="4900"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NEWS RELEASE</w:t>
            </w:r>
          </w:p>
        </w:tc>
      </w:tr>
    </w:tbl>
    <w:p>
      <w:pPr>
        <w:pStyle w:val="TextBody"/>
        <w:spacing w:before="360" w:after="0"/>
        <w:jc w:val="center"/>
        <w:rPr>
          <w:rFonts w:ascii="Times New Roman" w:hAnsi="Times New Roman"/>
          <w:b/>
          <w:sz w:val="20"/>
        </w:rPr>
      </w:pPr>
      <w:r>
        <w:rPr>
          <w:rFonts w:ascii="Times New Roman" w:hAnsi="Times New Roman"/>
          <w:b/>
          <w:sz w:val="20"/>
        </w:rPr>
        <w:t xml:space="preserve">CECO ENVIRONMENTAL REPORTS </w:t>
      </w:r>
    </w:p>
    <w:p>
      <w:pPr>
        <w:pStyle w:val="TextBody"/>
        <w:spacing w:before="0" w:after="0"/>
        <w:jc w:val="center"/>
        <w:rPr>
          <w:rFonts w:ascii="Times New Roman" w:hAnsi="Times New Roman"/>
          <w:b/>
          <w:sz w:val="20"/>
        </w:rPr>
      </w:pPr>
      <w:r>
        <w:rPr>
          <w:rFonts w:ascii="Times New Roman" w:hAnsi="Times New Roman"/>
          <w:b/>
          <w:sz w:val="20"/>
        </w:rPr>
        <w:t xml:space="preserve">FIRST QUARTER 2010 RESULTS </w:t>
      </w:r>
    </w:p>
    <w:p>
      <w:pPr>
        <w:pStyle w:val="TextBody"/>
        <w:spacing w:before="180" w:after="0"/>
        <w:rPr>
          <w:rFonts w:ascii="Times New Roman" w:hAnsi="Times New Roman"/>
          <w:sz w:val="20"/>
        </w:rPr>
      </w:pPr>
      <w:r>
        <w:rPr>
          <w:rFonts w:ascii="Times New Roman" w:hAnsi="Times New Roman"/>
          <w:b/>
          <w:sz w:val="20"/>
        </w:rPr>
        <w:t xml:space="preserve">CINCINNATI, OHIO, May 11, 2010 - CECO Environmental Corp. </w:t>
      </w:r>
      <w:r>
        <w:rPr>
          <w:rFonts w:ascii="Times New Roman" w:hAnsi="Times New Roman"/>
          <w:sz w:val="20"/>
        </w:rPr>
        <w:t xml:space="preserve">(NasdaqGM:CECE), a leading provider of industrial ventilation and pollution control systems, today announced first quarter results for the period ended March 31, 2010. </w:t>
      </w:r>
    </w:p>
    <w:p>
      <w:pPr>
        <w:pStyle w:val="TextBody"/>
        <w:spacing w:before="180" w:after="0"/>
        <w:rPr>
          <w:rFonts w:ascii="Times New Roman" w:hAnsi="Times New Roman"/>
          <w:b/>
          <w:sz w:val="20"/>
        </w:rPr>
      </w:pPr>
      <w:r>
        <w:rPr>
          <w:rFonts w:ascii="Times New Roman" w:hAnsi="Times New Roman"/>
          <w:b/>
          <w:sz w:val="20"/>
        </w:rPr>
        <w:t xml:space="preserve">Financial highlights for the first quarter of 2010 compared to the first quarter of 2009 include: </w:t>
      </w:r>
    </w:p>
    <w:p>
      <w:pPr>
        <w:pStyle w:val="TextBody"/>
        <w:spacing w:before="90" w:after="0"/>
        <w:rPr>
          <w:rFonts w:ascii="Times New Roman" w:hAnsi="Times New Roman"/>
          <w:sz w:val="20"/>
        </w:rPr>
      </w:pPr>
      <w:r>
        <w:rPr>
          <w:rFonts w:ascii="Times New Roman" w:hAnsi="Times New Roman"/>
          <w:sz w:val="20"/>
        </w:rPr>
        <w:t xml:space="preserve">Net sales from continuing operations were $35.0 million in 2010 as compared to $38.1 million in 2009; </w:t>
      </w:r>
    </w:p>
    <w:p>
      <w:pPr>
        <w:pStyle w:val="TextBody"/>
        <w:spacing w:before="90" w:after="0"/>
        <w:rPr>
          <w:rFonts w:ascii="Times New Roman" w:hAnsi="Times New Roman"/>
          <w:sz w:val="20"/>
        </w:rPr>
      </w:pPr>
      <w:r>
        <w:rPr>
          <w:rFonts w:ascii="Times New Roman" w:hAnsi="Times New Roman"/>
          <w:sz w:val="20"/>
        </w:rPr>
        <w:t xml:space="preserve">Gross profit from continuing operations was $8.0 million in 2010 as compared to $8.7 million in 2009; </w:t>
      </w:r>
    </w:p>
    <w:p>
      <w:pPr>
        <w:pStyle w:val="TextBody"/>
        <w:spacing w:before="90" w:after="0"/>
        <w:rPr>
          <w:rFonts w:ascii="Times New Roman" w:hAnsi="Times New Roman"/>
          <w:sz w:val="20"/>
        </w:rPr>
      </w:pPr>
      <w:r>
        <w:rPr>
          <w:rFonts w:ascii="Times New Roman" w:hAnsi="Times New Roman"/>
          <w:sz w:val="20"/>
        </w:rPr>
        <w:t xml:space="preserve">Selling and administrative expenses in 2010 remained constant at $7.2 million but include certain expenses such as corporate restructuring charges, an increase in the allowance for bad debts and a non-recurring executive search fee totaling $0.4 million that were not present in the comparable quarter in 2009; </w:t>
      </w:r>
    </w:p>
    <w:p>
      <w:pPr>
        <w:pStyle w:val="TextBody"/>
        <w:spacing w:before="90" w:after="0"/>
        <w:rPr>
          <w:rFonts w:ascii="Times New Roman" w:hAnsi="Times New Roman"/>
          <w:sz w:val="20"/>
        </w:rPr>
      </w:pPr>
      <w:r>
        <w:rPr>
          <w:rFonts w:ascii="Times New Roman" w:hAnsi="Times New Roman"/>
          <w:sz w:val="20"/>
        </w:rPr>
        <w:t xml:space="preserve">Operating income from continuing operations was $0.6 million in 2010 as compared to operating income from continuing operations of $1.2 million in 2009; </w:t>
      </w:r>
    </w:p>
    <w:p>
      <w:pPr>
        <w:pStyle w:val="TextBody"/>
        <w:spacing w:before="90" w:after="0"/>
        <w:rPr>
          <w:rFonts w:ascii="Times New Roman" w:hAnsi="Times New Roman"/>
          <w:sz w:val="20"/>
        </w:rPr>
      </w:pPr>
      <w:r>
        <w:rPr>
          <w:rFonts w:ascii="Times New Roman" w:hAnsi="Times New Roman"/>
          <w:sz w:val="20"/>
        </w:rPr>
        <w:t xml:space="preserve">Net income from continuing operations was $0.2 million in 2010 as compared to net income from continuing operations of $0.6 million in 2009; </w:t>
      </w:r>
    </w:p>
    <w:p>
      <w:pPr>
        <w:pStyle w:val="TextBody"/>
        <w:spacing w:before="90" w:after="0"/>
        <w:rPr>
          <w:rFonts w:ascii="Times New Roman" w:hAnsi="Times New Roman"/>
          <w:sz w:val="20"/>
        </w:rPr>
      </w:pPr>
      <w:r>
        <w:rPr>
          <w:rFonts w:ascii="Times New Roman" w:hAnsi="Times New Roman"/>
          <w:sz w:val="20"/>
        </w:rPr>
        <w:t xml:space="preserve">Net income per diluted share from continuing operations was $0.01 in 2010 as compared to net income from continuing operations per diluted share of $0.04 in 2009; </w:t>
      </w:r>
    </w:p>
    <w:p>
      <w:pPr>
        <w:pStyle w:val="TextBody"/>
        <w:spacing w:before="180" w:after="0"/>
        <w:rPr>
          <w:rFonts w:ascii="Times New Roman" w:hAnsi="Times New Roman"/>
          <w:sz w:val="20"/>
        </w:rPr>
      </w:pPr>
      <w:r>
        <w:rPr>
          <w:rFonts w:ascii="Times New Roman" w:hAnsi="Times New Roman"/>
          <w:sz w:val="20"/>
        </w:rPr>
        <w:t xml:space="preserve">Backlog as of March 31, 2010 was $58.6 million compared to $66.5 million as of December 31, 2009. </w:t>
      </w:r>
    </w:p>
    <w:p>
      <w:pPr>
        <w:pStyle w:val="TextBody"/>
        <w:spacing w:before="180" w:after="0"/>
        <w:rPr>
          <w:rFonts w:ascii="Times New Roman" w:hAnsi="Times New Roman"/>
          <w:sz w:val="20"/>
        </w:rPr>
      </w:pPr>
      <w:r>
        <w:rPr>
          <w:rFonts w:ascii="Times New Roman" w:hAnsi="Times New Roman"/>
          <w:sz w:val="20"/>
        </w:rPr>
        <w:t xml:space="preserve">Jeff Lang, CEO, stated, While our first quarter revenues continued to be affected by the weak economy, we are starting to see signs of improvement in the demand for our products. In addition, we continue to focus on our cost cutting initiatives, including plant utilization and rationalization of some of our facilities. We also expect to realize significant benefits from the reduction of selling and administrative expenses during the rest of 2010. </w:t>
      </w:r>
    </w:p>
    <w:p>
      <w:pPr>
        <w:pStyle w:val="TextBody"/>
        <w:spacing w:before="180" w:after="0"/>
        <w:rPr>
          <w:rFonts w:ascii="Times New Roman" w:hAnsi="Times New Roman"/>
          <w:sz w:val="20"/>
        </w:rPr>
      </w:pPr>
      <w:r>
        <w:rPr>
          <w:rFonts w:ascii="Times New Roman" w:hAnsi="Times New Roman"/>
          <w:sz w:val="20"/>
        </w:rPr>
        <w:t xml:space="preserve">Mr. Lang continued, Our international business continues to be a bright spot representing 17% of our first quarter bookings. Our China expansion is achieving success with several new recently received orders. Looking forward, we see signs of increased economic activity and we believe that our aggressive sales focus both domestically and globally will result in increased revenues. </w:t>
      </w:r>
    </w:p>
    <w:p>
      <w:pPr>
        <w:pStyle w:val="TextBody"/>
        <w:spacing w:before="180" w:after="0"/>
        <w:rPr>
          <w:rFonts w:ascii="Times New Roman" w:hAnsi="Times New Roman"/>
          <w:sz w:val="20"/>
        </w:rPr>
      </w:pPr>
      <w:r>
        <w:rPr>
          <w:rFonts w:ascii="Times New Roman" w:hAnsi="Times New Roman"/>
          <w:sz w:val="20"/>
        </w:rPr>
        <w:t xml:space="preserve">CECO will host a conference call on Tuesday, May 11, 2010, at 8:30 a.m. EDT to review its financial results for the quarter. Conferencing details are as follows: </w:t>
      </w:r>
    </w:p>
    <w:p>
      <w:pPr>
        <w:pStyle w:val="TextBody"/>
        <w:spacing w:before="180" w:after="0"/>
        <w:rPr>
          <w:rFonts w:ascii="Times New Roman" w:hAnsi="Times New Roman"/>
          <w:sz w:val="20"/>
        </w:rPr>
      </w:pPr>
      <w:r>
        <w:rPr>
          <w:rFonts w:ascii="Times New Roman" w:hAnsi="Times New Roman"/>
          <w:sz w:val="20"/>
        </w:rPr>
        <w:t xml:space="preserve">Dial in number: 866-804-6925 </w:t>
      </w:r>
    </w:p>
    <w:p>
      <w:pPr>
        <w:pStyle w:val="TextBody"/>
        <w:spacing w:before="0" w:after="0"/>
        <w:rPr>
          <w:rFonts w:ascii="Times New Roman" w:hAnsi="Times New Roman"/>
          <w:sz w:val="20"/>
        </w:rPr>
      </w:pPr>
      <w:r>
        <w:rPr>
          <w:rFonts w:ascii="Times New Roman" w:hAnsi="Times New Roman"/>
          <w:sz w:val="20"/>
        </w:rPr>
        <w:t xml:space="preserve">International dial in number: 857-350-1671 </w:t>
      </w:r>
    </w:p>
    <w:p>
      <w:pPr>
        <w:pStyle w:val="TextBody"/>
        <w:spacing w:before="0" w:after="0"/>
        <w:rPr>
          <w:rFonts w:ascii="Times New Roman" w:hAnsi="Times New Roman"/>
          <w:sz w:val="20"/>
        </w:rPr>
      </w:pPr>
      <w:r>
        <w:rPr>
          <w:rFonts w:ascii="Times New Roman" w:hAnsi="Times New Roman"/>
          <w:sz w:val="20"/>
        </w:rPr>
        <w:t xml:space="preserve">Participant passcode: 33475427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Replay: 888-286-8010 </w:t>
      </w:r>
    </w:p>
    <w:p>
      <w:pPr>
        <w:pStyle w:val="TextBody"/>
        <w:spacing w:before="0" w:after="0"/>
        <w:rPr>
          <w:rFonts w:ascii="Times New Roman" w:hAnsi="Times New Roman"/>
          <w:sz w:val="20"/>
        </w:rPr>
      </w:pPr>
      <w:r>
        <w:rPr>
          <w:rFonts w:ascii="Times New Roman" w:hAnsi="Times New Roman"/>
          <w:sz w:val="20"/>
        </w:rPr>
        <w:t xml:space="preserve">International: 617-801-6888 </w:t>
      </w:r>
    </w:p>
    <w:p>
      <w:pPr>
        <w:pStyle w:val="TextBody"/>
        <w:spacing w:before="0" w:after="0"/>
        <w:rPr>
          <w:rFonts w:ascii="Times New Roman" w:hAnsi="Times New Roman"/>
          <w:sz w:val="20"/>
        </w:rPr>
      </w:pPr>
      <w:r>
        <w:rPr>
          <w:rFonts w:ascii="Times New Roman" w:hAnsi="Times New Roman"/>
          <w:sz w:val="20"/>
        </w:rPr>
        <w:t xml:space="preserve">Passcode: 53082739 </w:t>
      </w:r>
    </w:p>
    <w:p>
      <w:pPr>
        <w:pStyle w:val="TextBody"/>
        <w:spacing w:before="270" w:after="0"/>
        <w:rPr>
          <w:rFonts w:ascii="Times New Roman" w:hAnsi="Times New Roman"/>
          <w:b/>
          <w:sz w:val="20"/>
        </w:rPr>
      </w:pPr>
      <w:r>
        <w:rPr>
          <w:rFonts w:ascii="Times New Roman" w:hAnsi="Times New Roman"/>
          <w:b/>
          <w:sz w:val="20"/>
        </w:rPr>
        <w:t xml:space="preserve">ABOUT CECO ENVIRONMENTAL </w:t>
      </w:r>
    </w:p>
    <w:p>
      <w:pPr>
        <w:pStyle w:val="TextBody"/>
        <w:spacing w:before="90" w:after="0"/>
        <w:rPr>
          <w:rFonts w:ascii="Times New Roman" w:hAnsi="Times New Roman"/>
          <w:sz w:val="20"/>
        </w:rPr>
      </w:pPr>
      <w:r>
        <w:rPr>
          <w:rFonts w:ascii="Times New Roman" w:hAnsi="Times New Roman"/>
          <w:sz w:val="20"/>
        </w:rPr>
        <w:t xml:space="preserve">CECO Environmental Corp. is North Americas largest independent air pollution control company. CECO provides a wide spectrum of air quality services and products including: industrial air filters, environmental maintenance, monitoring and management services, and air quality improvement systems. CECO is a full-service provider to the steel, military, aluminum, automotive, ethanol, aerospace, electric power, semiconductor, chemical, cement, metalworking, glass, foundry and virtually all industrial process industries. </w:t>
      </w:r>
    </w:p>
    <w:p>
      <w:pPr>
        <w:pStyle w:val="TextBody"/>
        <w:spacing w:before="180" w:after="0"/>
        <w:rPr>
          <w:rFonts w:ascii="Times New Roman" w:hAnsi="Times New Roman"/>
          <w:sz w:val="20"/>
        </w:rPr>
      </w:pPr>
      <w:r>
        <w:rPr>
          <w:rFonts w:ascii="Times New Roman" w:hAnsi="Times New Roman"/>
          <w:sz w:val="20"/>
        </w:rPr>
        <w:t xml:space="preserve">For more information please visit the Companys website at http://www.cecoenviro.com </w:t>
      </w:r>
    </w:p>
    <w:p>
      <w:pPr>
        <w:pStyle w:val="TextBody"/>
        <w:spacing w:before="270" w:after="0"/>
        <w:rPr>
          <w:rFonts w:ascii="Times New Roman" w:hAnsi="Times New Roman"/>
          <w:sz w:val="20"/>
        </w:rPr>
      </w:pPr>
      <w:r>
        <w:rPr>
          <w:rFonts w:ascii="Times New Roman" w:hAnsi="Times New Roman"/>
          <w:sz w:val="20"/>
        </w:rPr>
        <w:t xml:space="preserve">Contact: </w:t>
      </w:r>
    </w:p>
    <w:p>
      <w:pPr>
        <w:pStyle w:val="TextBody"/>
        <w:spacing w:before="90" w:after="0"/>
        <w:rPr>
          <w:rFonts w:ascii="Times New Roman" w:hAnsi="Times New Roman"/>
          <w:sz w:val="20"/>
        </w:rPr>
      </w:pPr>
      <w:r>
        <w:rPr>
          <w:rFonts w:ascii="Times New Roman" w:hAnsi="Times New Roman"/>
          <w:sz w:val="20"/>
        </w:rPr>
        <w:t xml:space="preserve">Corporate Information </w:t>
      </w:r>
    </w:p>
    <w:p>
      <w:pPr>
        <w:pStyle w:val="TextBody"/>
        <w:spacing w:before="0" w:after="0"/>
        <w:rPr>
          <w:rFonts w:ascii="Times New Roman" w:hAnsi="Times New Roman"/>
          <w:sz w:val="20"/>
        </w:rPr>
      </w:pPr>
      <w:r>
        <w:rPr>
          <w:rFonts w:ascii="Times New Roman" w:hAnsi="Times New Roman"/>
          <w:sz w:val="20"/>
        </w:rPr>
        <w:t xml:space="preserve">Jeff Lang, CECO Environmental Corp. </w:t>
      </w:r>
    </w:p>
    <w:p>
      <w:pPr>
        <w:pStyle w:val="TextBody"/>
        <w:spacing w:before="0" w:after="0"/>
        <w:rPr>
          <w:rFonts w:ascii="Times New Roman" w:hAnsi="Times New Roman"/>
          <w:sz w:val="20"/>
        </w:rPr>
      </w:pPr>
      <w:r>
        <w:rPr>
          <w:rFonts w:ascii="Times New Roman" w:hAnsi="Times New Roman"/>
          <w:sz w:val="20"/>
        </w:rPr>
        <w:t xml:space="preserve">Email: investors@cecoenviro.com </w:t>
      </w:r>
    </w:p>
    <w:p>
      <w:pPr>
        <w:pStyle w:val="TextBody"/>
        <w:spacing w:before="0" w:after="0"/>
        <w:rPr>
          <w:rFonts w:ascii="Times New Roman" w:hAnsi="Times New Roman"/>
          <w:sz w:val="20"/>
        </w:rPr>
      </w:pPr>
      <w:r>
        <w:rPr>
          <w:rFonts w:ascii="Times New Roman" w:hAnsi="Times New Roman"/>
          <w:sz w:val="20"/>
        </w:rPr>
        <w:t xml:space="preserve">1-800-333-5475 </w:t>
      </w:r>
      <w:r>
        <w:br w:type="page"/>
      </w:r>
    </w:p>
    <w:p>
      <w:pPr>
        <w:pStyle w:val="HorizontalLine"/>
        <w:pBdr>
          <w:bottom w:val="double" w:sz="6" w:space="0" w:color="808080"/>
        </w:pBdr>
        <w:rPr/>
      </w:pPr>
      <w:r>
        <w:rPr/>
      </w:r>
    </w:p>
    <w:p>
      <w:pPr>
        <w:pStyle w:val="TextBody"/>
        <w:spacing w:before="0" w:after="0"/>
        <w:rPr>
          <w:rFonts w:ascii="Times New Roman" w:hAnsi="Times New Roman"/>
          <w:b/>
          <w:sz w:val="20"/>
        </w:rPr>
      </w:pPr>
      <w:r>
        <w:rPr>
          <w:rFonts w:ascii="Times New Roman" w:hAnsi="Times New Roman"/>
          <w:b/>
          <w:sz w:val="20"/>
        </w:rPr>
        <w:t xml:space="preserve">CECO Environmental Corp. </w:t>
      </w:r>
    </w:p>
    <w:p>
      <w:pPr>
        <w:pStyle w:val="TextBody"/>
        <w:spacing w:before="0" w:after="0"/>
        <w:rPr>
          <w:rFonts w:ascii="Times New Roman" w:hAnsi="Times New Roman"/>
          <w:b/>
          <w:sz w:val="20"/>
        </w:rPr>
      </w:pPr>
      <w:r>
        <w:rPr>
          <w:rFonts w:ascii="Times New Roman" w:hAnsi="Times New Roman"/>
          <w:b/>
          <w:sz w:val="20"/>
        </w:rPr>
        <w:t xml:space="preserve">Condensed Consolidated Statement of Income </w:t>
      </w:r>
    </w:p>
    <w:p>
      <w:pPr>
        <w:pStyle w:val="TextBody"/>
        <w:spacing w:before="0" w:after="0"/>
        <w:rPr>
          <w:rFonts w:ascii="Times New Roman" w:hAnsi="Times New Roman"/>
          <w:b/>
          <w:sz w:val="20"/>
        </w:rPr>
      </w:pPr>
      <w:r>
        <w:rPr>
          <w:rFonts w:ascii="Times New Roman" w:hAnsi="Times New Roman"/>
          <w:b/>
          <w:sz w:val="20"/>
        </w:rPr>
        <w:t xml:space="preserve">(In thousands, except per share data) </w:t>
      </w:r>
    </w:p>
    <w:p>
      <w:pPr>
        <w:pStyle w:val="TextBody"/>
        <w:spacing w:before="0" w:after="0"/>
        <w:rPr>
          <w:rFonts w:ascii="Times New Roman" w:hAnsi="Times New Roman"/>
          <w:b/>
          <w:sz w:val="20"/>
        </w:rPr>
      </w:pPr>
      <w:r>
        <w:rPr>
          <w:rFonts w:ascii="Times New Roman" w:hAnsi="Times New Roman"/>
          <w:b/>
          <w:sz w:val="20"/>
        </w:rPr>
        <w:t xml:space="preserve">Results for the periods presented have been reclassified to segregate the discontinued operations of H.M. White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4347"/>
        <w:gridCol w:w="518"/>
        <w:gridCol w:w="125"/>
        <w:gridCol w:w="960"/>
        <w:gridCol w:w="125"/>
        <w:gridCol w:w="466"/>
        <w:gridCol w:w="125"/>
        <w:gridCol w:w="960"/>
        <w:gridCol w:w="129"/>
      </w:tblGrid>
      <w:tr>
        <w:trPr/>
        <w:tc>
          <w:tcPr>
            <w:tcW w:w="4347"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347" w:type="dxa"/>
            <w:tcBorders/>
            <w:shd w:fill="auto" w:val="clear"/>
            <w:vAlign w:val="bottom"/>
          </w:tcPr>
          <w:p>
            <w:pPr>
              <w:pStyle w:val="TableContents"/>
              <w:spacing w:before="0" w:after="283"/>
              <w:rPr>
                <w:rFonts w:ascii="Times New Roman" w:hAnsi="Times New Roman"/>
                <w:b/>
                <w:sz w:val="14"/>
              </w:rPr>
            </w:pPr>
            <w:r>
              <w:rPr>
                <w:rFonts w:ascii="Times New Roman" w:hAnsi="Times New Roman"/>
                <w:b/>
                <w:sz w:val="14"/>
              </w:rPr>
              <w:t>Dollars in thousands, except per share data</w:t>
            </w:r>
          </w:p>
        </w:tc>
        <w:tc>
          <w:tcPr>
            <w:tcW w:w="518" w:type="dxa"/>
            <w:tcBorders/>
            <w:shd w:fill="auto" w:val="clear"/>
            <w:vAlign w:val="bottom"/>
          </w:tcPr>
          <w:p>
            <w:pPr>
              <w:pStyle w:val="TableContents"/>
              <w:spacing w:before="0" w:after="283"/>
              <w:rPr/>
            </w:pPr>
            <w:r>
              <w:rPr/>
              <w:t>  </w:t>
            </w:r>
          </w:p>
        </w:tc>
        <w:tc>
          <w:tcPr>
            <w:tcW w:w="2761"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THREE MONTHS ENDED</w:t>
              <w:br/>
              <w:t>MARCH 31,</w:t>
            </w:r>
          </w:p>
        </w:tc>
        <w:tc>
          <w:tcPr>
            <w:tcW w:w="129" w:type="dxa"/>
            <w:tcBorders/>
            <w:shd w:fill="auto"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pPr>
            <w:r>
              <w:rPr/>
              <w:t> </w:t>
            </w:r>
          </w:p>
        </w:tc>
        <w:tc>
          <w:tcPr>
            <w:tcW w:w="518" w:type="dxa"/>
            <w:tcBorders/>
            <w:shd w:fill="auto" w:val="clear"/>
            <w:vAlign w:val="bottom"/>
          </w:tcPr>
          <w:p>
            <w:pPr>
              <w:pStyle w:val="TableContents"/>
              <w:spacing w:before="0" w:after="283"/>
              <w:rPr/>
            </w:pPr>
            <w:r>
              <w:rPr/>
              <w:t>  </w:t>
            </w:r>
          </w:p>
        </w:tc>
        <w:tc>
          <w:tcPr>
            <w:tcW w:w="10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2010</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085"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b/>
                <w:sz w:val="14"/>
              </w:rPr>
            </w:pPr>
            <w:r>
              <w:rPr>
                <w:rFonts w:ascii="Times New Roman" w:hAnsi="Times New Roman"/>
                <w:b/>
                <w:sz w:val="14"/>
              </w:rPr>
              <w:t>2009</w:t>
            </w:r>
          </w:p>
        </w:tc>
        <w:tc>
          <w:tcPr>
            <w:tcW w:w="129" w:type="dxa"/>
            <w:tcBorders/>
            <w:shd w:fill="auto" w:val="clear"/>
            <w:vAlign w:val="bottom"/>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Net sales</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35,021</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38,056</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Cost of sales</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27,004</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29,380</w:t>
            </w:r>
          </w:p>
        </w:tc>
        <w:tc>
          <w:tcPr>
            <w:tcW w:w="129" w:type="dxa"/>
            <w:tcBorders/>
            <w:shd w:fill="auto"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Gross profit</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8,017</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8,676</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Selling and administrative</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7,234</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7,187</w:t>
            </w:r>
          </w:p>
        </w:tc>
        <w:tc>
          <w:tcPr>
            <w:tcW w:w="129" w:type="dxa"/>
            <w:tcBorders/>
            <w:shd w:fill="auto" w:val="clear"/>
            <w:vAlign w:val="bottom"/>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Amortization</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135</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313</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Income from operations</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648</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1,176</w:t>
            </w:r>
          </w:p>
        </w:tc>
        <w:tc>
          <w:tcPr>
            <w:tcW w:w="129" w:type="dxa"/>
            <w:tcBorders/>
            <w:shd w:fill="auto" w:val="clear"/>
            <w:vAlign w:val="bottom"/>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Other (loss) income, net</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Interest expense</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(362</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Income from continuing operations before income taxes</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270</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904</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Income tax expense</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317</w:t>
            </w:r>
          </w:p>
        </w:tc>
        <w:tc>
          <w:tcPr>
            <w:tcW w:w="129" w:type="dxa"/>
            <w:tcBorders/>
            <w:shd w:fill="auto"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 from continuing operations</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587</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Net loss from discontinued operations, net of tax</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(70</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(218</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Net income</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369</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4347" w:type="dxa"/>
            <w:tcBorders/>
            <w:shd w:fill="auto" w:val="clear"/>
            <w:vAlign w:val="center"/>
          </w:tcPr>
          <w:p>
            <w:pPr>
              <w:pStyle w:val="TableContents"/>
              <w:spacing w:before="0" w:after="283"/>
              <w:rPr>
                <w:sz w:val="4"/>
                <w:szCs w:val="4"/>
              </w:rPr>
            </w:pPr>
            <w:r>
              <w:rPr>
                <w:sz w:val="4"/>
                <w:szCs w:val="4"/>
              </w:rPr>
            </w:r>
          </w:p>
        </w:tc>
        <w:tc>
          <w:tcPr>
            <w:tcW w:w="1728" w:type="dxa"/>
            <w:gridSpan w:val="4"/>
            <w:tcBorders/>
            <w:shd w:fill="auto" w:val="clear"/>
            <w:vAlign w:val="center"/>
          </w:tcPr>
          <w:p>
            <w:pPr>
              <w:pStyle w:val="TableContents"/>
              <w:spacing w:before="0" w:after="283"/>
              <w:rPr>
                <w:sz w:val="4"/>
                <w:szCs w:val="4"/>
              </w:rPr>
            </w:pPr>
            <w:r>
              <w:rPr>
                <w:sz w:val="4"/>
                <w:szCs w:val="4"/>
              </w:rPr>
            </w:r>
          </w:p>
        </w:tc>
        <w:tc>
          <w:tcPr>
            <w:tcW w:w="1680" w:type="dxa"/>
            <w:gridSpan w:val="4"/>
            <w:tcBorders/>
            <w:shd w:fill="auto" w:val="clear"/>
            <w:vAlign w:val="center"/>
          </w:tcPr>
          <w:p>
            <w:pPr>
              <w:pStyle w:val="TableContents"/>
              <w:spacing w:before="0" w:after="283"/>
              <w:rPr>
                <w:sz w:val="4"/>
                <w:szCs w:val="4"/>
              </w:rPr>
            </w:pPr>
            <w:r>
              <w:rPr>
                <w:sz w:val="4"/>
                <w:szCs w:val="4"/>
              </w:rPr>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Per share data:</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960"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income from continuing operations</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Basic net loss from discontinued operations</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Basic net income</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4347" w:type="dxa"/>
            <w:tcBorders/>
            <w:shd w:fill="auto" w:val="clear"/>
            <w:vAlign w:val="center"/>
          </w:tcPr>
          <w:p>
            <w:pPr>
              <w:pStyle w:val="TableContents"/>
              <w:spacing w:before="0" w:after="283"/>
              <w:rPr>
                <w:sz w:val="4"/>
                <w:szCs w:val="4"/>
              </w:rPr>
            </w:pPr>
            <w:r>
              <w:rPr>
                <w:sz w:val="4"/>
                <w:szCs w:val="4"/>
              </w:rPr>
            </w:r>
          </w:p>
        </w:tc>
        <w:tc>
          <w:tcPr>
            <w:tcW w:w="1728" w:type="dxa"/>
            <w:gridSpan w:val="4"/>
            <w:tcBorders/>
            <w:shd w:fill="auto" w:val="clear"/>
            <w:vAlign w:val="center"/>
          </w:tcPr>
          <w:p>
            <w:pPr>
              <w:pStyle w:val="TableContents"/>
              <w:spacing w:before="0" w:after="283"/>
              <w:rPr>
                <w:sz w:val="4"/>
                <w:szCs w:val="4"/>
              </w:rPr>
            </w:pPr>
            <w:r>
              <w:rPr>
                <w:sz w:val="4"/>
                <w:szCs w:val="4"/>
              </w:rPr>
            </w:r>
          </w:p>
        </w:tc>
        <w:tc>
          <w:tcPr>
            <w:tcW w:w="1680" w:type="dxa"/>
            <w:gridSpan w:val="4"/>
            <w:tcBorders/>
            <w:shd w:fill="auto" w:val="clear"/>
            <w:vAlign w:val="center"/>
          </w:tcPr>
          <w:p>
            <w:pPr>
              <w:pStyle w:val="TableContents"/>
              <w:spacing w:before="0" w:after="283"/>
              <w:rPr>
                <w:sz w:val="4"/>
                <w:szCs w:val="4"/>
              </w:rPr>
            </w:pPr>
            <w:r>
              <w:rPr>
                <w:sz w:val="4"/>
                <w:szCs w:val="4"/>
              </w:rPr>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income from continuing operations</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0.04</w:t>
            </w:r>
          </w:p>
        </w:tc>
        <w:tc>
          <w:tcPr>
            <w:tcW w:w="129" w:type="dxa"/>
            <w:tcBorders/>
            <w:shd w:fill="auto" w:val="clear"/>
            <w:vAlign w:val="bottom"/>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Diluted net loss from discontinued operations</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0.00</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single" w:sz="2" w:space="0" w:color="000000"/>
            </w:tcBorders>
            <w:shd w:fill="auto" w:val="clear"/>
            <w:tcMar>
              <w:top w:w="28" w:type="dxa"/>
            </w:tcMar>
            <w:vAlign w:val="bottom"/>
          </w:tcPr>
          <w:p>
            <w:pPr>
              <w:pStyle w:val="TableContents"/>
              <w:spacing w:before="0" w:after="283"/>
              <w:rPr/>
            </w:pPr>
            <w:r>
              <w:rPr/>
              <w:t> </w:t>
            </w:r>
          </w:p>
        </w:tc>
        <w:tc>
          <w:tcPr>
            <w:tcW w:w="960" w:type="dxa"/>
            <w:tcBorders>
              <w:top w:val="single" w:sz="2"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Diluted net income</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0.01</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0.03</w:t>
            </w:r>
          </w:p>
        </w:tc>
        <w:tc>
          <w:tcPr>
            <w:tcW w:w="129" w:type="dxa"/>
            <w:tcBorders/>
            <w:shd w:fill="auto"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4347" w:type="dxa"/>
            <w:tcBorders/>
            <w:shd w:fill="auto" w:val="clear"/>
            <w:vAlign w:val="center"/>
          </w:tcPr>
          <w:p>
            <w:pPr>
              <w:pStyle w:val="TableContents"/>
              <w:spacing w:before="0" w:after="283"/>
              <w:rPr>
                <w:sz w:val="4"/>
                <w:szCs w:val="4"/>
              </w:rPr>
            </w:pPr>
            <w:r>
              <w:rPr>
                <w:sz w:val="4"/>
                <w:szCs w:val="4"/>
              </w:rPr>
            </w:r>
          </w:p>
        </w:tc>
        <w:tc>
          <w:tcPr>
            <w:tcW w:w="1728" w:type="dxa"/>
            <w:gridSpan w:val="4"/>
            <w:tcBorders/>
            <w:shd w:fill="auto" w:val="clear"/>
            <w:vAlign w:val="center"/>
          </w:tcPr>
          <w:p>
            <w:pPr>
              <w:pStyle w:val="TableContents"/>
              <w:spacing w:before="0" w:after="283"/>
              <w:rPr>
                <w:sz w:val="4"/>
                <w:szCs w:val="4"/>
              </w:rPr>
            </w:pPr>
            <w:r>
              <w:rPr>
                <w:sz w:val="4"/>
                <w:szCs w:val="4"/>
              </w:rPr>
            </w:r>
          </w:p>
        </w:tc>
        <w:tc>
          <w:tcPr>
            <w:tcW w:w="1680" w:type="dxa"/>
            <w:gridSpan w:val="4"/>
            <w:tcBorders/>
            <w:shd w:fill="auto" w:val="clear"/>
            <w:vAlign w:val="center"/>
          </w:tcPr>
          <w:p>
            <w:pPr>
              <w:pStyle w:val="TableContents"/>
              <w:spacing w:before="0" w:after="283"/>
              <w:rPr>
                <w:sz w:val="4"/>
                <w:szCs w:val="4"/>
              </w:rPr>
            </w:pPr>
            <w:r>
              <w:rPr>
                <w:sz w:val="4"/>
                <w:szCs w:val="4"/>
              </w:rPr>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Weighted average number of common shares outstanding:</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0"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960"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4347" w:type="dxa"/>
            <w:tcBorders/>
            <w:shd w:fill="auto" w:val="clear"/>
          </w:tcPr>
          <w:p>
            <w:pPr>
              <w:pStyle w:val="TableContents"/>
              <w:spacing w:before="0" w:after="283"/>
              <w:rPr>
                <w:rFonts w:ascii="Times New Roman" w:hAnsi="Times New Roman"/>
                <w:sz w:val="20"/>
              </w:rPr>
            </w:pPr>
            <w:r>
              <w:rPr>
                <w:rFonts w:ascii="Times New Roman" w:hAnsi="Times New Roman"/>
                <w:sz w:val="20"/>
              </w:rPr>
              <w:t>Basic</w:t>
            </w:r>
          </w:p>
        </w:tc>
        <w:tc>
          <w:tcPr>
            <w:tcW w:w="51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14,296,832</w:t>
            </w:r>
          </w:p>
        </w:tc>
        <w:tc>
          <w:tcPr>
            <w:tcW w:w="125" w:type="dxa"/>
            <w:tcBorders/>
            <w:shd w:fill="auto" w:val="clear"/>
            <w:vAlign w:val="bottom"/>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960"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14,322,777</w:t>
            </w:r>
          </w:p>
        </w:tc>
        <w:tc>
          <w:tcPr>
            <w:tcW w:w="129" w:type="dxa"/>
            <w:tcBorders/>
            <w:shd w:fill="auto"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347" w:type="dxa"/>
            <w:tcBorders/>
            <w:shd w:fill="CCEEFF" w:val="clear"/>
          </w:tcPr>
          <w:p>
            <w:pPr>
              <w:pStyle w:val="TableContents"/>
              <w:spacing w:before="0" w:after="283"/>
              <w:rPr>
                <w:rFonts w:ascii="Times New Roman" w:hAnsi="Times New Roman"/>
                <w:sz w:val="20"/>
              </w:rPr>
            </w:pPr>
            <w:r>
              <w:rPr>
                <w:rFonts w:ascii="Times New Roman" w:hAnsi="Times New Roman"/>
                <w:sz w:val="20"/>
              </w:rPr>
              <w:t>Diluted</w:t>
            </w:r>
          </w:p>
        </w:tc>
        <w:tc>
          <w:tcPr>
            <w:tcW w:w="51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14,358,267</w:t>
            </w:r>
          </w:p>
        </w:tc>
        <w:tc>
          <w:tcPr>
            <w:tcW w:w="125" w:type="dxa"/>
            <w:tcBorders/>
            <w:shd w:fill="CCEEFF" w:val="clear"/>
            <w:vAlign w:val="bottom"/>
          </w:tcPr>
          <w:p>
            <w:pPr>
              <w:pStyle w:val="TableContents"/>
              <w:spacing w:before="0" w:after="283"/>
              <w:rPr/>
            </w:pPr>
            <w:r>
              <w:rPr/>
              <w:t>  </w:t>
            </w:r>
          </w:p>
        </w:tc>
        <w:tc>
          <w:tcPr>
            <w:tcW w:w="46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9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15,189,775</w:t>
            </w:r>
          </w:p>
        </w:tc>
        <w:tc>
          <w:tcPr>
            <w:tcW w:w="129" w:type="dxa"/>
            <w:tcBorders/>
            <w:shd w:fill="CCEEFF" w:val="clear"/>
            <w:vAlign w:val="bottom"/>
          </w:tcPr>
          <w:p>
            <w:pPr>
              <w:pStyle w:val="TableContents"/>
              <w:spacing w:before="0" w:after="283"/>
              <w:rPr/>
            </w:pPr>
            <w:r>
              <w:rPr/>
              <w:t>  </w:t>
            </w:r>
          </w:p>
        </w:tc>
      </w:tr>
      <w:tr>
        <w:trPr/>
        <w:tc>
          <w:tcPr>
            <w:tcW w:w="4347" w:type="dxa"/>
            <w:tcBorders/>
            <w:shd w:fill="auto" w:val="clear"/>
            <w:vAlign w:val="bottom"/>
          </w:tcPr>
          <w:p>
            <w:pPr>
              <w:pStyle w:val="TableContents"/>
              <w:spacing w:before="0" w:after="283"/>
              <w:rPr>
                <w:sz w:val="4"/>
                <w:szCs w:val="4"/>
              </w:rPr>
            </w:pPr>
            <w:r>
              <w:rPr>
                <w:sz w:val="4"/>
                <w:szCs w:val="4"/>
              </w:rPr>
            </w:r>
          </w:p>
        </w:tc>
        <w:tc>
          <w:tcPr>
            <w:tcW w:w="518"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5" w:type="dxa"/>
            <w:tcBorders/>
            <w:shd w:fill="auto" w:val="clear"/>
            <w:vAlign w:val="center"/>
          </w:tcPr>
          <w:p>
            <w:pPr>
              <w:pStyle w:val="TableContents"/>
              <w:spacing w:before="0" w:after="283"/>
              <w:rPr/>
            </w:pPr>
            <w:r>
              <w:rPr/>
              <w:t> </w:t>
            </w:r>
          </w:p>
        </w:tc>
        <w:tc>
          <w:tcPr>
            <w:tcW w:w="466" w:type="dxa"/>
            <w:tcBorders/>
            <w:shd w:fill="auto" w:val="clear"/>
            <w:vAlign w:val="bottom"/>
          </w:tcPr>
          <w:p>
            <w:pPr>
              <w:pStyle w:val="TableContents"/>
              <w:spacing w:before="0" w:after="283"/>
              <w:rPr/>
            </w:pPr>
            <w:r>
              <w:rPr/>
              <w:t> </w:t>
            </w:r>
          </w:p>
        </w:tc>
        <w:tc>
          <w:tcPr>
            <w:tcW w:w="125" w:type="dxa"/>
            <w:tcBorders>
              <w:top w:val="double" w:sz="6" w:space="0" w:color="000000"/>
            </w:tcBorders>
            <w:shd w:fill="auto" w:val="clear"/>
            <w:tcMar>
              <w:top w:w="28" w:type="dxa"/>
            </w:tcMar>
            <w:vAlign w:val="bottom"/>
          </w:tcPr>
          <w:p>
            <w:pPr>
              <w:pStyle w:val="TableContents"/>
              <w:spacing w:before="0" w:after="283"/>
              <w:rPr/>
            </w:pPr>
            <w:r>
              <w:rPr/>
              <w:t> </w:t>
            </w:r>
          </w:p>
        </w:tc>
        <w:tc>
          <w:tcPr>
            <w:tcW w:w="960" w:type="dxa"/>
            <w:tcBorders>
              <w:top w:val="double" w:sz="6" w:space="0" w:color="000000"/>
            </w:tcBorders>
            <w:shd w:fill="auto" w:val="clear"/>
            <w:tcMar>
              <w:top w:w="28" w:type="dxa"/>
            </w:tcMar>
            <w:vAlign w:val="bottom"/>
          </w:tcPr>
          <w:p>
            <w:pPr>
              <w:pStyle w:val="TableContents"/>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180" w:after="0"/>
        <w:rPr>
          <w:rFonts w:ascii="Times New Roman" w:hAnsi="Times New Roman"/>
          <w:sz w:val="20"/>
        </w:rPr>
      </w:pPr>
      <w:r>
        <w:rPr>
          <w:rFonts w:ascii="Times New Roman" w:hAnsi="Times New Roman"/>
          <w:sz w:val="20"/>
        </w:rPr>
        <w:t xml:space="preserve">This press release may contain forward-looking statements within the meaning of the Private Securities Litigation Reform Act of 1995. All forward-looking statements are subject to certain risks, uncertainties and assumptions. These risks and uncertainties, which are more fully described in CECOs Annual and Quarterly Reports filed with the Securities and Exchange Commission, include changes in market conditions in the industries in which the Company operates. Should one or more of these risks or uncertainties materialize, or should the assumptions prove incorrect, actual results may vary in material aspects from those currently anticipated.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1174</Words>
  <CharactersWithSpaces>7903</CharactersWithSpaces>
  <Paragraphs>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Press Release</dc:title>
</cp:coreProperties>
</file>