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2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000-7099</w:t>
            </w: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13-2566064</w:t>
            </w:r>
          </w:p>
        </w:tc>
      </w:tr>
      <w:tr>
        <w:trPr>
          <w:trHeight w:val="216"/>
        </w:trPr>
        <w:tc>
          <w:tcPr>
            <w:tcW w:w="22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1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1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200" w:type="dxa"/>
            <w:vAlign w:val="bottom"/>
          </w:tcPr>
          <w:p>
            <w:pPr>
              <w:spacing w:after="0"/>
              <w:rPr>
                <w:sz w:val="24"/>
                <w:szCs w:val="24"/>
                <w:color w:val="auto"/>
              </w:rPr>
            </w:pPr>
          </w:p>
        </w:tc>
        <w:tc>
          <w:tcPr>
            <w:tcW w:w="5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5080 Spectrum Drive,</w:t>
            </w:r>
          </w:p>
        </w:tc>
        <w:tc>
          <w:tcPr>
            <w:tcW w:w="178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East Tower, Suite 800E</w:t>
            </w:r>
          </w:p>
        </w:tc>
        <w:tc>
          <w:tcPr>
            <w:tcW w:w="1780" w:type="dxa"/>
            <w:vAlign w:val="bottom"/>
          </w:tcPr>
          <w:p>
            <w:pPr>
              <w:spacing w:after="0"/>
              <w:rPr>
                <w:sz w:val="18"/>
                <w:szCs w:val="18"/>
                <w:color w:val="auto"/>
              </w:rPr>
            </w:pPr>
          </w:p>
        </w:tc>
      </w:tr>
      <w:tr>
        <w:trPr>
          <w:trHeight w:val="220"/>
        </w:trPr>
        <w:tc>
          <w:tcPr>
            <w:tcW w:w="2200" w:type="dxa"/>
            <w:vAlign w:val="bottom"/>
          </w:tcPr>
          <w:p>
            <w:pPr>
              <w:spacing w:after="0"/>
              <w:rPr>
                <w:sz w:val="19"/>
                <w:szCs w:val="19"/>
                <w:color w:val="auto"/>
              </w:rPr>
            </w:pPr>
          </w:p>
        </w:tc>
        <w:tc>
          <w:tcPr>
            <w:tcW w:w="5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Addison, Texas 75001</w:t>
            </w:r>
          </w:p>
        </w:tc>
        <w:tc>
          <w:tcPr>
            <w:tcW w:w="1780" w:type="dxa"/>
            <w:vAlign w:val="bottom"/>
          </w:tcPr>
          <w:p>
            <w:pPr>
              <w:spacing w:after="0"/>
              <w:rPr>
                <w:sz w:val="19"/>
                <w:szCs w:val="19"/>
                <w:color w:val="auto"/>
              </w:rPr>
            </w:pPr>
          </w:p>
        </w:tc>
      </w:tr>
      <w:tr>
        <w:trPr>
          <w:trHeight w:val="234"/>
        </w:trPr>
        <w:tc>
          <w:tcPr>
            <w:tcW w:w="2200" w:type="dxa"/>
            <w:vAlign w:val="bottom"/>
          </w:tcPr>
          <w:p>
            <w:pPr>
              <w:spacing w:after="0"/>
              <w:rPr>
                <w:sz w:val="20"/>
                <w:szCs w:val="20"/>
                <w:color w:val="auto"/>
              </w:rPr>
            </w:pPr>
          </w:p>
        </w:tc>
        <w:tc>
          <w:tcPr>
            <w:tcW w:w="5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780" w:type="dxa"/>
            <w:vAlign w:val="bottom"/>
          </w:tcPr>
          <w:p>
            <w:pPr>
              <w:spacing w:after="0"/>
              <w:rPr>
                <w:sz w:val="20"/>
                <w:szCs w:val="20"/>
                <w:color w:val="auto"/>
              </w:rPr>
            </w:pPr>
          </w:p>
        </w:tc>
      </w:tr>
      <w:tr>
        <w:trPr>
          <w:trHeight w:val="414"/>
        </w:trPr>
        <w:tc>
          <w:tcPr>
            <w:tcW w:w="2200" w:type="dxa"/>
            <w:vAlign w:val="bottom"/>
          </w:tcPr>
          <w:p>
            <w:pPr>
              <w:spacing w:after="0"/>
              <w:rPr>
                <w:sz w:val="24"/>
                <w:szCs w:val="24"/>
                <w:color w:val="auto"/>
              </w:rPr>
            </w:pPr>
          </w:p>
        </w:tc>
        <w:tc>
          <w:tcPr>
            <w:tcW w:w="5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(214) 357-6181</w:t>
            </w:r>
          </w:p>
        </w:tc>
        <w:tc>
          <w:tcPr>
            <w:tcW w:w="178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80" w:type="dxa"/>
            <w:vAlign w:val="bottom"/>
          </w:tcPr>
          <w:p>
            <w:pPr>
              <w:spacing w:after="0"/>
              <w:rPr>
                <w:sz w:val="20"/>
                <w:szCs w:val="20"/>
                <w:color w:val="auto"/>
              </w:rPr>
            </w:pPr>
          </w:p>
        </w:tc>
      </w:tr>
      <w:tr>
        <w:trPr>
          <w:trHeight w:val="414"/>
        </w:trPr>
        <w:tc>
          <w:tcPr>
            <w:tcW w:w="2200" w:type="dxa"/>
            <w:vAlign w:val="bottom"/>
          </w:tcPr>
          <w:p>
            <w:pPr>
              <w:spacing w:after="0"/>
              <w:rPr>
                <w:sz w:val="24"/>
                <w:szCs w:val="24"/>
                <w:color w:val="auto"/>
              </w:rPr>
            </w:pPr>
          </w:p>
        </w:tc>
        <w:tc>
          <w:tcPr>
            <w:tcW w:w="5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N/A</w:t>
            </w:r>
          </w:p>
        </w:tc>
        <w:tc>
          <w:tcPr>
            <w:tcW w:w="178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CECO</w:t>
            </w:r>
          </w:p>
        </w:tc>
        <w:tc>
          <w:tcPr>
            <w:tcW w:w="4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7"/>
          <w:szCs w:val="17"/>
          <w:color w:val="auto"/>
        </w:rPr>
        <w:t>As previously disclosed, on February 23, 2026, CECO Environmental Corp., a Delaware corporation (“CECO” or the “Company”), Longhorn Merger Sub, Inc., a Delaware corporation and a direct wholly-owned subsidiary of the Company (“Merger Sub Inc.”), Longhorn Merger Sub LLC, a Delaware limited liability company and a direct wholly-owned subsidiary of the Company (“Merger Sub LLC” and, together with Merger Sub Inc., the “Merger Subs”), and Thermon Group Holdings, Inc., a Delaware corporation (“Thermon”), entered into an Agreement and Plan of Merger (as amended, supplemented, or restated, the “Merger Agreement”), pursuant to which, among other matters, and subject to the satisfaction or waiver of the conditions set forth in the Merger Agreement, (i) Merger Sub Inc. will merge with and into Thermon, with Thermon continuing as a wholly-owned subsidiary of the Company and the surviving corporation of the merger (the “First Merger”), and (ii) Thermon, as the surviving corporation of the First Merger, will merge with and into Merger Sub LLC, with Merger Sub LLC being the surviving entity of the merger (the “Second Merger” and, together with the First Merger, the “Mergers”).</w:t>
      </w:r>
    </w:p>
    <w:p>
      <w:pPr>
        <w:spacing w:after="0" w:line="168" w:lineRule="exact"/>
        <w:rPr>
          <w:sz w:val="20"/>
          <w:szCs w:val="20"/>
          <w:color w:val="auto"/>
        </w:rPr>
      </w:pPr>
    </w:p>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5.07 of this Current Report on Form 8-K is incorporated by reference into this Item 5.02 to the extent applicable.</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discussed below, the stockholders approved the CECO Equity Plan Proposal at the Annual Meeting, which is effective as of May 27, 2026. The 2026 Plan succeeds the existing CECO Environmental Corp. 2021 Equity and Incentive Compensation Plan (the “2021 Plan”). The 2026 Plan provides for the grant of up to (i) 3,350,000 shares of Company Common Stock, plus (ii) the shares remaining available for future grant under the 2021 Plan as of May 27, 2026.</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2026 Plan and the summary contained in the Joint Proxy Statement/Prospectus do not purport to be complete and are qualified in their entirety by reference to the full text of the 2026 Plan, which is attached hereto as Exhibit 10.1.</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May 27, 2026, the Company held its 2026 annual meeting of stockholders (the “Annual Meeting”). At the Annual Meeting, the Company’s stockholders considered the proposals described in detail in the joint proxy statement/prospectus, dated April 23, 2026, included in the registration statement on Form S-4 filed by the Company with the Securities and Exchange Commission (File No. 333-294924), which was declared effective by the Securities and Exchange Commission on April 22, 2026 (the “Joint Proxy Statement/Prospectus”) including the proposals set forth below relating to the Merger Agreement.</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The final voting results for each matter submitted to a vote of the Company’s stockholders at the Annual Meeting are set forth below. There were 35,873,031 shares of the </w:t>
      </w:r>
      <w:r>
        <w:rPr>
          <w:rFonts w:ascii="Times New Roman" w:cs="Times New Roman" w:eastAsia="Times New Roman" w:hAnsi="Times New Roman"/>
          <w:sz w:val="18"/>
          <w:szCs w:val="18"/>
          <w:i w:val="1"/>
          <w:iCs w:val="1"/>
          <w:color w:val="auto"/>
        </w:rPr>
        <w:t>Company’s common stock, par value $0.01 per share (“Company Common Stock”)</w:t>
      </w:r>
      <w:r>
        <w:rPr>
          <w:rFonts w:ascii="Times New Roman" w:cs="Times New Roman" w:eastAsia="Times New Roman" w:hAnsi="Times New Roman"/>
          <w:sz w:val="18"/>
          <w:szCs w:val="18"/>
          <w:color w:val="auto"/>
        </w:rPr>
        <w:t xml:space="preserve"> outstanding and entitled to vote on April 17, 2026, the record date for the Annual Meeting, and 33,328,446 shares of the Company’s common stock were represented in person or by proxy at the Annual Meeting, which number constituted a quorum.</w:t>
      </w:r>
    </w:p>
    <w:p>
      <w:pPr>
        <w:spacing w:after="0" w:line="176"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CECO Stock Issuance Proposal</w:t>
      </w:r>
      <w:r>
        <w:rPr>
          <w:rFonts w:ascii="Times New Roman" w:cs="Times New Roman" w:eastAsia="Times New Roman" w:hAnsi="Times New Roman"/>
          <w:sz w:val="18"/>
          <w:szCs w:val="18"/>
          <w:i w:val="1"/>
          <w:iCs w:val="1"/>
          <w:color w:val="auto"/>
        </w:rPr>
        <w:t>: To approve the issuance of shares of Company Common Stock, constituting the stock consideration to be issued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stockholders of Thermon in the First Merger contemplated by the Merger Agreement, and other shares of Company Common Stock to be issued in the mergers or reserved for issuance in connection with the mergers (the “CECO Stock Issuance Proposal”).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the Company’s stockholders.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5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29,620,269</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18,904</w:t>
            </w:r>
          </w:p>
        </w:tc>
        <w:tc>
          <w:tcPr>
            <w:tcW w:w="10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37,796</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3,651,477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approval of the CECO Stock Issuance Proposal satisfies one of the conditions to the closing of the mergers contemplated by the Merger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Mergers remains subject to the satisfaction or waiver of the remaining closing conditions set forth in the Merger Agreement.</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CECO Adjournment Proposal</w:t>
      </w:r>
      <w:r>
        <w:rPr>
          <w:rFonts w:ascii="Times New Roman" w:cs="Times New Roman" w:eastAsia="Times New Roman" w:hAnsi="Times New Roman"/>
          <w:sz w:val="18"/>
          <w:szCs w:val="18"/>
          <w:i w:val="1"/>
          <w:iCs w:val="1"/>
          <w:color w:val="auto"/>
        </w:rPr>
        <w:t>: To adjourn the Annual Meeting, if necessary or appropriate, to solicit additional proxies if there were not sufficient votes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approve the CECO Stock Issuance Proposal at the time of the Annual Meeting.</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Because the CECO Stock Issuance Proposal was approved, the CECO Adjournment Proposal was rendered moot and was not voted upon at the Annual Meeting.</w:t>
      </w:r>
    </w:p>
    <w:p>
      <w:pPr>
        <w:spacing w:after="0" w:line="15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CECO Director Election Proposal</w:t>
      </w:r>
      <w:r>
        <w:rPr>
          <w:rFonts w:ascii="Times New Roman" w:cs="Times New Roman" w:eastAsia="Times New Roman" w:hAnsi="Times New Roman"/>
          <w:sz w:val="18"/>
          <w:szCs w:val="18"/>
          <w:i w:val="1"/>
          <w:iCs w:val="1"/>
          <w:color w:val="auto"/>
        </w:rPr>
        <w:t>: To elect the eight director nominees named in the Joint Proxy Statement/Prospectus and standing for election to serve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as directors of the Company, each for a term that will continue until the next annual meeting of stockholders and until his or her successor has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Each of the eight director nominees named in the Joint Proxy Statement/Prospectus were elected by the requisite vote of the Company’s stockholders.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 Nominee</w:t>
            </w:r>
          </w:p>
        </w:tc>
        <w:tc>
          <w:tcPr>
            <w:tcW w:w="22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0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Jason DeZwirek</w:t>
            </w:r>
          </w:p>
        </w:tc>
        <w:tc>
          <w:tcPr>
            <w:tcW w:w="224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29,105,504</w:t>
            </w:r>
          </w:p>
        </w:tc>
        <w:tc>
          <w:tcPr>
            <w:tcW w:w="1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563,205</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8,260</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3,651,477</w:t>
            </w:r>
          </w:p>
        </w:tc>
      </w:tr>
      <w:tr>
        <w:trPr>
          <w:trHeight w:val="209"/>
        </w:trPr>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Todd Gleason</w:t>
            </w:r>
          </w:p>
        </w:tc>
        <w:tc>
          <w:tcPr>
            <w:tcW w:w="224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29,425,442</w:t>
            </w:r>
          </w:p>
        </w:tc>
        <w:tc>
          <w:tcPr>
            <w:tcW w:w="1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244,111</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7,416</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3,651,477</w:t>
            </w:r>
          </w:p>
        </w:tc>
      </w:tr>
      <w:tr>
        <w:trPr>
          <w:trHeight w:val="210"/>
        </w:trPr>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Robert E. Knowling, Jr.</w:t>
            </w:r>
          </w:p>
        </w:tc>
        <w:tc>
          <w:tcPr>
            <w:tcW w:w="224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29,484,835</w:t>
            </w:r>
          </w:p>
        </w:tc>
        <w:tc>
          <w:tcPr>
            <w:tcW w:w="1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86,250</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105,844</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3,651,477</w:t>
            </w:r>
          </w:p>
        </w:tc>
      </w:tr>
      <w:tr>
        <w:trPr>
          <w:trHeight w:val="209"/>
        </w:trPr>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Claudio A. Mannarino</w:t>
            </w:r>
          </w:p>
        </w:tc>
        <w:tc>
          <w:tcPr>
            <w:tcW w:w="224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29,421,081</w:t>
            </w:r>
          </w:p>
        </w:tc>
        <w:tc>
          <w:tcPr>
            <w:tcW w:w="1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250,168</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5,720</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3,651,477</w:t>
            </w:r>
          </w:p>
        </w:tc>
      </w:tr>
      <w:tr>
        <w:trPr>
          <w:trHeight w:val="209"/>
        </w:trPr>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Munish Nanda</w:t>
            </w:r>
          </w:p>
        </w:tc>
        <w:tc>
          <w:tcPr>
            <w:tcW w:w="224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29,447,863</w:t>
            </w:r>
          </w:p>
        </w:tc>
        <w:tc>
          <w:tcPr>
            <w:tcW w:w="1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219,409</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9,697</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3,651,477</w:t>
            </w:r>
          </w:p>
        </w:tc>
      </w:tr>
      <w:tr>
        <w:trPr>
          <w:trHeight w:val="210"/>
        </w:trPr>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Valerie Gentile Sachs</w:t>
            </w:r>
          </w:p>
        </w:tc>
        <w:tc>
          <w:tcPr>
            <w:tcW w:w="224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28,646,518</w:t>
            </w:r>
          </w:p>
        </w:tc>
        <w:tc>
          <w:tcPr>
            <w:tcW w:w="1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995,444</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35,007</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3,651,477</w:t>
            </w:r>
          </w:p>
        </w:tc>
      </w:tr>
      <w:tr>
        <w:trPr>
          <w:trHeight w:val="209"/>
        </w:trPr>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Laurie A. Siegel</w:t>
            </w:r>
          </w:p>
        </w:tc>
        <w:tc>
          <w:tcPr>
            <w:tcW w:w="224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29,064,318</w:t>
            </w:r>
          </w:p>
        </w:tc>
        <w:tc>
          <w:tcPr>
            <w:tcW w:w="1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606,928</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5,723</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3,651,477</w:t>
            </w:r>
          </w:p>
        </w:tc>
      </w:tr>
      <w:tr>
        <w:trPr>
          <w:trHeight w:val="210"/>
        </w:trPr>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Richard F. Wallman</w:t>
            </w:r>
          </w:p>
        </w:tc>
        <w:tc>
          <w:tcPr>
            <w:tcW w:w="224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29,556,782</w:t>
            </w:r>
          </w:p>
        </w:tc>
        <w:tc>
          <w:tcPr>
            <w:tcW w:w="120" w:type="dxa"/>
            <w:vAlign w:val="bottom"/>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108,181</w:t>
            </w:r>
          </w:p>
        </w:tc>
        <w:tc>
          <w:tcPr>
            <w:tcW w:w="100" w:type="dxa"/>
            <w:vAlign w:val="bottom"/>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12,006</w:t>
            </w:r>
          </w:p>
        </w:tc>
        <w:tc>
          <w:tcPr>
            <w:tcW w:w="100" w:type="dxa"/>
            <w:vAlign w:val="bottom"/>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3,651,477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Vote on Executive Compensation</w:t>
      </w:r>
      <w:r>
        <w:rPr>
          <w:rFonts w:ascii="Times New Roman" w:cs="Times New Roman" w:eastAsia="Times New Roman" w:hAnsi="Times New Roman"/>
          <w:sz w:val="18"/>
          <w:szCs w:val="18"/>
          <w:i w:val="1"/>
          <w:iCs w:val="1"/>
          <w:color w:val="auto"/>
        </w:rPr>
        <w:t>: To approve, on a non-binding advisory basis, the compensation of the Company’s named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advisory proposal was approved by the requisite vote of the Company’s stockholders.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0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5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28,796,258</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851,472</w:t>
            </w:r>
          </w:p>
        </w:tc>
        <w:tc>
          <w:tcPr>
            <w:tcW w:w="10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29,239</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3,651,477</w:t>
            </w:r>
          </w:p>
        </w:tc>
      </w:tr>
    </w:tbl>
    <w:p>
      <w:pPr>
        <w:spacing w:after="0" w:line="19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CECO Equity Plan Proposal</w:t>
      </w:r>
      <w:r>
        <w:rPr>
          <w:rFonts w:ascii="Times New Roman" w:cs="Times New Roman" w:eastAsia="Times New Roman" w:hAnsi="Times New Roman"/>
          <w:sz w:val="18"/>
          <w:szCs w:val="18"/>
          <w:i w:val="1"/>
          <w:iCs w:val="1"/>
          <w:color w:val="auto"/>
        </w:rPr>
        <w:t>: To approve the CECO Environmental Corp. 2026 Equity and Incentive Compensation Plan (the “2026 Plan,”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proposal, the “CECO Equity Plan Proposal”).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the Company’s stockholders.</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32"/>
        </w:trPr>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5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3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27,473,337</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2,179,518</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24,114</w:t>
            </w:r>
          </w:p>
        </w:tc>
        <w:tc>
          <w:tcPr>
            <w:tcW w:w="10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3,651,477</w:t>
            </w:r>
          </w:p>
        </w:tc>
      </w:tr>
    </w:tbl>
    <w:p>
      <w:pPr>
        <w:spacing w:after="0" w:line="19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CECO Auditor Ratification Proposal</w:t>
      </w:r>
      <w:r>
        <w:rPr>
          <w:rFonts w:ascii="Times New Roman" w:cs="Times New Roman" w:eastAsia="Times New Roman" w:hAnsi="Times New Roman"/>
          <w:sz w:val="18"/>
          <w:szCs w:val="18"/>
          <w:i w:val="1"/>
          <w:iCs w:val="1"/>
          <w:color w:val="auto"/>
        </w:rPr>
        <w:t>: To ratify the appointment of Deloitte &amp; Touche LLP as the Company’s independent registered public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firm for fiscal year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the Company’s stockholders.</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32"/>
        </w:trPr>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66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5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33,242,024</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36,043</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50,379</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0</w:t>
            </w:r>
          </w:p>
        </w:tc>
      </w:tr>
      <w:tr>
        <w:trPr>
          <w:trHeight w:val="675"/>
        </w:trPr>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May 28, 2026, the Company issued a press release announcing the results of its stockholder meeting held on May 27, 2026 in connection with the Mergers. A copy of the press release is furnished herewith as Exhibit 99.1.</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under Item 7.01 of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4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0"/>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3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CECO Environmental Corp. 2026 Equity And Incentive Compensation Plan</w:t>
            </w:r>
          </w:p>
        </w:tc>
      </w:tr>
      <w:tr>
        <w:trPr>
          <w:trHeight w:val="196"/>
        </w:trPr>
        <w:tc>
          <w:tcPr>
            <w:tcW w:w="3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May 28, 2026, furnished herewith.</w:t>
            </w:r>
          </w:p>
        </w:tc>
        <w:tc>
          <w:tcPr>
            <w:tcW w:w="1480" w:type="dxa"/>
            <w:vAlign w:val="bottom"/>
            <w:tcBorders>
              <w:top w:val="single" w:sz="8" w:color="0000EE"/>
            </w:tcBorders>
          </w:tcPr>
          <w:p>
            <w:pPr>
              <w:spacing w:after="0"/>
              <w:rPr>
                <w:sz w:val="17"/>
                <w:szCs w:val="17"/>
                <w:color w:val="auto"/>
              </w:rPr>
            </w:pPr>
          </w:p>
        </w:tc>
        <w:tc>
          <w:tcPr>
            <w:tcW w:w="448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and Section 21E of the Exchange Act. All statements, other than statements of historical fact, included in this Form 8-K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Current Report on Form 8-K include, but are not limited to, statements regarding the Mergers and other transactions contemplated by the Merger Agreement. All forward-looking statements are based on assumptions that CECO or Thermon believe to be reasonable but that may not prove to be accurate. Such forward-looking statements are based on assumptions and analyses made by CECO and Thermon in light of their perceptions of current conditions, expected future developments, and other factors that CECO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Current Report on Form 8-K speak as of the date of this Current Report on Form 8-K. Neither CECO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CECO ENVIRONMENTAL CORP.</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Kiril Kovachev</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Kiril Kovachev</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EQUITY AND INCENTIVE COMPENSATION PLAN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xml:space="preserve"> The purpose of this Plan is to permit award grants to non-employee Directors, officers and other employees of the Company and its Subsidiaries, and certain consultants to the Company and its Subsidiaries, and to provide to such persons incentives and rewards for service and/or performance.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xml:space="preserve"> As used in this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“Appreciation Right” means a right granted pursuant to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color w:val="auto"/>
        </w:rPr>
        <w:t xml:space="preserve"> of this Plan.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“Base Price” means the price to be used as the basis for determining the Spread upon the exercise of an Appreciation Right.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“Board” means the Board of Directors of the Company.</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(d)             “Cash Incentive Award” means a cash award granted pursuant to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color w:val="auto"/>
        </w:rPr>
        <w:t xml:space="preserve"> of this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“Change in Control” has the meaning set forth in </w:t>
      </w:r>
      <w:r>
        <w:rPr>
          <w:rFonts w:ascii="Times New Roman" w:cs="Times New Roman" w:eastAsia="Times New Roman" w:hAnsi="Times New Roman"/>
          <w:sz w:val="18"/>
          <w:szCs w:val="18"/>
          <w:b w:val="1"/>
          <w:bCs w:val="1"/>
          <w:u w:val="single" w:color="auto"/>
          <w:color w:val="auto"/>
        </w:rPr>
        <w:t>Section 12</w:t>
      </w:r>
      <w:r>
        <w:rPr>
          <w:rFonts w:ascii="Times New Roman" w:cs="Times New Roman" w:eastAsia="Times New Roman" w:hAnsi="Times New Roman"/>
          <w:sz w:val="18"/>
          <w:szCs w:val="18"/>
          <w:color w:val="auto"/>
        </w:rPr>
        <w:t xml:space="preserve"> of this Plan.</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“Code” means the Internal Revenue Code of 1986, as amended, and the regulations thereunder, as such law and regulations may be amended from time to time.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(g)            “Committee” means the Compensation Committee of the Board (or its successor), or any other committee of the Board designated by the Board to administer this Plan pursuant to </w:t>
      </w:r>
      <w:r>
        <w:rPr>
          <w:rFonts w:ascii="Times New Roman" w:cs="Times New Roman" w:eastAsia="Times New Roman" w:hAnsi="Times New Roman"/>
          <w:sz w:val="18"/>
          <w:szCs w:val="18"/>
          <w:b w:val="1"/>
          <w:bCs w:val="1"/>
          <w:u w:val="single" w:color="auto"/>
          <w:color w:val="auto"/>
        </w:rPr>
        <w:t>Section 10</w:t>
      </w:r>
      <w:r>
        <w:rPr>
          <w:rFonts w:ascii="Times New Roman" w:cs="Times New Roman" w:eastAsia="Times New Roman" w:hAnsi="Times New Roman"/>
          <w:sz w:val="18"/>
          <w:szCs w:val="18"/>
          <w:color w:val="auto"/>
        </w:rPr>
        <w:t xml:space="preserve"> of this Plan.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(h)            “Common Stock” means the common stock, par value $0.01 per share, of the Company or any security into which such common stock may be changed by reason of any transaction or event of the type referred to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“Company” means CECO Environmental Corp., a Delaware corporation, and its successors.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(j)             “Date of Grant” means the date provided for by the Committee on which a grant of Option Rights, Appreciation Rights, Performance Shares, Performance Units, Cash Incentive Awards, or other awards contemplated by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or a grant or sale of Restricted Stock, Restricted Stock Units, or other awards contemplated by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will become effective (which date will not be earlier than the date on which the Committee takes action with respect thereto).</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“Director” means a member of the Board.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“Effective Date” means the date this Plan is approved by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(m)            “Evidence of Award” 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            “Exchange Act” means the Securities Exchange Act of 1934, as amended, and the rules and regulations thereunder, as such law, rules and regulations may be amended from time to time.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            “Incentive Stock Option” means an Option Right that is intended to qualify as an “incentive stock option” under Section 422 of the Code or any successor provision.</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(p)           “Management Objectives” means the performance objective or objectives established pursuant to this Plan for Participants who have received grants of Performance Shares, Performance Units or Cash Incentive Awards or, when so determined by the Committee, Option Rights, Appreciation Rights, Restricted Stock, Restricted Stock Units, dividend equivalents or other awards pursuant to this Plan. The Management Objectives applicable to an award under this Plan (if any) shall be determined by the Committee, and may be based on one or more, or a combination, of metrics under the following categories or such other metrics as may be determined by the Committee (including relative or growth achievement regarding such metrics):</w:t>
      </w:r>
    </w:p>
    <w:p>
      <w:pPr>
        <w:spacing w:after="0" w:line="179" w:lineRule="exact"/>
        <w:rPr>
          <w:sz w:val="20"/>
          <w:szCs w:val="20"/>
          <w:color w:val="auto"/>
        </w:rPr>
      </w:pPr>
    </w:p>
    <w:p>
      <w:pPr>
        <w:jc w:val="both"/>
        <w:ind w:left="2600" w:hanging="648"/>
        <w:spacing w:after="0" w:line="262" w:lineRule="auto"/>
        <w:tabs>
          <w:tab w:leader="none" w:pos="2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Profits </w:t>
      </w:r>
      <w:r>
        <w:rPr>
          <w:rFonts w:ascii="Times New Roman" w:cs="Times New Roman" w:eastAsia="Times New Roman" w:hAnsi="Times New Roman"/>
          <w:sz w:val="18"/>
          <w:szCs w:val="18"/>
          <w:color w:val="auto"/>
        </w:rPr>
        <w:t>(e.g., gross profit, gross profit growth, operating income, earnings before or after deduction for all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interest, taxes, depreciation or amortization, net income (before or after taxes), consolidated net income, net earnings, net sales, cost of sales, basic or diluted earnings per share (before or after taxes), residual or economic earnings, net operating profit (before or after taxes), or economic profit);</w:t>
      </w:r>
    </w:p>
    <w:p>
      <w:pPr>
        <w:spacing w:after="0" w:line="176" w:lineRule="exact"/>
        <w:rPr>
          <w:rFonts w:ascii="Times New Roman" w:cs="Times New Roman" w:eastAsia="Times New Roman" w:hAnsi="Times New Roman"/>
          <w:sz w:val="18"/>
          <w:szCs w:val="18"/>
          <w:color w:val="auto"/>
        </w:rPr>
      </w:pPr>
    </w:p>
    <w:p>
      <w:pPr>
        <w:jc w:val="both"/>
        <w:ind w:left="2600" w:hanging="648"/>
        <w:spacing w:after="0" w:line="262" w:lineRule="auto"/>
        <w:tabs>
          <w:tab w:leader="none" w:pos="2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Flow </w:t>
      </w:r>
      <w:r>
        <w:rPr>
          <w:rFonts w:ascii="Times New Roman" w:cs="Times New Roman" w:eastAsia="Times New Roman" w:hAnsi="Times New Roman"/>
          <w:sz w:val="18"/>
          <w:szCs w:val="18"/>
          <w:color w:val="auto"/>
        </w:rPr>
        <w:t>(e.g., actual or adjusted earnings before or after interest, taxes, depreciation and/or amortization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EBIT and EBITDA), free cash flow, free cash flow with or without specific capital expenditure target or range, including or excluding divestments and/or acquisitions, operating cash flow, total cash flow, cash flow in excess of cost of capital or residual cash flow, or cash flow return on investment);</w:t>
      </w:r>
    </w:p>
    <w:p>
      <w:pPr>
        <w:spacing w:after="0" w:line="176" w:lineRule="exact"/>
        <w:rPr>
          <w:rFonts w:ascii="Times New Roman" w:cs="Times New Roman" w:eastAsia="Times New Roman" w:hAnsi="Times New Roman"/>
          <w:sz w:val="18"/>
          <w:szCs w:val="18"/>
          <w:color w:val="auto"/>
        </w:rPr>
      </w:pPr>
    </w:p>
    <w:p>
      <w:pPr>
        <w:ind w:left="2600" w:right="20" w:hanging="648"/>
        <w:spacing w:after="0" w:line="286" w:lineRule="auto"/>
        <w:tabs>
          <w:tab w:leader="none" w:pos="2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Returns </w:t>
      </w:r>
      <w:r>
        <w:rPr>
          <w:rFonts w:ascii="Times New Roman" w:cs="Times New Roman" w:eastAsia="Times New Roman" w:hAnsi="Times New Roman"/>
          <w:sz w:val="18"/>
          <w:szCs w:val="18"/>
          <w:color w:val="auto"/>
        </w:rPr>
        <w:t>(e.g., profits or cash flow returns on: assets, investment, capital, invested capital, net capital employed,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sales);</w:t>
      </w:r>
    </w:p>
    <w:p>
      <w:pPr>
        <w:spacing w:after="0" w:line="154" w:lineRule="exact"/>
        <w:rPr>
          <w:rFonts w:ascii="Times New Roman" w:cs="Times New Roman" w:eastAsia="Times New Roman" w:hAnsi="Times New Roman"/>
          <w:sz w:val="18"/>
          <w:szCs w:val="18"/>
          <w:color w:val="auto"/>
        </w:rPr>
      </w:pPr>
    </w:p>
    <w:p>
      <w:pPr>
        <w:ind w:left="2600" w:hanging="648"/>
        <w:spacing w:after="0" w:line="286" w:lineRule="auto"/>
        <w:tabs>
          <w:tab w:leader="none" w:pos="2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Working Capital </w:t>
      </w:r>
      <w:r>
        <w:rPr>
          <w:rFonts w:ascii="Times New Roman" w:cs="Times New Roman" w:eastAsia="Times New Roman" w:hAnsi="Times New Roman"/>
          <w:sz w:val="18"/>
          <w:szCs w:val="18"/>
          <w:color w:val="auto"/>
        </w:rPr>
        <w:t>(e.g., working capital targets, working capital divided by sales, days’ sales outstanding, days’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inventory, or days’ sales in payables);</w:t>
      </w:r>
    </w:p>
    <w:p>
      <w:pPr>
        <w:spacing w:after="0" w:line="154"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Profit Margins </w:t>
      </w:r>
      <w:r>
        <w:rPr>
          <w:rFonts w:ascii="Times New Roman" w:cs="Times New Roman" w:eastAsia="Times New Roman" w:hAnsi="Times New Roman"/>
          <w:sz w:val="18"/>
          <w:szCs w:val="18"/>
          <w:color w:val="auto"/>
        </w:rPr>
        <w:t>(e.g., profits divided by revenues or gross margins and material margins divided by revenues);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2600" w:hanging="648"/>
        <w:spacing w:after="0"/>
        <w:tabs>
          <w:tab w:leader="none" w:pos="2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Liquidity Measures </w:t>
      </w:r>
      <w:r>
        <w:rPr>
          <w:rFonts w:ascii="Times New Roman" w:cs="Times New Roman" w:eastAsia="Times New Roman" w:hAnsi="Times New Roman"/>
          <w:sz w:val="18"/>
          <w:szCs w:val="18"/>
          <w:color w:val="auto"/>
        </w:rPr>
        <w:t>(e.g., debt-to-capital, debt-to-EBITDA, or total debt ratio);</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62" w:lineRule="auto"/>
        <w:tabs>
          <w:tab w:leader="none" w:pos="2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Growth, Gross Margin Growth, Cost Initiative and Stock Price Metrics </w:t>
      </w:r>
      <w:r>
        <w:rPr>
          <w:rFonts w:ascii="Times New Roman" w:cs="Times New Roman" w:eastAsia="Times New Roman" w:hAnsi="Times New Roman"/>
          <w:sz w:val="18"/>
          <w:szCs w:val="18"/>
          <w:color w:val="auto"/>
        </w:rPr>
        <w:t>(e.g., revenue, net revenue,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net revenue growth, revenue growth outside the United States, gross margin and gross margin growth, material margin and material margin growth, stock price appreciation, total return to stockholders, sales and administrative costs divided by sales, or sales and administrative costs divided by profits); and</w:t>
      </w:r>
    </w:p>
    <w:p>
      <w:pPr>
        <w:spacing w:after="0" w:line="176" w:lineRule="exact"/>
        <w:rPr>
          <w:rFonts w:ascii="Times New Roman" w:cs="Times New Roman" w:eastAsia="Times New Roman" w:hAnsi="Times New Roman"/>
          <w:sz w:val="18"/>
          <w:szCs w:val="18"/>
          <w:color w:val="auto"/>
        </w:rPr>
      </w:pPr>
    </w:p>
    <w:p>
      <w:pPr>
        <w:jc w:val="both"/>
        <w:ind w:left="2600" w:hanging="648"/>
        <w:spacing w:after="0" w:line="255" w:lineRule="auto"/>
        <w:tabs>
          <w:tab w:leader="none" w:pos="2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Initiative Key Deliverable Metrics </w:t>
      </w:r>
      <w:r>
        <w:rPr>
          <w:rFonts w:ascii="Times New Roman" w:cs="Times New Roman" w:eastAsia="Times New Roman" w:hAnsi="Times New Roman"/>
          <w:sz w:val="18"/>
          <w:szCs w:val="18"/>
          <w:color w:val="auto"/>
        </w:rPr>
        <w:t>consisting of one or more of the following: product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strategic partnering, research and development, vitality index, market penetration, market share, geographic business expansion goals, expense targets or cost reduction goals, general and administrative expense savings, selling, general and administrative expenses, objective measures of client/customer satisfaction, employee satisfaction, employee retention, management of employment practices and employee benefits, supervision of litigation and information technology, productivity ratios, economic value added (or another measure of profitability that considers the cost of capital employed), product quality, sales of new products, or goals relating to acquisitions or divestitures of subsidiaries, affiliates and joint ventures.</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regarding the Management Objectives, in whole or in part, as the Committee deems appropriate and equitable.</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(q)            “Market Value per Share” means, as of any particular date, the closing price of a share of Common Stock as reported for that date on the NASDAQ Stock Market or, if the shares of Common Stock are not then listed on the NASDAQ Stock Market, on any other national securities exchange on which the shares of Common Stock are listed, or if there are no sales on such date, on the next preceding trading day during which a sale occurred. If there is no regular public trading market for the shares of Common Stock, then the Market Value per Share shall be the fair market value as determined in good faith by the Committee. The Committee is authorized to adopt another fair market value pricing method provided such method is in compliance with the fair market value pricing rules set forth in Section 409A of the Code to the extent applicable.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“Optionee” means the optionee named in an Evidence of Award evidencing an outstanding Option Right.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“Option Price” means the purchase price payable on exercise of an Option Right.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 xml:space="preserve">(t)             “Option Right” means the right to purchase shares of Common Stock upon exercise of an award granted pursuant to </w:t>
      </w:r>
      <w:r>
        <w:rPr>
          <w:rFonts w:ascii="Times New Roman" w:cs="Times New Roman" w:eastAsia="Times New Roman" w:hAnsi="Times New Roman"/>
          <w:sz w:val="18"/>
          <w:szCs w:val="18"/>
          <w:b w:val="1"/>
          <w:bCs w:val="1"/>
          <w:u w:val="single" w:color="auto"/>
          <w:color w:val="auto"/>
        </w:rPr>
        <w:t>Section 4</w:t>
      </w:r>
      <w:r>
        <w:rPr>
          <w:rFonts w:ascii="Times New Roman" w:cs="Times New Roman" w:eastAsia="Times New Roman" w:hAnsi="Times New Roman"/>
          <w:sz w:val="18"/>
          <w:szCs w:val="18"/>
          <w:color w:val="auto"/>
        </w:rPr>
        <w:t xml:space="preserv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Plan.</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(u)            “Participant” means a person who is selected by the Committee to receive benefits under this Plan and who is at the time (i) an officer or other employee of the Company or any Subsidiary, including a person who has agreed to commence serving in such capacity within 90 days of the Date of Grant, (ii) a person, including a consultant, who provides services to the Company or any Subsidiary that are equivalent to those typically provided by an employee (provided that such person satisfies the Form S-8 definition of an “employee”), or (iii) a non-employee Director.</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(v)            “Performance Period” means, in respect of a Cash Incentive Award, Performance Share or Performance Unit, a period of time established pursuant to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color w:val="auto"/>
        </w:rPr>
        <w:t xml:space="preserve"> of this Plan within which the Management Objectives relating to such Cash Incentive Award, Performance Share or Performance Unit are to be achieved.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(w)           “Performance Share” means a bookkeeping entry that records the equivalent of one share of Common Stock awarded pursuant to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158"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(x)             “Performance Unit” means a bookkeeping entry awarded pursuant to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color w:val="auto"/>
        </w:rPr>
        <w:t xml:space="preserve"> of this Plan that records a unit equivalent to $1.00 or such other value as is determined by the Committee.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            “Person” means any individual, entity, or group (within the meaning of Section 13(d)(3) or 14(d)(2) of the Exchange Act).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(z)            “Plan” means this CECO Environmental Corp. 2026 Equity and Incentive Compensation Plan, as may be amended or amended and restated from time to time.</w:t>
      </w:r>
    </w:p>
    <w:p>
      <w:pPr>
        <w:spacing w:after="0" w:line="162" w:lineRule="exact"/>
        <w:rPr>
          <w:sz w:val="20"/>
          <w:szCs w:val="20"/>
          <w:color w:val="auto"/>
        </w:rPr>
      </w:pPr>
    </w:p>
    <w:p>
      <w:pPr>
        <w:jc w:val="both"/>
        <w:ind w:right="580" w:firstLine="1296"/>
        <w:spacing w:after="0" w:line="312" w:lineRule="auto"/>
        <w:rPr>
          <w:sz w:val="20"/>
          <w:szCs w:val="20"/>
          <w:color w:val="auto"/>
        </w:rPr>
      </w:pPr>
      <w:r>
        <w:rPr>
          <w:rFonts w:ascii="Times New Roman" w:cs="Times New Roman" w:eastAsia="Times New Roman" w:hAnsi="Times New Roman"/>
          <w:sz w:val="17"/>
          <w:szCs w:val="17"/>
          <w:color w:val="auto"/>
        </w:rPr>
        <w:t>(aa)          “Predecessor Plans” means the CECO Environmental Corp. 2017 Equity and Incentive Compensation Plan and the CECO Environmental Corp. 2021 Equity and Incentive Compensation Plan, in each case including as amended or amended and restated from time to time.</w:t>
      </w:r>
    </w:p>
    <w:p>
      <w:pPr>
        <w:spacing w:after="0" w:line="136"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(bb)         “Restricted Stock” means shares of Common Stock granted or sold pursuant to </w:t>
      </w: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color w:val="auto"/>
        </w:rPr>
        <w:t xml:space="preserve"> of this Plan as to which neither the substantial risk of forfeiture nor the prohibition on transfer has expired.</w:t>
      </w:r>
    </w:p>
    <w:p>
      <w:pPr>
        <w:spacing w:after="0" w:line="155"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(cc)          “Restricted Stock Units” means an award made pursuant to </w:t>
      </w:r>
      <w:r>
        <w:rPr>
          <w:rFonts w:ascii="Times New Roman" w:cs="Times New Roman" w:eastAsia="Times New Roman" w:hAnsi="Times New Roman"/>
          <w:sz w:val="18"/>
          <w:szCs w:val="18"/>
          <w:b w:val="1"/>
          <w:bCs w:val="1"/>
          <w:u w:val="single" w:color="auto"/>
          <w:color w:val="auto"/>
        </w:rPr>
        <w:t>Section 7</w:t>
      </w:r>
      <w:r>
        <w:rPr>
          <w:rFonts w:ascii="Times New Roman" w:cs="Times New Roman" w:eastAsia="Times New Roman" w:hAnsi="Times New Roman"/>
          <w:sz w:val="18"/>
          <w:szCs w:val="18"/>
          <w:color w:val="auto"/>
        </w:rPr>
        <w:t xml:space="preserve"> of this Plan of the right to receive shares of Common Stock, cash or a combination thereof at the end of the applicable Restriction Period.</w:t>
      </w:r>
    </w:p>
    <w:p>
      <w:pPr>
        <w:spacing w:after="0" w:line="15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(dd)         “Restriction Period” means the period of time during which Restricted Stock Units are subject to restrictions, as provided in </w:t>
      </w:r>
      <w:r>
        <w:rPr>
          <w:rFonts w:ascii="Times New Roman" w:cs="Times New Roman" w:eastAsia="Times New Roman" w:hAnsi="Times New Roman"/>
          <w:sz w:val="18"/>
          <w:szCs w:val="18"/>
          <w:b w:val="1"/>
          <w:bCs w:val="1"/>
          <w:u w:val="single" w:color="auto"/>
          <w:color w:val="auto"/>
        </w:rPr>
        <w:t>Section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(ee)           “Spread” means the excess of the Market Value per Share on the date when an Appreciation Right is exercised over the Base Price provided for with respect to the Appreciation Right.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1300"/>
        <w:spacing w:after="0"/>
        <w:rPr>
          <w:sz w:val="20"/>
          <w:szCs w:val="20"/>
          <w:color w:val="auto"/>
        </w:rPr>
      </w:pPr>
      <w:r>
        <w:rPr>
          <w:rFonts w:ascii="Times New Roman" w:cs="Times New Roman" w:eastAsia="Times New Roman" w:hAnsi="Times New Roman"/>
          <w:sz w:val="18"/>
          <w:szCs w:val="18"/>
          <w:color w:val="auto"/>
        </w:rPr>
        <w:t>(ff)            “Stockholder” means an individual or entity that owns one or more shares of Common Stock.</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(gg)         “Subsidiary”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represented by all classes of stock issued by such corporation.</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(hh)         “Ten Percent Stockholder” means an employee of the Company or an affiliate, or an individual engaged to become such an employee, who, as of the date an Incentive Stock Option is granted to such individual, owns more than 10% of the total combined voting power of all classes of shares then issued by the Company or a Subsidiary corporation.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            “Voting Power” means, at any time, the combined voting power of the then-outstanding securities entitled to vote generally in the election of Directors in the case of the Company or members of the board of directors or similar body in the case of another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auto"/>
        </w:rPr>
        <w:t>Shares Available Under this Plan and Certain Limits.</w:t>
      </w:r>
    </w:p>
    <w:p>
      <w:pPr>
        <w:spacing w:after="0" w:line="229" w:lineRule="exact"/>
        <w:rPr>
          <w:sz w:val="20"/>
          <w:szCs w:val="20"/>
          <w:color w:val="auto"/>
        </w:rPr>
      </w:pPr>
    </w:p>
    <w:p>
      <w:pPr>
        <w:ind w:left="1960" w:hanging="656"/>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Shares Available Under this Plan</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2600" w:hanging="648"/>
        <w:spacing w:after="0" w:line="259" w:lineRule="auto"/>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adjustment as provided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and the share counting rules set forth in </w:t>
      </w:r>
      <w:r>
        <w:rPr>
          <w:rFonts w:ascii="Times New Roman" w:cs="Times New Roman" w:eastAsia="Times New Roman" w:hAnsi="Times New Roman"/>
          <w:sz w:val="18"/>
          <w:szCs w:val="18"/>
          <w:b w:val="1"/>
          <w:bCs w:val="1"/>
          <w:u w:val="single" w:color="auto"/>
          <w:color w:val="auto"/>
        </w:rPr>
        <w:t>Section 3(b)</w:t>
      </w:r>
      <w:r>
        <w:rPr>
          <w:rFonts w:ascii="Times New Roman" w:cs="Times New Roman" w:eastAsia="Times New Roman" w:hAnsi="Times New Roman"/>
          <w:sz w:val="18"/>
          <w:szCs w:val="18"/>
          <w:color w:val="auto"/>
        </w:rPr>
        <w:t xml:space="preserve"> of this Plan, the number of shares of Common Stock available under this Plan for awards of (A) Option Rights or Appreciation Rights, (B) Restricted Stock, (C) Restricted Stock Units, (D) Performance Shares or Performance Units,</w:t>
      </w:r>
    </w:p>
    <w:p>
      <w:pPr>
        <w:jc w:val="both"/>
        <w:ind w:left="26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 awards contemplated by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or (F) dividend equivalents paid with respect to awards made under this Plan will not exceed in the aggregate (x) 3,350,000 shares of Common Stock, plus (y) the total number of shares of Common Stock remaining available for future grant under the CECO Environmental Corp. 2021 Equity and Incentive Compensation Plan as of the Effective Date, plus (z) the shares of Common Stock that are subject to awards granted under this Plan or the Predecessor Plans that are added (or added back, as applicable) to the aggregate number of shares of Common Stock available under this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pursuant to the share counting rules of this Plan. Such shares may be shares of original issuance or treasury shares or a combination of the foregoing.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left="1480" w:hanging="648"/>
        <w:spacing w:after="0" w:line="268" w:lineRule="auto"/>
        <w:tabs>
          <w:tab w:leader="none" w:pos="1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share counting rules set forth in </w:t>
      </w:r>
      <w:r>
        <w:rPr>
          <w:rFonts w:ascii="Times New Roman" w:cs="Times New Roman" w:eastAsia="Times New Roman" w:hAnsi="Times New Roman"/>
          <w:sz w:val="18"/>
          <w:szCs w:val="18"/>
          <w:b w:val="1"/>
          <w:bCs w:val="1"/>
          <w:u w:val="single" w:color="auto"/>
          <w:color w:val="auto"/>
        </w:rPr>
        <w:t>Section 3(b)</w:t>
      </w:r>
      <w:r>
        <w:rPr>
          <w:rFonts w:ascii="Times New Roman" w:cs="Times New Roman" w:eastAsia="Times New Roman" w:hAnsi="Times New Roman"/>
          <w:sz w:val="18"/>
          <w:szCs w:val="18"/>
          <w:color w:val="auto"/>
        </w:rPr>
        <w:t xml:space="preserve"> of this Plan,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 will be reduced by one share of Common Stock for every one share of Common Stock subject to an award granted under this Plan.</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Share Counting Rules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1480" w:hanging="648"/>
        <w:spacing w:after="0" w:line="262" w:lineRule="auto"/>
        <w:tabs>
          <w:tab w:leader="none" w:pos="1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color w:val="auto"/>
        </w:rPr>
        <w:t xml:space="preserve"> of this Plan, if any award granted under this Plan (in whole or in part) is cancelled or forfeited, expires, is settled for cash or is unearned (or it is determined that such award will be unearned), the shares of Common Stock subject to such award will, to the extent of such cancellation, forfeiture, expiration, cash settlement or unearned amount, again be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above.</w:t>
      </w:r>
    </w:p>
    <w:p>
      <w:pPr>
        <w:spacing w:after="0" w:line="180" w:lineRule="exact"/>
        <w:rPr>
          <w:rFonts w:ascii="Times New Roman" w:cs="Times New Roman" w:eastAsia="Times New Roman" w:hAnsi="Times New Roman"/>
          <w:sz w:val="18"/>
          <w:szCs w:val="18"/>
          <w:color w:val="auto"/>
        </w:rPr>
      </w:pPr>
    </w:p>
    <w:p>
      <w:pPr>
        <w:jc w:val="both"/>
        <w:ind w:left="1480" w:hanging="648"/>
        <w:spacing w:after="0" w:line="261" w:lineRule="auto"/>
        <w:tabs>
          <w:tab w:leader="none" w:pos="1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or after the Effective Date, any shares of Common Stock subject to an award granted under the Predecessor Plans are forfeited, or an award granted under the Predecessor Plans (in whole or in part) is cancelled or forfeited, expires, is settled for cash or is unearned, the shares of Common Stock subject to such award will, to the extent of such cancellation, forfeiture, expiration, cash settlement or unearned amount, be available for awards under this Plan.</w:t>
      </w:r>
    </w:p>
    <w:p>
      <w:pPr>
        <w:spacing w:after="0" w:line="179" w:lineRule="exact"/>
        <w:rPr>
          <w:rFonts w:ascii="Times New Roman" w:cs="Times New Roman" w:eastAsia="Times New Roman" w:hAnsi="Times New Roman"/>
          <w:sz w:val="18"/>
          <w:szCs w:val="18"/>
          <w:color w:val="auto"/>
        </w:rPr>
      </w:pPr>
    </w:p>
    <w:p>
      <w:pPr>
        <w:jc w:val="both"/>
        <w:ind w:left="1480" w:hanging="648"/>
        <w:spacing w:after="0" w:line="257" w:lineRule="auto"/>
        <w:tabs>
          <w:tab w:leader="none" w:pos="1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Plan: (A) shares of Common Stock withheld by the Company, tendered or otherwise used in payment of the Option Price of an Option Right will not be added (or added back, as applicable)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w:t>
      </w:r>
    </w:p>
    <w:p>
      <w:pPr>
        <w:spacing w:after="0" w:line="1" w:lineRule="exact"/>
        <w:rPr>
          <w:rFonts w:ascii="Times New Roman" w:cs="Times New Roman" w:eastAsia="Times New Roman" w:hAnsi="Times New Roman"/>
          <w:sz w:val="18"/>
          <w:szCs w:val="18"/>
          <w:color w:val="auto"/>
        </w:rPr>
      </w:pPr>
    </w:p>
    <w:p>
      <w:pPr>
        <w:jc w:val="both"/>
        <w:ind w:left="1480"/>
        <w:spacing w:after="0" w:line="250" w:lineRule="auto"/>
        <w:tabs>
          <w:tab w:leader="none" w:pos="180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withheld by the Company, tendered or otherwise used to satisfy a tax withholding obligation will not be added (or added back, as applicable)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 (C) shares of Common Stock subject to a stock-settled Appreciation Right that are not actually issued in connection with the settlement of such Appreciation Right on the exercise thereof, will not be added back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 and</w:t>
      </w:r>
    </w:p>
    <w:p>
      <w:pPr>
        <w:spacing w:after="0" w:line="1" w:lineRule="exact"/>
        <w:rPr>
          <w:rFonts w:ascii="Times New Roman" w:cs="Times New Roman" w:eastAsia="Times New Roman" w:hAnsi="Times New Roman"/>
          <w:sz w:val="18"/>
          <w:szCs w:val="18"/>
          <w:color w:val="auto"/>
        </w:rPr>
      </w:pPr>
    </w:p>
    <w:p>
      <w:pPr>
        <w:jc w:val="both"/>
        <w:ind w:left="1480"/>
        <w:spacing w:after="0" w:line="255" w:lineRule="auto"/>
        <w:tabs>
          <w:tab w:leader="none" w:pos="178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reacquired by the Company on the open market or otherwise using cash proceeds from the exercise of Option Rights will not be added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185" w:lineRule="exact"/>
        <w:rPr>
          <w:rFonts w:ascii="Times New Roman" w:cs="Times New Roman" w:eastAsia="Times New Roman" w:hAnsi="Times New Roman"/>
          <w:sz w:val="18"/>
          <w:szCs w:val="18"/>
          <w:color w:val="auto"/>
        </w:rPr>
      </w:pPr>
    </w:p>
    <w:p>
      <w:pPr>
        <w:jc w:val="both"/>
        <w:ind w:left="1480" w:hanging="648"/>
        <w:spacing w:after="0" w:line="266" w:lineRule="auto"/>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under this Plan, a Participant has elected to give up the right to receive compensation in exchange for shares of Common Stock based on fair market value, such shares of Common Stock will not count against the aggregate limit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w:t>
      </w: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1" w:name="page12"/>
    <w:bookmarkEnd w:id="1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Limit on Incentive Stock Options</w:t>
      </w:r>
      <w:r>
        <w:rPr>
          <w:rFonts w:ascii="Times New Roman" w:cs="Times New Roman" w:eastAsia="Times New Roman" w:hAnsi="Times New Roman"/>
          <w:sz w:val="18"/>
          <w:szCs w:val="18"/>
          <w:color w:val="auto"/>
        </w:rPr>
        <w:t xml:space="preserve">. Notwithstanding anything to the contrary contained in this Plan, and subject to adjustment as provided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the aggregate number of shares of Common Stock actually issued or transferred by the Company upon the exercise of Incentive Stock Options will not exceed 3,350,000 shares of Common Stock.</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Non-Employee Director Compensation Limit</w:t>
      </w:r>
      <w:r>
        <w:rPr>
          <w:rFonts w:ascii="Times New Roman" w:cs="Times New Roman" w:eastAsia="Times New Roman" w:hAnsi="Times New Roman"/>
          <w:sz w:val="18"/>
          <w:szCs w:val="18"/>
          <w:color w:val="auto"/>
        </w:rPr>
        <w:t>. Notwithstanding anything to the contrary contained in this Plan, in no event will any non-employee Director in any one calendar year be granted compensation for such service having an aggregate maximum value (measured at the Date of Grant as applicable, and calculating the value of any awards based on the grant date fair value for financial reporting purposes), in excess of $750,000 (or $1,000,000, in the case of a non-employee Director who serves as Chair of the Board or as a Lead Director).</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Prohibition on Dividends and Dividend Equivalents</w:t>
      </w:r>
      <w:r>
        <w:rPr>
          <w:rFonts w:ascii="Times New Roman" w:cs="Times New Roman" w:eastAsia="Times New Roman" w:hAnsi="Times New Roman"/>
          <w:sz w:val="18"/>
          <w:szCs w:val="18"/>
          <w:color w:val="auto"/>
        </w:rPr>
        <w:t>. In no event may dividends or dividend equivalents be awarded or paid with respect to awards of Option Rights, Appreciation Rights, or any other award that is not a Full-Value Award (as defined below). A “Full-Value Award” shall mean any award under this Plan other than an award of Option Rights, Appreciation Rights or other similar award the value of which is based on appreciation in the value of the Common Stock above a threshold. Notwithstanding anything to the contrary in this Plan, and for the avoidance of doubt, this Plan expressly prohibits the payment of dividends or dividend equivalents on unvested awards for all equity award types. Any dividends or dividend equivalents credited with respect to any award shall be subject to the same risk of forfeiture as the underlying award and shall not be paid until the underlying award vests.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Option Rights.</w:t>
      </w:r>
      <w:r>
        <w:rPr>
          <w:rFonts w:ascii="Times New Roman" w:cs="Times New Roman" w:eastAsia="Times New Roman" w:hAnsi="Times New Roman"/>
          <w:sz w:val="18"/>
          <w:szCs w:val="18"/>
          <w:color w:val="auto"/>
        </w:rPr>
        <w:t xml:space="preserve"> The Committee may, from time to time and upon such terms and conditions as it may determine, authorize the granting to Participants of Option Rights. Each such grant may utilize any or all of the authorizations, and will be subject to all of the requirements, contained in the following provisions: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(a)             Each grant will specify the number of shares of Common Stock to which it pertains subject to the limitations set forth in </w:t>
      </w:r>
      <w:r>
        <w:rPr>
          <w:rFonts w:ascii="Times New Roman" w:cs="Times New Roman" w:eastAsia="Times New Roman" w:hAnsi="Times New Roman"/>
          <w:sz w:val="17"/>
          <w:szCs w:val="17"/>
          <w:b w:val="1"/>
          <w:bCs w:val="1"/>
          <w:u w:val="single" w:color="auto"/>
          <w:color w:val="auto"/>
        </w:rPr>
        <w:t>Section 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Plan.</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Each grant will specify an Option Price per share of Common Stock, which Option Price (except with respect to awards under </w:t>
      </w: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may not be less than the Market Value per Share on the Date of Grant, provided that an Incentive Stock Option granted to a 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Percent Stockholder must have an Option Price per share at least equal to 110% of the Market Value per Share on the Date of Grant.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Each grant will specify whether the Option Price will be payable (i) in cash, by check acceptable to the Company or by wire transfer of immediately available funds, (ii) by the actual or constructive transfer to the Company of shares of Common Stock owned by the Optionee having a value at the time of exercise equal to the total Option Price, (iii) subject to any conditions or limitations established by the Committee, by the withholding of shares of Common Stock otherwise issuable upon exercise of an Option Right pursuant to a “net exercise” arrangement (it being understood that, solely for purposes of determining the number of treasury shares held by the Company, the shares of Common Stock so withheld will not be treated as issued and acquired by the Company upon such exercise), (iv) by a combination of such methods of payment, or (v) by such other methods as may be approved by the Committee.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To the extent permitted by law, any grant may provide for deferred payment of the Option Price from the proceeds of sale through a bank or broker on a date satisfactory to the Company of some or all of the shares of Common Stock to which such exercise relates.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Each grant will specify the period or periods of continuous service by the Optionee with the Company or any Subsidiary, if any, that is necessary before any Option Rights or installments thereof will vest. Option Rights may provide for continued vesting or the earlier vesting of such Option Rights, including in the event of the retirement, death, disability or termination of employment or service of a Participant or in the event of a Change in Control.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Any grant of Option Rights may specify Management Objectives regarding the vesting of such rights.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Option Rights granted under this Plan may be (i) options, including Incentive Stock Options that are intended to qualify under particular provisions of the Code, (ii) options that are not intended to so qualify, or (iii) combinations of the foregoing. Incentive Stock Options may only be granted to Participants who meet the definition of “employees” under Section 3401(c) of the Code.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No Option Right will be exercisable more than 10 years from the Date of Grant, provided that an Incentive Stock Option granted to a Ten Percent Stockholder must terminate no later than five years from the Date of Grant. The Committee may provide in any Evidence of Award for the automatic exercise of an Option Right upon such terms and conditions as established by the Committee.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Option Rights granted under this Plan may not provide for any dividends or dividend equivalents thereon.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Each grant of Option Rights will be evidenced by an Evidence of Award. Each Evidence of Award will be subject to this Plan and will contain such terms and provisions, consistent with this Plan, as the Committee may approve.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(k)           If an Option Right that is intended to be an Incentive Stock Option fails to meet the requirements applicable to Incentive Stock Options, the Option Right shall automatically be treated as a nonqualified stock option to the extent of such failure.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color w:val="auto"/>
        </w:rPr>
        <w:t>Appreciation Rights.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Each grant of Appreciation Rights may utilize any or all of the authorizations, and will be subject to all of the requirements, contained in the following provisions:</w:t>
      </w:r>
    </w:p>
    <w:p>
      <w:pPr>
        <w:spacing w:after="0" w:line="162" w:lineRule="exact"/>
        <w:rPr>
          <w:sz w:val="20"/>
          <w:szCs w:val="20"/>
          <w:color w:val="auto"/>
        </w:rPr>
      </w:pPr>
    </w:p>
    <w:p>
      <w:pPr>
        <w:ind w:left="2600" w:hanging="648"/>
        <w:spacing w:after="0" w:line="282" w:lineRule="auto"/>
        <w:tabs>
          <w:tab w:leader="none" w:pos="2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may specify that the amount payable on exercise of an Appreciation Right will be paid by the Company in cash, shares of Common Stock or any combination thereof.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left="2600" w:hanging="648"/>
        <w:spacing w:after="0" w:line="258" w:lineRule="auto"/>
        <w:tabs>
          <w:tab w:leader="none" w:pos="2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period or periods of continuous service by the Participant with the Company or any Subsidiary, if any, that is necessary before the Appreciation Rights or installments thereof will vest. Appreciation Rights may provide for continued vesting or the earlier vesting of such Appreciation Rights, including in the event of the retirement, death, disability or termination of employment or service of a Participant or in the event of a Change in Control.</w:t>
      </w:r>
    </w:p>
    <w:p>
      <w:pPr>
        <w:spacing w:after="0" w:line="183"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Appreciation Rights may specify Management Objectives regarding the vesting of such Appreciation Rights.</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Appreciation Rights granted under this Plan may not provide for any dividends or dividend equivalents thereon.</w:t>
      </w:r>
    </w:p>
    <w:p>
      <w:pPr>
        <w:spacing w:after="0" w:line="225" w:lineRule="exact"/>
        <w:rPr>
          <w:rFonts w:ascii="Times New Roman" w:cs="Times New Roman" w:eastAsia="Times New Roman" w:hAnsi="Times New Roman"/>
          <w:sz w:val="18"/>
          <w:szCs w:val="18"/>
          <w:color w:val="auto"/>
        </w:rPr>
      </w:pPr>
    </w:p>
    <w:p>
      <w:pPr>
        <w:ind w:left="2600" w:hanging="648"/>
        <w:spacing w:after="0" w:line="312" w:lineRule="auto"/>
        <w:tabs>
          <w:tab w:leader="none" w:pos="2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grant of Appreciation Rights will be evidenced by an Evidence of Award. Each Evidence of Award will be subject to this Plan and will contain such terms and provisions, consistent with this Plan, as the Committee may approve.</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Also, regarding Appreciation Rights:</w:t>
      </w:r>
    </w:p>
    <w:p>
      <w:pPr>
        <w:spacing w:after="0" w:line="225" w:lineRule="exact"/>
        <w:rPr>
          <w:sz w:val="20"/>
          <w:szCs w:val="20"/>
          <w:color w:val="auto"/>
        </w:rPr>
      </w:pPr>
    </w:p>
    <w:p>
      <w:pPr>
        <w:ind w:left="2600" w:hanging="648"/>
        <w:spacing w:after="0" w:line="282" w:lineRule="auto"/>
        <w:tabs>
          <w:tab w:leader="none" w:pos="2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 will specify in respect of each Appreciation Right a Base Price, which (except with respect to awards under </w:t>
      </w: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may not be less than the Market Value per Share on the Date of Grant; and</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xml:space="preserve"> The Committee may, from time to time and upon such terms and conditions as it may determine, authorize the grant or sale of Restricted Stock to Participants. Each such grant or sale may utilize any or all of the authorizations, and will be subject to all of the requirements, contained in the following provisions:</w:t>
      </w:r>
    </w:p>
    <w:p>
      <w:pPr>
        <w:spacing w:after="0" w:line="17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Each such grant or sale will constitute an immediate transfer of the ownership of shares of Common Stock to the Participant in consideration of the performance of services, entitling such Participant to voting, dividend and other ownership rights (subject in particular to </w:t>
      </w:r>
      <w:r>
        <w:rPr>
          <w:rFonts w:ascii="Times New Roman" w:cs="Times New Roman" w:eastAsia="Times New Roman" w:hAnsi="Times New Roman"/>
          <w:sz w:val="18"/>
          <w:szCs w:val="18"/>
          <w:b w:val="1"/>
          <w:bCs w:val="1"/>
          <w:u w:val="single" w:color="auto"/>
          <w:color w:val="auto"/>
        </w:rPr>
        <w:t>Section 6(g)</w:t>
      </w:r>
      <w:r>
        <w:rPr>
          <w:rFonts w:ascii="Times New Roman" w:cs="Times New Roman" w:eastAsia="Times New Roman" w:hAnsi="Times New Roman"/>
          <w:sz w:val="18"/>
          <w:szCs w:val="18"/>
          <w:color w:val="auto"/>
        </w:rPr>
        <w:t xml:space="preserve"> of this Plan), but subject to the substantial risk of forfeiture and restrictions on transfer hereinafter described.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Each such grant or sale may be made without additional consideration or in consideration of a payment by such Participant that is less than the Market Value per Share on the Date of Grant.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w:t>
      </w:r>
      <w:r>
        <w:rPr>
          <w:rFonts w:ascii="Times New Roman" w:cs="Times New Roman" w:eastAsia="Times New Roman" w:hAnsi="Times New Roman"/>
          <w:sz w:val="18"/>
          <w:szCs w:val="18"/>
          <w:b w:val="1"/>
          <w:bCs w:val="1"/>
          <w:u w:val="single" w:color="auto"/>
          <w:color w:val="auto"/>
        </w:rPr>
        <w:t>Section 6(e)</w:t>
      </w:r>
      <w:r>
        <w:rPr>
          <w:rFonts w:ascii="Times New Roman" w:cs="Times New Roman" w:eastAsia="Times New Roman" w:hAnsi="Times New Roman"/>
          <w:sz w:val="18"/>
          <w:szCs w:val="18"/>
          <w:color w:val="auto"/>
        </w:rPr>
        <w:t xml:space="preserve"> of this Plan.</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Any grant of Restricted Stock may specify Management Objectives regarding the vesting of such Restricted Stock.</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Restricted Stock may provide for continued vesting or the earlier vesting of such Restricted Stock, including in the event of the retirement, death, disability or termination of employment or service of a Participant or in the event of a Change in Control.</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Shares of Restricted Stock will be credited with dividends and other distributions to the extent dividends or other distributions are paid on such shares. However, if cash dividends or other cash distributions are paid with respect to shares of Restricted Stock while such shares are unvested, then such dividends or other distributions will either, at the discretion of the Committee, be (i) automatically reinvested as additional shares of Restricted Stock that are subject to the same terms and conditions, including the risk of forfeiture, as the original grant of Restricted Stock, or (ii) paid in cash at the same time and the same extent that the Restricted Stock vests. Any dividends or other distributions paid in the form of shares shall be subject to the same terms and conditions, including the risk of forfeiture, as the original grant of Restricted Stock. For clarity, in no event will dividends or other distributions be paid to a Participant with respect to Restricted Stock unless, until and to the same extent as the underlying Restricted Stock vests.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(h)            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xml:space="preserve"> The Committee may, from time to time and upon such terms and conditions as it may determine, authorize the granting or sale of Restricted Stock Units to Participants. Each such grant or sale may utilize any or all of the authorizations, and will be subject to all of the requirements, contained in the following provisions:</w:t>
      </w:r>
    </w:p>
    <w:p>
      <w:pPr>
        <w:spacing w:after="0" w:line="17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such grant or sale will constitute the agreement by the Company to deliver shares of Common Stock or cash, or a combination thereof, to the Participant in the future in consideration of the performance of services, but subject to the fulfillment of such conditions (which may include achievement regarding Management Objectives) during the Restriction Period as the Committee may specify.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Each such grant or sale may be made without additional consideration or in consideration of a payment by such Participant that is less than the Market Value per Share on the Date of Grant.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Restricted Stock Units may provide for continued vesting or the earlier lapse or other modification of the Restriction Period, including in the event of the retirement, death, disability or termination of employment or service of a Participant or in the event of a Change in Control.</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During the Restriction Period, the Participant will have no right to transfer any rights under his or her award and will have no rights of ownership in the shares of Common Stock deliverable upon payment of the Restricted Stock Units and will have no right to vote them, but the Committee may, at or after the Date of Grant, authorize the payment of dividend equivalents on such Restricted Stock Units. Any such dividend equivalents will either, at the discretion of the Committee, be (i) accumulated and paid, in cash or shares of Common Stock in the Committee’s discretion, at the same time and to the same extent that the Restricted Stock Units with respect to which such dividend equivalents were credited vest or are earned and paid or (ii) deemed converted into additional Restricted Stock Units that are subject to the same terms and conditions (including vesting and forfeiture) as the Restricted Stock Units with respect to which such dividend equivalents were credited. For clarity, in no event will a Participant receive payment with respect to a dividend equivalent unless, until and to the same extent as, the original Restricted Stock Units with respect to which such dividend equivalents were credited vest and are paid.</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Each grant or sale of Restricted Stock Units will specify the time and manner of payment of the Restricted Stock Units that have been earned. Each grant or sale will specify that the amount payable with respect thereto will be paid by the Company in shares of Common Stock or cash, or a combination thereof.</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Each grant or sale of Restricted Stock Units will be evidenced by an Evidence of Award. Each Evidence of Award will be subject to this Plan and will contain such terms and provisions, consistent with this Plan, as the Committee may approve.</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color w:val="auto"/>
        </w:rPr>
        <w:t>Cash Incentive Awards, Performance Shares and Performance Units.</w:t>
      </w:r>
      <w:r>
        <w:rPr>
          <w:rFonts w:ascii="Times New Roman" w:cs="Times New Roman" w:eastAsia="Times New Roman" w:hAnsi="Times New Roman"/>
          <w:sz w:val="18"/>
          <w:szCs w:val="18"/>
          <w:color w:val="auto"/>
        </w:rPr>
        <w:t xml:space="preserve"> The Committee may, from time to time and upon such terms and conditions as it may determine, authorize the granting of Cash Incentive Awards, Performance Shares and Performance Units. Each such grant may utilize any or all of the authorizations, and will be subject to all of the requirements, contained in the following provisions:</w:t>
      </w:r>
    </w:p>
    <w:p>
      <w:pPr>
        <w:spacing w:after="0" w:line="17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Each grant will specify the number or amount of Performance Shares or Performance Units, or amount payable with respect to a Cash Incentive Award, to which it pertains, which number or amount may be subject to adjustment to reflect changes in compensation or other factors.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Performance Period with respect to each Cash Incentive Award or grant of Performance Shares or Performance Units will be such period of time as will be determined by the Committee, and the Evidence of Award will specify the time and terms of delivery, which may be subject to continued vesting or earlier lapse or other modification, including in the event of the retirement, death, disability or termination of employment or service of a Participant or in the event of a Change in Control.</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Each grant of a Cash Incentive Award, Performance Shares or Performance Units will specify Management Objectives regarding the earning of the award.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Each grant will specify the time and manner of payment of a Cash Incentive Award, Performance Shares or Performance Units that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earned.</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The Committee may, on the Date of Grant of Performance Shares or Performance Units, provide for the payment of dividend equivalents to the holder thereof. Any such dividend equivalents will either, at the discretion of the Committee, be (i) accumulated and paid, in cash or shares of Common Stock in the Committee’s discretion, at the same time and to the same extent that the Performance Shares or Performance Units with respect to which such dividend equivalents were credited vest or are earned and paid or (ii) deemed converted into additional Performance Shares or Performance Units, as applicable, that are subject to the same terms and conditions (including vesting and forfeiture) as the Performance Shares or Performance Units with respect to which such dividend equivalents were credited. For clarity, in no event will a Participant receive payment with respect to a dividend equivalent unless, until and to the same extent as, the original Performance Shares or Performance Units with respect to which such dividend equivalents were credited vest and are paid.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Each grant of a Cash Incentive Award, Performance Shares or Performance Units will be evidenced by an Evidence of Award.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Evidence of Award will be subject to this Plan and will contain such terms and provisions, consistent with this Plan, as the Committee may approve.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color w:val="auto"/>
        </w:rPr>
        <w:t>Other Awards.</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Subject to applicable law and the applicable limits set forth in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color w:val="auto"/>
        </w:rPr>
        <w:t xml:space="preserve"> of this Plan, the Committee may authorize the grant to any Participant of shares of Common Stock or such other awards that may be denominated or payable in, valued in whole or in part by reference to, or otherwise based on, or related to, shares of Common Stock or factors that may influence the value of such shares,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 units of the Company. The Committee will determine the terms and conditions of such awards. Shares of Common Stock delivered pursuant to an award in the nature of a purchase right granted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will be purchased for such consideration, paid for at such time, by such methods, and in such forms, including, without limitation, shares of Common Stock, other awards, notes or other property, as the Committee determines.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1300"/>
        <w:spacing w:after="0"/>
        <w:rPr>
          <w:sz w:val="20"/>
          <w:szCs w:val="20"/>
          <w:color w:val="auto"/>
        </w:rPr>
      </w:pPr>
      <w:r>
        <w:rPr>
          <w:rFonts w:ascii="Times New Roman" w:cs="Times New Roman" w:eastAsia="Times New Roman" w:hAnsi="Times New Roman"/>
          <w:sz w:val="18"/>
          <w:szCs w:val="18"/>
          <w:color w:val="auto"/>
        </w:rPr>
        <w:t>(b)           Cash awards, as an element of or supplement to any other award granted under this Plan, may also be granted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Committee may authorize the grant of shares of Common Stock as a bonus, or may authorize the grant of other awards in lieu of obligations of the Company or a Subsidiary to pay cash or deliver other property under this Plan or under other plans or compensatory arrangements, subject to such terms as will be determined by the Committee in a manner that complies with Section 409A of the Code.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The Committee may, at or after the Date of Grant, authorize the payment of dividends or dividend equivalents on awards granted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on a deferred and contingent basis, either in cash or in additional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dividend equivalents or other distributions on Common Stock underlying awards granted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will be deferred until, and paid contingent upon, the earning, vesting and payment of such awards.</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(e)            Each grant of an award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will be evidenced by an Evidence of Award. Each such Evidence of Award will be subject to this Plan and will contain such terms and provisions, consistent with this Plan, as the Committee may approve, and will specify the time and terms of delivery of the applicable award.</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(f)            Awards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may provide for the earning or vesting of, or earlier termination of restrictions applicable to, such award, including in the event of the retirement, death, disability or termination of employment or service of a Participant or in the event of a Change in Control.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color w:val="auto"/>
        </w:rPr>
        <w:t>Administration of this Plan.</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This Plan will be administered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in this Plan to the contrary, the Board may grant awards under this Plan to non-employee Directors and administer this Plan with respect to any awards.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To the extent permitted by law, the Committee may delegate to one or more of its members,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may, by resolution, authorize one or more officers of the Company to do one or both of the following on the same basis as the Committee: (i) designate employees to be recipients of awards under this Plan; and</w:t>
      </w:r>
    </w:p>
    <w:p>
      <w:pPr>
        <w:spacing w:after="0" w:line="3" w:lineRule="exact"/>
        <w:rPr>
          <w:sz w:val="20"/>
          <w:szCs w:val="20"/>
          <w:color w:val="auto"/>
        </w:rPr>
      </w:pPr>
    </w:p>
    <w:p>
      <w:pPr>
        <w:jc w:val="both"/>
        <w:ind w:firstLine="8"/>
        <w:spacing w:after="0" w:line="252" w:lineRule="auto"/>
        <w:tabs>
          <w:tab w:leader="none" w:pos="2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determine the size of any such awards;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the Committee will not delegate such responsibilities to any such officer for awards granted to an employee who is an officer (for purposes of Section 16 of the Exchange Act), Director, or more than 10% “beneficial owner” (as such term is defined in Rule 13d-3 promulgated under the Exchange Act) of any class of the Company’s equity securities that is registered pursuant to Section 12 of the Exchange Act, as determined by the Committee in accordance with Section 16 of the Exchange Act; (B) the resolution providing for such authorization shall set forth the total number of shares of Common Stock such officer(s) may grant; and (C) the officer(s) will report periodically to the Committee regarding the nature and scope of the awards granted pursuant to the authority delegated.</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xml:space="preserve"> The Committee shall make or provide for such adjustments in the number of and kind of shares of Common Stock covered by outstanding Option Rights, Appreciation Rights, Restricted Stock, Restricted Stock Units, Performance Shares and Performance Units granted hereunder and, if applicable, in the number of and kind of shares of Common Stock covered by other awards granted pursuant to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in the Option Price and Base Price provided in outstanding Option Rights and Appreciation Rights, respectively, in Cash Incentive Awards, and in other award terms, as the Committee, in its sole discretion, exercised in good faith, determines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 any such transaction or event or Change in Control, the Committee may in its discretion elect to cancel such Option Right or Appreciation Right without any payment or notice to the Person holding such Option Right or Appreciation Right. The Committee shall also make or provide for such adjustments in the number of shares of Common Stock specified in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color w:val="auto"/>
        </w:rPr>
        <w:t xml:space="preserve"> of this Plan as the Committee in its sole discretion, exercised in good faith, determines is appropriate to reflect any transaction or event described in this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adjustment to the number specified in </w:t>
      </w:r>
      <w:r>
        <w:rPr>
          <w:rFonts w:ascii="Times New Roman" w:cs="Times New Roman" w:eastAsia="Times New Roman" w:hAnsi="Times New Roman"/>
          <w:sz w:val="18"/>
          <w:szCs w:val="18"/>
          <w:b w:val="1"/>
          <w:bCs w:val="1"/>
          <w:u w:val="single" w:color="auto"/>
          <w:color w:val="auto"/>
        </w:rPr>
        <w:t>Section 3(c)</w:t>
      </w:r>
      <w:r>
        <w:rPr>
          <w:rFonts w:ascii="Times New Roman" w:cs="Times New Roman" w:eastAsia="Times New Roman" w:hAnsi="Times New Roman"/>
          <w:sz w:val="18"/>
          <w:szCs w:val="18"/>
          <w:color w:val="auto"/>
        </w:rPr>
        <w:t xml:space="preserve"> of this Plan will be made only if and to the extent that such adjustment would not cause any Option Right intended to qualify as an Incentive Stock Option to fail to so qualify.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For purposes of this Plan, except as may be otherwise prescribed by the Committee in an Evidence of Award made under this Plan, a “Change in Control” will be deemed to have occurred upon the occurrence (after the Effective Date) of any of the following events:</w:t>
      </w:r>
    </w:p>
    <w:p>
      <w:pPr>
        <w:spacing w:after="0" w:line="15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any Person becomes the beneficial owner (within the meaning of Rule 13d-3 promulgated under the Exchange Act) of 50% or more of either (i) the then-outstanding Common Stock (the “Outstanding Company Common Stock”) or (ii) the combined voting power of the then-outstanding voting securities of the Company entitled to vote generally in the election of Directors (the “Outstanding Company Voting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this definition, the following acquisitions shall not constitute a Change in Control: (A) any acquisition directly from the Company, (B) any acquisition by the Company, (C) any acquisition by any employee benefit plan (or related trust) sponsored or maintained by the Company or any corporation controlled by the Company, or (D) any acquisition pursuant to a transaction that complies with </w:t>
      </w:r>
      <w:r>
        <w:rPr>
          <w:rFonts w:ascii="Times New Roman" w:cs="Times New Roman" w:eastAsia="Times New Roman" w:hAnsi="Times New Roman"/>
          <w:sz w:val="18"/>
          <w:szCs w:val="18"/>
          <w:b w:val="1"/>
          <w:bCs w:val="1"/>
          <w:u w:val="single" w:color="auto"/>
          <w:color w:val="auto"/>
        </w:rPr>
        <w:t>Sections 12(c)(i)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u w:val="single" w:color="auto"/>
          <w:color w:val="auto"/>
        </w:rPr>
        <w:t>(c)(iii)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individuals who, as of the Effective Date, constitute the Board (the “Incumbent Board”) cease for any reason to constitute at least a majority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individual becoming a Director subsequent to the Effective Date whose election, or nomination for election by the Stockholders, was approved by a vote of at least three-fourths (3/4) of the Directors then comprising the Incumbent Board (either by specific vote or by approval of the proxy statement of the Company in which such individual is named as a nominee for Director, without objection to such nomination)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consummation of a reorganization, merger, statutory share exchange or consolidation or similar transaction involving the Company or any of its Subsidiaries, a sale or other disposition of all or substantially all of the assets of the Company, or the acquisition of assets or securities of another entity by the Company or any of its Subsidiaries (each, a “Business Combination”), in each case unless, following such Business Combination, (i)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(ii) no Person (excluding any entity resulting from such Business Combination or any employee benefit plan (or related trust) of the Company or such entity resulting from such Business Combination) beneficially owns, directly or indirectly, 50% or more of, 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prior to the Business Combination, and (iii) 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1300"/>
        <w:spacing w:after="0"/>
        <w:rPr>
          <w:sz w:val="20"/>
          <w:szCs w:val="20"/>
          <w:color w:val="auto"/>
        </w:rPr>
      </w:pPr>
      <w:r>
        <w:rPr>
          <w:rFonts w:ascii="Times New Roman" w:cs="Times New Roman" w:eastAsia="Times New Roman" w:hAnsi="Times New Roman"/>
          <w:sz w:val="18"/>
          <w:szCs w:val="18"/>
          <w:color w:val="auto"/>
        </w:rPr>
        <w:t>(d)           approval by the Stockholders of a complete liquidation or dissolution of the Company.</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Detrimental Activity and Recapture Provisions</w:t>
      </w:r>
      <w:r>
        <w:rPr>
          <w:rFonts w:ascii="Times New Roman" w:cs="Times New Roman" w:eastAsia="Times New Roman" w:hAnsi="Times New Roman"/>
          <w:sz w:val="18"/>
          <w:szCs w:val="18"/>
          <w:color w:val="auto"/>
        </w:rPr>
        <w:t>. Any Evidence of Award may reference a clawback policy of the Company or provide for the cancellation or forfeiture of an award or the forfeiture and repayment to the Company of any gain related to an award, or other provisions intended to have a similar effect, upon such terms and conditions as may be determined by the Committee from time to time, if a Participant, either (a) during employment or other service with the Company or a Subsidiary, or (b) within a specified period after termination of such employment or service, engages in any detrimental activity, as described in the applicable Evidence of Award or such clawback policy. In addition, notwithstanding anything in this Plan to the contrary, any Evidence of Award or such clawback policy may also provide for the cancellation or forfeiture of an award or the forfeiture and repayment to the Company of any shares of Common Stock issued under and/or any other benefit related to an award, or other provisions intended to have a similar effect, including upon such terms and conditions as may be required by the Committee or under Section 10D of the Exchange Act and any applicable rules or regulations promulgated by the Securities and Exchange Commission or any national securities exchange or national securities association on which the shares of Common Stock may be traded. Notwithstanding anything to the contrary in this Plan or any Evidence of Award, all awards granted under this Plan are subject to the CECO Environmental Corp. Compensation Recovery Policy to the extent applicable thereto.</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Non-U.S. Participants.</w:t>
      </w:r>
      <w:r>
        <w:rPr>
          <w:rFonts w:ascii="Times New Roman" w:cs="Times New Roman" w:eastAsia="Times New Roman" w:hAnsi="Times New Roman"/>
          <w:sz w:val="18"/>
          <w:szCs w:val="18"/>
          <w:color w:val="auto"/>
        </w:rPr>
        <w:t xml:space="preserve"> In order to facilitate the making of any grant or combination of grants under this Plan, the Committee may provide for such 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(to be considered part of this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color w:val="auto"/>
        </w:rPr>
        <w:t>Transferability.</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Except as otherwise determined by the Committee, and subject to compliance with </w:t>
      </w:r>
      <w:r>
        <w:rPr>
          <w:rFonts w:ascii="Times New Roman" w:cs="Times New Roman" w:eastAsia="Times New Roman" w:hAnsi="Times New Roman"/>
          <w:sz w:val="18"/>
          <w:szCs w:val="18"/>
          <w:b w:val="1"/>
          <w:bCs w:val="1"/>
          <w:u w:val="single" w:color="auto"/>
          <w:color w:val="auto"/>
        </w:rPr>
        <w:t>Section 17(b)</w:t>
      </w:r>
      <w:r>
        <w:rPr>
          <w:rFonts w:ascii="Times New Roman" w:cs="Times New Roman" w:eastAsia="Times New Roman" w:hAnsi="Times New Roman"/>
          <w:sz w:val="18"/>
          <w:szCs w:val="18"/>
          <w:color w:val="auto"/>
        </w:rPr>
        <w:t xml:space="preserve"> of this Plan and Section 409A of the Code, no Option Right, Appreciation Right, Restricted Stock, Restricted Stock Unit, Performance Share, Performance Unit, Cash Incentive Award, award contemplated by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or dividend equivalents paid with respect to awards made under this Plan will be transferable by the Participant except by will or the laws of descent and distribution. In no event will any such award granted under this Plan be transferred for value. Where transfer is permitted, references to “Participant” shall be construed, as the Committee deems appropriate, to include any permitted transferee to whom such award is transferred.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 Any purported transfer in violation of this Plan shall be null and void.</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The Committee may specify on the Date of Grant that part or all of the shares of Common Stock that are (i) to be issued or transferred by the Company upon the exercise of Option Rights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color w:val="auto"/>
        </w:rPr>
        <w:t xml:space="preserve"> of this Plan, will be subject to further restrictions on transfer, including minimum holding periods.</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xml:space="preserve"> To the extent that the Company is required to withhold federal, state, local or foreign taxes or other amounts in 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 shares of Common Stock, and such Participant fails to make arrangements for the payment of taxes or other amounts, then, unless otherwise determined by the Committee, the Company will withhold shares of Common Stock having a value equal to the amount required to be withheld. Notwithstanding the foregoing, when a Participant is required to pay the Company an amount required to be withheld under applicable income, employment, tax or other laws, the Committee may require the Participant to satisfy the obligation, in whole or in part, by having withheld, from the shares of Common Stock delivered or required to be delivered to the Participant, shares of Common Stock having a value equal to the amount required to be withheld or by delivering to the Company other shares of Common Stock held by such Participant. The shares of Common Stock used for tax or other withholding will be valued at an amount equal to the fair market value of such shares of Common Stock on the date the benefit is to be included in Participant’s income. In no event will the fair market value of the shares of Common Stock to be withheld and delivered pursuant to this </w:t>
      </w:r>
      <w:r>
        <w:rPr>
          <w:rFonts w:ascii="Times New Roman" w:cs="Times New Roman" w:eastAsia="Times New Roman" w:hAnsi="Times New Roman"/>
          <w:sz w:val="18"/>
          <w:szCs w:val="18"/>
          <w:b w:val="1"/>
          <w:bCs w:val="1"/>
          <w:u w:val="single" w:color="auto"/>
          <w:color w:val="auto"/>
        </w:rPr>
        <w:t>Section 16</w:t>
      </w:r>
      <w:r>
        <w:rPr>
          <w:rFonts w:ascii="Times New Roman" w:cs="Times New Roman" w:eastAsia="Times New Roman" w:hAnsi="Times New Roman"/>
          <w:sz w:val="18"/>
          <w:szCs w:val="18"/>
          <w:color w:val="auto"/>
        </w:rPr>
        <w:t xml:space="preserve"> exceed the amount required to be withheld to satisfy the Participant's tax withholding obligation using the maximum statutory tax rates for federal, state, local and foreign tax purposes, including payroll taxes. Participants will also make such arrangements as the Company may require for the payment of any withholding tax or other obligation that may arise in connection with the disposition of shares of Common Stock acquired upon the exercise of Option Rights.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color w:val="auto"/>
        </w:rPr>
        <w:t>Compliance with Section 409A of the Code.</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To the extent applicable, it is intended that this Plan and any grants made hereunder comply with the provisions of Section 409A of the Code, so that the income inclusion provisions of Section 409A(a)(1) of the Code do not apply to the Participants. This Plan and any grants made hereunder will be administered in a manner consistent with this intent. Any reference in this Plan to Section 409A of the Code will also include any regulations or any other formal guidance promulgated with respect to such section by the U.S. Department of the Treasury or the Internal Revenue Service.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If, at the time of a Participant’s separation from service (within the meaning of Section 409A of the Code), (i) 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fifth business day of the seventh month after such separation from service.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Amendments; No Repricing.</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The Board may at any time and from time to time amend this Plan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 amendment to this Plan, for purposes of applicable stock exchange rules and except as permitted under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(i) would materially increase the benefits accruing to Participants under this Plan, (ii) would materially increase the number of securities which may be issued under this Plan, (iii) would materially modify the requirements for participation in this Plan, or (iv) must otherwise be approved by the Stockholders in order to comply with applicable law or the rules of the NASDAQ Stock Market or, if the shares of Common Stock are not traded on the NASDAQ Stock Market, the principal national securities exchange upon which the shares of Common Stock are traded or quoted, all as determined by the Board, then, such amendment will be subject to Stockholder approval and will not be effective unless and until such approval has been obtained.</w:t>
      </w:r>
    </w:p>
    <w:p>
      <w:pPr>
        <w:spacing w:after="0" w:line="18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Except in connection with a corporate transaction or event described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or in connection with a Change in Control, the terms of outstanding awards may not be amended to reduce the Option Price of outstanding Option Rights or the Base Price of outstanding Appreciation Rights, or cancel outstanding “underwater” Option Rights or Appreciation Rights (including following a Participant’s voluntary surrender of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Stockholder approval. This </w:t>
      </w:r>
      <w:r>
        <w:rPr>
          <w:rFonts w:ascii="Times New Roman" w:cs="Times New Roman" w:eastAsia="Times New Roman" w:hAnsi="Times New Roman"/>
          <w:sz w:val="18"/>
          <w:szCs w:val="18"/>
          <w:b w:val="1"/>
          <w:bCs w:val="1"/>
          <w:u w:val="single" w:color="auto"/>
          <w:color w:val="auto"/>
        </w:rPr>
        <w:t>Section 18(b)</w:t>
      </w:r>
      <w:r>
        <w:rPr>
          <w:rFonts w:ascii="Times New Roman" w:cs="Times New Roman" w:eastAsia="Times New Roman" w:hAnsi="Times New Roman"/>
          <w:sz w:val="18"/>
          <w:szCs w:val="18"/>
          <w:color w:val="auto"/>
        </w:rPr>
        <w:t xml:space="preserve"> is intended to prohibit the repricing of “underwater” Option Rights and Appreciation Rights and will not be construed to prohibit the adjustments provided for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Notwithstanding any provision of this Plan to the contrary, this </w:t>
      </w:r>
      <w:r>
        <w:rPr>
          <w:rFonts w:ascii="Times New Roman" w:cs="Times New Roman" w:eastAsia="Times New Roman" w:hAnsi="Times New Roman"/>
          <w:sz w:val="18"/>
          <w:szCs w:val="18"/>
          <w:b w:val="1"/>
          <w:bCs w:val="1"/>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18(b)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be amended without approval by the Stockholders.</w:t>
      </w:r>
    </w:p>
    <w:p>
      <w:pPr>
        <w:spacing w:after="0" w:line="18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If permitted by Section 409A of the Code, but subject to </w:t>
      </w:r>
      <w:r>
        <w:rPr>
          <w:rFonts w:ascii="Times New Roman" w:cs="Times New Roman" w:eastAsia="Times New Roman" w:hAnsi="Times New Roman"/>
          <w:sz w:val="18"/>
          <w:szCs w:val="18"/>
          <w:b w:val="1"/>
          <w:bCs w:val="1"/>
          <w:u w:val="single" w:color="auto"/>
          <w:color w:val="auto"/>
        </w:rPr>
        <w:t>Section 18(d)</w:t>
      </w:r>
      <w:r>
        <w:rPr>
          <w:rFonts w:ascii="Times New Roman" w:cs="Times New Roman" w:eastAsia="Times New Roman" w:hAnsi="Times New Roman"/>
          <w:sz w:val="18"/>
          <w:szCs w:val="18"/>
          <w:color w:val="auto"/>
        </w:rPr>
        <w:t xml:space="preserve">, including in the case of termination of employment or service, or in the case of unforeseeable emergency or other circumstances or in the event of a Change in Control, to the extent a Participant holds an Option Right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dividend equivalents or other awards made pursuant to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subject to any vesting schedule or transfer restriction, or who holds shares of Common Stock subject to any transfer restriction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imposed pursuant to </w:t>
      </w:r>
      <w:r>
        <w:rPr>
          <w:rFonts w:ascii="Times New Roman" w:cs="Times New Roman" w:eastAsia="Times New Roman" w:hAnsi="Times New Roman"/>
          <w:sz w:val="18"/>
          <w:szCs w:val="18"/>
          <w:b w:val="1"/>
          <w:bCs w:val="1"/>
          <w:u w:val="single" w:color="auto"/>
          <w:color w:val="auto"/>
        </w:rPr>
        <w:t>Section 15(b)</w:t>
      </w:r>
      <w:r>
        <w:rPr>
          <w:rFonts w:ascii="Times New Roman" w:cs="Times New Roman" w:eastAsia="Times New Roman" w:hAnsi="Times New Roman"/>
          <w:sz w:val="18"/>
          <w:szCs w:val="18"/>
          <w:color w:val="auto"/>
        </w:rPr>
        <w:t xml:space="preserve"> of this Plan, the Committee may, in its sole discretion, provide for continued vesting or accelerate the time at which such Option Right,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earned or the time when such transfer restriction will terminate or may waive any other limitation or requirement under any such award.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Subject to </w:t>
      </w:r>
      <w:r>
        <w:rPr>
          <w:rFonts w:ascii="Times New Roman" w:cs="Times New Roman" w:eastAsia="Times New Roman" w:hAnsi="Times New Roman"/>
          <w:sz w:val="18"/>
          <w:szCs w:val="18"/>
          <w:b w:val="1"/>
          <w:bCs w:val="1"/>
          <w:u w:val="single" w:color="auto"/>
          <w:color w:val="auto"/>
        </w:rPr>
        <w:t>Section 18(b)</w:t>
      </w:r>
      <w:r>
        <w:rPr>
          <w:rFonts w:ascii="Times New Roman" w:cs="Times New Roman" w:eastAsia="Times New Roman" w:hAnsi="Times New Roman"/>
          <w:sz w:val="18"/>
          <w:szCs w:val="18"/>
          <w:color w:val="auto"/>
        </w:rPr>
        <w:t xml:space="preserve"> of this Plan, the Committee may amend the terms of any award theretofore granted under this Plan prospectively or retroactively. Except for adjustments made pursuant to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no such amendment will materially impair the rights of any Participant without his or her consent, but the Company need not obtain Participant (or other interested party) consent for the modification, amendment or cancellation of an award as follows: (1) to the extent the Committee deems such action necessary to comply with any applicable law or the listing requirements of any principal securities exchange or market on which the Common Stock is then traded; (2) to the extent the Committee deems necessary to preserve favorable accounting or tax treatment of any award for the Company; or (3) to the extent the Committee determines that such action does not materially and adversely affect the value of an award or that such action is in the best interest of the affected Participant or any other person(s) as may then have an interest in the award..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xml:space="preserve"> This Plan and all grants and awards and actions taken hereunder will be governed by and construed in accordance with the internal substantive laws of the State of Delaware.</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b w:val="1"/>
          <w:bCs w:val="1"/>
          <w:color w:val="auto"/>
        </w:rPr>
        <w:t>Effective Date/Termination.</w:t>
      </w:r>
      <w:r>
        <w:rPr>
          <w:rFonts w:ascii="Times New Roman" w:cs="Times New Roman" w:eastAsia="Times New Roman" w:hAnsi="Times New Roman"/>
          <w:sz w:val="18"/>
          <w:szCs w:val="18"/>
          <w:color w:val="auto"/>
        </w:rPr>
        <w:t xml:space="preserve"> This Plan will be effective as of the Effective Date. No grants will be made on or after the Effective Date under the Predecessor Plans, provided that outstanding awards granted under the Predecessor Plans will continue following the Effective Date. No grant will be made under this Plan on or after the tenth anniversary of the Effective Date, but all grants made prior to such date will continue in effect thereafter subject to the terms thereof and of this Plan. For clarification purposes, the terms and conditions of this Plan shall not apply to or otherwise impact previously granted and outstanding awards under the Predecessor Plans, as applicable (except for purposes of providing for shares of Common Stock under such awards to be added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 pursuant to the share counting rules of this Plan).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Miscellaneous Provisions.</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Company will not be required to issue any fractional shares of Common Stock pursuant to this Plan. The Committee may provide for the elimination of fractions or for the settlement of fractions in cash.</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w:t>
      </w:r>
    </w:p>
    <w:p>
      <w:pPr>
        <w:spacing w:after="0" w:line="17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(c)            Except with respect to </w:t>
      </w:r>
      <w:r>
        <w:rPr>
          <w:rFonts w:ascii="Times New Roman" w:cs="Times New Roman" w:eastAsia="Times New Roman" w:hAnsi="Times New Roman"/>
          <w:sz w:val="18"/>
          <w:szCs w:val="18"/>
          <w:b w:val="1"/>
          <w:bCs w:val="1"/>
          <w:u w:val="single" w:color="auto"/>
          <w:color w:val="auto"/>
        </w:rPr>
        <w:t>Section 21(e)</w:t>
      </w:r>
      <w:r>
        <w:rPr>
          <w:rFonts w:ascii="Times New Roman" w:cs="Times New Roman" w:eastAsia="Times New Roman" w:hAnsi="Times New Roman"/>
          <w:sz w:val="18"/>
          <w:szCs w:val="18"/>
          <w:color w:val="auto"/>
        </w:rPr>
        <w:t xml:space="preserve"> of this Plan, to the extent that any provision of this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this Plan.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(d)            No award under this Plan may be exercised by the holder thereof if such exercise, and the receipt of cash or stock thereunder, would be, in the opinion of counsel selected by the Company, contrary to law or the regulations of any duly constituted authority having jurisdiction over this Plan.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Absence or leave approved by a duly constituted officer of the Company or any of its Subsidiaries will not be considered interruption or termination of service of any employee for any purposes of this Plan or awards granted hereunder.</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(f)             No Participant will have any rights as a Stockholder with respect to any shares of Common Stock subject to awards granted to him or her under this Plan prior to the date as of which he or she is actually recorded as the holder of such shares of Common Stock upon the stock records of the Company.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The Committee may condition the grant of any award or combination of awards authorized under this Plan on the surrender or deferral by the Participant of his or her right to receive a cash bonus or other compensation otherwise payable by the Company or a Subsidiary to the Participant.</w:t>
      </w:r>
    </w:p>
    <w:p>
      <w:pPr>
        <w:spacing w:after="0" w:line="176"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(h)            Except with respect to Option Rights and Appreciation Rights, the Committee may permit Participants to elect to defer the issuance of shares of Common Stock under this Plan pursuant to such rules, procedures or programs as it may establish for purposes of this Plan and which are intended to comply with the requirements of Section 409A of the Code. The Committee also may provide that deferred issuances and settlements include the crediting of dividend equivalents or interest on the deferral amounts.</w:t>
      </w:r>
    </w:p>
    <w:p>
      <w:pPr>
        <w:spacing w:after="0" w:line="180" w:lineRule="exact"/>
        <w:rPr>
          <w:sz w:val="20"/>
          <w:szCs w:val="20"/>
          <w:color w:val="auto"/>
        </w:rPr>
      </w:pPr>
    </w:p>
    <w:p>
      <w:pPr>
        <w:ind w:right="20" w:firstLine="1296"/>
        <w:spacing w:after="0" w:line="281" w:lineRule="auto"/>
        <w:rPr>
          <w:sz w:val="20"/>
          <w:szCs w:val="20"/>
          <w:color w:val="auto"/>
        </w:rPr>
      </w:pPr>
      <w:r>
        <w:rPr>
          <w:rFonts w:ascii="Times New Roman" w:cs="Times New Roman" w:eastAsia="Times New Roman" w:hAnsi="Times New Roman"/>
          <w:sz w:val="17"/>
          <w:szCs w:val="17"/>
          <w:color w:val="auto"/>
        </w:rPr>
        <w:t>(i)             Notwithstanding any provisions of this Plan, the Company does not guarantee to any Participant or any other person with an interest in an award that (1) any award intended to be exempt from Code Section 409A shall be so exempt, (2) any award intended to comply with Code Section 409A or Code Section 422 shall so comply, or (3) any award shall otherwise receive a specific tax treatment under any other applicable tax law, nor in any such case will the Company or any affiliate indemnify, defend or hold harmless any individual with respect to the tax consequences of any award.</w:t>
      </w:r>
    </w:p>
    <w:p>
      <w:pPr>
        <w:spacing w:after="0" w:line="164"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(j)             If a Participant shall dispose of shares of Common Stock acquired through exercise of an Incentive Stock Option within either (1) two years after the date the Option Right is granted or (2) one year after the date the Option Right is exercised (i.e., in a disqualifying disposition), such Participant shall notify the Company within seven days of the date of such disqualifying disposition. In addition, if a Participant elects, under Code Section 83, to be taxed at the time an award of Restricted Stock (or other property subject to such Code section) is made, rather than at the time the award vests, such Participant shall notify the Company within seven days of the date the Participant makes such an election.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(k)            Notwithstanding any other provision of this Plan to the contrary, if any payments or benefits paid by the Company pursuant to this Plan, including any accelerated vesting or similar provisions (“Plan Payments”), would cause some or all of the Plan Payments or any other payments made to or benefits received by a Participant in connection with a Change in Control (such payments or benefits, together with the Plan Payments, the “Total Payments”) to be subject to the tax (“Excise Tax”) imposed by Code Section 4999 but for this Section 21(k), then the Total Payments shall be delivered either (1) in full or (2) in an amount such that the value of the aggregate Total Payments that the Participant is entitled to receive shall be One Dollar ($1.00) less than the maximum amount that the Participant may receive without being subject to the Excise Tax, whichever of (1) or (2) results in the receipt by the Participant of the greatest benefit on an after-tax basis (taking into account applicable federal, state and local income taxes and the Excise Tax).</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(l)             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Stock-Based Awards in Substitution for Awards Granted by Another Company.</w:t>
      </w:r>
      <w:r>
        <w:rPr>
          <w:rFonts w:ascii="Times New Roman" w:cs="Times New Roman" w:eastAsia="Times New Roman" w:hAnsi="Times New Roman"/>
          <w:sz w:val="18"/>
          <w:szCs w:val="18"/>
          <w:color w:val="auto"/>
        </w:rPr>
        <w:t xml:space="preserve"> Notwithstanding anything in this Plan to the contrary:</w:t>
      </w:r>
    </w:p>
    <w:p>
      <w:pPr>
        <w:spacing w:after="0" w:line="15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Awards may be granted under this Plan in substitution for or in conversion of, or in connection with an assumption of, stock options, stock appreciation rights, restricted stock, restricted stock units or other stock or stock-based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shares of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In the event that a company acquired by the Company or any Subsidiary or with which the Company or any Subsidiary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awards using such available shares may not be made after the date awards or grants could have been made under the terms of the pre-existing plan absent the acquisition or merger, and may only be made to individuals who were not employees or directors of the Company or any Subsidiary prior to such acquisition or merger.</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Any shares of Common Stock that are issued or transferred by, or that are subject to any awards that are granted by, or become obligations of, the Company under </w:t>
      </w:r>
      <w:r>
        <w:rPr>
          <w:rFonts w:ascii="Times New Roman" w:cs="Times New Roman" w:eastAsia="Times New Roman" w:hAnsi="Times New Roman"/>
          <w:sz w:val="18"/>
          <w:szCs w:val="18"/>
          <w:b w:val="1"/>
          <w:bCs w:val="1"/>
          <w:u w:val="single" w:color="auto"/>
          <w:color w:val="auto"/>
        </w:rPr>
        <w:t>Sections 22(a)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u w:val="single" w:color="auto"/>
          <w:color w:val="auto"/>
        </w:rPr>
        <w:t>22(b)</w:t>
      </w:r>
      <w:r>
        <w:rPr>
          <w:rFonts w:ascii="Times New Roman" w:cs="Times New Roman" w:eastAsia="Times New Roman" w:hAnsi="Times New Roman"/>
          <w:sz w:val="18"/>
          <w:szCs w:val="18"/>
          <w:color w:val="auto"/>
        </w:rPr>
        <w:t xml:space="preserve"> of this Plan will not reduce the shares of Common Stock available for issuance or transfer under this Plan or otherwise count against the limits contained in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color w:val="auto"/>
        </w:rPr>
        <w:t xml:space="preserve"> of this Plan. In addition, no shares of Common Stock subject to an award that is granted by, or becomes an obligation of, the Company under </w:t>
      </w:r>
      <w:r>
        <w:rPr>
          <w:rFonts w:ascii="Times New Roman" w:cs="Times New Roman" w:eastAsia="Times New Roman" w:hAnsi="Times New Roman"/>
          <w:sz w:val="18"/>
          <w:szCs w:val="18"/>
          <w:b w:val="1"/>
          <w:bCs w:val="1"/>
          <w:u w:val="single" w:color="auto"/>
          <w:color w:val="auto"/>
        </w:rPr>
        <w:t>Sections 22(a)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u w:val="single" w:color="auto"/>
          <w:color w:val="auto"/>
        </w:rPr>
        <w:t>22(b)</w:t>
      </w:r>
      <w:r>
        <w:rPr>
          <w:rFonts w:ascii="Times New Roman" w:cs="Times New Roman" w:eastAsia="Times New Roman" w:hAnsi="Times New Roman"/>
          <w:sz w:val="18"/>
          <w:szCs w:val="18"/>
          <w:color w:val="auto"/>
        </w:rPr>
        <w:t xml:space="preserve"> of this Plan, will be added to the aggregate limit contained in </w:t>
      </w:r>
      <w:r>
        <w:rPr>
          <w:rFonts w:ascii="Times New Roman" w:cs="Times New Roman" w:eastAsia="Times New Roman" w:hAnsi="Times New Roman"/>
          <w:sz w:val="18"/>
          <w:szCs w:val="18"/>
          <w:b w:val="1"/>
          <w:bCs w:val="1"/>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3(a)(i)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CECO Environmental and Thermon Group Holdings Announce that their respective Stockholders Approved the Strategic Combination and Provide Update on Election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ADDISON, Texas, and AUSTIN, Texas, May 28, 2026 – CECO Environmental Corp. (Nasdaq: CECO) (“CECO”) and Thermon Group Holdings, Inc.</w:t>
      </w:r>
    </w:p>
    <w:p>
      <w:pPr>
        <w:spacing w:after="0" w:line="27" w:lineRule="exact"/>
        <w:rPr>
          <w:sz w:val="20"/>
          <w:szCs w:val="20"/>
          <w:color w:val="auto"/>
        </w:rPr>
      </w:pPr>
    </w:p>
    <w:p>
      <w:pPr>
        <w:ind w:right="840"/>
        <w:spacing w:after="0" w:line="260" w:lineRule="auto"/>
        <w:rPr>
          <w:sz w:val="20"/>
          <w:szCs w:val="20"/>
          <w:color w:val="auto"/>
        </w:rPr>
      </w:pPr>
      <w:r>
        <w:rPr>
          <w:rFonts w:ascii="Times New Roman" w:cs="Times New Roman" w:eastAsia="Times New Roman" w:hAnsi="Times New Roman"/>
          <w:sz w:val="18"/>
          <w:szCs w:val="18"/>
          <w:color w:val="auto"/>
        </w:rPr>
        <w:t>(NYSE: THR) (“Thermon”) announced that both companies’ stockholders overwhelmingly voted to approve the previously announced strategic combination at their respective stockholder meetings held earlier today.</w:t>
      </w:r>
    </w:p>
    <w:p>
      <w:pPr>
        <w:spacing w:after="0" w:line="1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Preliminary results showed that approximately 99.93% of votes cast at CECO’s annual meeting were voted in favor of the transaction, and nearly 99.97% of the votes cast at Thermon’s meeting were in support of the combination. The final voting results will be reported in each of the company’s respective Form 8-K filings with the U.S. Securities and Exchange Commission.</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appreciate the strong support from both companies’ stockholders and remain excited about bringing together complementary environmental and thermal capabilities to create a scaled platform of mission-critical solutions,” said Todd Gleason, Chief Executive Officer of CECO. “We look forward to completing the transaction in the coming days and realizing the compelling benefits of this combination for our shareholders, customers, employees and stakeholders.”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vote from today’s meeting reflects the confidence our stockholders have in the strategic rationale of this combination,” said Bruce Thames, President and Chief Executive Officer of Thermon. “We are proud of what Thermon has built and look forward to joining the CECO team and expanding our capabilities to better serve our customers.”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transaction is expected to close on or around June 1, 2026, subject to the satisfaction of customary closing conditions. The parties also announced the results of the elections made by Thermon stockholders of record regarding the form of consideration they wish to receive in exchange for their shares of Thermon common stock in connection with the transaction. As previously disclosed, the deadline to have made such an election was 5:00 p.m. Central Time on May 22, 2026 (the “Election Deadline”). As further described in the election materials and in the parties’ joint proxy statement/prospectus dated April 23, 2026, each Thermon stockholder will be entitled to receive, for each share of Thermon common stock held immediately prior to the closing of the transaction, one of the following forms of merger consideration: (i) $63.89 in cash, without interest (the “Cash Consideration”); (ii) 0.8110 of a share of CECO common stock (the “Stock Consideration”); or (iii) a combination of $10.00 in cash, without interest, and 0.6840 of a share of CECO common stock (the “Mixed Consideration”). The Cash Consideration and Stock Consideration are subject to proration as set forth in the merger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final results of the merger consideration election:</w:t>
      </w:r>
    </w:p>
    <w:p>
      <w:pPr>
        <w:spacing w:after="0" w:line="225" w:lineRule="exact"/>
        <w:rPr>
          <w:sz w:val="20"/>
          <w:szCs w:val="20"/>
          <w:color w:val="auto"/>
        </w:rPr>
      </w:pPr>
    </w:p>
    <w:p>
      <w:pPr>
        <w:ind w:left="980" w:right="200" w:hanging="648"/>
        <w:spacing w:after="0" w:line="260" w:lineRule="auto"/>
        <w:tabs>
          <w:tab w:leader="none" w:pos="98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Thermon stockholders of record of approximately 41.18% of the outstanding shares of Thermon common stock elected to receive the Stock Consideration and, in accordance with the proration procedures in the merger agreement, each such outstanding share of Thermon common stock will be converted into the right to receive approximately $1.48 in cash and 0.7920 of a share of CECO common stock per share of Thermon common stock;</w:t>
      </w:r>
    </w:p>
    <w:p>
      <w:pPr>
        <w:spacing w:after="0" w:line="182" w:lineRule="exact"/>
        <w:rPr>
          <w:rFonts w:ascii="Arial" w:cs="Arial" w:eastAsia="Arial" w:hAnsi="Arial"/>
          <w:sz w:val="18"/>
          <w:szCs w:val="18"/>
          <w:b w:val="1"/>
          <w:bCs w:val="1"/>
          <w:color w:val="auto"/>
        </w:rPr>
      </w:pPr>
    </w:p>
    <w:p>
      <w:pPr>
        <w:ind w:left="980" w:right="220" w:hanging="648"/>
        <w:spacing w:after="0" w:line="265" w:lineRule="auto"/>
        <w:tabs>
          <w:tab w:leader="none" w:pos="98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Thermon stockholders of record of approximately 6.50% of the outstanding shares of Thermon common stock elected to receive the Cash Consideration and, in accordance with the proration procedures in the merger agreement, each such outstanding share of Thermon common stock will be converted into the right to receive $63.89 in cash per share of Thermon common stock (without proration);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8" w:name="page29"/>
    <w:bookmarkEnd w:id="28"/>
    <w:p>
      <w:pPr>
        <w:jc w:val="both"/>
        <w:ind w:left="980" w:right="120" w:hanging="648"/>
        <w:spacing w:after="0" w:line="265" w:lineRule="auto"/>
        <w:tabs>
          <w:tab w:leader="none" w:pos="98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Thermon stockholders of record of approximately 19.22% of the outstanding shares of Thermon common stock elected to receive the Mixed Consideration and, in accordance with the merger agreement, each such outstanding share of Thermon common stock will be converted into the right to receive $10.00 in cash and 0.6840 of a share of CECO common stock per share of Thermon common stock.</w:t>
      </w:r>
    </w:p>
    <w:p>
      <w:pPr>
        <w:spacing w:after="0" w:line="17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Thermon stockholders who did not make a valid election prior to the Election Deadline will be entitled to receive the Mixed Consideration. Each Thermon stockholder will receive cash in lieu of any fractional shares of CECO common stock that the stockholder otherwise would be entitled to receive. A more detailed description of the merger consideration and the allocation and proration procedures applicable to elections are contained in the joint proxy statement/prospectus.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CECO</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CECO Environmental is a leading environmentally focused, diversified industrial company, serving a broad landscape of industrial air, industrial water, and energy transition markets globally through its key business segments: Engineered Systems and Industrial Process Solutions. Providing innovative technology and application expertise, CECO helps companies grow their business with safe, clean, and more efficient solutions that help protect people, the environment and industrial equipment. In regions around the world, CECO works to improve air quality, optimize the energy value chain, and provide custom solutions for applications in power generation, petrochemical processing, refining, midstream gas transport and treatment, electric vehicle and battery production, metals and mineral processing, polysilicon production, battery recycling, beverage can production, and produced and oily water/wastewater treatment along with a wide range of other industrial applications. CECO is listed on Nasdaq under the ticker symbol “CECO.” Incorporated in 1966, CECO’s global headquarters is in Addison, Texas. For more information, please visit </w:t>
      </w:r>
      <w:r>
        <w:rPr>
          <w:rFonts w:ascii="Times New Roman" w:cs="Times New Roman" w:eastAsia="Times New Roman" w:hAnsi="Times New Roman"/>
          <w:sz w:val="18"/>
          <w:szCs w:val="18"/>
          <w:u w:val="single" w:color="auto"/>
          <w:color w:val="auto"/>
        </w:rPr>
        <w:t>www.cecoenviro.com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Thermon</w:t>
      </w:r>
    </w:p>
    <w:p>
      <w:pPr>
        <w:spacing w:after="0" w:line="22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 xml:space="preserve">Thermon is a diversified industrial technology company and a global leader in industrial process heating, temperature maintenance, environmental monitoring, and temporary power distribution solutions. We deliver engineered solutions that enhance operational awareness, safety, reliability, and efficiency to deliver the lowest total cost of ownership. Thermon is headquartered in Austin, Texas. For more information, please visit </w:t>
      </w:r>
      <w:r>
        <w:rPr>
          <w:rFonts w:ascii="Times New Roman" w:cs="Times New Roman" w:eastAsia="Times New Roman" w:hAnsi="Times New Roman"/>
          <w:sz w:val="17"/>
          <w:szCs w:val="17"/>
          <w:u w:val="single" w:color="auto"/>
          <w:color w:val="auto"/>
        </w:rPr>
        <w:t>www.thermon.com</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and Section 21E of the Exchange Act. All statements, other than statements of historical fact, included in this press release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press release include, but are not limited to, statements regarding the Proposed Transaction. However, the absence of these words or similar expressions does not mean that a statement is not forward-looking.</w:t>
      </w:r>
    </w:p>
    <w:p>
      <w:pPr>
        <w:spacing w:after="0" w:line="18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There are a number of risks and uncertainties that could cause actual results to differ materially from the forward-looking statements included in this press release. These include the expected timing and likelihood of completion of the Proposed Transaction, including the ability to successfully integrate the businesses, the occurrence of any event, change or other circumstances that could give rise to the termination of the Merger Agreement, the risk that the parties may not be able to satisfy remaining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CECO’s common stock or Thermon’s common stock, the risk that the Proposed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CECO’s or Thermon’s control, including those detailed in CECO’s registration statement on Form S-4, filed with the SEC on April 22, 2026, CECO’s annual reports on Form 10-K, CECO’s quarterly reports on Form 10-Q and CECO’s current reports on Form 8-K that are, in each case, available on its website at https://investors.cecoenviro.com and on the SEC’s website at https://www.sec.gov, and those detailed in Thermon’s annual reports on Form 10-K, quarterly reports on Form 10-Q and current reports on Form 8-K that are available on Thermon’s website at https://ir.thermon.com and on the SEC’s website at https://www.sec.gov.</w:t>
      </w:r>
    </w:p>
    <w:p>
      <w:pPr>
        <w:spacing w:after="0" w:line="19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forward-looking statements are based on assumptions that CECO or Thermon believe to be reasonable but that may not prove to be accurate. Such forward-looking statements are based on assumptions and analyses made by CECO and Thermon in light of their perceptions of current conditions, expected future developments, and other factors that CECO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press release speak as of the date of this press release.</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Neither CECO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CECO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Marcio Pinto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 Financial Planning &amp; 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Investor.Relations@OneCECO.com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and Jean Marie Young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Investor.Relations@OneCECO.com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Trissel /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CECO-JF@joelefrank.com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Roman"/>
      <w:start w:val="1"/>
    </w:lvl>
  </w:abstractNum>
  <w:abstractNum w:abstractNumId="2">
    <w:nsid w:val="515F007C"/>
    <w:multiLevelType w:val="hybridMultilevel"/>
    <w:lvl w:ilvl="0">
      <w:lvlJc w:val="left"/>
      <w:lvlText w:val="(%1)"/>
      <w:numFmt w:val="lowerRoman"/>
      <w:start w:val="6"/>
    </w:lvl>
  </w:abstractNum>
  <w:abstractNum w:abstractNumId="3">
    <w:nsid w:val="5BD062C2"/>
    <w:multiLevelType w:val="hybridMultilevel"/>
    <w:lvl w:ilvl="0">
      <w:lvlJc w:val="left"/>
      <w:lvlText w:val="(%1)"/>
      <w:numFmt w:val="lowerLetter"/>
      <w:start w:val="1"/>
    </w:lvl>
    <w:lvl w:ilvl="1">
      <w:lvlJc w:val="left"/>
      <w:lvlText w:val="(%2)"/>
      <w:numFmt w:val="lowerRoman"/>
      <w:start w:val="1"/>
    </w:lvl>
  </w:abstractNum>
  <w:abstractNum w:abstractNumId="4">
    <w:nsid w:val="12200854"/>
    <w:multiLevelType w:val="hybridMultilevel"/>
    <w:lvl w:ilvl="0">
      <w:lvlJc w:val="left"/>
      <w:lvlText w:val="(%1)"/>
      <w:numFmt w:val="lowerRoman"/>
      <w:start w:val="2"/>
    </w:lvl>
  </w:abstractNum>
  <w:abstractNum w:abstractNumId="5">
    <w:nsid w:val="4DB127F8"/>
    <w:multiLevelType w:val="hybridMultilevel"/>
    <w:lvl w:ilvl="0">
      <w:lvlJc w:val="left"/>
      <w:lvlText w:val="(%1)"/>
      <w:numFmt w:val="lowerRoman"/>
      <w:start w:val="1"/>
    </w:lvl>
    <w:lvl w:ilvl="1">
      <w:lvlJc w:val="left"/>
      <w:lvlText w:val="(%2)"/>
      <w:numFmt w:val="upperLetter"/>
      <w:start w:val="2"/>
    </w:lvl>
  </w:abstractNum>
  <w:abstractNum w:abstractNumId="6">
    <w:nsid w:val="216231B"/>
    <w:multiLevelType w:val="hybridMultilevel"/>
    <w:lvl w:ilvl="0">
      <w:lvlJc w:val="left"/>
      <w:lvlText w:val="%1"/>
      <w:numFmt w:val="lowerRoman"/>
      <w:start w:val="1"/>
    </w:lvl>
    <w:lvl w:ilvl="1">
      <w:lvlJc w:val="left"/>
      <w:lvlText w:val="(%2)"/>
      <w:numFmt w:val="upperLetter"/>
      <w:start w:val="4"/>
    </w:lvl>
  </w:abstractNum>
  <w:abstractNum w:abstractNumId="7">
    <w:nsid w:val="1F16E9E8"/>
    <w:multiLevelType w:val="hybridMultilevel"/>
    <w:lvl w:ilvl="0">
      <w:lvlJc w:val="left"/>
      <w:lvlText w:val="(%1)"/>
      <w:numFmt w:val="lowerRoman"/>
      <w:start w:val="4"/>
    </w:lvl>
    <w:lvl w:ilvl="1">
      <w:lvlJc w:val="left"/>
      <w:lvlText w:val="%2"/>
      <w:numFmt w:val="upperLetter"/>
      <w:start w:val="1"/>
    </w:lvl>
  </w:abstractNum>
  <w:abstractNum w:abstractNumId="8">
    <w:nsid w:val="1190CDE7"/>
    <w:multiLevelType w:val="hybridMultilevel"/>
    <w:lvl w:ilvl="0">
      <w:lvlJc w:val="left"/>
      <w:lvlText w:val="(%1)"/>
      <w:numFmt w:val="lowerRoman"/>
      <w:start w:val="1"/>
    </w:lvl>
  </w:abstractNum>
  <w:abstractNum w:abstractNumId="9">
    <w:nsid w:val="66EF438D"/>
    <w:multiLevelType w:val="hybridMultilevel"/>
    <w:lvl w:ilvl="0">
      <w:lvlJc w:val="left"/>
      <w:lvlText w:val="(%1)"/>
      <w:numFmt w:val="lowerRoman"/>
      <w:start w:val="2"/>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1)"/>
      <w:numFmt w:val="lowerRoman"/>
      <w:start w:val="2"/>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2026-05-28T07:08:35Z</dcterms:created>
  <dcterms:modified xsi:type="dcterms:W3CDTF">2026-05-28T07:08:35Z</dcterms:modified>
</cp:coreProperties>
</file>