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 w:lineRule="exact"/>
        <w:rPr>
          <w:sz w:val="24"/>
          <w:szCs w:val="24"/>
          <w:color w:val="auto"/>
        </w:rPr>
      </w:pPr>
    </w:p>
    <w:p>
      <w:pPr>
        <w:ind w:left="560" w:hanging="539"/>
        <w:spacing w:after="0"/>
        <w:tabs>
          <w:tab w:leader="none" w:pos="5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560" w:hanging="539"/>
        <w:spacing w:after="0"/>
        <w:tabs>
          <w:tab w:leader="none" w:pos="5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34" w:lineRule="exact"/>
        <w:rPr>
          <w:sz w:val="24"/>
          <w:szCs w:val="24"/>
          <w:color w:val="auto"/>
        </w:rPr>
      </w:pPr>
    </w:p>
    <w:p>
      <w:pPr>
        <w:ind w:left="3340"/>
        <w:spacing w:after="0"/>
        <w:tabs>
          <w:tab w:leader="none" w:pos="66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3589655</wp:posOffset>
            </wp:positionH>
            <wp:positionV relativeFrom="paragraph">
              <wp:posOffset>-7620</wp:posOffset>
            </wp:positionV>
            <wp:extent cx="628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188595</wp:posOffset>
            </wp:positionV>
            <wp:extent cx="711200"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200"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CECO ENVIRONMENTAL CORP.</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0" w:lineRule="exact"/>
        <w:rPr>
          <w:sz w:val="24"/>
          <w:szCs w:val="24"/>
          <w:color w:val="auto"/>
        </w:rPr>
      </w:pPr>
    </w:p>
    <w:tbl>
      <w:tblPr>
        <w:tblLayout w:type="fixed"/>
        <w:tblInd w:w="790" w:type="dxa"/>
        <w:tblCellMar>
          <w:top w:w="0" w:type="dxa"/>
          <w:left w:w="0" w:type="dxa"/>
          <w:bottom w:w="0" w:type="dxa"/>
          <w:right w:w="0" w:type="dxa"/>
        </w:tblCellMar>
      </w:tblPr>
      <w:tr>
        <w:trPr>
          <w:trHeight w:val="234"/>
        </w:trPr>
        <w:tc>
          <w:tcPr>
            <w:tcW w:w="3200" w:type="dxa"/>
            <w:vAlign w:val="bottom"/>
          </w:tcPr>
          <w:p>
            <w:pPr>
              <w:jc w:val="center"/>
              <w:ind w:left="677"/>
              <w:spacing w:after="0"/>
              <w:rPr>
                <w:sz w:val="20"/>
                <w:szCs w:val="20"/>
                <w:color w:val="auto"/>
              </w:rPr>
            </w:pPr>
            <w:r>
              <w:rPr>
                <w:rFonts w:ascii="Arial" w:cs="Arial" w:eastAsia="Arial" w:hAnsi="Arial"/>
                <w:sz w:val="18"/>
                <w:szCs w:val="18"/>
                <w:b w:val="1"/>
                <w:bCs w:val="1"/>
                <w:color w:val="auto"/>
                <w:w w:val="91"/>
              </w:rPr>
              <w:t>Delaware</w:t>
            </w:r>
          </w:p>
        </w:tc>
        <w:tc>
          <w:tcPr>
            <w:tcW w:w="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640" w:type="dxa"/>
            <w:vAlign w:val="bottom"/>
          </w:tcPr>
          <w:p>
            <w:pPr>
              <w:jc w:val="right"/>
              <w:ind w:right="1780"/>
              <w:spacing w:after="0"/>
              <w:rPr>
                <w:sz w:val="20"/>
                <w:szCs w:val="20"/>
                <w:color w:val="auto"/>
              </w:rPr>
            </w:pPr>
            <w:r>
              <w:rPr>
                <w:rFonts w:ascii="Arial" w:cs="Arial" w:eastAsia="Arial" w:hAnsi="Arial"/>
                <w:sz w:val="18"/>
                <w:szCs w:val="18"/>
                <w:b w:val="1"/>
                <w:bCs w:val="1"/>
                <w:color w:val="auto"/>
              </w:rPr>
              <w:t>13-2566064</w:t>
            </w:r>
          </w:p>
        </w:tc>
      </w:tr>
      <w:tr>
        <w:trPr>
          <w:trHeight w:val="153"/>
        </w:trPr>
        <w:tc>
          <w:tcPr>
            <w:tcW w:w="3200" w:type="dxa"/>
            <w:vAlign w:val="bottom"/>
          </w:tcPr>
          <w:p>
            <w:pPr>
              <w:jc w:val="center"/>
              <w:ind w:left="657"/>
              <w:spacing w:after="0" w:line="153" w:lineRule="exact"/>
              <w:rPr>
                <w:sz w:val="20"/>
                <w:szCs w:val="20"/>
                <w:color w:val="auto"/>
              </w:rPr>
            </w:pPr>
            <w:r>
              <w:rPr>
                <w:rFonts w:ascii="Arial" w:cs="Arial" w:eastAsia="Arial" w:hAnsi="Arial"/>
                <w:sz w:val="14"/>
                <w:szCs w:val="14"/>
                <w:b w:val="1"/>
                <w:bCs w:val="1"/>
                <w:color w:val="auto"/>
                <w:w w:val="92"/>
              </w:rPr>
              <w:t>(State or other jurisdiction of</w:t>
            </w:r>
          </w:p>
        </w:tc>
        <w:tc>
          <w:tcPr>
            <w:tcW w:w="3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640" w:type="dxa"/>
            <w:vAlign w:val="bottom"/>
          </w:tcPr>
          <w:p>
            <w:pPr>
              <w:jc w:val="center"/>
              <w:ind w:right="860"/>
              <w:spacing w:after="0" w:line="153"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200" w:type="dxa"/>
            <w:vAlign w:val="bottom"/>
          </w:tcPr>
          <w:p>
            <w:pPr>
              <w:jc w:val="center"/>
              <w:ind w:left="657"/>
              <w:spacing w:after="0"/>
              <w:rPr>
                <w:sz w:val="20"/>
                <w:szCs w:val="20"/>
                <w:color w:val="auto"/>
              </w:rPr>
            </w:pPr>
            <w:r>
              <w:rPr>
                <w:rFonts w:ascii="Arial" w:cs="Arial" w:eastAsia="Arial" w:hAnsi="Arial"/>
                <w:sz w:val="14"/>
                <w:szCs w:val="14"/>
                <w:b w:val="1"/>
                <w:bCs w:val="1"/>
                <w:color w:val="auto"/>
                <w:w w:val="95"/>
              </w:rPr>
              <w:t>Incorporation or organization)</w:t>
            </w:r>
          </w:p>
        </w:tc>
        <w:tc>
          <w:tcPr>
            <w:tcW w:w="3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640" w:type="dxa"/>
            <w:vAlign w:val="bottom"/>
          </w:tcPr>
          <w:p>
            <w:pPr>
              <w:jc w:val="center"/>
              <w:ind w:right="840"/>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3200" w:type="dxa"/>
            <w:vAlign w:val="bottom"/>
          </w:tcPr>
          <w:p>
            <w:pPr>
              <w:jc w:val="center"/>
              <w:ind w:left="657"/>
              <w:spacing w:after="0"/>
              <w:rPr>
                <w:sz w:val="20"/>
                <w:szCs w:val="20"/>
                <w:color w:val="auto"/>
              </w:rPr>
            </w:pPr>
            <w:r>
              <w:rPr>
                <w:rFonts w:ascii="Arial" w:cs="Arial" w:eastAsia="Arial" w:hAnsi="Arial"/>
                <w:sz w:val="18"/>
                <w:szCs w:val="18"/>
                <w:b w:val="1"/>
                <w:bCs w:val="1"/>
                <w:color w:val="auto"/>
                <w:w w:val="92"/>
              </w:rPr>
              <w:t>14651 North Dallas Parkway</w:t>
            </w:r>
          </w:p>
        </w:tc>
        <w:tc>
          <w:tcPr>
            <w:tcW w:w="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3200" w:type="dxa"/>
            <w:vAlign w:val="bottom"/>
          </w:tcPr>
          <w:p>
            <w:pPr>
              <w:jc w:val="center"/>
              <w:ind w:left="657"/>
              <w:spacing w:after="0"/>
              <w:rPr>
                <w:sz w:val="20"/>
                <w:szCs w:val="20"/>
                <w:color w:val="auto"/>
              </w:rPr>
            </w:pPr>
            <w:r>
              <w:rPr>
                <w:rFonts w:ascii="Arial" w:cs="Arial" w:eastAsia="Arial" w:hAnsi="Arial"/>
                <w:sz w:val="18"/>
                <w:szCs w:val="18"/>
                <w:b w:val="1"/>
                <w:bCs w:val="1"/>
                <w:color w:val="auto"/>
                <w:w w:val="88"/>
              </w:rPr>
              <w:t>Suite 500</w:t>
            </w: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4"/>
        </w:trPr>
        <w:tc>
          <w:tcPr>
            <w:tcW w:w="3200" w:type="dxa"/>
            <w:vAlign w:val="bottom"/>
          </w:tcPr>
          <w:p>
            <w:pPr>
              <w:jc w:val="center"/>
              <w:ind w:left="717"/>
              <w:spacing w:after="0"/>
              <w:rPr>
                <w:sz w:val="20"/>
                <w:szCs w:val="20"/>
                <w:color w:val="auto"/>
              </w:rPr>
            </w:pPr>
            <w:r>
              <w:rPr>
                <w:rFonts w:ascii="Arial" w:cs="Arial" w:eastAsia="Arial" w:hAnsi="Arial"/>
                <w:sz w:val="18"/>
                <w:szCs w:val="18"/>
                <w:b w:val="1"/>
                <w:bCs w:val="1"/>
                <w:color w:val="auto"/>
                <w:w w:val="87"/>
              </w:rPr>
              <w:t>Dallas, Texas</w:t>
            </w:r>
          </w:p>
        </w:tc>
        <w:tc>
          <w:tcPr>
            <w:tcW w:w="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640" w:type="dxa"/>
            <w:vAlign w:val="bottom"/>
          </w:tcPr>
          <w:p>
            <w:pPr>
              <w:jc w:val="right"/>
              <w:ind w:right="1980"/>
              <w:spacing w:after="0"/>
              <w:rPr>
                <w:sz w:val="20"/>
                <w:szCs w:val="20"/>
                <w:color w:val="auto"/>
              </w:rPr>
            </w:pPr>
            <w:r>
              <w:rPr>
                <w:rFonts w:ascii="Arial" w:cs="Arial" w:eastAsia="Arial" w:hAnsi="Arial"/>
                <w:sz w:val="18"/>
                <w:szCs w:val="18"/>
                <w:b w:val="1"/>
                <w:bCs w:val="1"/>
                <w:color w:val="auto"/>
              </w:rPr>
              <w:t>75254</w:t>
            </w:r>
          </w:p>
        </w:tc>
      </w:tr>
      <w:tr>
        <w:trPr>
          <w:trHeight w:val="190"/>
        </w:trPr>
        <w:tc>
          <w:tcPr>
            <w:tcW w:w="3200" w:type="dxa"/>
            <w:vAlign w:val="bottom"/>
          </w:tcPr>
          <w:p>
            <w:pPr>
              <w:jc w:val="center"/>
              <w:ind w:left="65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640" w:type="dxa"/>
            <w:vAlign w:val="bottom"/>
          </w:tcPr>
          <w:p>
            <w:pPr>
              <w:jc w:val="center"/>
              <w:ind w:right="860"/>
              <w:spacing w:after="0"/>
              <w:rPr>
                <w:sz w:val="20"/>
                <w:szCs w:val="20"/>
                <w:color w:val="auto"/>
              </w:rPr>
            </w:pPr>
            <w:r>
              <w:rPr>
                <w:rFonts w:ascii="Arial" w:cs="Arial" w:eastAsia="Arial" w:hAnsi="Arial"/>
                <w:sz w:val="14"/>
                <w:szCs w:val="14"/>
                <w:b w:val="1"/>
                <w:bCs w:val="1"/>
                <w:color w:val="auto"/>
                <w:w w:val="95"/>
              </w:rPr>
              <w:t>(Zip Code)</w:t>
            </w:r>
          </w:p>
        </w:tc>
      </w:tr>
      <w:tr>
        <w:trPr>
          <w:trHeight w:val="336"/>
        </w:trPr>
        <w:tc>
          <w:tcPr>
            <w:tcW w:w="10000" w:type="dxa"/>
            <w:vAlign w:val="bottom"/>
            <w:gridSpan w:val="4"/>
          </w:tcPr>
          <w:p>
            <w:pPr>
              <w:ind w:left="2260"/>
              <w:spacing w:after="0"/>
              <w:rPr>
                <w:sz w:val="20"/>
                <w:szCs w:val="20"/>
                <w:color w:val="auto"/>
              </w:rPr>
            </w:pPr>
            <w:r>
              <w:rPr>
                <w:rFonts w:ascii="Arial" w:cs="Arial" w:eastAsia="Arial" w:hAnsi="Arial"/>
                <w:sz w:val="18"/>
                <w:szCs w:val="18"/>
                <w:b w:val="1"/>
                <w:bCs w:val="1"/>
                <w:color w:val="auto"/>
              </w:rPr>
              <w:t>Registrant’s telephone number, including area code: (214) 357-6181</w:t>
            </w:r>
          </w:p>
        </w:tc>
      </w:tr>
      <w:tr>
        <w:trPr>
          <w:trHeight w:val="304"/>
        </w:trPr>
        <w:tc>
          <w:tcPr>
            <w:tcW w:w="3200" w:type="dxa"/>
            <w:vAlign w:val="bottom"/>
          </w:tcPr>
          <w:p>
            <w:pPr>
              <w:spacing w:after="0"/>
              <w:rPr>
                <w:sz w:val="24"/>
                <w:szCs w:val="24"/>
                <w:color w:val="auto"/>
              </w:rPr>
            </w:pPr>
          </w:p>
        </w:tc>
        <w:tc>
          <w:tcPr>
            <w:tcW w:w="6800" w:type="dxa"/>
            <w:vAlign w:val="bottom"/>
            <w:gridSpan w:val="3"/>
          </w:tcPr>
          <w:p>
            <w:pPr>
              <w:ind w:left="4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50"/>
        </w:trPr>
        <w:tc>
          <w:tcPr>
            <w:tcW w:w="3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187"/>
        </w:trPr>
        <w:tc>
          <w:tcPr>
            <w:tcW w:w="3200" w:type="dxa"/>
            <w:vAlign w:val="bottom"/>
            <w:tcBorders>
              <w:left w:val="single" w:sz="8" w:color="auto"/>
            </w:tcBorders>
          </w:tcPr>
          <w:p>
            <w:pPr>
              <w:jc w:val="center"/>
              <w:ind w:left="257"/>
              <w:spacing w:after="0"/>
              <w:rPr>
                <w:sz w:val="20"/>
                <w:szCs w:val="20"/>
                <w:color w:val="auto"/>
              </w:rPr>
            </w:pPr>
            <w:r>
              <w:rPr>
                <w:rFonts w:ascii="Arial" w:cs="Arial" w:eastAsia="Arial" w:hAnsi="Arial"/>
                <w:sz w:val="16"/>
                <w:szCs w:val="16"/>
                <w:color w:val="auto"/>
                <w:w w:val="92"/>
              </w:rPr>
              <w:t>Title of each class</w:t>
            </w:r>
          </w:p>
        </w:tc>
        <w:tc>
          <w:tcPr>
            <w:tcW w:w="36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Trading Symbol</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77"/>
        </w:trPr>
        <w:tc>
          <w:tcPr>
            <w:tcW w:w="3200" w:type="dxa"/>
            <w:vAlign w:val="bottom"/>
            <w:tcBorders>
              <w:left w:val="single" w:sz="8" w:color="auto"/>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2800" w:type="dxa"/>
            <w:vAlign w:val="bottom"/>
            <w:tcBorders>
              <w:bottom w:val="single" w:sz="8" w:color="auto"/>
              <w:right w:val="single" w:sz="8" w:color="auto"/>
            </w:tcBorders>
          </w:tcPr>
          <w:p>
            <w:pPr>
              <w:spacing w:after="0"/>
              <w:rPr>
                <w:sz w:val="6"/>
                <w:szCs w:val="6"/>
                <w:color w:val="auto"/>
              </w:rPr>
            </w:pPr>
          </w:p>
        </w:tc>
        <w:tc>
          <w:tcPr>
            <w:tcW w:w="3640" w:type="dxa"/>
            <w:vAlign w:val="bottom"/>
            <w:tcBorders>
              <w:bottom w:val="single" w:sz="8" w:color="auto"/>
              <w:right w:val="single" w:sz="8" w:color="auto"/>
            </w:tcBorders>
          </w:tcPr>
          <w:p>
            <w:pPr>
              <w:spacing w:after="0"/>
              <w:rPr>
                <w:sz w:val="6"/>
                <w:szCs w:val="6"/>
                <w:color w:val="auto"/>
              </w:rPr>
            </w:pPr>
          </w:p>
        </w:tc>
      </w:tr>
      <w:tr>
        <w:trPr>
          <w:trHeight w:val="187"/>
        </w:trPr>
        <w:tc>
          <w:tcPr>
            <w:tcW w:w="3200" w:type="dxa"/>
            <w:vAlign w:val="bottom"/>
            <w:tcBorders>
              <w:left w:val="single" w:sz="8" w:color="auto"/>
            </w:tcBorders>
          </w:tcPr>
          <w:p>
            <w:pPr>
              <w:jc w:val="center"/>
              <w:ind w:left="257"/>
              <w:spacing w:after="0"/>
              <w:rPr>
                <w:sz w:val="20"/>
                <w:szCs w:val="20"/>
                <w:color w:val="auto"/>
              </w:rPr>
            </w:pPr>
            <w:r>
              <w:rPr>
                <w:rFonts w:ascii="Arial" w:cs="Arial" w:eastAsia="Arial" w:hAnsi="Arial"/>
                <w:sz w:val="16"/>
                <w:szCs w:val="16"/>
                <w:color w:val="auto"/>
                <w:w w:val="91"/>
              </w:rPr>
              <w:t>Common Stock, par value $0.01 per share</w:t>
            </w:r>
          </w:p>
        </w:tc>
        <w:tc>
          <w:tcPr>
            <w:tcW w:w="36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CECO</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60"/>
        </w:trPr>
        <w:tc>
          <w:tcPr>
            <w:tcW w:w="320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3640" w:type="dxa"/>
            <w:vAlign w:val="bottom"/>
            <w:tcBorders>
              <w:bottom w:val="single" w:sz="8" w:color="auto"/>
              <w:right w:val="single" w:sz="8" w:color="auto"/>
            </w:tcBorders>
          </w:tcPr>
          <w:p>
            <w:pPr>
              <w:spacing w:after="0"/>
              <w:rPr>
                <w:sz w:val="5"/>
                <w:szCs w:val="5"/>
                <w:color w:val="auto"/>
              </w:rPr>
            </w:pPr>
          </w:p>
        </w:tc>
      </w:tr>
    </w:tbl>
    <w:p>
      <w:pPr>
        <w:spacing w:after="0" w:line="94" w:lineRule="exact"/>
        <w:rPr>
          <w:sz w:val="24"/>
          <w:szCs w:val="24"/>
          <w:color w:val="auto"/>
        </w:rPr>
      </w:pPr>
    </w:p>
    <w:p>
      <w:pPr>
        <w:ind w:right="60" w:firstLine="269"/>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jc w:val="both"/>
        <w:ind w:right="100" w:firstLine="269"/>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right="40" w:firstLine="26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2" w:lineRule="exact"/>
        <w:rPr>
          <w:sz w:val="24"/>
          <w:szCs w:val="24"/>
          <w:color w:val="auto"/>
        </w:rPr>
      </w:pPr>
    </w:p>
    <w:tbl>
      <w:tblPr>
        <w:tblLayout w:type="fixed"/>
        <w:tblInd w:w="260" w:type="dxa"/>
        <w:tblCellMar>
          <w:top w:w="0" w:type="dxa"/>
          <w:left w:w="0" w:type="dxa"/>
          <w:bottom w:w="0" w:type="dxa"/>
          <w:right w:w="0" w:type="dxa"/>
        </w:tblCellMar>
      </w:tblPr>
      <w:tr>
        <w:trPr>
          <w:trHeight w:val="303"/>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2"/>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0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6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0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20" w:lineRule="exact"/>
        <w:rPr>
          <w:sz w:val="24"/>
          <w:szCs w:val="24"/>
          <w:color w:val="auto"/>
        </w:rPr>
      </w:pPr>
    </w:p>
    <w:p>
      <w:pPr>
        <w:ind w:right="240" w:firstLine="269"/>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left="280"/>
        <w:spacing w:after="0" w:line="207" w:lineRule="exact"/>
        <w:tabs>
          <w:tab w:leader="none" w:pos="92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70" w:lineRule="exact"/>
        <w:rPr>
          <w:sz w:val="24"/>
          <w:szCs w:val="24"/>
          <w:color w:val="auto"/>
        </w:rPr>
      </w:pPr>
    </w:p>
    <w:p>
      <w:pPr>
        <w:ind w:firstLine="269"/>
        <w:spacing w:after="0" w:line="258" w:lineRule="auto"/>
        <w:rPr>
          <w:sz w:val="20"/>
          <w:szCs w:val="20"/>
          <w:color w:val="auto"/>
        </w:rPr>
      </w:pPr>
      <w:r>
        <w:rPr>
          <w:rFonts w:ascii="Arial" w:cs="Arial" w:eastAsia="Arial" w:hAnsi="Arial"/>
          <w:sz w:val="18"/>
          <w:szCs w:val="18"/>
          <w:color w:val="auto"/>
        </w:rPr>
        <w:t>The number of shares outstanding of each of the issuer’s classes of common equity, as of the latest practical date: 34,765,230 shares of common stock, par value $0.01 per share, as of August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312420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2023</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gridSpan w:val="2"/>
          </w:tcPr>
          <w:p>
            <w:pPr>
              <w:spacing w:after="0"/>
              <w:rPr>
                <w:sz w:val="20"/>
                <w:szCs w:val="20"/>
                <w:color w:val="auto"/>
              </w:rPr>
            </w:pPr>
            <w:r>
              <w:rPr>
                <w:rFonts w:ascii="Arial" w:cs="Arial" w:eastAsia="Arial" w:hAnsi="Arial"/>
                <w:sz w:val="18"/>
                <w:szCs w:val="18"/>
                <w:color w:val="auto"/>
              </w:rPr>
              <w:t>Part I –</w:t>
            </w:r>
          </w:p>
        </w:tc>
        <w:tc>
          <w:tcPr>
            <w:tcW w:w="15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3"/>
              </w:rPr>
              <w:t>Financial Information</w:t>
            </w:r>
          </w:p>
        </w:tc>
        <w:tc>
          <w:tcPr>
            <w:tcW w:w="7020" w:type="dxa"/>
            <w:vAlign w:val="bottom"/>
            <w:gridSpan w:val="15"/>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72"/>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0" w:type="dxa"/>
            <w:vAlign w:val="bottom"/>
            <w:gridSpan w:val="19"/>
          </w:tcPr>
          <w:p>
            <w:pPr>
              <w:spacing w:after="0"/>
              <w:rPr>
                <w:sz w:val="20"/>
                <w:szCs w:val="20"/>
                <w:color w:val="auto"/>
              </w:rPr>
            </w:pPr>
            <w:r>
              <w:rPr>
                <w:rFonts w:ascii="Arial" w:cs="Arial" w:eastAsia="Arial" w:hAnsi="Arial"/>
                <w:sz w:val="18"/>
                <w:szCs w:val="18"/>
                <w:color w:val="0000FF"/>
              </w:rPr>
              <w:t>Item 1. Financial Statements</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8"/>
              </w:rPr>
              <w:t>Condensed Consolidated Balance Sheets as of June 30, 2023 and December 31,2022</w:t>
            </w:r>
          </w:p>
        </w:tc>
        <w:tc>
          <w:tcPr>
            <w:tcW w:w="2060" w:type="dxa"/>
            <w:vAlign w:val="bottom"/>
            <w:gridSpan w:val="5"/>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71"/>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Condensed Consolidated Statements of Income for the six months ended June 30, 2023 and 2022</w:t>
            </w:r>
          </w:p>
        </w:tc>
        <w:tc>
          <w:tcPr>
            <w:tcW w:w="1160" w:type="dxa"/>
            <w:vAlign w:val="bottom"/>
            <w:gridSpan w:val="3"/>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72"/>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89"/>
              </w:rPr>
              <w:t>Condensed Consolidated Statements of Comprehensive Income for the six months ended June 30, 2023 and 2022</w:t>
            </w: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72"/>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60" w:type="dxa"/>
            <w:vAlign w:val="bottom"/>
            <w:gridSpan w:val="18"/>
          </w:tcPr>
          <w:p>
            <w:pPr>
              <w:spacing w:after="0"/>
              <w:rPr>
                <w:sz w:val="20"/>
                <w:szCs w:val="20"/>
                <w:color w:val="auto"/>
              </w:rPr>
            </w:pPr>
            <w:r>
              <w:rPr>
                <w:rFonts w:ascii="Arial" w:cs="Arial" w:eastAsia="Arial" w:hAnsi="Arial"/>
                <w:sz w:val="18"/>
                <w:szCs w:val="18"/>
                <w:color w:val="0000FF"/>
                <w:w w:val="91"/>
              </w:rPr>
              <w:t>Condensed Consolidated Statements of Shareholders’ Equity for the six months ended June 30, 2023 and 2022</w:t>
            </w: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72"/>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96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w w:val="97"/>
              </w:rPr>
              <w:t>Condensed Consolidated Statements of Cash Flows for the six months ended June 30, 2023 and 2022</w:t>
            </w: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72"/>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3300" w:type="dxa"/>
            <w:vAlign w:val="bottom"/>
            <w:tcBorders>
              <w:top w:val="single" w:sz="8" w:color="0000FF"/>
            </w:tcBorders>
            <w:gridSpan w:val="6"/>
          </w:tcPr>
          <w:p>
            <w:pPr>
              <w:spacing w:after="0"/>
              <w:rPr>
                <w:sz w:val="24"/>
                <w:szCs w:val="24"/>
                <w:color w:val="auto"/>
              </w:rPr>
            </w:pPr>
          </w:p>
        </w:tc>
        <w:tc>
          <w:tcPr>
            <w:tcW w:w="860" w:type="dxa"/>
            <w:vAlign w:val="bottom"/>
            <w:gridSpan w:val="2"/>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71"/>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0" w:type="dxa"/>
            <w:vAlign w:val="bottom"/>
            <w:gridSpan w:val="19"/>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72"/>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1600" w:type="dxa"/>
            <w:vAlign w:val="bottom"/>
            <w:gridSpan w:val="4"/>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72"/>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Item 4. Controls and Procedures</w:t>
            </w:r>
          </w:p>
        </w:tc>
        <w:tc>
          <w:tcPr>
            <w:tcW w:w="3740" w:type="dxa"/>
            <w:vAlign w:val="bottom"/>
            <w:gridSpan w:val="7"/>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72"/>
        </w:trPr>
        <w:tc>
          <w:tcPr>
            <w:tcW w:w="940" w:type="dxa"/>
            <w:vAlign w:val="bottom"/>
            <w:gridSpan w:val="2"/>
          </w:tcPr>
          <w:p>
            <w:pPr>
              <w:spacing w:after="0"/>
              <w:rPr>
                <w:sz w:val="20"/>
                <w:szCs w:val="20"/>
                <w:color w:val="auto"/>
              </w:rPr>
            </w:pPr>
            <w:r>
              <w:rPr>
                <w:rFonts w:ascii="Arial" w:cs="Arial" w:eastAsia="Arial" w:hAnsi="Arial"/>
                <w:sz w:val="18"/>
                <w:szCs w:val="18"/>
                <w:color w:val="auto"/>
              </w:rPr>
              <w:t>Part II –</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2"/>
              </w:rPr>
              <w:t>Other Information</w:t>
            </w:r>
          </w:p>
        </w:tc>
        <w:tc>
          <w:tcPr>
            <w:tcW w:w="1000" w:type="dxa"/>
            <w:vAlign w:val="bottom"/>
            <w:tcBorders>
              <w:top w:val="single" w:sz="8" w:color="0000FF"/>
            </w:tcBorders>
            <w:gridSpan w:val="6"/>
          </w:tcPr>
          <w:p>
            <w:pPr>
              <w:spacing w:after="0"/>
              <w:rPr>
                <w:sz w:val="24"/>
                <w:szCs w:val="24"/>
                <w:color w:val="auto"/>
              </w:rPr>
            </w:pPr>
          </w:p>
        </w:tc>
        <w:tc>
          <w:tcPr>
            <w:tcW w:w="6280" w:type="dxa"/>
            <w:vAlign w:val="bottom"/>
            <w:gridSpan w:val="10"/>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72"/>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9"/>
              </w:rPr>
              <w:t>Item 1. Legal Proceedings</w:t>
            </w:r>
          </w:p>
        </w:tc>
        <w:tc>
          <w:tcPr>
            <w:tcW w:w="6700" w:type="dxa"/>
            <w:vAlign w:val="bottom"/>
            <w:gridSpan w:val="12"/>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71"/>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Item 1A. Risk Factors</w:t>
            </w:r>
          </w:p>
        </w:tc>
        <w:tc>
          <w:tcPr>
            <w:tcW w:w="7000" w:type="dxa"/>
            <w:vAlign w:val="bottom"/>
            <w:gridSpan w:val="14"/>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71"/>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0" w:type="dxa"/>
            <w:vAlign w:val="bottom"/>
            <w:gridSpan w:val="19"/>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72"/>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Item 3. Defaults Upon Senior Securities</w:t>
            </w:r>
          </w:p>
        </w:tc>
        <w:tc>
          <w:tcPr>
            <w:tcW w:w="3700" w:type="dxa"/>
            <w:vAlign w:val="bottom"/>
            <w:gridSpan w:val="6"/>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71"/>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Item 4. Mine Safety Disclosures</w:t>
            </w:r>
          </w:p>
        </w:tc>
        <w:tc>
          <w:tcPr>
            <w:tcW w:w="5720" w:type="dxa"/>
            <w:vAlign w:val="bottom"/>
            <w:gridSpan w:val="9"/>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72"/>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2"/>
              </w:rPr>
              <w:t>Item 5. Other Information</w:t>
            </w:r>
          </w:p>
        </w:tc>
        <w:tc>
          <w:tcPr>
            <w:tcW w:w="440" w:type="dxa"/>
            <w:vAlign w:val="bottom"/>
            <w:tcBorders>
              <w:top w:val="single" w:sz="8" w:color="0000FF"/>
            </w:tcBorders>
            <w:gridSpan w:val="3"/>
          </w:tcPr>
          <w:p>
            <w:pPr>
              <w:spacing w:after="0"/>
              <w:rPr>
                <w:sz w:val="24"/>
                <w:szCs w:val="24"/>
                <w:color w:val="auto"/>
              </w:rPr>
            </w:pPr>
          </w:p>
        </w:tc>
        <w:tc>
          <w:tcPr>
            <w:tcW w:w="6280" w:type="dxa"/>
            <w:vAlign w:val="bottom"/>
            <w:gridSpan w:val="10"/>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72"/>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0" w:type="dxa"/>
            <w:vAlign w:val="bottom"/>
            <w:gridSpan w:val="19"/>
          </w:tcPr>
          <w:p>
            <w:pPr>
              <w:spacing w:after="0"/>
              <w:rPr>
                <w:sz w:val="20"/>
                <w:szCs w:val="20"/>
                <w:color w:val="auto"/>
              </w:rPr>
            </w:pPr>
            <w:r>
              <w:rPr>
                <w:rFonts w:ascii="Arial" w:cs="Arial" w:eastAsia="Arial" w:hAnsi="Arial"/>
                <w:sz w:val="18"/>
                <w:szCs w:val="18"/>
                <w:color w:val="0000FF"/>
              </w:rPr>
              <w:t>Item 6. Exhibits</w:t>
            </w: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71"/>
        </w:trPr>
        <w:tc>
          <w:tcPr>
            <w:tcW w:w="9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44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7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560" w:top="337" w:right="57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u w:val="single" w:color="auto"/>
          <w:color w:val="auto"/>
        </w:rPr>
        <w:t>CECO ENVIRONMENTAL CORP. AND SUBSIDIARIES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 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5"/>
        </w:trPr>
        <w:tc>
          <w:tcPr>
            <w:tcW w:w="73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16"/>
                <w:szCs w:val="16"/>
                <w:color w:val="auto"/>
              </w:rPr>
            </w:pPr>
          </w:p>
        </w:tc>
        <w:tc>
          <w:tcPr>
            <w:tcW w:w="17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Pr>
          <w:p>
            <w:pPr>
              <w:spacing w:after="0"/>
              <w:rPr>
                <w:sz w:val="16"/>
                <w:szCs w:val="16"/>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December 31, 2022</w:t>
            </w:r>
          </w:p>
        </w:tc>
      </w:tr>
      <w:tr>
        <w:trPr>
          <w:trHeight w:val="237"/>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47,617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45,522</w:t>
            </w: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1,063</w:t>
            </w:r>
          </w:p>
        </w:tc>
        <w:tc>
          <w:tcPr>
            <w:tcW w:w="14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126,663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83,086</w:t>
            </w: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61,905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71,016</w:t>
            </w:r>
          </w:p>
        </w:tc>
        <w:tc>
          <w:tcPr>
            <w:tcW w:w="14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Inventories, net</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26,526</w:t>
            </w: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15,634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12,174</w:t>
            </w:r>
          </w:p>
        </w:tc>
        <w:tc>
          <w:tcPr>
            <w:tcW w:w="140" w:type="dxa"/>
            <w:vAlign w:val="bottom"/>
          </w:tcPr>
          <w:p>
            <w:pPr>
              <w:spacing w:after="0"/>
              <w:rPr>
                <w:sz w:val="20"/>
                <w:szCs w:val="20"/>
                <w:color w:val="auto"/>
              </w:rPr>
            </w:pPr>
          </w:p>
        </w:tc>
      </w:tr>
      <w:tr>
        <w:trPr>
          <w:trHeight w:val="243"/>
        </w:trPr>
        <w:tc>
          <w:tcPr>
            <w:tcW w:w="73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income taxes</w:t>
            </w:r>
          </w:p>
        </w:tc>
        <w:tc>
          <w:tcPr>
            <w:tcW w:w="2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6,456</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3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291,038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240,658</w:t>
            </w:r>
          </w:p>
        </w:tc>
        <w:tc>
          <w:tcPr>
            <w:tcW w:w="140" w:type="dxa"/>
            <w:vAlign w:val="bottom"/>
          </w:tcPr>
          <w:p>
            <w:pPr>
              <w:spacing w:after="0"/>
              <w:rPr>
                <w:sz w:val="20"/>
                <w:szCs w:val="20"/>
                <w:color w:val="auto"/>
              </w:rPr>
            </w:pPr>
          </w:p>
        </w:tc>
      </w:tr>
      <w:tr>
        <w:trPr>
          <w:trHeight w:val="249"/>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24,194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20,828</w:t>
            </w: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Right-of-use assets from operating leases</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11,530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11,373</w:t>
            </w:r>
          </w:p>
        </w:tc>
        <w:tc>
          <w:tcPr>
            <w:tcW w:w="140" w:type="dxa"/>
            <w:vAlign w:val="bottom"/>
          </w:tcPr>
          <w:p>
            <w:pPr>
              <w:spacing w:after="0"/>
              <w:rPr>
                <w:sz w:val="20"/>
                <w:szCs w:val="20"/>
                <w:color w:val="auto"/>
              </w:rPr>
            </w:pPr>
          </w:p>
        </w:tc>
      </w:tr>
      <w:tr>
        <w:trPr>
          <w:trHeight w:val="249"/>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199,736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183,197</w:t>
            </w: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Intangible assets – finite life, net</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42,899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35,251</w:t>
            </w:r>
          </w:p>
        </w:tc>
        <w:tc>
          <w:tcPr>
            <w:tcW w:w="140" w:type="dxa"/>
            <w:vAlign w:val="bottom"/>
          </w:tcPr>
          <w:p>
            <w:pPr>
              <w:spacing w:after="0"/>
              <w:rPr>
                <w:sz w:val="20"/>
                <w:szCs w:val="20"/>
                <w:color w:val="auto"/>
              </w:rPr>
            </w:pPr>
          </w:p>
        </w:tc>
      </w:tr>
      <w:tr>
        <w:trPr>
          <w:trHeight w:val="249"/>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 indefinite life</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9,508</w:t>
            </w: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829</w:t>
            </w:r>
          </w:p>
        </w:tc>
        <w:tc>
          <w:tcPr>
            <w:tcW w:w="140" w:type="dxa"/>
            <w:vAlign w:val="bottom"/>
          </w:tcPr>
          <w:p>
            <w:pPr>
              <w:spacing w:after="0"/>
              <w:rPr>
                <w:sz w:val="20"/>
                <w:szCs w:val="20"/>
                <w:color w:val="auto"/>
              </w:rPr>
            </w:pPr>
          </w:p>
        </w:tc>
      </w:tr>
      <w:tr>
        <w:trPr>
          <w:trHeight w:val="243"/>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Deferred charges and other assets</w:t>
            </w:r>
          </w:p>
        </w:tc>
        <w:tc>
          <w:tcPr>
            <w:tcW w:w="2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2,846</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30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582,618</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504,721</w:t>
            </w:r>
          </w:p>
        </w:tc>
        <w:tc>
          <w:tcPr>
            <w:tcW w:w="140" w:type="dxa"/>
            <w:vAlign w:val="bottom"/>
          </w:tcPr>
          <w:p>
            <w:pPr>
              <w:spacing w:after="0"/>
              <w:rPr>
                <w:sz w:val="20"/>
                <w:szCs w:val="20"/>
                <w:color w:val="auto"/>
              </w:rPr>
            </w:pP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debt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3,579</w:t>
            </w: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116,254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107,198</w:t>
            </w:r>
          </w:p>
        </w:tc>
        <w:tc>
          <w:tcPr>
            <w:tcW w:w="14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61,365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32,716</w:t>
            </w: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Notes payable</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73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3,788</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3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188,220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146,700</w:t>
            </w:r>
          </w:p>
        </w:tc>
        <w:tc>
          <w:tcPr>
            <w:tcW w:w="140" w:type="dxa"/>
            <w:vAlign w:val="bottom"/>
          </w:tcPr>
          <w:p>
            <w:pPr>
              <w:spacing w:after="0"/>
              <w:rPr>
                <w:sz w:val="20"/>
                <w:szCs w:val="20"/>
                <w:color w:val="auto"/>
              </w:rPr>
            </w:pPr>
          </w:p>
        </w:tc>
      </w:tr>
      <w:tr>
        <w:trPr>
          <w:trHeight w:val="249"/>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15,129</w:t>
            </w: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Debt, less current portion</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137,322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107,625</w:t>
            </w:r>
          </w:p>
        </w:tc>
        <w:tc>
          <w:tcPr>
            <w:tcW w:w="140" w:type="dxa"/>
            <w:vAlign w:val="bottom"/>
          </w:tcPr>
          <w:p>
            <w:pPr>
              <w:spacing w:after="0"/>
              <w:rPr>
                <w:sz w:val="20"/>
                <w:szCs w:val="20"/>
                <w:color w:val="auto"/>
              </w:rPr>
            </w:pPr>
          </w:p>
        </w:tc>
      </w:tr>
      <w:tr>
        <w:trPr>
          <w:trHeight w:val="249"/>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income tax liability, net</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8,666</w:t>
            </w: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8,453</w:t>
            </w:r>
          </w:p>
        </w:tc>
        <w:tc>
          <w:tcPr>
            <w:tcW w:w="140" w:type="dxa"/>
            <w:vAlign w:val="bottom"/>
          </w:tcPr>
          <w:p>
            <w:pPr>
              <w:spacing w:after="0"/>
              <w:rPr>
                <w:sz w:val="20"/>
                <w:szCs w:val="20"/>
                <w:color w:val="auto"/>
              </w:rPr>
            </w:pPr>
          </w:p>
        </w:tc>
      </w:tr>
      <w:tr>
        <w:trPr>
          <w:trHeight w:val="236"/>
        </w:trPr>
        <w:tc>
          <w:tcPr>
            <w:tcW w:w="73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355,470</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286,573</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Shareholders’ equity:</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Preferred stock, $.01 par value; 10,000 shares authorized, none issued</w:t>
            </w:r>
          </w:p>
        </w:tc>
        <w:tc>
          <w:tcPr>
            <w:tcW w:w="280" w:type="dxa"/>
            <w:vAlign w:val="bottom"/>
          </w:tcPr>
          <w:p>
            <w:pPr>
              <w:spacing w:after="0"/>
              <w:rPr>
                <w:sz w:val="20"/>
                <w:szCs w:val="20"/>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1"/>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$.01 par value; 100,000,000 shares authorized, 34,738,126 and</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6"/>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34,381,668 shares issued and outstanding at June 30, 2023 and</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44"/>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December 31, 2022, respectively</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Capital in excess of par value</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252,406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250,174</w:t>
            </w:r>
          </w:p>
        </w:tc>
        <w:tc>
          <w:tcPr>
            <w:tcW w:w="14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loss</w:t>
            </w:r>
          </w:p>
        </w:tc>
        <w:tc>
          <w:tcPr>
            <w:tcW w:w="28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(13,596 )</w:t>
            </w:r>
          </w:p>
        </w:tc>
        <w:tc>
          <w:tcPr>
            <w:tcW w:w="22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(19,298 )</w:t>
            </w: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(17,091 )</w:t>
            </w:r>
          </w:p>
        </w:tc>
        <w:tc>
          <w:tcPr>
            <w:tcW w:w="220" w:type="dxa"/>
            <w:vAlign w:val="bottom"/>
          </w:tcPr>
          <w:p>
            <w:pPr>
              <w:spacing w:after="0"/>
              <w:rPr>
                <w:sz w:val="20"/>
                <w:szCs w:val="20"/>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(17,996 )</w:t>
            </w:r>
          </w:p>
        </w:tc>
      </w:tr>
      <w:tr>
        <w:trPr>
          <w:trHeight w:val="243"/>
        </w:trPr>
        <w:tc>
          <w:tcPr>
            <w:tcW w:w="7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CECO shareholders' equity</w:t>
            </w:r>
          </w:p>
        </w:tc>
        <w:tc>
          <w:tcPr>
            <w:tcW w:w="280" w:type="dxa"/>
            <w:vAlign w:val="bottom"/>
            <w:tcBorders>
              <w:top w:val="single" w:sz="8" w:color="auto"/>
            </w:tcBorders>
            <w:shd w:val="clear" w:color="auto" w:fill="CFF0FC"/>
          </w:tcPr>
          <w:p>
            <w:pPr>
              <w:spacing w:after="0"/>
              <w:rPr>
                <w:sz w:val="21"/>
                <w:szCs w:val="21"/>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222,066</w:t>
            </w:r>
          </w:p>
        </w:tc>
        <w:tc>
          <w:tcPr>
            <w:tcW w:w="28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213,224</w:t>
            </w:r>
          </w:p>
        </w:tc>
        <w:tc>
          <w:tcPr>
            <w:tcW w:w="140" w:type="dxa"/>
            <w:vAlign w:val="bottom"/>
            <w:shd w:val="clear" w:color="auto" w:fill="CFF0FC"/>
          </w:tcPr>
          <w:p>
            <w:pPr>
              <w:spacing w:after="0"/>
              <w:rPr>
                <w:sz w:val="21"/>
                <w:szCs w:val="21"/>
                <w:color w:val="auto"/>
              </w:rPr>
            </w:pPr>
          </w:p>
        </w:tc>
      </w:tr>
      <w:tr>
        <w:trPr>
          <w:trHeight w:val="237"/>
        </w:trPr>
        <w:tc>
          <w:tcPr>
            <w:tcW w:w="7300" w:type="dxa"/>
            <w:vAlign w:val="bottom"/>
          </w:tcPr>
          <w:p>
            <w:pPr>
              <w:ind w:left="38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5,082</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4,924</w:t>
            </w:r>
          </w:p>
        </w:tc>
        <w:tc>
          <w:tcPr>
            <w:tcW w:w="140" w:type="dxa"/>
            <w:vAlign w:val="bottom"/>
          </w:tcPr>
          <w:p>
            <w:pPr>
              <w:spacing w:after="0"/>
              <w:rPr>
                <w:sz w:val="20"/>
                <w:szCs w:val="20"/>
                <w:color w:val="auto"/>
              </w:rPr>
            </w:pPr>
          </w:p>
        </w:tc>
      </w:tr>
      <w:tr>
        <w:trPr>
          <w:trHeight w:val="236"/>
        </w:trPr>
        <w:tc>
          <w:tcPr>
            <w:tcW w:w="73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227,148</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218,148</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7300" w:type="dxa"/>
            <w:vAlign w:val="bottom"/>
          </w:tcPr>
          <w:p>
            <w:pPr>
              <w:ind w:left="56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582,618</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504,721</w:t>
            </w:r>
          </w:p>
        </w:tc>
        <w:tc>
          <w:tcPr>
            <w:tcW w:w="140" w:type="dxa"/>
            <w:vAlign w:val="bottom"/>
          </w:tcPr>
          <w:p>
            <w:pPr>
              <w:spacing w:after="0"/>
              <w:rPr>
                <w:sz w:val="20"/>
                <w:szCs w:val="20"/>
                <w:color w:val="auto"/>
              </w:rPr>
            </w:pP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-5485765</wp:posOffset>
            </wp:positionV>
            <wp:extent cx="8572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-5485765</wp:posOffset>
            </wp:positionV>
            <wp:extent cx="8572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-4243070</wp:posOffset>
            </wp:positionV>
            <wp:extent cx="8572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-4243070</wp:posOffset>
            </wp:positionV>
            <wp:extent cx="8572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-2974340</wp:posOffset>
            </wp:positionV>
            <wp:extent cx="8572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-2974340</wp:posOffset>
            </wp:positionV>
            <wp:extent cx="8572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-2031365</wp:posOffset>
            </wp:positionV>
            <wp:extent cx="8572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-2031365</wp:posOffset>
            </wp:positionV>
            <wp:extent cx="8572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-187960</wp:posOffset>
            </wp:positionV>
            <wp:extent cx="85725"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6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129,181</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105,375</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241,744</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197,811</w:t>
            </w:r>
          </w:p>
        </w:tc>
        <w:tc>
          <w:tcPr>
            <w:tcW w:w="140" w:type="dxa"/>
            <w:vAlign w:val="bottom"/>
            <w:shd w:val="clear" w:color="auto" w:fill="CFF0FC"/>
          </w:tcPr>
          <w:p>
            <w:pPr>
              <w:spacing w:after="0"/>
              <w:rPr>
                <w:sz w:val="20"/>
                <w:szCs w:val="20"/>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89,364</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73,700</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167,034</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139,708</w:t>
            </w:r>
          </w:p>
        </w:tc>
        <w:tc>
          <w:tcPr>
            <w:tcW w:w="140" w:type="dxa"/>
            <w:vAlign w:val="bottom"/>
          </w:tcPr>
          <w:p>
            <w:pPr>
              <w:spacing w:after="0"/>
              <w:rPr>
                <w:sz w:val="21"/>
                <w:szCs w:val="21"/>
                <w:color w:val="auto"/>
              </w:rPr>
            </w:pPr>
          </w:p>
        </w:tc>
      </w:tr>
      <w:tr>
        <w:trPr>
          <w:trHeight w:val="236"/>
        </w:trPr>
        <w:tc>
          <w:tcPr>
            <w:tcW w:w="5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39,817</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31,675</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74,710</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58,103</w:t>
            </w:r>
          </w:p>
        </w:tc>
        <w:tc>
          <w:tcPr>
            <w:tcW w:w="140" w:type="dxa"/>
            <w:vAlign w:val="bottom"/>
            <w:shd w:val="clear" w:color="auto" w:fill="CFF0FC"/>
          </w:tcPr>
          <w:p>
            <w:pPr>
              <w:spacing w:after="0"/>
              <w:rPr>
                <w:sz w:val="20"/>
                <w:szCs w:val="20"/>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Selling and administrative expenses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28,451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22,988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55,644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41,640</w:t>
            </w:r>
          </w:p>
        </w:tc>
        <w:tc>
          <w:tcPr>
            <w:tcW w:w="140" w:type="dxa"/>
            <w:vAlign w:val="bottom"/>
          </w:tcPr>
          <w:p>
            <w:pPr>
              <w:spacing w:after="0"/>
              <w:rPr>
                <w:sz w:val="20"/>
                <w:szCs w:val="20"/>
                <w:color w:val="auto"/>
              </w:rPr>
            </w:pPr>
          </w:p>
        </w:tc>
      </w:tr>
      <w:tr>
        <w:trPr>
          <w:trHeight w:val="249"/>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and earnout expenses</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2,900</w:t>
            </w:r>
          </w:p>
        </w:tc>
        <w:tc>
          <w:tcPr>
            <w:tcW w:w="140" w:type="dxa"/>
            <w:vAlign w:val="bottom"/>
            <w:shd w:val="clear" w:color="auto" w:fill="CFF0FC"/>
          </w:tcPr>
          <w:p>
            <w:pPr>
              <w:spacing w:after="0"/>
              <w:rPr>
                <w:sz w:val="21"/>
                <w:szCs w:val="2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Acquisition and integration expenses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2,540</w:t>
            </w:r>
          </w:p>
        </w:tc>
        <w:tc>
          <w:tcPr>
            <w:tcW w:w="140" w:type="dxa"/>
            <w:vAlign w:val="bottom"/>
          </w:tcPr>
          <w:p>
            <w:pPr>
              <w:spacing w:after="0"/>
              <w:rPr>
                <w:sz w:val="20"/>
                <w:szCs w:val="20"/>
                <w:color w:val="auto"/>
              </w:rPr>
            </w:pPr>
          </w:p>
        </w:tc>
      </w:tr>
      <w:tr>
        <w:trPr>
          <w:trHeight w:val="249"/>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Executive transition expenses</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Restructuring expenses</w:t>
            </w:r>
          </w:p>
        </w:tc>
        <w:tc>
          <w:tcPr>
            <w:tcW w:w="28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1"/>
                <w:szCs w:val="21"/>
                <w:color w:val="auto"/>
              </w:rPr>
            </w:pPr>
          </w:p>
        </w:tc>
      </w:tr>
      <w:tr>
        <w:trPr>
          <w:trHeight w:val="237"/>
        </w:trPr>
        <w:tc>
          <w:tcPr>
            <w:tcW w:w="5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8,603</w:t>
            </w: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5,746</w:t>
            </w: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14,064</w:t>
            </w: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10,950</w:t>
            </w:r>
          </w:p>
        </w:tc>
        <w:tc>
          <w:tcPr>
            <w:tcW w:w="140" w:type="dxa"/>
            <w:vAlign w:val="bottom"/>
            <w:shd w:val="clear" w:color="auto" w:fill="CFF0FC"/>
          </w:tcPr>
          <w:p>
            <w:pPr>
              <w:spacing w:after="0"/>
              <w:rPr>
                <w:sz w:val="20"/>
                <w:szCs w:val="20"/>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(453 )</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1,478</w:t>
            </w:r>
          </w:p>
        </w:tc>
        <w:tc>
          <w:tcPr>
            <w:tcW w:w="140" w:type="dxa"/>
            <w:vAlign w:val="bottom"/>
          </w:tcPr>
          <w:p>
            <w:pPr>
              <w:spacing w:after="0"/>
              <w:rPr>
                <w:sz w:val="20"/>
                <w:szCs w:val="20"/>
                <w:color w:val="auto"/>
              </w:rPr>
            </w:pPr>
          </w:p>
        </w:tc>
      </w:tr>
      <w:tr>
        <w:trPr>
          <w:trHeight w:val="249"/>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(3,750 )</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(1,098 )</w:t>
            </w:r>
          </w:p>
        </w:tc>
        <w:tc>
          <w:tcPr>
            <w:tcW w:w="2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(6,158 )</w:t>
            </w:r>
          </w:p>
        </w:tc>
        <w:tc>
          <w:tcPr>
            <w:tcW w:w="2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(1,920 )</w:t>
            </w:r>
          </w:p>
        </w:tc>
      </w:tr>
      <w:tr>
        <w:trPr>
          <w:trHeight w:val="230"/>
        </w:trPr>
        <w:tc>
          <w:tcPr>
            <w:tcW w:w="520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4,974</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6,584</w:t>
            </w:r>
          </w:p>
        </w:tc>
        <w:tc>
          <w:tcPr>
            <w:tcW w:w="28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7,453</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10,508</w:t>
            </w:r>
          </w:p>
        </w:tc>
        <w:tc>
          <w:tcPr>
            <w:tcW w:w="140" w:type="dxa"/>
            <w:vAlign w:val="bottom"/>
            <w:tcBorders>
              <w:top w:val="single" w:sz="8" w:color="CFF0FC"/>
            </w:tcBorders>
          </w:tcPr>
          <w:p>
            <w:pPr>
              <w:spacing w:after="0"/>
              <w:rPr>
                <w:sz w:val="20"/>
                <w:szCs w:val="20"/>
                <w:color w:val="auto"/>
              </w:rPr>
            </w:pPr>
          </w:p>
        </w:tc>
      </w:tr>
      <w:tr>
        <w:trPr>
          <w:trHeight w:val="249"/>
        </w:trPr>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2,972</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52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3,990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4,724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6,460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7,536</w:t>
            </w:r>
          </w:p>
        </w:tc>
        <w:tc>
          <w:tcPr>
            <w:tcW w:w="140" w:type="dxa"/>
            <w:vAlign w:val="bottom"/>
          </w:tcPr>
          <w:p>
            <w:pPr>
              <w:spacing w:after="0"/>
              <w:rPr>
                <w:sz w:val="20"/>
                <w:szCs w:val="20"/>
                <w:color w:val="auto"/>
              </w:rPr>
            </w:pPr>
          </w:p>
        </w:tc>
      </w:tr>
      <w:tr>
        <w:trPr>
          <w:trHeight w:val="249"/>
        </w:trPr>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5200" w:type="dxa"/>
            <w:vAlign w:val="bottom"/>
          </w:tcPr>
          <w:p>
            <w:pPr>
              <w:ind w:left="200"/>
              <w:spacing w:after="0"/>
              <w:rPr>
                <w:sz w:val="20"/>
                <w:szCs w:val="20"/>
                <w:color w:val="auto"/>
              </w:rPr>
            </w:pPr>
            <w:r>
              <w:rPr>
                <w:rFonts w:ascii="Arial" w:cs="Arial" w:eastAsia="Arial" w:hAnsi="Arial"/>
                <w:sz w:val="18"/>
                <w:szCs w:val="18"/>
                <w:color w:val="auto"/>
              </w:rPr>
              <w:t>Net income attributable to CECO Environmental Corp.</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3,724</w:t>
            </w:r>
          </w:p>
        </w:tc>
        <w:tc>
          <w:tcPr>
            <w:tcW w:w="28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w:t>
            </w:r>
          </w:p>
        </w:tc>
        <w:tc>
          <w:tcPr>
            <w:tcW w:w="2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5,701</w:t>
            </w:r>
          </w:p>
        </w:tc>
        <w:tc>
          <w:tcPr>
            <w:tcW w:w="28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7,180</w:t>
            </w:r>
          </w:p>
        </w:tc>
        <w:tc>
          <w:tcPr>
            <w:tcW w:w="140" w:type="dxa"/>
            <w:vAlign w:val="bottom"/>
          </w:tcPr>
          <w:p>
            <w:pPr>
              <w:spacing w:after="0"/>
              <w:rPr>
                <w:sz w:val="20"/>
                <w:szCs w:val="20"/>
                <w:color w:val="auto"/>
              </w:rPr>
            </w:pPr>
          </w:p>
        </w:tc>
      </w:tr>
      <w:tr>
        <w:trPr>
          <w:trHeight w:val="237"/>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per share:</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43"/>
        </w:trPr>
        <w:tc>
          <w:tcPr>
            <w:tcW w:w="5200" w:type="dxa"/>
            <w:vAlign w:val="bottom"/>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8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8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28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Pr>
          <w:p>
            <w:pPr>
              <w:spacing w:after="0"/>
              <w:rPr>
                <w:sz w:val="21"/>
                <w:szCs w:val="2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5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2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17"/>
        </w:trPr>
        <w:tc>
          <w:tcPr>
            <w:tcW w:w="520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9"/>
        </w:trPr>
        <w:tc>
          <w:tcPr>
            <w:tcW w:w="5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34,619,216</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34,873,238</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34,531,050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34,961,645</w:t>
            </w:r>
          </w:p>
        </w:tc>
        <w:tc>
          <w:tcPr>
            <w:tcW w:w="140" w:type="dxa"/>
            <w:vAlign w:val="bottom"/>
            <w:shd w:val="clear" w:color="auto" w:fill="CFF0FC"/>
          </w:tcPr>
          <w:p>
            <w:pPr>
              <w:spacing w:after="0"/>
              <w:rPr>
                <w:sz w:val="21"/>
                <w:szCs w:val="21"/>
                <w:color w:val="auto"/>
              </w:rPr>
            </w:pPr>
          </w:p>
        </w:tc>
      </w:tr>
      <w:tr>
        <w:trPr>
          <w:trHeight w:val="230"/>
        </w:trPr>
        <w:tc>
          <w:tcPr>
            <w:tcW w:w="5200" w:type="dxa"/>
            <w:vAlign w:val="bottom"/>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35,143,782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35,041,152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35,171,727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35,119,685</w:t>
            </w: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-1774190</wp:posOffset>
            </wp:positionV>
            <wp:extent cx="8572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-1774190</wp:posOffset>
            </wp:positionV>
            <wp:extent cx="8572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-1774190</wp:posOffset>
            </wp:positionV>
            <wp:extent cx="8572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-1774190</wp:posOffset>
            </wp:positionV>
            <wp:extent cx="8572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-1457325</wp:posOffset>
            </wp:positionV>
            <wp:extent cx="8572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-1457325</wp:posOffset>
            </wp:positionV>
            <wp:extent cx="8572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-1457325</wp:posOffset>
            </wp:positionV>
            <wp:extent cx="8572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-1457325</wp:posOffset>
            </wp:positionV>
            <wp:extent cx="8572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-1139825</wp:posOffset>
            </wp:positionV>
            <wp:extent cx="8572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-1139825</wp:posOffset>
            </wp:positionV>
            <wp:extent cx="8572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-1139825</wp:posOffset>
            </wp:positionV>
            <wp:extent cx="8572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-1139825</wp:posOffset>
            </wp:positionV>
            <wp:extent cx="8572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-480060</wp:posOffset>
            </wp:positionV>
            <wp:extent cx="3034665"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34665" cy="179705"/>
                    </a:xfrm>
                    <a:prstGeom prst="rect">
                      <a:avLst/>
                    </a:prstGeom>
                    <a:noFill/>
                  </pic:spPr>
                </pic:pic>
              </a:graphicData>
            </a:graphic>
          </wp:anchor>
        </w:drawing>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6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0"/>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3,990</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4,724</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6,460</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7,536</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5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gain (loss)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(2,966 )</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(3,497 )</w:t>
            </w:r>
          </w:p>
        </w:tc>
      </w:tr>
      <w:tr>
        <w:trPr>
          <w:trHeight w:val="237"/>
        </w:trPr>
        <w:tc>
          <w:tcPr>
            <w:tcW w:w="51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4,129</w:t>
            </w:r>
          </w:p>
        </w:tc>
        <w:tc>
          <w:tcPr>
            <w:tcW w:w="30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7,365</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4,039</w:t>
            </w:r>
          </w:p>
        </w:tc>
        <w:tc>
          <w:tcPr>
            <w:tcW w:w="140" w:type="dxa"/>
            <w:vAlign w:val="bottom"/>
            <w:tcBorders>
              <w:top w:val="single" w:sz="8" w:color="CFF0FC"/>
            </w:tcBorders>
          </w:tcPr>
          <w:p>
            <w:pPr>
              <w:spacing w:after="0"/>
              <w:rPr>
                <w:sz w:val="20"/>
                <w:szCs w:val="20"/>
                <w:color w:val="auto"/>
              </w:rPr>
            </w:pP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-505460</wp:posOffset>
            </wp:positionV>
            <wp:extent cx="85725"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-505460</wp:posOffset>
            </wp:positionV>
            <wp:extent cx="85725"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-505460</wp:posOffset>
            </wp:positionV>
            <wp:extent cx="85725"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-505460</wp:posOffset>
            </wp:positionV>
            <wp:extent cx="85725"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-187960</wp:posOffset>
            </wp:positionV>
            <wp:extent cx="85725"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85725"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-187960</wp:posOffset>
            </wp:positionV>
            <wp:extent cx="85725"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4"/>
          </w:tcPr>
          <w:p>
            <w:pPr>
              <w:jc w:val="right"/>
              <w:ind w:right="50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6"/>
            <w:vMerge w:val="restart"/>
          </w:tcPr>
          <w:p>
            <w:pPr>
              <w:jc w:val="right"/>
              <w:ind w:right="473"/>
              <w:spacing w:after="0"/>
              <w:rPr>
                <w:sz w:val="20"/>
                <w:szCs w:val="20"/>
                <w:color w:val="auto"/>
              </w:rPr>
            </w:pPr>
            <w:r>
              <w:rPr>
                <w:rFonts w:ascii="Arial" w:cs="Arial" w:eastAsia="Arial" w:hAnsi="Arial"/>
                <w:sz w:val="13"/>
                <w:szCs w:val="13"/>
                <w:b w:val="1"/>
                <w:bCs w:val="1"/>
                <w:color w:val="auto"/>
              </w:rPr>
              <w:t>Common Stock</w:t>
            </w:r>
          </w:p>
        </w:tc>
        <w:tc>
          <w:tcPr>
            <w:tcW w:w="2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right="400"/>
              <w:spacing w:after="0"/>
              <w:rPr>
                <w:sz w:val="20"/>
                <w:szCs w:val="20"/>
                <w:color w:val="auto"/>
              </w:rPr>
            </w:pPr>
            <w:r>
              <w:rPr>
                <w:rFonts w:ascii="Arial" w:cs="Arial" w:eastAsia="Arial" w:hAnsi="Arial"/>
                <w:sz w:val="13"/>
                <w:szCs w:val="13"/>
                <w:b w:val="1"/>
                <w:bCs w:val="1"/>
                <w:color w:val="auto"/>
                <w:w w:val="95"/>
              </w:rPr>
              <w:t>Capital in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4"/>
          </w:tcPr>
          <w:p>
            <w:pPr>
              <w:jc w:val="center"/>
              <w:ind w:right="380"/>
              <w:spacing w:after="0"/>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94"/>
              </w:rPr>
              <w:t>Non-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80"/>
              </w:rPr>
              <w:t>excess of</w:t>
            </w:r>
          </w:p>
        </w:tc>
        <w:tc>
          <w:tcPr>
            <w:tcW w:w="116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14"/>
                <w:szCs w:val="14"/>
                <w:color w:val="auto"/>
              </w:rPr>
            </w:pPr>
          </w:p>
        </w:tc>
        <w:tc>
          <w:tcPr>
            <w:tcW w:w="1340" w:type="dxa"/>
            <w:vAlign w:val="bottom"/>
            <w:gridSpan w:val="4"/>
          </w:tcPr>
          <w:p>
            <w:pPr>
              <w:jc w:val="center"/>
              <w:ind w:right="400"/>
              <w:spacing w:after="0"/>
              <w:rPr>
                <w:sz w:val="20"/>
                <w:szCs w:val="20"/>
                <w:color w:val="auto"/>
              </w:rPr>
            </w:pPr>
            <w:r>
              <w:rPr>
                <w:rFonts w:ascii="Arial" w:cs="Arial" w:eastAsia="Arial" w:hAnsi="Arial"/>
                <w:sz w:val="13"/>
                <w:szCs w:val="13"/>
                <w:b w:val="1"/>
                <w:bCs w:val="1"/>
                <w:color w:val="auto"/>
                <w:w w:val="92"/>
              </w:rPr>
              <w:t>Comprehensive</w:t>
            </w:r>
          </w:p>
        </w:tc>
        <w:tc>
          <w:tcPr>
            <w:tcW w:w="120" w:type="dxa"/>
            <w:vAlign w:val="bottom"/>
          </w:tcPr>
          <w:p>
            <w:pPr>
              <w:spacing w:after="0"/>
              <w:rPr>
                <w:sz w:val="14"/>
                <w:szCs w:val="14"/>
                <w:color w:val="auto"/>
              </w:rPr>
            </w:pPr>
          </w:p>
        </w:tc>
        <w:tc>
          <w:tcPr>
            <w:tcW w:w="1040" w:type="dxa"/>
            <w:vAlign w:val="bottom"/>
            <w:gridSpan w:val="4"/>
          </w:tcPr>
          <w:p>
            <w:pPr>
              <w:jc w:val="center"/>
              <w:ind w:right="380"/>
              <w:spacing w:after="0"/>
              <w:rPr>
                <w:sz w:val="20"/>
                <w:szCs w:val="20"/>
                <w:color w:val="auto"/>
              </w:rPr>
            </w:pPr>
            <w:r>
              <w:rPr>
                <w:rFonts w:ascii="Arial" w:cs="Arial" w:eastAsia="Arial" w:hAnsi="Arial"/>
                <w:sz w:val="13"/>
                <w:szCs w:val="13"/>
                <w:b w:val="1"/>
                <w:bCs w:val="1"/>
                <w:color w:val="auto"/>
                <w:w w:val="92"/>
              </w:rPr>
              <w:t>controlling</w:t>
            </w:r>
          </w:p>
        </w:tc>
        <w:tc>
          <w:tcPr>
            <w:tcW w:w="106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2"/>
              </w:rPr>
              <w:t>Shareholders'</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82"/>
              </w:rPr>
              <w:t>Shares</w:t>
            </w:r>
          </w:p>
        </w:tc>
        <w:tc>
          <w:tcPr>
            <w:tcW w:w="5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right"/>
              <w:ind w:right="460"/>
              <w:spacing w:after="0" w:line="142" w:lineRule="exact"/>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2"/>
                <w:szCs w:val="12"/>
                <w:color w:val="auto"/>
              </w:rPr>
            </w:pPr>
          </w:p>
        </w:tc>
        <w:tc>
          <w:tcPr>
            <w:tcW w:w="1040" w:type="dxa"/>
            <w:vAlign w:val="bottom"/>
            <w:gridSpan w:val="4"/>
          </w:tcPr>
          <w:p>
            <w:pPr>
              <w:jc w:val="center"/>
              <w:ind w:right="400"/>
              <w:spacing w:after="0" w:line="142" w:lineRule="exact"/>
              <w:rPr>
                <w:sz w:val="20"/>
                <w:szCs w:val="20"/>
                <w:color w:val="auto"/>
              </w:rPr>
            </w:pPr>
            <w:r>
              <w:rPr>
                <w:rFonts w:ascii="Arial" w:cs="Arial" w:eastAsia="Arial" w:hAnsi="Arial"/>
                <w:sz w:val="13"/>
                <w:szCs w:val="13"/>
                <w:b w:val="1"/>
                <w:bCs w:val="1"/>
                <w:color w:val="auto"/>
                <w:w w:val="98"/>
              </w:rPr>
              <w:t>par value</w:t>
            </w:r>
          </w:p>
        </w:tc>
        <w:tc>
          <w:tcPr>
            <w:tcW w:w="200" w:type="dxa"/>
            <w:vAlign w:val="bottom"/>
          </w:tcPr>
          <w:p>
            <w:pPr>
              <w:spacing w:after="0"/>
              <w:rPr>
                <w:sz w:val="12"/>
                <w:szCs w:val="12"/>
                <w:color w:val="auto"/>
              </w:rPr>
            </w:pPr>
          </w:p>
        </w:tc>
        <w:tc>
          <w:tcPr>
            <w:tcW w:w="960" w:type="dxa"/>
            <w:vAlign w:val="bottom"/>
            <w:gridSpan w:val="4"/>
          </w:tcPr>
          <w:p>
            <w:pPr>
              <w:jc w:val="center"/>
              <w:ind w:right="480"/>
              <w:spacing w:after="0" w:line="142" w:lineRule="exact"/>
              <w:rPr>
                <w:sz w:val="20"/>
                <w:szCs w:val="20"/>
                <w:color w:val="auto"/>
              </w:rPr>
            </w:pPr>
            <w:r>
              <w:rPr>
                <w:rFonts w:ascii="Arial" w:cs="Arial" w:eastAsia="Arial" w:hAnsi="Arial"/>
                <w:sz w:val="13"/>
                <w:szCs w:val="13"/>
                <w:b w:val="1"/>
                <w:bCs w:val="1"/>
                <w:color w:val="auto"/>
                <w:w w:val="92"/>
              </w:rPr>
              <w:t>Loss</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3"/>
          </w:tcPr>
          <w:p>
            <w:pPr>
              <w:jc w:val="center"/>
              <w:ind w:right="740"/>
              <w:spacing w:after="0" w:line="142" w:lineRule="exact"/>
              <w:rPr>
                <w:sz w:val="20"/>
                <w:szCs w:val="20"/>
                <w:color w:val="auto"/>
              </w:rPr>
            </w:pPr>
            <w:r>
              <w:rPr>
                <w:rFonts w:ascii="Arial" w:cs="Arial" w:eastAsia="Arial" w:hAnsi="Arial"/>
                <w:sz w:val="13"/>
                <w:szCs w:val="13"/>
                <w:b w:val="1"/>
                <w:bCs w:val="1"/>
                <w:color w:val="auto"/>
                <w:w w:val="85"/>
              </w:rPr>
              <w:t>Loss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480"/>
              <w:spacing w:after="0" w:line="142" w:lineRule="exact"/>
              <w:rPr>
                <w:sz w:val="20"/>
                <w:szCs w:val="20"/>
                <w:color w:val="auto"/>
              </w:rPr>
            </w:pPr>
            <w:r>
              <w:rPr>
                <w:rFonts w:ascii="Arial" w:cs="Arial" w:eastAsia="Arial" w:hAnsi="Arial"/>
                <w:sz w:val="13"/>
                <w:szCs w:val="13"/>
                <w:b w:val="1"/>
                <w:bCs w:val="1"/>
                <w:color w:val="auto"/>
                <w:w w:val="93"/>
              </w:rPr>
              <w:t>interest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400"/>
              <w:spacing w:after="0" w:line="142"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December 31, 2022</w:t>
            </w:r>
          </w:p>
        </w:tc>
        <w:tc>
          <w:tcPr>
            <w:tcW w:w="260" w:type="dxa"/>
            <w:vAlign w:val="bottom"/>
            <w:tcBorders>
              <w:right w:val="single" w:sz="8" w:color="CFF0FC"/>
            </w:tcBorders>
            <w:shd w:val="clear" w:color="auto" w:fill="CFF0FC"/>
          </w:tcPr>
          <w:p>
            <w:pPr>
              <w:spacing w:after="0"/>
              <w:rPr>
                <w:sz w:val="15"/>
                <w:szCs w:val="15"/>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34,382</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6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344</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3"/>
                <w:szCs w:val="13"/>
                <w:color w:val="auto"/>
              </w:rPr>
              <w:t>250,174</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960" w:type="dxa"/>
            <w:vAlign w:val="bottom"/>
            <w:gridSpan w:val="4"/>
            <w:shd w:val="clear" w:color="auto" w:fill="CFF0FC"/>
          </w:tcPr>
          <w:p>
            <w:pPr>
              <w:jc w:val="right"/>
              <w:ind w:right="220"/>
              <w:spacing w:after="0"/>
              <w:rPr>
                <w:sz w:val="20"/>
                <w:szCs w:val="20"/>
                <w:color w:val="auto"/>
              </w:rPr>
            </w:pPr>
            <w:r>
              <w:rPr>
                <w:rFonts w:ascii="Arial" w:cs="Arial" w:eastAsia="Arial" w:hAnsi="Arial"/>
                <w:sz w:val="13"/>
                <w:szCs w:val="13"/>
                <w:color w:val="auto"/>
              </w:rPr>
              <w:t>(19,298 )</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4"/>
            <w:shd w:val="clear" w:color="auto" w:fill="CFF0FC"/>
          </w:tcPr>
          <w:p>
            <w:pPr>
              <w:jc w:val="right"/>
              <w:ind w:right="200"/>
              <w:spacing w:after="0"/>
              <w:rPr>
                <w:sz w:val="20"/>
                <w:szCs w:val="20"/>
                <w:color w:val="auto"/>
              </w:rPr>
            </w:pPr>
            <w:r>
              <w:rPr>
                <w:rFonts w:ascii="Arial" w:cs="Arial" w:eastAsia="Arial" w:hAnsi="Arial"/>
                <w:sz w:val="13"/>
                <w:szCs w:val="13"/>
                <w:color w:val="auto"/>
              </w:rPr>
              <w:t>(17,996 )</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4,924</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218,148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000" w:type="dxa"/>
            <w:vAlign w:val="bottom"/>
          </w:tcPr>
          <w:p>
            <w:pPr>
              <w:ind w:left="20"/>
              <w:spacing w:after="0"/>
              <w:rPr>
                <w:sz w:val="20"/>
                <w:szCs w:val="20"/>
                <w:color w:val="auto"/>
              </w:rPr>
            </w:pPr>
            <w:r>
              <w:rPr>
                <w:rFonts w:ascii="Arial" w:cs="Arial" w:eastAsia="Arial" w:hAnsi="Arial"/>
                <w:sz w:val="13"/>
                <w:szCs w:val="13"/>
                <w:color w:val="auto"/>
              </w:rPr>
              <w:t>Net income for the three months ended March 31,</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1,978</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491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2,469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00" w:type="dxa"/>
            <w:vAlign w:val="bottom"/>
          </w:tcPr>
          <w:p>
            <w:pPr>
              <w:ind w:left="20"/>
              <w:spacing w:after="0"/>
              <w:rPr>
                <w:sz w:val="20"/>
                <w:szCs w:val="20"/>
                <w:color w:val="auto"/>
              </w:rPr>
            </w:pPr>
            <w:r>
              <w:rPr>
                <w:rFonts w:ascii="Arial" w:cs="Arial" w:eastAsia="Arial" w:hAnsi="Arial"/>
                <w:sz w:val="13"/>
                <w:szCs w:val="13"/>
                <w:color w:val="auto"/>
              </w:rPr>
              <w:t>2023</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52</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3"/>
                <w:szCs w:val="13"/>
                <w:color w:val="auto"/>
              </w:rPr>
              <w:t>611</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tcBorders>
              <w:lef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500" w:type="dxa"/>
            <w:vAlign w:val="bottom"/>
            <w:tcBorders>
              <w:lef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612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rPr>
                <w:sz w:val="20"/>
                <w:szCs w:val="20"/>
                <w:color w:val="auto"/>
              </w:rPr>
            </w:pPr>
            <w:r>
              <w:rPr>
                <w:rFonts w:ascii="Arial" w:cs="Arial" w:eastAsia="Arial" w:hAnsi="Arial"/>
                <w:sz w:val="13"/>
                <w:szCs w:val="13"/>
                <w:color w:val="auto"/>
              </w:rPr>
              <w:t>Restricted stock units issued</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123</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3"/>
                <w:szCs w:val="13"/>
                <w:color w:val="auto"/>
              </w:rPr>
              <w:t>(622 )</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3"/>
                <w:szCs w:val="13"/>
                <w:color w:val="auto"/>
              </w:rPr>
              <w:t>(621 )</w:t>
            </w:r>
          </w:p>
        </w:tc>
        <w:tc>
          <w:tcPr>
            <w:tcW w:w="0" w:type="dxa"/>
            <w:vAlign w:val="bottom"/>
          </w:tcPr>
          <w:p>
            <w:pPr>
              <w:spacing w:after="0"/>
              <w:rPr>
                <w:sz w:val="1"/>
                <w:szCs w:val="1"/>
                <w:color w:val="auto"/>
              </w:rPr>
            </w:pPr>
          </w:p>
        </w:tc>
      </w:tr>
      <w:tr>
        <w:trPr>
          <w:trHeight w:val="176"/>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 based compensation earned</w:t>
            </w:r>
          </w:p>
        </w:tc>
        <w:tc>
          <w:tcPr>
            <w:tcW w:w="260" w:type="dxa"/>
            <w:vAlign w:val="bottom"/>
            <w:tcBorders>
              <w:right w:val="single" w:sz="8" w:color="CFF0FC"/>
            </w:tcBorders>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460" w:type="dxa"/>
            <w:vAlign w:val="bottom"/>
            <w:tcBorders>
              <w:lef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78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3"/>
                <w:szCs w:val="13"/>
                <w:color w:val="auto"/>
              </w:rPr>
              <w:t>808</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tcBorders>
              <w:lef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500" w:type="dxa"/>
            <w:vAlign w:val="bottom"/>
            <w:tcBorders>
              <w:lef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808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rPr>
                <w:sz w:val="20"/>
                <w:szCs w:val="20"/>
                <w:color w:val="auto"/>
              </w:rPr>
            </w:pPr>
            <w:r>
              <w:rPr>
                <w:rFonts w:ascii="Arial" w:cs="Arial" w:eastAsia="Arial" w:hAnsi="Arial"/>
                <w:sz w:val="13"/>
                <w:szCs w:val="13"/>
                <w:color w:val="auto"/>
              </w:rPr>
              <w:t>Translation gain</w:t>
            </w:r>
          </w:p>
        </w:tc>
        <w:tc>
          <w:tcPr>
            <w:tcW w:w="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766</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766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March 31, 2023</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34,557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6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346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3"/>
                <w:szCs w:val="13"/>
                <w:color w:val="auto"/>
              </w:rPr>
              <w:t>250,971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960" w:type="dxa"/>
            <w:vAlign w:val="bottom"/>
            <w:gridSpan w:val="4"/>
            <w:shd w:val="clear" w:color="auto" w:fill="CFF0FC"/>
          </w:tcPr>
          <w:p>
            <w:pPr>
              <w:jc w:val="right"/>
              <w:ind w:right="220"/>
              <w:spacing w:after="0"/>
              <w:rPr>
                <w:sz w:val="20"/>
                <w:szCs w:val="20"/>
                <w:color w:val="auto"/>
              </w:rPr>
            </w:pPr>
            <w:r>
              <w:rPr>
                <w:rFonts w:ascii="Arial" w:cs="Arial" w:eastAsia="Arial" w:hAnsi="Arial"/>
                <w:sz w:val="13"/>
                <w:szCs w:val="13"/>
                <w:color w:val="auto"/>
              </w:rPr>
              <w:t>(17,320 )</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4"/>
            <w:shd w:val="clear" w:color="auto" w:fill="CFF0FC"/>
          </w:tcPr>
          <w:p>
            <w:pPr>
              <w:jc w:val="right"/>
              <w:ind w:right="200"/>
              <w:spacing w:after="0"/>
              <w:rPr>
                <w:sz w:val="20"/>
                <w:szCs w:val="20"/>
                <w:color w:val="auto"/>
              </w:rPr>
            </w:pPr>
            <w:r>
              <w:rPr>
                <w:rFonts w:ascii="Arial" w:cs="Arial" w:eastAsia="Arial" w:hAnsi="Arial"/>
                <w:sz w:val="13"/>
                <w:szCs w:val="13"/>
                <w:color w:val="auto"/>
              </w:rPr>
              <w:t>(17,230 )</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5,415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222,182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000" w:type="dxa"/>
            <w:vAlign w:val="bottom"/>
            <w:tcBorders>
              <w:top w:val="single" w:sz="8" w:color="CFF0FC"/>
            </w:tcBorders>
          </w:tcPr>
          <w:p>
            <w:pPr>
              <w:ind w:left="20"/>
              <w:spacing w:after="0" w:line="132" w:lineRule="exact"/>
              <w:rPr>
                <w:sz w:val="20"/>
                <w:szCs w:val="20"/>
                <w:color w:val="auto"/>
              </w:rPr>
            </w:pPr>
            <w:r>
              <w:rPr>
                <w:rFonts w:ascii="Arial" w:cs="Arial" w:eastAsia="Arial" w:hAnsi="Arial"/>
                <w:sz w:val="13"/>
                <w:szCs w:val="13"/>
                <w:color w:val="auto"/>
              </w:rPr>
              <w:t>Net income for the three months ended June 30,</w:t>
            </w:r>
          </w:p>
        </w:tc>
        <w:tc>
          <w:tcPr>
            <w:tcW w:w="2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3"/>
          </w:tcPr>
          <w:p>
            <w:pPr>
              <w:jc w:val="right"/>
              <w:spacing w:after="0" w:line="132" w:lineRule="exact"/>
              <w:rPr>
                <w:sz w:val="20"/>
                <w:szCs w:val="20"/>
                <w:color w:val="auto"/>
              </w:rPr>
            </w:pPr>
            <w:r>
              <w:rPr>
                <w:rFonts w:ascii="Arial" w:cs="Arial" w:eastAsia="Arial" w:hAnsi="Arial"/>
                <w:sz w:val="13"/>
                <w:szCs w:val="13"/>
                <w:color w:val="auto"/>
              </w:rPr>
              <w:t>3,724</w:t>
            </w:r>
          </w:p>
        </w:tc>
        <w:tc>
          <w:tcPr>
            <w:tcW w:w="2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jc w:val="right"/>
              <w:spacing w:after="0" w:line="132" w:lineRule="exact"/>
              <w:rPr>
                <w:sz w:val="20"/>
                <w:szCs w:val="20"/>
                <w:color w:val="auto"/>
              </w:rPr>
            </w:pPr>
            <w:r>
              <w:rPr>
                <w:rFonts w:ascii="Arial" w:cs="Arial" w:eastAsia="Arial" w:hAnsi="Arial"/>
                <w:sz w:val="13"/>
                <w:szCs w:val="13"/>
                <w:color w:val="auto"/>
              </w:rPr>
              <w:t>266</w:t>
            </w:r>
          </w:p>
        </w:tc>
        <w:tc>
          <w:tcPr>
            <w:tcW w:w="24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jc w:val="right"/>
              <w:spacing w:after="0" w:line="132" w:lineRule="exact"/>
              <w:rPr>
                <w:sz w:val="20"/>
                <w:szCs w:val="20"/>
                <w:color w:val="auto"/>
              </w:rPr>
            </w:pPr>
            <w:r>
              <w:rPr>
                <w:rFonts w:ascii="Arial" w:cs="Arial" w:eastAsia="Arial" w:hAnsi="Arial"/>
                <w:sz w:val="13"/>
                <w:szCs w:val="13"/>
                <w:color w:val="auto"/>
              </w:rPr>
              <w:t>3,990</w:t>
            </w:r>
          </w:p>
        </w:tc>
        <w:tc>
          <w:tcPr>
            <w:tcW w:w="14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000" w:type="dxa"/>
            <w:vAlign w:val="bottom"/>
          </w:tcPr>
          <w:p>
            <w:pPr>
              <w:ind w:left="20"/>
              <w:spacing w:after="0"/>
              <w:rPr>
                <w:sz w:val="20"/>
                <w:szCs w:val="20"/>
                <w:color w:val="auto"/>
              </w:rPr>
            </w:pPr>
            <w:r>
              <w:rPr>
                <w:rFonts w:ascii="Arial" w:cs="Arial" w:eastAsia="Arial" w:hAnsi="Arial"/>
                <w:sz w:val="13"/>
                <w:szCs w:val="13"/>
                <w:color w:val="auto"/>
              </w:rPr>
              <w:t>2023</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25</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460" w:type="dxa"/>
            <w:vAlign w:val="bottom"/>
            <w:tcBorders>
              <w:lef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78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3"/>
                <w:szCs w:val="13"/>
                <w:color w:val="auto"/>
              </w:rPr>
              <w:t>317</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tcBorders>
              <w:lef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500" w:type="dxa"/>
            <w:vAlign w:val="bottom"/>
            <w:tcBorders>
              <w:lef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317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rPr>
                <w:sz w:val="20"/>
                <w:szCs w:val="20"/>
                <w:color w:val="auto"/>
              </w:rPr>
            </w:pPr>
            <w:r>
              <w:rPr>
                <w:rFonts w:ascii="Arial" w:cs="Arial" w:eastAsia="Arial" w:hAnsi="Arial"/>
                <w:sz w:val="13"/>
                <w:szCs w:val="13"/>
                <w:color w:val="auto"/>
              </w:rPr>
              <w:t>Restricted stock units issued</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132</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3"/>
                <w:szCs w:val="13"/>
                <w:color w:val="auto"/>
              </w:rPr>
              <w:t>(271 )</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3"/>
                <w:szCs w:val="13"/>
                <w:color w:val="auto"/>
              </w:rPr>
              <w:t>(270 )</w:t>
            </w:r>
          </w:p>
        </w:tc>
        <w:tc>
          <w:tcPr>
            <w:tcW w:w="0" w:type="dxa"/>
            <w:vAlign w:val="bottom"/>
          </w:tcPr>
          <w:p>
            <w:pPr>
              <w:spacing w:after="0"/>
              <w:rPr>
                <w:sz w:val="1"/>
                <w:szCs w:val="1"/>
                <w:color w:val="auto"/>
              </w:rPr>
            </w:pPr>
          </w:p>
        </w:tc>
      </w:tr>
      <w:tr>
        <w:trPr>
          <w:trHeight w:val="176"/>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 based compensation earned</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24</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460" w:type="dxa"/>
            <w:vAlign w:val="bottom"/>
            <w:tcBorders>
              <w:lef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78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3"/>
                <w:szCs w:val="13"/>
                <w:color w:val="auto"/>
              </w:rPr>
              <w:t>1,389</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tcBorders>
              <w:lef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500" w:type="dxa"/>
            <w:vAlign w:val="bottom"/>
            <w:tcBorders>
              <w:lef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1,389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rPr>
                <w:sz w:val="20"/>
                <w:szCs w:val="20"/>
                <w:color w:val="auto"/>
              </w:rPr>
            </w:pPr>
            <w:r>
              <w:rPr>
                <w:rFonts w:ascii="Arial" w:cs="Arial" w:eastAsia="Arial" w:hAnsi="Arial"/>
                <w:sz w:val="13"/>
                <w:szCs w:val="13"/>
                <w:color w:val="auto"/>
              </w:rPr>
              <w:t>Translation gain</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139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139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Noncontrolling interest distributions</w:t>
            </w:r>
          </w:p>
        </w:tc>
        <w:tc>
          <w:tcPr>
            <w:tcW w:w="260" w:type="dxa"/>
            <w:vAlign w:val="bottom"/>
            <w:tcBorders>
              <w:right w:val="single" w:sz="8" w:color="CFF0FC"/>
            </w:tcBorders>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0" w:type="dxa"/>
            <w:vAlign w:val="bottom"/>
            <w:tcBorders>
              <w:left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tcBorders>
              <w:right w:val="single" w:sz="8" w:color="CFF0FC"/>
            </w:tcBorders>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00" w:type="dxa"/>
            <w:vAlign w:val="bottom"/>
            <w:tcBorders>
              <w:left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4"/>
            <w:shd w:val="clear" w:color="auto" w:fill="CFF0FC"/>
          </w:tcPr>
          <w:p>
            <w:pPr>
              <w:jc w:val="right"/>
              <w:ind w:right="200"/>
              <w:spacing w:after="0"/>
              <w:rPr>
                <w:sz w:val="20"/>
                <w:szCs w:val="20"/>
                <w:color w:val="auto"/>
              </w:rPr>
            </w:pPr>
            <w:r>
              <w:rPr>
                <w:rFonts w:ascii="Arial" w:cs="Arial" w:eastAsia="Arial" w:hAnsi="Arial"/>
                <w:sz w:val="13"/>
                <w:szCs w:val="13"/>
                <w:color w:val="auto"/>
              </w:rPr>
              <w:t>(599 )</w:t>
            </w:r>
          </w:p>
        </w:tc>
        <w:tc>
          <w:tcPr>
            <w:tcW w:w="180" w:type="dxa"/>
            <w:vAlign w:val="bottom"/>
            <w:shd w:val="clear" w:color="auto" w:fill="CFF0FC"/>
          </w:tcPr>
          <w:p>
            <w:pPr>
              <w:spacing w:after="0"/>
              <w:rPr>
                <w:sz w:val="15"/>
                <w:szCs w:val="15"/>
                <w:color w:val="auto"/>
              </w:rPr>
            </w:pPr>
          </w:p>
        </w:tc>
        <w:tc>
          <w:tcPr>
            <w:tcW w:w="880" w:type="dxa"/>
            <w:vAlign w:val="bottom"/>
            <w:gridSpan w:val="4"/>
            <w:shd w:val="clear" w:color="auto" w:fill="CFF0FC"/>
          </w:tcPr>
          <w:p>
            <w:pPr>
              <w:jc w:val="right"/>
              <w:ind w:right="80"/>
              <w:spacing w:after="0"/>
              <w:rPr>
                <w:sz w:val="20"/>
                <w:szCs w:val="20"/>
                <w:color w:val="auto"/>
              </w:rPr>
            </w:pPr>
            <w:r>
              <w:rPr>
                <w:rFonts w:ascii="Arial" w:cs="Arial" w:eastAsia="Arial" w:hAnsi="Arial"/>
                <w:sz w:val="13"/>
                <w:szCs w:val="13"/>
                <w:color w:val="auto"/>
              </w:rPr>
              <w:t>(599 )</w:t>
            </w:r>
          </w:p>
        </w:tc>
        <w:tc>
          <w:tcPr>
            <w:tcW w:w="0" w:type="dxa"/>
            <w:vAlign w:val="bottom"/>
          </w:tcPr>
          <w:p>
            <w:pPr>
              <w:spacing w:after="0"/>
              <w:rPr>
                <w:sz w:val="1"/>
                <w:szCs w:val="1"/>
                <w:color w:val="auto"/>
              </w:rPr>
            </w:pPr>
          </w:p>
        </w:tc>
      </w:tr>
      <w:tr>
        <w:trPr>
          <w:trHeight w:val="20"/>
        </w:trPr>
        <w:tc>
          <w:tcPr>
            <w:tcW w:w="3000" w:type="dxa"/>
            <w:vAlign w:val="bottom"/>
            <w:shd w:val="clear" w:color="auto" w:fill="CFF0FC"/>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CFF0FC"/>
            </w:tcBorders>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00" w:type="dxa"/>
            <w:vAlign w:val="bottom"/>
          </w:tcPr>
          <w:p>
            <w:pPr>
              <w:ind w:left="20"/>
              <w:spacing w:after="0"/>
              <w:rPr>
                <w:sz w:val="20"/>
                <w:szCs w:val="20"/>
                <w:color w:val="auto"/>
              </w:rPr>
            </w:pPr>
            <w:r>
              <w:rPr>
                <w:rFonts w:ascii="Arial" w:cs="Arial" w:eastAsia="Arial" w:hAnsi="Arial"/>
                <w:sz w:val="13"/>
                <w:szCs w:val="13"/>
                <w:color w:val="auto"/>
              </w:rPr>
              <w:t>Balance June 30, 2023</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34,738</w:t>
            </w:r>
          </w:p>
        </w:tc>
        <w:tc>
          <w:tcPr>
            <w:tcW w:w="26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347</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252,406</w:t>
            </w:r>
          </w:p>
        </w:tc>
        <w:tc>
          <w:tcPr>
            <w:tcW w:w="260" w:type="dxa"/>
            <w:vAlign w:val="bottom"/>
          </w:tcPr>
          <w:p>
            <w:pPr>
              <w:spacing w:after="0"/>
              <w:rPr>
                <w:sz w:val="14"/>
                <w:szCs w:val="14"/>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960" w:type="dxa"/>
            <w:vAlign w:val="bottom"/>
            <w:gridSpan w:val="4"/>
          </w:tcPr>
          <w:p>
            <w:pPr>
              <w:jc w:val="right"/>
              <w:ind w:right="220"/>
              <w:spacing w:after="0"/>
              <w:rPr>
                <w:sz w:val="20"/>
                <w:szCs w:val="20"/>
                <w:color w:val="auto"/>
              </w:rPr>
            </w:pPr>
            <w:r>
              <w:rPr>
                <w:rFonts w:ascii="Arial" w:cs="Arial" w:eastAsia="Arial" w:hAnsi="Arial"/>
                <w:sz w:val="13"/>
                <w:szCs w:val="13"/>
                <w:color w:val="auto"/>
              </w:rPr>
              <w:t>(13,596 )</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4"/>
          </w:tcPr>
          <w:p>
            <w:pPr>
              <w:jc w:val="right"/>
              <w:ind w:right="200"/>
              <w:spacing w:after="0"/>
              <w:rPr>
                <w:sz w:val="20"/>
                <w:szCs w:val="20"/>
                <w:color w:val="auto"/>
              </w:rPr>
            </w:pPr>
            <w:r>
              <w:rPr>
                <w:rFonts w:ascii="Arial" w:cs="Arial" w:eastAsia="Arial" w:hAnsi="Arial"/>
                <w:sz w:val="13"/>
                <w:szCs w:val="13"/>
                <w:color w:val="auto"/>
              </w:rPr>
              <w:t>(17,091 )</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5,082</w:t>
            </w:r>
          </w:p>
        </w:tc>
        <w:tc>
          <w:tcPr>
            <w:tcW w:w="24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227,148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4"/>
          </w:tcPr>
          <w:p>
            <w:pPr>
              <w:jc w:val="center"/>
              <w:ind w:right="420"/>
              <w:spacing w:after="0"/>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6"/>
            <w:vMerge w:val="restart"/>
          </w:tcPr>
          <w:p>
            <w:pPr>
              <w:jc w:val="right"/>
              <w:ind w:right="473"/>
              <w:spacing w:after="0"/>
              <w:rPr>
                <w:sz w:val="20"/>
                <w:szCs w:val="20"/>
                <w:color w:val="auto"/>
              </w:rPr>
            </w:pPr>
            <w:r>
              <w:rPr>
                <w:rFonts w:ascii="Arial" w:cs="Arial" w:eastAsia="Arial" w:hAnsi="Arial"/>
                <w:sz w:val="13"/>
                <w:szCs w:val="13"/>
                <w:b w:val="1"/>
                <w:bCs w:val="1"/>
                <w:color w:val="auto"/>
              </w:rPr>
              <w:t>Common Stock</w:t>
            </w:r>
          </w:p>
        </w:tc>
        <w:tc>
          <w:tcPr>
            <w:tcW w:w="2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right="380"/>
              <w:spacing w:after="0"/>
              <w:rPr>
                <w:sz w:val="20"/>
                <w:szCs w:val="20"/>
                <w:color w:val="auto"/>
              </w:rPr>
            </w:pPr>
            <w:r>
              <w:rPr>
                <w:rFonts w:ascii="Arial" w:cs="Arial" w:eastAsia="Arial" w:hAnsi="Arial"/>
                <w:sz w:val="13"/>
                <w:szCs w:val="13"/>
                <w:b w:val="1"/>
                <w:bCs w:val="1"/>
                <w:color w:val="auto"/>
                <w:w w:val="99"/>
              </w:rPr>
              <w:t>Capital in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4"/>
          </w:tcPr>
          <w:p>
            <w:pPr>
              <w:jc w:val="center"/>
              <w:ind w:right="380"/>
              <w:spacing w:after="0"/>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94"/>
              </w:rPr>
              <w:t>Non-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84"/>
              </w:rPr>
              <w:t>excess of</w:t>
            </w:r>
          </w:p>
        </w:tc>
        <w:tc>
          <w:tcPr>
            <w:tcW w:w="116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14"/>
                <w:szCs w:val="14"/>
                <w:color w:val="auto"/>
              </w:rPr>
            </w:pPr>
          </w:p>
        </w:tc>
        <w:tc>
          <w:tcPr>
            <w:tcW w:w="1340" w:type="dxa"/>
            <w:vAlign w:val="bottom"/>
            <w:gridSpan w:val="4"/>
          </w:tcPr>
          <w:p>
            <w:pPr>
              <w:jc w:val="center"/>
              <w:ind w:right="380"/>
              <w:spacing w:after="0"/>
              <w:rPr>
                <w:sz w:val="20"/>
                <w:szCs w:val="20"/>
                <w:color w:val="auto"/>
              </w:rPr>
            </w:pPr>
            <w:r>
              <w:rPr>
                <w:rFonts w:ascii="Arial" w:cs="Arial" w:eastAsia="Arial" w:hAnsi="Arial"/>
                <w:sz w:val="13"/>
                <w:szCs w:val="13"/>
                <w:b w:val="1"/>
                <w:bCs w:val="1"/>
                <w:color w:val="auto"/>
                <w:w w:val="90"/>
              </w:rPr>
              <w:t>Comprehensive</w:t>
            </w:r>
          </w:p>
        </w:tc>
        <w:tc>
          <w:tcPr>
            <w:tcW w:w="120" w:type="dxa"/>
            <w:vAlign w:val="bottom"/>
          </w:tcPr>
          <w:p>
            <w:pPr>
              <w:spacing w:after="0"/>
              <w:rPr>
                <w:sz w:val="14"/>
                <w:szCs w:val="14"/>
                <w:color w:val="auto"/>
              </w:rPr>
            </w:pPr>
          </w:p>
        </w:tc>
        <w:tc>
          <w:tcPr>
            <w:tcW w:w="1040" w:type="dxa"/>
            <w:vAlign w:val="bottom"/>
            <w:gridSpan w:val="4"/>
          </w:tcPr>
          <w:p>
            <w:pPr>
              <w:jc w:val="center"/>
              <w:ind w:right="380"/>
              <w:spacing w:after="0"/>
              <w:rPr>
                <w:sz w:val="20"/>
                <w:szCs w:val="20"/>
                <w:color w:val="auto"/>
              </w:rPr>
            </w:pPr>
            <w:r>
              <w:rPr>
                <w:rFonts w:ascii="Arial" w:cs="Arial" w:eastAsia="Arial" w:hAnsi="Arial"/>
                <w:sz w:val="13"/>
                <w:szCs w:val="13"/>
                <w:b w:val="1"/>
                <w:bCs w:val="1"/>
                <w:color w:val="auto"/>
                <w:w w:val="92"/>
              </w:rPr>
              <w:t>controlling</w:t>
            </w:r>
          </w:p>
        </w:tc>
        <w:tc>
          <w:tcPr>
            <w:tcW w:w="106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2"/>
              </w:rPr>
              <w:t>Shareholders'</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82"/>
              </w:rPr>
              <w:t>Shares</w:t>
            </w:r>
          </w:p>
        </w:tc>
        <w:tc>
          <w:tcPr>
            <w:tcW w:w="5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93"/>
              </w:rPr>
              <w:t>Amount</w:t>
            </w:r>
          </w:p>
        </w:tc>
        <w:tc>
          <w:tcPr>
            <w:tcW w:w="4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center"/>
              <w:ind w:right="440"/>
              <w:spacing w:after="0" w:line="142" w:lineRule="exact"/>
              <w:rPr>
                <w:sz w:val="20"/>
                <w:szCs w:val="20"/>
                <w:color w:val="auto"/>
              </w:rPr>
            </w:pPr>
            <w:r>
              <w:rPr>
                <w:rFonts w:ascii="Arial" w:cs="Arial" w:eastAsia="Arial" w:hAnsi="Arial"/>
                <w:sz w:val="13"/>
                <w:szCs w:val="13"/>
                <w:b w:val="1"/>
                <w:bCs w:val="1"/>
                <w:color w:val="auto"/>
                <w:w w:val="94"/>
              </w:rPr>
              <w:t>par value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580"/>
              <w:spacing w:after="0" w:line="142" w:lineRule="exact"/>
              <w:rPr>
                <w:sz w:val="20"/>
                <w:szCs w:val="20"/>
                <w:color w:val="auto"/>
              </w:rPr>
            </w:pPr>
            <w:r>
              <w:rPr>
                <w:rFonts w:ascii="Arial" w:cs="Arial" w:eastAsia="Arial" w:hAnsi="Arial"/>
                <w:sz w:val="13"/>
                <w:szCs w:val="13"/>
                <w:b w:val="1"/>
                <w:bCs w:val="1"/>
                <w:color w:val="auto"/>
                <w:w w:val="85"/>
              </w:rPr>
              <w:t>Loss</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3"/>
          </w:tcPr>
          <w:p>
            <w:pPr>
              <w:jc w:val="center"/>
              <w:ind w:right="720"/>
              <w:spacing w:after="0" w:line="142" w:lineRule="exact"/>
              <w:rPr>
                <w:sz w:val="20"/>
                <w:szCs w:val="20"/>
                <w:color w:val="auto"/>
              </w:rPr>
            </w:pPr>
            <w:r>
              <w:rPr>
                <w:rFonts w:ascii="Arial" w:cs="Arial" w:eastAsia="Arial" w:hAnsi="Arial"/>
                <w:sz w:val="13"/>
                <w:szCs w:val="13"/>
                <w:b w:val="1"/>
                <w:bCs w:val="1"/>
                <w:color w:val="auto"/>
                <w:w w:val="92"/>
              </w:rPr>
              <w:t>Loss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500"/>
              <w:spacing w:after="0" w:line="142" w:lineRule="exact"/>
              <w:rPr>
                <w:sz w:val="20"/>
                <w:szCs w:val="20"/>
                <w:color w:val="auto"/>
              </w:rPr>
            </w:pPr>
            <w:r>
              <w:rPr>
                <w:rFonts w:ascii="Arial" w:cs="Arial" w:eastAsia="Arial" w:hAnsi="Arial"/>
                <w:sz w:val="13"/>
                <w:szCs w:val="13"/>
                <w:b w:val="1"/>
                <w:bCs w:val="1"/>
                <w:color w:val="auto"/>
                <w:w w:val="89"/>
              </w:rPr>
              <w:t>interest</w:t>
            </w:r>
          </w:p>
        </w:tc>
        <w:tc>
          <w:tcPr>
            <w:tcW w:w="180" w:type="dxa"/>
            <w:vAlign w:val="bottom"/>
          </w:tcPr>
          <w:p>
            <w:pPr>
              <w:spacing w:after="0"/>
              <w:rPr>
                <w:sz w:val="12"/>
                <w:szCs w:val="12"/>
                <w:color w:val="auto"/>
              </w:rPr>
            </w:pPr>
          </w:p>
        </w:tc>
        <w:tc>
          <w:tcPr>
            <w:tcW w:w="880" w:type="dxa"/>
            <w:vAlign w:val="bottom"/>
            <w:gridSpan w:val="4"/>
          </w:tcPr>
          <w:p>
            <w:pPr>
              <w:jc w:val="center"/>
              <w:ind w:right="300"/>
              <w:spacing w:after="0" w:line="142"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December 31, 2021</w:t>
            </w:r>
          </w:p>
        </w:tc>
        <w:tc>
          <w:tcPr>
            <w:tcW w:w="260" w:type="dxa"/>
            <w:vAlign w:val="bottom"/>
            <w:tcBorders>
              <w:right w:val="single" w:sz="8" w:color="CFF0FC"/>
            </w:tcBorders>
            <w:shd w:val="clear" w:color="auto" w:fill="CFF0FC"/>
          </w:tcPr>
          <w:p>
            <w:pPr>
              <w:spacing w:after="0"/>
              <w:rPr>
                <w:sz w:val="15"/>
                <w:szCs w:val="15"/>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35,028</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6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350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3"/>
                <w:szCs w:val="13"/>
                <w:color w:val="auto"/>
              </w:rPr>
              <w:t>252,989</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960" w:type="dxa"/>
            <w:vAlign w:val="bottom"/>
            <w:gridSpan w:val="4"/>
            <w:shd w:val="clear" w:color="auto" w:fill="CFF0FC"/>
          </w:tcPr>
          <w:p>
            <w:pPr>
              <w:jc w:val="right"/>
              <w:ind w:right="200"/>
              <w:spacing w:after="0"/>
              <w:rPr>
                <w:sz w:val="20"/>
                <w:szCs w:val="20"/>
                <w:color w:val="auto"/>
              </w:rPr>
            </w:pPr>
            <w:r>
              <w:rPr>
                <w:rFonts w:ascii="Arial" w:cs="Arial" w:eastAsia="Arial" w:hAnsi="Arial"/>
                <w:sz w:val="13"/>
                <w:szCs w:val="13"/>
                <w:color w:val="auto"/>
              </w:rPr>
              <w:t>(36,715 )</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4"/>
            <w:shd w:val="clear" w:color="auto" w:fill="CFF0FC"/>
          </w:tcPr>
          <w:p>
            <w:pPr>
              <w:jc w:val="right"/>
              <w:ind w:right="200"/>
              <w:spacing w:after="0"/>
              <w:rPr>
                <w:sz w:val="20"/>
                <w:szCs w:val="20"/>
                <w:color w:val="auto"/>
              </w:rPr>
            </w:pPr>
            <w:r>
              <w:rPr>
                <w:rFonts w:ascii="Arial" w:cs="Arial" w:eastAsia="Arial" w:hAnsi="Arial"/>
                <w:sz w:val="13"/>
                <w:szCs w:val="13"/>
                <w:color w:val="auto"/>
              </w:rPr>
              <w:t>(12,070 )</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1,403</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205,957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000" w:type="dxa"/>
            <w:vAlign w:val="bottom"/>
          </w:tcPr>
          <w:p>
            <w:pPr>
              <w:ind w:left="20"/>
              <w:spacing w:after="0"/>
              <w:rPr>
                <w:sz w:val="20"/>
                <w:szCs w:val="20"/>
                <w:color w:val="auto"/>
              </w:rPr>
            </w:pPr>
            <w:r>
              <w:rPr>
                <w:rFonts w:ascii="Arial" w:cs="Arial" w:eastAsia="Arial" w:hAnsi="Arial"/>
                <w:sz w:val="13"/>
                <w:szCs w:val="13"/>
                <w:color w:val="auto"/>
              </w:rPr>
              <w:t>Net income for the three months ended March 31,</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2,792</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18</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2,810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00" w:type="dxa"/>
            <w:vAlign w:val="bottom"/>
          </w:tcPr>
          <w:p>
            <w:pPr>
              <w:ind w:left="20"/>
              <w:spacing w:after="0"/>
              <w:rPr>
                <w:sz w:val="20"/>
                <w:szCs w:val="20"/>
                <w:color w:val="auto"/>
              </w:rPr>
            </w:pPr>
            <w:r>
              <w:rPr>
                <w:rFonts w:ascii="Arial" w:cs="Arial" w:eastAsia="Arial" w:hAnsi="Arial"/>
                <w:sz w:val="13"/>
                <w:szCs w:val="13"/>
                <w:color w:val="auto"/>
              </w:rPr>
              <w:t>2022</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Restricted stock units issued</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34</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460" w:type="dxa"/>
            <w:vAlign w:val="bottom"/>
            <w:tcBorders>
              <w:lef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40" w:type="dxa"/>
            <w:vAlign w:val="bottom"/>
            <w:gridSpan w:val="4"/>
            <w:shd w:val="clear" w:color="auto" w:fill="CFF0FC"/>
          </w:tcPr>
          <w:p>
            <w:pPr>
              <w:jc w:val="right"/>
              <w:ind w:right="200"/>
              <w:spacing w:after="0"/>
              <w:rPr>
                <w:sz w:val="20"/>
                <w:szCs w:val="20"/>
                <w:color w:val="auto"/>
              </w:rPr>
            </w:pPr>
            <w:r>
              <w:rPr>
                <w:rFonts w:ascii="Arial" w:cs="Arial" w:eastAsia="Arial" w:hAnsi="Arial"/>
                <w:sz w:val="13"/>
                <w:szCs w:val="13"/>
                <w:color w:val="auto"/>
              </w:rPr>
              <w:t>(67 )</w:t>
            </w:r>
          </w:p>
        </w:tc>
        <w:tc>
          <w:tcPr>
            <w:tcW w:w="20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tcBorders>
              <w:lef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500" w:type="dxa"/>
            <w:vAlign w:val="bottom"/>
            <w:tcBorders>
              <w:lef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880" w:type="dxa"/>
            <w:vAlign w:val="bottom"/>
            <w:gridSpan w:val="4"/>
            <w:shd w:val="clear" w:color="auto" w:fill="CFF0FC"/>
          </w:tcPr>
          <w:p>
            <w:pPr>
              <w:jc w:val="right"/>
              <w:ind w:right="80"/>
              <w:spacing w:after="0"/>
              <w:rPr>
                <w:sz w:val="20"/>
                <w:szCs w:val="20"/>
                <w:color w:val="auto"/>
              </w:rPr>
            </w:pPr>
            <w:r>
              <w:rPr>
                <w:rFonts w:ascii="Arial" w:cs="Arial" w:eastAsia="Arial" w:hAnsi="Arial"/>
                <w:sz w:val="13"/>
                <w:szCs w:val="13"/>
                <w:color w:val="auto"/>
              </w:rPr>
              <w:t>(67 )</w:t>
            </w: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rPr>
                <w:sz w:val="20"/>
                <w:szCs w:val="20"/>
                <w:color w:val="auto"/>
              </w:rPr>
            </w:pPr>
            <w:r>
              <w:rPr>
                <w:rFonts w:ascii="Arial" w:cs="Arial" w:eastAsia="Arial" w:hAnsi="Arial"/>
                <w:sz w:val="13"/>
                <w:szCs w:val="13"/>
                <w:color w:val="auto"/>
              </w:rPr>
              <w:t>Share based compensation earned</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14</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953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953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Translation loss</w:t>
            </w:r>
          </w:p>
        </w:tc>
        <w:tc>
          <w:tcPr>
            <w:tcW w:w="260" w:type="dxa"/>
            <w:vAlign w:val="bottom"/>
            <w:tcBorders>
              <w:right w:val="single" w:sz="8" w:color="CFF0FC"/>
            </w:tcBorders>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460" w:type="dxa"/>
            <w:vAlign w:val="bottom"/>
            <w:tcBorders>
              <w:lef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60" w:type="dxa"/>
            <w:vAlign w:val="bottom"/>
            <w:tcBorders>
              <w:right w:val="single" w:sz="8" w:color="CFF0FC"/>
            </w:tcBorders>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340" w:type="dxa"/>
            <w:vAlign w:val="bottom"/>
            <w:gridSpan w:val="4"/>
            <w:shd w:val="clear" w:color="auto" w:fill="CFF0FC"/>
          </w:tcPr>
          <w:p>
            <w:pPr>
              <w:jc w:val="right"/>
              <w:ind w:right="200"/>
              <w:spacing w:after="0"/>
              <w:rPr>
                <w:sz w:val="20"/>
                <w:szCs w:val="20"/>
                <w:color w:val="auto"/>
              </w:rPr>
            </w:pPr>
            <w:r>
              <w:rPr>
                <w:rFonts w:ascii="Arial" w:cs="Arial" w:eastAsia="Arial" w:hAnsi="Arial"/>
                <w:sz w:val="13"/>
                <w:szCs w:val="13"/>
                <w:color w:val="auto"/>
              </w:rPr>
              <w:t>(531 )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500" w:type="dxa"/>
            <w:vAlign w:val="bottom"/>
            <w:tcBorders>
              <w:lef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880" w:type="dxa"/>
            <w:vAlign w:val="bottom"/>
            <w:gridSpan w:val="4"/>
            <w:shd w:val="clear" w:color="auto" w:fill="CFF0FC"/>
          </w:tcPr>
          <w:p>
            <w:pPr>
              <w:jc w:val="right"/>
              <w:ind w:right="80"/>
              <w:spacing w:after="0"/>
              <w:rPr>
                <w:sz w:val="20"/>
                <w:szCs w:val="20"/>
                <w:color w:val="auto"/>
              </w:rPr>
            </w:pPr>
            <w:r>
              <w:rPr>
                <w:rFonts w:ascii="Arial" w:cs="Arial" w:eastAsia="Arial" w:hAnsi="Arial"/>
                <w:sz w:val="13"/>
                <w:szCs w:val="13"/>
                <w:color w:val="auto"/>
              </w:rPr>
              <w:t>(531 )</w:t>
            </w: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rPr>
                <w:sz w:val="20"/>
                <w:szCs w:val="20"/>
                <w:color w:val="auto"/>
              </w:rPr>
            </w:pPr>
            <w:r>
              <w:rPr>
                <w:rFonts w:ascii="Arial" w:cs="Arial" w:eastAsia="Arial" w:hAnsi="Arial"/>
                <w:sz w:val="13"/>
                <w:szCs w:val="13"/>
                <w:color w:val="auto"/>
              </w:rPr>
              <w:t>Noncontrolling interest distributions</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3"/>
                <w:szCs w:val="13"/>
                <w:color w:val="auto"/>
              </w:rPr>
              <w:t>(900 )</w:t>
            </w:r>
          </w:p>
        </w:tc>
        <w:tc>
          <w:tcPr>
            <w:tcW w:w="180" w:type="dxa"/>
            <w:vAlign w:val="bottom"/>
          </w:tcPr>
          <w:p>
            <w:pPr>
              <w:spacing w:after="0"/>
              <w:rPr>
                <w:sz w:val="15"/>
                <w:szCs w:val="15"/>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3"/>
                <w:szCs w:val="13"/>
                <w:color w:val="auto"/>
              </w:rPr>
              <w:t>(900 )</w:t>
            </w:r>
          </w:p>
        </w:tc>
        <w:tc>
          <w:tcPr>
            <w:tcW w:w="0" w:type="dxa"/>
            <w:vAlign w:val="bottom"/>
          </w:tcPr>
          <w:p>
            <w:pPr>
              <w:spacing w:after="0"/>
              <w:rPr>
                <w:sz w:val="1"/>
                <w:szCs w:val="1"/>
                <w:color w:val="auto"/>
              </w:rPr>
            </w:pPr>
          </w:p>
        </w:tc>
      </w:tr>
      <w:tr>
        <w:trPr>
          <w:trHeight w:val="151"/>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Fair value of noncontrolling interest equity issued</w:t>
            </w:r>
          </w:p>
        </w:tc>
        <w:tc>
          <w:tcPr>
            <w:tcW w:w="260" w:type="dxa"/>
            <w:vAlign w:val="bottom"/>
            <w:tcBorders>
              <w:right w:val="single" w:sz="8" w:color="CFF0FC"/>
            </w:tcBorders>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460" w:type="dxa"/>
            <w:vAlign w:val="bottom"/>
            <w:tcBorders>
              <w:lef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60" w:type="dxa"/>
            <w:vAlign w:val="bottom"/>
            <w:tcBorders>
              <w:right w:val="single" w:sz="8" w:color="CFF0FC"/>
            </w:tcBorders>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tcBorders>
              <w:lef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5,000</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5,000</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(see Note 14)</w:t>
            </w:r>
          </w:p>
        </w:tc>
        <w:tc>
          <w:tcPr>
            <w:tcW w:w="260" w:type="dxa"/>
            <w:vAlign w:val="bottom"/>
            <w:tcBorders>
              <w:bottom w:val="single" w:sz="8" w:color="auto"/>
              <w:right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200" w:type="dxa"/>
            <w:vAlign w:val="bottom"/>
            <w:tcBorders>
              <w:left w:val="single" w:sz="8" w:color="CFF0FC"/>
              <w:bottom w:val="single" w:sz="8" w:color="auto"/>
              <w:right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0" w:type="dxa"/>
            <w:vAlign w:val="bottom"/>
            <w:tcBorders>
              <w:bottom w:val="single" w:sz="8" w:color="auto"/>
              <w:right w:val="single" w:sz="8" w:color="CFF0FC"/>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auto"/>
              <w:right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right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right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500" w:type="dxa"/>
            <w:vAlign w:val="bottom"/>
            <w:tcBorders>
              <w:left w:val="single" w:sz="8" w:color="CFF0FC"/>
              <w:bottom w:val="single" w:sz="8" w:color="auto"/>
              <w:right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260" w:type="dxa"/>
            <w:vAlign w:val="bottom"/>
            <w:tcBorders>
              <w:left w:val="single" w:sz="8" w:color="CFF0FC"/>
              <w:bottom w:val="single" w:sz="8" w:color="auto"/>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000" w:type="dxa"/>
            <w:vAlign w:val="bottom"/>
          </w:tcPr>
          <w:p>
            <w:pPr>
              <w:ind w:left="20"/>
              <w:spacing w:after="0"/>
              <w:rPr>
                <w:sz w:val="20"/>
                <w:szCs w:val="20"/>
                <w:color w:val="auto"/>
              </w:rPr>
            </w:pPr>
            <w:r>
              <w:rPr>
                <w:rFonts w:ascii="Arial" w:cs="Arial" w:eastAsia="Arial" w:hAnsi="Arial"/>
                <w:sz w:val="13"/>
                <w:szCs w:val="13"/>
                <w:color w:val="auto"/>
              </w:rPr>
              <w:t>Balance March 31, 2022</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35,076</w:t>
            </w:r>
          </w:p>
        </w:tc>
        <w:tc>
          <w:tcPr>
            <w:tcW w:w="26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350</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253,875</w:t>
            </w:r>
          </w:p>
        </w:tc>
        <w:tc>
          <w:tcPr>
            <w:tcW w:w="260" w:type="dxa"/>
            <w:vAlign w:val="bottom"/>
          </w:tcPr>
          <w:p>
            <w:pPr>
              <w:spacing w:after="0"/>
              <w:rPr>
                <w:sz w:val="14"/>
                <w:szCs w:val="14"/>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960" w:type="dxa"/>
            <w:vAlign w:val="bottom"/>
            <w:gridSpan w:val="4"/>
          </w:tcPr>
          <w:p>
            <w:pPr>
              <w:jc w:val="right"/>
              <w:ind w:right="200"/>
              <w:spacing w:after="0"/>
              <w:rPr>
                <w:sz w:val="20"/>
                <w:szCs w:val="20"/>
                <w:color w:val="auto"/>
              </w:rPr>
            </w:pPr>
            <w:r>
              <w:rPr>
                <w:rFonts w:ascii="Arial" w:cs="Arial" w:eastAsia="Arial" w:hAnsi="Arial"/>
                <w:sz w:val="13"/>
                <w:szCs w:val="13"/>
                <w:color w:val="auto"/>
              </w:rPr>
              <w:t>(33,923 )</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4"/>
          </w:tcPr>
          <w:p>
            <w:pPr>
              <w:jc w:val="right"/>
              <w:ind w:right="200"/>
              <w:spacing w:after="0"/>
              <w:rPr>
                <w:sz w:val="20"/>
                <w:szCs w:val="20"/>
                <w:color w:val="auto"/>
              </w:rPr>
            </w:pPr>
            <w:r>
              <w:rPr>
                <w:rFonts w:ascii="Arial" w:cs="Arial" w:eastAsia="Arial" w:hAnsi="Arial"/>
                <w:sz w:val="13"/>
                <w:szCs w:val="13"/>
                <w:color w:val="auto"/>
              </w:rPr>
              <w:t>(12,601 )</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5,521</w:t>
            </w:r>
          </w:p>
        </w:tc>
        <w:tc>
          <w:tcPr>
            <w:tcW w:w="24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213,222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000" w:type="dxa"/>
            <w:vAlign w:val="bottom"/>
            <w:shd w:val="clear" w:color="auto" w:fill="CFF0FC"/>
          </w:tcPr>
          <w:p>
            <w:pPr>
              <w:ind w:left="20"/>
              <w:spacing w:after="0" w:line="132" w:lineRule="exact"/>
              <w:rPr>
                <w:sz w:val="20"/>
                <w:szCs w:val="20"/>
                <w:color w:val="auto"/>
              </w:rPr>
            </w:pPr>
            <w:r>
              <w:rPr>
                <w:rFonts w:ascii="Arial" w:cs="Arial" w:eastAsia="Arial" w:hAnsi="Arial"/>
                <w:sz w:val="13"/>
                <w:szCs w:val="13"/>
                <w:color w:val="auto"/>
              </w:rPr>
              <w:t>Net income for the three months ended March 31,</w:t>
            </w:r>
          </w:p>
        </w:tc>
        <w:tc>
          <w:tcPr>
            <w:tcW w:w="260" w:type="dxa"/>
            <w:vAlign w:val="bottom"/>
            <w:tcBorders>
              <w:right w:val="single" w:sz="8" w:color="CFF0FC"/>
            </w:tcBorders>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ind w:right="280"/>
              <w:spacing w:after="0" w:line="132"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60" w:type="dxa"/>
            <w:vAlign w:val="bottom"/>
            <w:tcBorders>
              <w:left w:val="single" w:sz="8" w:color="CFF0FC"/>
            </w:tcBorders>
            <w:gridSpan w:val="2"/>
            <w:shd w:val="clear" w:color="auto" w:fill="CFF0FC"/>
          </w:tcPr>
          <w:p>
            <w:pPr>
              <w:jc w:val="right"/>
              <w:ind w:right="280"/>
              <w:spacing w:after="0" w:line="132"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tcBorders>
              <w:right w:val="single" w:sz="8" w:color="CFF0FC"/>
            </w:tcBorders>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right"/>
              <w:ind w:right="280"/>
              <w:spacing w:after="0" w:line="132"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700" w:type="dxa"/>
            <w:vAlign w:val="bottom"/>
            <w:tcBorders>
              <w:right w:val="single" w:sz="8" w:color="CFF0FC"/>
            </w:tcBorders>
            <w:gridSpan w:val="3"/>
            <w:shd w:val="clear" w:color="auto" w:fill="CFF0FC"/>
          </w:tcPr>
          <w:p>
            <w:pPr>
              <w:jc w:val="right"/>
              <w:spacing w:after="0" w:line="132" w:lineRule="exact"/>
              <w:rPr>
                <w:sz w:val="20"/>
                <w:szCs w:val="20"/>
                <w:color w:val="auto"/>
              </w:rPr>
            </w:pPr>
            <w:r>
              <w:rPr>
                <w:rFonts w:ascii="Arial" w:cs="Arial" w:eastAsia="Arial" w:hAnsi="Arial"/>
                <w:sz w:val="13"/>
                <w:szCs w:val="13"/>
                <w:color w:val="auto"/>
              </w:rPr>
              <w:t>4,385</w:t>
            </w: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tcBorders>
              <w:left w:val="single" w:sz="8" w:color="CFF0FC"/>
            </w:tcBorders>
            <w:gridSpan w:val="2"/>
            <w:shd w:val="clear" w:color="auto" w:fill="CFF0FC"/>
          </w:tcPr>
          <w:p>
            <w:pPr>
              <w:jc w:val="right"/>
              <w:ind w:right="280"/>
              <w:spacing w:after="0" w:line="132"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800" w:type="dxa"/>
            <w:vAlign w:val="bottom"/>
            <w:gridSpan w:val="3"/>
            <w:shd w:val="clear" w:color="auto" w:fill="CFF0FC"/>
          </w:tcPr>
          <w:p>
            <w:pPr>
              <w:jc w:val="right"/>
              <w:spacing w:after="0" w:line="132" w:lineRule="exact"/>
              <w:rPr>
                <w:sz w:val="20"/>
                <w:szCs w:val="20"/>
                <w:color w:val="auto"/>
              </w:rPr>
            </w:pPr>
            <w:r>
              <w:rPr>
                <w:rFonts w:ascii="Arial" w:cs="Arial" w:eastAsia="Arial" w:hAnsi="Arial"/>
                <w:sz w:val="13"/>
                <w:szCs w:val="13"/>
                <w:color w:val="auto"/>
              </w:rPr>
              <w:t>339</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gridSpan w:val="3"/>
            <w:shd w:val="clear" w:color="auto" w:fill="CFF0FC"/>
          </w:tcPr>
          <w:p>
            <w:pPr>
              <w:jc w:val="right"/>
              <w:spacing w:after="0" w:line="132" w:lineRule="exact"/>
              <w:rPr>
                <w:sz w:val="20"/>
                <w:szCs w:val="20"/>
                <w:color w:val="auto"/>
              </w:rPr>
            </w:pPr>
            <w:r>
              <w:rPr>
                <w:rFonts w:ascii="Arial" w:cs="Arial" w:eastAsia="Arial" w:hAnsi="Arial"/>
                <w:sz w:val="13"/>
                <w:szCs w:val="13"/>
                <w:color w:val="auto"/>
              </w:rPr>
              <w:t>4,724</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2022</w:t>
            </w:r>
          </w:p>
        </w:tc>
        <w:tc>
          <w:tcPr>
            <w:tcW w:w="260" w:type="dxa"/>
            <w:vAlign w:val="bottom"/>
            <w:tcBorders>
              <w:right w:val="single" w:sz="8" w:color="CFF0FC"/>
            </w:tcBorders>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0" w:type="dxa"/>
            <w:vAlign w:val="bottom"/>
            <w:tcBorders>
              <w:left w:val="single" w:sz="8" w:color="CFF0FC"/>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tcBorders>
              <w:right w:val="single" w:sz="8" w:color="CFF0FC"/>
            </w:tcBorders>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00" w:type="dxa"/>
            <w:vAlign w:val="bottom"/>
            <w:tcBorders>
              <w:left w:val="single" w:sz="8" w:color="CFF0FC"/>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60" w:type="dxa"/>
            <w:vAlign w:val="bottom"/>
            <w:tcBorders>
              <w:lef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rPr>
                <w:sz w:val="20"/>
                <w:szCs w:val="20"/>
                <w:color w:val="auto"/>
              </w:rPr>
            </w:pPr>
            <w:r>
              <w:rPr>
                <w:rFonts w:ascii="Arial" w:cs="Arial" w:eastAsia="Arial" w:hAnsi="Arial"/>
                <w:sz w:val="13"/>
                <w:szCs w:val="13"/>
                <w:color w:val="auto"/>
              </w:rPr>
              <w:t>Restricted stock units issued</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183</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3"/>
                <w:szCs w:val="13"/>
                <w:color w:val="auto"/>
              </w:rPr>
              <w:t>(211 )</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3"/>
                <w:szCs w:val="13"/>
                <w:color w:val="auto"/>
              </w:rPr>
              <w:t>(209 )</w:t>
            </w:r>
          </w:p>
        </w:tc>
        <w:tc>
          <w:tcPr>
            <w:tcW w:w="0" w:type="dxa"/>
            <w:vAlign w:val="bottom"/>
          </w:tcPr>
          <w:p>
            <w:pPr>
              <w:spacing w:after="0"/>
              <w:rPr>
                <w:sz w:val="1"/>
                <w:szCs w:val="1"/>
                <w:color w:val="auto"/>
              </w:rPr>
            </w:pPr>
          </w:p>
        </w:tc>
      </w:tr>
      <w:tr>
        <w:trPr>
          <w:trHeight w:val="176"/>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 based compensation earned</w:t>
            </w:r>
          </w:p>
        </w:tc>
        <w:tc>
          <w:tcPr>
            <w:tcW w:w="260" w:type="dxa"/>
            <w:vAlign w:val="bottom"/>
            <w:tcBorders>
              <w:right w:val="single" w:sz="8" w:color="CFF0FC"/>
            </w:tcBorders>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460" w:type="dxa"/>
            <w:vAlign w:val="bottom"/>
            <w:tcBorders>
              <w:lef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78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3"/>
                <w:szCs w:val="13"/>
                <w:color w:val="auto"/>
              </w:rPr>
              <w:t>915</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tcBorders>
              <w:lef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500" w:type="dxa"/>
            <w:vAlign w:val="bottom"/>
            <w:tcBorders>
              <w:lef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915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rPr>
                <w:sz w:val="20"/>
                <w:szCs w:val="20"/>
                <w:color w:val="auto"/>
              </w:rPr>
            </w:pPr>
            <w:r>
              <w:rPr>
                <w:rFonts w:ascii="Arial" w:cs="Arial" w:eastAsia="Arial" w:hAnsi="Arial"/>
                <w:sz w:val="13"/>
                <w:szCs w:val="13"/>
                <w:color w:val="auto"/>
              </w:rPr>
              <w:t>Common stock repurchase and retirement</w:t>
            </w:r>
          </w:p>
        </w:tc>
        <w:tc>
          <w:tcPr>
            <w:tcW w:w="1140" w:type="dxa"/>
            <w:vAlign w:val="bottom"/>
            <w:gridSpan w:val="4"/>
          </w:tcPr>
          <w:p>
            <w:pPr>
              <w:jc w:val="right"/>
              <w:ind w:right="200"/>
              <w:spacing w:after="0"/>
              <w:rPr>
                <w:sz w:val="20"/>
                <w:szCs w:val="20"/>
                <w:color w:val="auto"/>
              </w:rPr>
            </w:pPr>
            <w:r>
              <w:rPr>
                <w:rFonts w:ascii="Arial" w:cs="Arial" w:eastAsia="Arial" w:hAnsi="Arial"/>
                <w:sz w:val="13"/>
                <w:szCs w:val="13"/>
                <w:color w:val="auto"/>
              </w:rPr>
              <w:t>(725 )</w:t>
            </w:r>
          </w:p>
        </w:tc>
        <w:tc>
          <w:tcPr>
            <w:tcW w:w="180" w:type="dxa"/>
            <w:vAlign w:val="bottom"/>
          </w:tcPr>
          <w:p>
            <w:pPr>
              <w:spacing w:after="0"/>
              <w:rPr>
                <w:sz w:val="15"/>
                <w:szCs w:val="15"/>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3"/>
                <w:szCs w:val="13"/>
                <w:color w:val="auto"/>
              </w:rPr>
              <w:t>(7 )</w:t>
            </w:r>
          </w:p>
        </w:tc>
        <w:tc>
          <w:tcPr>
            <w:tcW w:w="120" w:type="dxa"/>
            <w:vAlign w:val="bottom"/>
          </w:tcPr>
          <w:p>
            <w:pPr>
              <w:spacing w:after="0"/>
              <w:rPr>
                <w:sz w:val="15"/>
                <w:szCs w:val="15"/>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3"/>
                <w:szCs w:val="13"/>
                <w:color w:val="auto"/>
              </w:rPr>
              <w:t>(4,317 )</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3"/>
                <w:szCs w:val="13"/>
                <w:color w:val="auto"/>
              </w:rPr>
              <w:t>(4,324 )</w:t>
            </w:r>
          </w:p>
        </w:tc>
        <w:tc>
          <w:tcPr>
            <w:tcW w:w="0" w:type="dxa"/>
            <w:vAlign w:val="bottom"/>
          </w:tcPr>
          <w:p>
            <w:pPr>
              <w:spacing w:after="0"/>
              <w:rPr>
                <w:sz w:val="1"/>
                <w:szCs w:val="1"/>
                <w:color w:val="auto"/>
              </w:rPr>
            </w:pPr>
          </w:p>
        </w:tc>
      </w:tr>
      <w:tr>
        <w:trPr>
          <w:trHeight w:val="176"/>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Translation loss</w:t>
            </w:r>
          </w:p>
        </w:tc>
        <w:tc>
          <w:tcPr>
            <w:tcW w:w="260" w:type="dxa"/>
            <w:vAlign w:val="bottom"/>
            <w:tcBorders>
              <w:right w:val="single" w:sz="8" w:color="CFF0FC"/>
            </w:tcBorders>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460" w:type="dxa"/>
            <w:vAlign w:val="bottom"/>
            <w:tcBorders>
              <w:lef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60" w:type="dxa"/>
            <w:vAlign w:val="bottom"/>
            <w:tcBorders>
              <w:right w:val="single" w:sz="8" w:color="CFF0FC"/>
            </w:tcBorders>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340" w:type="dxa"/>
            <w:vAlign w:val="bottom"/>
            <w:gridSpan w:val="4"/>
            <w:shd w:val="clear" w:color="auto" w:fill="CFF0FC"/>
          </w:tcPr>
          <w:p>
            <w:pPr>
              <w:jc w:val="right"/>
              <w:ind w:right="200"/>
              <w:spacing w:after="0"/>
              <w:rPr>
                <w:sz w:val="20"/>
                <w:szCs w:val="20"/>
                <w:color w:val="auto"/>
              </w:rPr>
            </w:pPr>
            <w:r>
              <w:rPr>
                <w:rFonts w:ascii="Arial" w:cs="Arial" w:eastAsia="Arial" w:hAnsi="Arial"/>
                <w:sz w:val="13"/>
                <w:szCs w:val="13"/>
                <w:color w:val="auto"/>
              </w:rPr>
              <w:t>(2,966 )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500" w:type="dxa"/>
            <w:vAlign w:val="bottom"/>
            <w:tcBorders>
              <w:lef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880" w:type="dxa"/>
            <w:vAlign w:val="bottom"/>
            <w:gridSpan w:val="4"/>
            <w:shd w:val="clear" w:color="auto" w:fill="CFF0FC"/>
          </w:tcPr>
          <w:p>
            <w:pPr>
              <w:jc w:val="right"/>
              <w:ind w:right="80"/>
              <w:spacing w:after="0"/>
              <w:rPr>
                <w:sz w:val="20"/>
                <w:szCs w:val="20"/>
                <w:color w:val="auto"/>
              </w:rPr>
            </w:pPr>
            <w:r>
              <w:rPr>
                <w:rFonts w:ascii="Arial" w:cs="Arial" w:eastAsia="Arial" w:hAnsi="Arial"/>
                <w:sz w:val="13"/>
                <w:szCs w:val="13"/>
                <w:color w:val="auto"/>
              </w:rPr>
              <w:t>(2,966 )</w:t>
            </w:r>
          </w:p>
        </w:tc>
        <w:tc>
          <w:tcPr>
            <w:tcW w:w="0" w:type="dxa"/>
            <w:vAlign w:val="bottom"/>
          </w:tcPr>
          <w:p>
            <w:pPr>
              <w:spacing w:after="0"/>
              <w:rPr>
                <w:sz w:val="1"/>
                <w:szCs w:val="1"/>
                <w:color w:val="auto"/>
              </w:rPr>
            </w:pPr>
          </w:p>
        </w:tc>
      </w:tr>
      <w:tr>
        <w:trPr>
          <w:trHeight w:val="151"/>
        </w:trPr>
        <w:tc>
          <w:tcPr>
            <w:tcW w:w="3000" w:type="dxa"/>
            <w:vAlign w:val="bottom"/>
          </w:tcPr>
          <w:p>
            <w:pPr>
              <w:ind w:left="20"/>
              <w:spacing w:after="0"/>
              <w:rPr>
                <w:sz w:val="20"/>
                <w:szCs w:val="20"/>
                <w:color w:val="auto"/>
              </w:rPr>
            </w:pPr>
            <w:r>
              <w:rPr>
                <w:rFonts w:ascii="Arial" w:cs="Arial" w:eastAsia="Arial" w:hAnsi="Arial"/>
                <w:sz w:val="13"/>
                <w:szCs w:val="13"/>
                <w:color w:val="auto"/>
              </w:rPr>
              <w:t>Fair value of noncontrolling interest equity issued</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3"/>
                <w:szCs w:val="13"/>
                <w:color w:val="auto"/>
              </w:rPr>
              <w:t>(901 )</w:t>
            </w:r>
          </w:p>
        </w:tc>
        <w:tc>
          <w:tcPr>
            <w:tcW w:w="180" w:type="dxa"/>
            <w:vAlign w:val="bottom"/>
          </w:tcPr>
          <w:p>
            <w:pPr>
              <w:spacing w:after="0"/>
              <w:rPr>
                <w:sz w:val="13"/>
                <w:szCs w:val="13"/>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3"/>
                <w:szCs w:val="13"/>
                <w:color w:val="auto"/>
              </w:rPr>
              <w:t>(901 )</w:t>
            </w:r>
          </w:p>
        </w:tc>
        <w:tc>
          <w:tcPr>
            <w:tcW w:w="0" w:type="dxa"/>
            <w:vAlign w:val="bottom"/>
          </w:tcPr>
          <w:p>
            <w:pPr>
              <w:spacing w:after="0"/>
              <w:rPr>
                <w:sz w:val="1"/>
                <w:szCs w:val="1"/>
                <w:color w:val="auto"/>
              </w:rPr>
            </w:pPr>
          </w:p>
        </w:tc>
      </w:tr>
      <w:tr>
        <w:trPr>
          <w:trHeight w:val="159"/>
        </w:trPr>
        <w:tc>
          <w:tcPr>
            <w:tcW w:w="3000" w:type="dxa"/>
            <w:vAlign w:val="bottom"/>
          </w:tcPr>
          <w:p>
            <w:pPr>
              <w:ind w:left="20"/>
              <w:spacing w:after="0"/>
              <w:rPr>
                <w:sz w:val="20"/>
                <w:szCs w:val="20"/>
                <w:color w:val="auto"/>
              </w:rPr>
            </w:pPr>
            <w:r>
              <w:rPr>
                <w:rFonts w:ascii="Arial" w:cs="Arial" w:eastAsia="Arial" w:hAnsi="Arial"/>
                <w:sz w:val="13"/>
                <w:szCs w:val="13"/>
                <w:color w:val="auto"/>
              </w:rPr>
              <w:t>(see Note 14)</w:t>
            </w: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0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June 30, 2022</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34,534</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6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345</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3"/>
                <w:szCs w:val="13"/>
                <w:color w:val="auto"/>
              </w:rPr>
              <w:t>250,262</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960" w:type="dxa"/>
            <w:vAlign w:val="bottom"/>
            <w:gridSpan w:val="4"/>
            <w:shd w:val="clear" w:color="auto" w:fill="CFF0FC"/>
          </w:tcPr>
          <w:p>
            <w:pPr>
              <w:jc w:val="right"/>
              <w:ind w:right="200"/>
              <w:spacing w:after="0"/>
              <w:rPr>
                <w:sz w:val="20"/>
                <w:szCs w:val="20"/>
                <w:color w:val="auto"/>
              </w:rPr>
            </w:pPr>
            <w:r>
              <w:rPr>
                <w:rFonts w:ascii="Arial" w:cs="Arial" w:eastAsia="Arial" w:hAnsi="Arial"/>
                <w:sz w:val="13"/>
                <w:szCs w:val="13"/>
                <w:color w:val="auto"/>
              </w:rPr>
              <w:t>(29,538 )</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4"/>
            <w:shd w:val="clear" w:color="auto" w:fill="CFF0FC"/>
          </w:tcPr>
          <w:p>
            <w:pPr>
              <w:jc w:val="right"/>
              <w:ind w:right="200"/>
              <w:spacing w:after="0"/>
              <w:rPr>
                <w:sz w:val="20"/>
                <w:szCs w:val="20"/>
                <w:color w:val="auto"/>
              </w:rPr>
            </w:pPr>
            <w:r>
              <w:rPr>
                <w:rFonts w:ascii="Arial" w:cs="Arial" w:eastAsia="Arial" w:hAnsi="Arial"/>
                <w:sz w:val="13"/>
                <w:szCs w:val="13"/>
                <w:color w:val="auto"/>
              </w:rPr>
              <w:t>(15,567 )</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4,959</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210,461</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left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left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-3779520</wp:posOffset>
            </wp:positionV>
            <wp:extent cx="4672330" cy="2311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72330" cy="23114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-2990850</wp:posOffset>
            </wp:positionV>
            <wp:extent cx="7747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-2990850</wp:posOffset>
            </wp:positionV>
            <wp:extent cx="85725"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-2990850</wp:posOffset>
            </wp:positionV>
            <wp:extent cx="85725"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-2990850</wp:posOffset>
            </wp:positionV>
            <wp:extent cx="85725"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-2990850</wp:posOffset>
            </wp:positionV>
            <wp:extent cx="7747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-2990850</wp:posOffset>
            </wp:positionV>
            <wp:extent cx="7747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-2990850</wp:posOffset>
            </wp:positionV>
            <wp:extent cx="85725"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-1139190</wp:posOffset>
            </wp:positionV>
            <wp:extent cx="8572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-1139190</wp:posOffset>
            </wp:positionV>
            <wp:extent cx="7747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-1139190</wp:posOffset>
            </wp:positionV>
            <wp:extent cx="8572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-1139190</wp:posOffset>
            </wp:positionV>
            <wp:extent cx="8572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-1139190</wp:posOffset>
            </wp:positionV>
            <wp:extent cx="8572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-1139190</wp:posOffset>
            </wp:positionV>
            <wp:extent cx="7747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-1139190</wp:posOffset>
            </wp:positionV>
            <wp:extent cx="85725"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-24765</wp:posOffset>
            </wp:positionV>
            <wp:extent cx="857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-7620</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-24765</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-7620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-24765</wp:posOffset>
            </wp:positionV>
            <wp:extent cx="857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wp:posOffset>
            </wp:positionV>
            <wp:extent cx="857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857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0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718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23"/>
        </w:trPr>
        <w:tc>
          <w:tcPr>
            <w:tcW w:w="7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operating activities:</w:t>
            </w:r>
          </w:p>
        </w:tc>
        <w:tc>
          <w:tcPr>
            <w:tcW w:w="4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0"/>
        </w:trPr>
        <w:tc>
          <w:tcPr>
            <w:tcW w:w="718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6,460</w:t>
            </w:r>
          </w:p>
        </w:tc>
        <w:tc>
          <w:tcPr>
            <w:tcW w:w="320" w:type="dxa"/>
            <w:vAlign w:val="bottom"/>
          </w:tcPr>
          <w:p>
            <w:pPr>
              <w:spacing w:after="0"/>
              <w:rPr>
                <w:sz w:val="19"/>
                <w:szCs w:val="19"/>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7,536</w:t>
            </w:r>
          </w:p>
        </w:tc>
        <w:tc>
          <w:tcPr>
            <w:tcW w:w="140" w:type="dxa"/>
            <w:vAlign w:val="bottom"/>
          </w:tcPr>
          <w:p>
            <w:pPr>
              <w:spacing w:after="0"/>
              <w:rPr>
                <w:sz w:val="19"/>
                <w:szCs w:val="19"/>
                <w:color w:val="auto"/>
              </w:rPr>
            </w:pPr>
          </w:p>
        </w:tc>
      </w:tr>
      <w:tr>
        <w:trPr>
          <w:trHeight w:val="239"/>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0"/>
        </w:trPr>
        <w:tc>
          <w:tcPr>
            <w:tcW w:w="718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5,650</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4,668</w:t>
            </w:r>
          </w:p>
        </w:tc>
        <w:tc>
          <w:tcPr>
            <w:tcW w:w="140" w:type="dxa"/>
            <w:vAlign w:val="bottom"/>
          </w:tcPr>
          <w:p>
            <w:pPr>
              <w:spacing w:after="0"/>
              <w:rPr>
                <w:sz w:val="19"/>
                <w:szCs w:val="19"/>
                <w:color w:val="auto"/>
              </w:rPr>
            </w:pPr>
          </w:p>
        </w:tc>
      </w:tr>
      <w:tr>
        <w:trPr>
          <w:trHeight w:val="239"/>
        </w:trPr>
        <w:tc>
          <w:tcPr>
            <w:tcW w:w="7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Unrealized foreign currency gain</w:t>
            </w:r>
          </w:p>
        </w:tc>
        <w:tc>
          <w:tcPr>
            <w:tcW w:w="4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(863 )</w:t>
            </w:r>
          </w:p>
        </w:tc>
        <w:tc>
          <w:tcPr>
            <w:tcW w:w="7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(5 )</w:t>
            </w:r>
          </w:p>
        </w:tc>
      </w:tr>
      <w:tr>
        <w:trPr>
          <w:trHeight w:val="220"/>
        </w:trPr>
        <w:tc>
          <w:tcPr>
            <w:tcW w:w="7180" w:type="dxa"/>
            <w:vAlign w:val="bottom"/>
          </w:tcPr>
          <w:p>
            <w:pPr>
              <w:ind w:left="380"/>
              <w:spacing w:after="0"/>
              <w:rPr>
                <w:sz w:val="20"/>
                <w:szCs w:val="20"/>
                <w:color w:val="auto"/>
              </w:rPr>
            </w:pPr>
            <w:r>
              <w:rPr>
                <w:rFonts w:ascii="Arial" w:cs="Arial" w:eastAsia="Arial" w:hAnsi="Arial"/>
                <w:sz w:val="16"/>
                <w:szCs w:val="16"/>
                <w:color w:val="auto"/>
              </w:rPr>
              <w:t>Fair value adjustment to earnout liabilities</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296</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39"/>
        </w:trPr>
        <w:tc>
          <w:tcPr>
            <w:tcW w:w="7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Earnout payments</w:t>
            </w:r>
          </w:p>
        </w:tc>
        <w:tc>
          <w:tcPr>
            <w:tcW w:w="4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(1,007 )</w:t>
            </w:r>
          </w:p>
        </w:tc>
      </w:tr>
      <w:tr>
        <w:trPr>
          <w:trHeight w:val="220"/>
        </w:trPr>
        <w:tc>
          <w:tcPr>
            <w:tcW w:w="7180" w:type="dxa"/>
            <w:vAlign w:val="bottom"/>
          </w:tcPr>
          <w:p>
            <w:pPr>
              <w:ind w:left="380"/>
              <w:spacing w:after="0"/>
              <w:rPr>
                <w:sz w:val="20"/>
                <w:szCs w:val="20"/>
                <w:color w:val="auto"/>
              </w:rPr>
            </w:pPr>
            <w:r>
              <w:rPr>
                <w:rFonts w:ascii="Arial" w:cs="Arial" w:eastAsia="Arial" w:hAnsi="Arial"/>
                <w:sz w:val="16"/>
                <w:szCs w:val="16"/>
                <w:color w:val="auto"/>
              </w:rPr>
              <w:t>Gain (loss) on sale of property and equipment</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(7 )</w:t>
            </w:r>
          </w:p>
        </w:tc>
      </w:tr>
      <w:tr>
        <w:trPr>
          <w:trHeight w:val="239"/>
        </w:trPr>
        <w:tc>
          <w:tcPr>
            <w:tcW w:w="7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Debt discount amortization</w:t>
            </w: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w:t>
            </w:r>
          </w:p>
        </w:tc>
        <w:tc>
          <w:tcPr>
            <w:tcW w:w="140" w:type="dxa"/>
            <w:vAlign w:val="bottom"/>
            <w:shd w:val="clear" w:color="auto" w:fill="CFF0FC"/>
          </w:tcPr>
          <w:p>
            <w:pPr>
              <w:spacing w:after="0"/>
              <w:rPr>
                <w:sz w:val="20"/>
                <w:szCs w:val="20"/>
                <w:color w:val="auto"/>
              </w:rPr>
            </w:pPr>
          </w:p>
        </w:tc>
      </w:tr>
      <w:tr>
        <w:trPr>
          <w:trHeight w:val="220"/>
        </w:trPr>
        <w:tc>
          <w:tcPr>
            <w:tcW w:w="7180" w:type="dxa"/>
            <w:vAlign w:val="bottom"/>
          </w:tcPr>
          <w:p>
            <w:pPr>
              <w:ind w:left="380"/>
              <w:spacing w:after="0"/>
              <w:rPr>
                <w:sz w:val="20"/>
                <w:szCs w:val="20"/>
                <w:color w:val="auto"/>
              </w:rPr>
            </w:pPr>
            <w:r>
              <w:rPr>
                <w:rFonts w:ascii="Arial" w:cs="Arial" w:eastAsia="Arial" w:hAnsi="Arial"/>
                <w:sz w:val="16"/>
                <w:szCs w:val="16"/>
                <w:color w:val="auto"/>
              </w:rPr>
              <w:t>Share-based compensation expense</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1,967</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1,792</w:t>
            </w:r>
          </w:p>
        </w:tc>
        <w:tc>
          <w:tcPr>
            <w:tcW w:w="140" w:type="dxa"/>
            <w:vAlign w:val="bottom"/>
          </w:tcPr>
          <w:p>
            <w:pPr>
              <w:spacing w:after="0"/>
              <w:rPr>
                <w:sz w:val="19"/>
                <w:szCs w:val="19"/>
                <w:color w:val="auto"/>
              </w:rPr>
            </w:pPr>
          </w:p>
        </w:tc>
      </w:tr>
      <w:tr>
        <w:trPr>
          <w:trHeight w:val="239"/>
        </w:trPr>
        <w:tc>
          <w:tcPr>
            <w:tcW w:w="7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Bad debt (recoveries) expense</w:t>
            </w:r>
          </w:p>
        </w:tc>
        <w:tc>
          <w:tcPr>
            <w:tcW w:w="4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(23 )</w:t>
            </w:r>
          </w:p>
        </w:tc>
        <w:tc>
          <w:tcPr>
            <w:tcW w:w="7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w:t>
            </w:r>
          </w:p>
        </w:tc>
        <w:tc>
          <w:tcPr>
            <w:tcW w:w="140" w:type="dxa"/>
            <w:vAlign w:val="bottom"/>
            <w:shd w:val="clear" w:color="auto" w:fill="CFF0FC"/>
          </w:tcPr>
          <w:p>
            <w:pPr>
              <w:spacing w:after="0"/>
              <w:rPr>
                <w:sz w:val="20"/>
                <w:szCs w:val="20"/>
                <w:color w:val="auto"/>
              </w:rPr>
            </w:pPr>
          </w:p>
        </w:tc>
      </w:tr>
      <w:tr>
        <w:trPr>
          <w:trHeight w:val="220"/>
        </w:trPr>
        <w:tc>
          <w:tcPr>
            <w:tcW w:w="7180" w:type="dxa"/>
            <w:vAlign w:val="bottom"/>
          </w:tcPr>
          <w:p>
            <w:pPr>
              <w:ind w:left="380"/>
              <w:spacing w:after="0"/>
              <w:rPr>
                <w:sz w:val="20"/>
                <w:szCs w:val="20"/>
                <w:color w:val="auto"/>
              </w:rPr>
            </w:pPr>
            <w:r>
              <w:rPr>
                <w:rFonts w:ascii="Arial" w:cs="Arial" w:eastAsia="Arial" w:hAnsi="Arial"/>
                <w:sz w:val="16"/>
                <w:szCs w:val="16"/>
                <w:color w:val="auto"/>
              </w:rPr>
              <w:t>Inventory reserve expense</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551</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w:t>
            </w:r>
          </w:p>
        </w:tc>
        <w:tc>
          <w:tcPr>
            <w:tcW w:w="140" w:type="dxa"/>
            <w:vAlign w:val="bottom"/>
          </w:tcPr>
          <w:p>
            <w:pPr>
              <w:spacing w:after="0"/>
              <w:rPr>
                <w:sz w:val="19"/>
                <w:szCs w:val="19"/>
                <w:color w:val="auto"/>
              </w:rPr>
            </w:pPr>
          </w:p>
        </w:tc>
      </w:tr>
      <w:tr>
        <w:trPr>
          <w:trHeight w:val="239"/>
        </w:trPr>
        <w:tc>
          <w:tcPr>
            <w:tcW w:w="7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Changes in operating assets and liabilities, net of acquisitions:</w:t>
            </w: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0"/>
        </w:trPr>
        <w:tc>
          <w:tcPr>
            <w:tcW w:w="718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44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(39,181 )</w:t>
            </w:r>
          </w:p>
        </w:tc>
        <w:tc>
          <w:tcPr>
            <w:tcW w:w="7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(18,582 )</w:t>
            </w:r>
          </w:p>
        </w:tc>
      </w:tr>
      <w:tr>
        <w:trPr>
          <w:trHeight w:val="239"/>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Costs and estimated earnings in excess of billings on uncompleted contracts</w:t>
            </w: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9,596</w:t>
            </w: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w:t>
            </w:r>
          </w:p>
        </w:tc>
        <w:tc>
          <w:tcPr>
            <w:tcW w:w="140" w:type="dxa"/>
            <w:vAlign w:val="bottom"/>
            <w:shd w:val="clear" w:color="auto" w:fill="CFF0FC"/>
          </w:tcPr>
          <w:p>
            <w:pPr>
              <w:spacing w:after="0"/>
              <w:rPr>
                <w:sz w:val="20"/>
                <w:szCs w:val="20"/>
                <w:color w:val="auto"/>
              </w:rPr>
            </w:pPr>
          </w:p>
        </w:tc>
      </w:tr>
      <w:tr>
        <w:trPr>
          <w:trHeight w:val="220"/>
        </w:trPr>
        <w:tc>
          <w:tcPr>
            <w:tcW w:w="718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44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(4,081 )</w:t>
            </w:r>
          </w:p>
        </w:tc>
        <w:tc>
          <w:tcPr>
            <w:tcW w:w="7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(3,393 )</w:t>
            </w:r>
          </w:p>
        </w:tc>
      </w:tr>
      <w:tr>
        <w:trPr>
          <w:trHeight w:val="239"/>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Prepaid expense and other current assets</w:t>
            </w:r>
          </w:p>
        </w:tc>
        <w:tc>
          <w:tcPr>
            <w:tcW w:w="4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(8,319 )</w:t>
            </w:r>
          </w:p>
        </w:tc>
        <w:tc>
          <w:tcPr>
            <w:tcW w:w="7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637</w:t>
            </w:r>
          </w:p>
        </w:tc>
        <w:tc>
          <w:tcPr>
            <w:tcW w:w="140" w:type="dxa"/>
            <w:vAlign w:val="bottom"/>
            <w:shd w:val="clear" w:color="auto" w:fill="CFF0FC"/>
          </w:tcPr>
          <w:p>
            <w:pPr>
              <w:spacing w:after="0"/>
              <w:rPr>
                <w:sz w:val="20"/>
                <w:szCs w:val="20"/>
                <w:color w:val="auto"/>
              </w:rPr>
            </w:pPr>
          </w:p>
        </w:tc>
      </w:tr>
      <w:tr>
        <w:trPr>
          <w:trHeight w:val="220"/>
        </w:trPr>
        <w:tc>
          <w:tcPr>
            <w:tcW w:w="7180" w:type="dxa"/>
            <w:vAlign w:val="bottom"/>
          </w:tcPr>
          <w:p>
            <w:pPr>
              <w:ind w:left="200"/>
              <w:spacing w:after="0"/>
              <w:rPr>
                <w:sz w:val="20"/>
                <w:szCs w:val="20"/>
                <w:color w:val="auto"/>
              </w:rPr>
            </w:pPr>
            <w:r>
              <w:rPr>
                <w:rFonts w:ascii="Arial" w:cs="Arial" w:eastAsia="Arial" w:hAnsi="Arial"/>
                <w:sz w:val="16"/>
                <w:szCs w:val="16"/>
                <w:color w:val="auto"/>
              </w:rPr>
              <w:t>Deferred charges and other assets</w:t>
            </w:r>
          </w:p>
        </w:tc>
        <w:tc>
          <w:tcPr>
            <w:tcW w:w="44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(306 )</w:t>
            </w: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2,472</w:t>
            </w:r>
          </w:p>
        </w:tc>
        <w:tc>
          <w:tcPr>
            <w:tcW w:w="140" w:type="dxa"/>
            <w:vAlign w:val="bottom"/>
          </w:tcPr>
          <w:p>
            <w:pPr>
              <w:spacing w:after="0"/>
              <w:rPr>
                <w:sz w:val="19"/>
                <w:szCs w:val="19"/>
                <w:color w:val="auto"/>
              </w:rPr>
            </w:pPr>
          </w:p>
        </w:tc>
      </w:tr>
      <w:tr>
        <w:trPr>
          <w:trHeight w:val="239"/>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 and accrued expenses</w:t>
            </w: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3,902</w:t>
            </w: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16,538</w:t>
            </w:r>
          </w:p>
        </w:tc>
        <w:tc>
          <w:tcPr>
            <w:tcW w:w="140" w:type="dxa"/>
            <w:vAlign w:val="bottom"/>
            <w:shd w:val="clear" w:color="auto" w:fill="CFF0FC"/>
          </w:tcPr>
          <w:p>
            <w:pPr>
              <w:spacing w:after="0"/>
              <w:rPr>
                <w:sz w:val="20"/>
                <w:szCs w:val="20"/>
                <w:color w:val="auto"/>
              </w:rPr>
            </w:pPr>
          </w:p>
        </w:tc>
      </w:tr>
      <w:tr>
        <w:trPr>
          <w:trHeight w:val="220"/>
        </w:trPr>
        <w:tc>
          <w:tcPr>
            <w:tcW w:w="7180" w:type="dxa"/>
            <w:vAlign w:val="bottom"/>
          </w:tcPr>
          <w:p>
            <w:pPr>
              <w:ind w:left="200"/>
              <w:spacing w:after="0"/>
              <w:rPr>
                <w:sz w:val="20"/>
                <w:szCs w:val="20"/>
                <w:color w:val="auto"/>
              </w:rPr>
            </w:pPr>
            <w:r>
              <w:rPr>
                <w:rFonts w:ascii="Arial" w:cs="Arial" w:eastAsia="Arial" w:hAnsi="Arial"/>
                <w:sz w:val="16"/>
                <w:szCs w:val="16"/>
                <w:color w:val="auto"/>
              </w:rPr>
              <w:t>Billings in excess of costs and estimated earnings on uncompleted contracts</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26,005</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7,846</w:t>
            </w:r>
          </w:p>
        </w:tc>
        <w:tc>
          <w:tcPr>
            <w:tcW w:w="140" w:type="dxa"/>
            <w:vAlign w:val="bottom"/>
          </w:tcPr>
          <w:p>
            <w:pPr>
              <w:spacing w:after="0"/>
              <w:rPr>
                <w:sz w:val="19"/>
                <w:szCs w:val="19"/>
                <w:color w:val="auto"/>
              </w:rPr>
            </w:pPr>
          </w:p>
        </w:tc>
      </w:tr>
      <w:tr>
        <w:trPr>
          <w:trHeight w:val="239"/>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taxes payable</w:t>
            </w: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w:t>
            </w: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1,266</w:t>
            </w:r>
          </w:p>
        </w:tc>
        <w:tc>
          <w:tcPr>
            <w:tcW w:w="140" w:type="dxa"/>
            <w:vAlign w:val="bottom"/>
            <w:shd w:val="clear" w:color="auto" w:fill="CFF0FC"/>
          </w:tcPr>
          <w:p>
            <w:pPr>
              <w:spacing w:after="0"/>
              <w:rPr>
                <w:sz w:val="20"/>
                <w:szCs w:val="20"/>
                <w:color w:val="auto"/>
              </w:rPr>
            </w:pPr>
          </w:p>
        </w:tc>
      </w:tr>
      <w:tr>
        <w:trPr>
          <w:trHeight w:val="220"/>
        </w:trPr>
        <w:tc>
          <w:tcPr>
            <w:tcW w:w="7180" w:type="dxa"/>
            <w:vAlign w:val="bottom"/>
          </w:tcPr>
          <w:p>
            <w:pPr>
              <w:ind w:left="200"/>
              <w:spacing w:after="0"/>
              <w:rPr>
                <w:sz w:val="20"/>
                <w:szCs w:val="20"/>
                <w:color w:val="auto"/>
              </w:rPr>
            </w:pPr>
            <w:r>
              <w:rPr>
                <w:rFonts w:ascii="Arial" w:cs="Arial" w:eastAsia="Arial" w:hAnsi="Arial"/>
                <w:sz w:val="16"/>
                <w:szCs w:val="16"/>
                <w:color w:val="auto"/>
              </w:rPr>
              <w:t>Other liabilities</w:t>
            </w:r>
          </w:p>
        </w:tc>
        <w:tc>
          <w:tcPr>
            <w:tcW w:w="44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(3,126 )</w:t>
            </w:r>
          </w:p>
        </w:tc>
        <w:tc>
          <w:tcPr>
            <w:tcW w:w="7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(2,405 )</w:t>
            </w:r>
          </w:p>
        </w:tc>
      </w:tr>
      <w:tr>
        <w:trPr>
          <w:trHeight w:val="23"/>
        </w:trPr>
        <w:tc>
          <w:tcPr>
            <w:tcW w:w="7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7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cash (used in) provided by operating activities</w:t>
            </w:r>
          </w:p>
        </w:tc>
        <w:tc>
          <w:tcPr>
            <w:tcW w:w="4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(611 )</w:t>
            </w:r>
          </w:p>
        </w:tc>
        <w:tc>
          <w:tcPr>
            <w:tcW w:w="7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18,691</w:t>
            </w:r>
          </w:p>
        </w:tc>
        <w:tc>
          <w:tcPr>
            <w:tcW w:w="140" w:type="dxa"/>
            <w:vAlign w:val="bottom"/>
            <w:shd w:val="clear" w:color="auto" w:fill="CFF0FC"/>
          </w:tcPr>
          <w:p>
            <w:pPr>
              <w:spacing w:after="0"/>
              <w:rPr>
                <w:sz w:val="19"/>
                <w:szCs w:val="19"/>
                <w:color w:val="auto"/>
              </w:rPr>
            </w:pPr>
          </w:p>
        </w:tc>
      </w:tr>
      <w:tr>
        <w:trPr>
          <w:trHeight w:val="220"/>
        </w:trPr>
        <w:tc>
          <w:tcPr>
            <w:tcW w:w="71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Cash flows from investing activities:</w:t>
            </w:r>
          </w:p>
        </w:tc>
        <w:tc>
          <w:tcPr>
            <w:tcW w:w="4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r>
      <w:tr>
        <w:trPr>
          <w:trHeight w:val="239"/>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Acquisitions of property and equipment</w:t>
            </w:r>
          </w:p>
        </w:tc>
        <w:tc>
          <w:tcPr>
            <w:tcW w:w="4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(3,919 )</w:t>
            </w:r>
          </w:p>
        </w:tc>
        <w:tc>
          <w:tcPr>
            <w:tcW w:w="7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(1,432 )</w:t>
            </w:r>
          </w:p>
        </w:tc>
      </w:tr>
      <w:tr>
        <w:trPr>
          <w:trHeight w:val="220"/>
        </w:trPr>
        <w:tc>
          <w:tcPr>
            <w:tcW w:w="7180" w:type="dxa"/>
            <w:vAlign w:val="bottom"/>
          </w:tcPr>
          <w:p>
            <w:pPr>
              <w:ind w:left="200"/>
              <w:spacing w:after="0"/>
              <w:rPr>
                <w:sz w:val="20"/>
                <w:szCs w:val="20"/>
                <w:color w:val="auto"/>
              </w:rPr>
            </w:pPr>
            <w:r>
              <w:rPr>
                <w:rFonts w:ascii="Arial" w:cs="Arial" w:eastAsia="Arial" w:hAnsi="Arial"/>
                <w:sz w:val="16"/>
                <w:szCs w:val="16"/>
                <w:color w:val="auto"/>
              </w:rPr>
              <w:t>Net proceeds from sale of assets</w:t>
            </w:r>
          </w:p>
        </w:tc>
        <w:tc>
          <w:tcPr>
            <w:tcW w:w="440" w:type="dxa"/>
            <w:vAlign w:val="bottom"/>
          </w:tcPr>
          <w:p>
            <w:pPr>
              <w:spacing w:after="0"/>
              <w:rPr>
                <w:sz w:val="19"/>
                <w:szCs w:val="19"/>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9"/>
                <w:szCs w:val="19"/>
                <w:color w:val="auto"/>
              </w:rPr>
            </w:pPr>
          </w:p>
        </w:tc>
      </w:tr>
      <w:tr>
        <w:trPr>
          <w:trHeight w:val="229"/>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cash paid for acquisitions</w:t>
            </w:r>
          </w:p>
        </w:tc>
        <w:tc>
          <w:tcPr>
            <w:tcW w:w="4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(24,142 )</w:t>
            </w:r>
          </w:p>
        </w:tc>
        <w:tc>
          <w:tcPr>
            <w:tcW w:w="7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(37,372 )</w:t>
            </w:r>
          </w:p>
        </w:tc>
      </w:tr>
      <w:tr>
        <w:trPr>
          <w:trHeight w:val="23"/>
        </w:trPr>
        <w:tc>
          <w:tcPr>
            <w:tcW w:w="718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r>
      <w:tr>
        <w:trPr>
          <w:trHeight w:val="223"/>
        </w:trPr>
        <w:tc>
          <w:tcPr>
            <w:tcW w:w="718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44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(28,061 )</w:t>
            </w:r>
          </w:p>
        </w:tc>
        <w:tc>
          <w:tcPr>
            <w:tcW w:w="7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(38,797 )</w:t>
            </w:r>
          </w:p>
        </w:tc>
      </w:tr>
      <w:tr>
        <w:trPr>
          <w:trHeight w:val="230"/>
        </w:trPr>
        <w:tc>
          <w:tcPr>
            <w:tcW w:w="7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financing activities:</w:t>
            </w:r>
          </w:p>
        </w:tc>
        <w:tc>
          <w:tcPr>
            <w:tcW w:w="44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0"/>
        </w:trPr>
        <w:tc>
          <w:tcPr>
            <w:tcW w:w="7180" w:type="dxa"/>
            <w:vAlign w:val="bottom"/>
          </w:tcPr>
          <w:p>
            <w:pPr>
              <w:ind w:left="200"/>
              <w:spacing w:after="0"/>
              <w:rPr>
                <w:sz w:val="20"/>
                <w:szCs w:val="20"/>
                <w:color w:val="auto"/>
              </w:rPr>
            </w:pPr>
            <w:r>
              <w:rPr>
                <w:rFonts w:ascii="Arial" w:cs="Arial" w:eastAsia="Arial" w:hAnsi="Arial"/>
                <w:sz w:val="16"/>
                <w:szCs w:val="16"/>
                <w:color w:val="auto"/>
              </w:rPr>
              <w:t>Borrowings on revolving credit lines</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65,300</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47,600</w:t>
            </w:r>
          </w:p>
        </w:tc>
        <w:tc>
          <w:tcPr>
            <w:tcW w:w="140" w:type="dxa"/>
            <w:vAlign w:val="bottom"/>
          </w:tcPr>
          <w:p>
            <w:pPr>
              <w:spacing w:after="0"/>
              <w:rPr>
                <w:sz w:val="19"/>
                <w:szCs w:val="19"/>
                <w:color w:val="auto"/>
              </w:rPr>
            </w:pPr>
          </w:p>
        </w:tc>
      </w:tr>
      <w:tr>
        <w:trPr>
          <w:trHeight w:val="239"/>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Repayments on revolving credit lines</w:t>
            </w:r>
          </w:p>
        </w:tc>
        <w:tc>
          <w:tcPr>
            <w:tcW w:w="4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(33,400 )</w:t>
            </w:r>
          </w:p>
        </w:tc>
        <w:tc>
          <w:tcPr>
            <w:tcW w:w="7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(24,900 )</w:t>
            </w:r>
          </w:p>
        </w:tc>
      </w:tr>
      <w:tr>
        <w:trPr>
          <w:trHeight w:val="220"/>
        </w:trPr>
        <w:tc>
          <w:tcPr>
            <w:tcW w:w="7180" w:type="dxa"/>
            <w:vAlign w:val="bottom"/>
          </w:tcPr>
          <w:p>
            <w:pPr>
              <w:ind w:left="200"/>
              <w:spacing w:after="0"/>
              <w:rPr>
                <w:sz w:val="20"/>
                <w:szCs w:val="20"/>
                <w:color w:val="auto"/>
              </w:rPr>
            </w:pPr>
            <w:r>
              <w:rPr>
                <w:rFonts w:ascii="Arial" w:cs="Arial" w:eastAsia="Arial" w:hAnsi="Arial"/>
                <w:sz w:val="16"/>
                <w:szCs w:val="16"/>
                <w:color w:val="auto"/>
              </w:rPr>
              <w:t>Borrowing on long-term debt</w:t>
            </w:r>
          </w:p>
        </w:tc>
        <w:tc>
          <w:tcPr>
            <w:tcW w:w="440" w:type="dxa"/>
            <w:vAlign w:val="bottom"/>
          </w:tcPr>
          <w:p>
            <w:pPr>
              <w:spacing w:after="0"/>
              <w:rPr>
                <w:sz w:val="19"/>
                <w:szCs w:val="19"/>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11,000</w:t>
            </w:r>
          </w:p>
        </w:tc>
        <w:tc>
          <w:tcPr>
            <w:tcW w:w="140" w:type="dxa"/>
            <w:vAlign w:val="bottom"/>
          </w:tcPr>
          <w:p>
            <w:pPr>
              <w:spacing w:after="0"/>
              <w:rPr>
                <w:sz w:val="19"/>
                <w:szCs w:val="19"/>
                <w:color w:val="auto"/>
              </w:rPr>
            </w:pPr>
          </w:p>
        </w:tc>
      </w:tr>
      <w:tr>
        <w:trPr>
          <w:trHeight w:val="239"/>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Repayments of long-term debt</w:t>
            </w:r>
          </w:p>
        </w:tc>
        <w:tc>
          <w:tcPr>
            <w:tcW w:w="4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(1,652 )</w:t>
            </w:r>
          </w:p>
        </w:tc>
        <w:tc>
          <w:tcPr>
            <w:tcW w:w="7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(1,469 )</w:t>
            </w:r>
          </w:p>
        </w:tc>
      </w:tr>
      <w:tr>
        <w:trPr>
          <w:trHeight w:val="220"/>
        </w:trPr>
        <w:tc>
          <w:tcPr>
            <w:tcW w:w="7180" w:type="dxa"/>
            <w:vAlign w:val="bottom"/>
          </w:tcPr>
          <w:p>
            <w:pPr>
              <w:ind w:left="200"/>
              <w:spacing w:after="0"/>
              <w:rPr>
                <w:sz w:val="20"/>
                <w:szCs w:val="20"/>
                <w:color w:val="auto"/>
              </w:rPr>
            </w:pPr>
            <w:r>
              <w:rPr>
                <w:rFonts w:ascii="Arial" w:cs="Arial" w:eastAsia="Arial" w:hAnsi="Arial"/>
                <w:sz w:val="16"/>
                <w:szCs w:val="16"/>
                <w:color w:val="auto"/>
              </w:rPr>
              <w:t>Deferred financing fees paid</w:t>
            </w:r>
          </w:p>
        </w:tc>
        <w:tc>
          <w:tcPr>
            <w:tcW w:w="440" w:type="dxa"/>
            <w:vAlign w:val="bottom"/>
          </w:tcPr>
          <w:p>
            <w:pPr>
              <w:spacing w:after="0"/>
              <w:rPr>
                <w:sz w:val="19"/>
                <w:szCs w:val="19"/>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(130 )</w:t>
            </w:r>
          </w:p>
        </w:tc>
      </w:tr>
      <w:tr>
        <w:trPr>
          <w:trHeight w:val="239"/>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consideration paid for acquisitions</w:t>
            </w:r>
          </w:p>
        </w:tc>
        <w:tc>
          <w:tcPr>
            <w:tcW w:w="4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(857 )</w:t>
            </w:r>
          </w:p>
        </w:tc>
        <w:tc>
          <w:tcPr>
            <w:tcW w:w="7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r>
      <w:tr>
        <w:trPr>
          <w:trHeight w:val="220"/>
        </w:trPr>
        <w:tc>
          <w:tcPr>
            <w:tcW w:w="7180" w:type="dxa"/>
            <w:vAlign w:val="bottom"/>
          </w:tcPr>
          <w:p>
            <w:pPr>
              <w:ind w:left="200"/>
              <w:spacing w:after="0"/>
              <w:rPr>
                <w:sz w:val="20"/>
                <w:szCs w:val="20"/>
                <w:color w:val="auto"/>
              </w:rPr>
            </w:pPr>
            <w:r>
              <w:rPr>
                <w:rFonts w:ascii="Arial" w:cs="Arial" w:eastAsia="Arial" w:hAnsi="Arial"/>
                <w:sz w:val="16"/>
                <w:szCs w:val="16"/>
                <w:color w:val="auto"/>
              </w:rPr>
              <w:t>Payments on finance leases and financing liability</w:t>
            </w:r>
          </w:p>
        </w:tc>
        <w:tc>
          <w:tcPr>
            <w:tcW w:w="44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(450 )</w:t>
            </w:r>
          </w:p>
        </w:tc>
        <w:tc>
          <w:tcPr>
            <w:tcW w:w="7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(293 )</w:t>
            </w:r>
          </w:p>
        </w:tc>
      </w:tr>
      <w:tr>
        <w:trPr>
          <w:trHeight w:val="239"/>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employee stock purchase plan and exercise of stock options</w:t>
            </w: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1,156</w:t>
            </w: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140" w:type="dxa"/>
            <w:vAlign w:val="bottom"/>
            <w:shd w:val="clear" w:color="auto" w:fill="CFF0FC"/>
          </w:tcPr>
          <w:p>
            <w:pPr>
              <w:spacing w:after="0"/>
              <w:rPr>
                <w:sz w:val="20"/>
                <w:szCs w:val="20"/>
                <w:color w:val="auto"/>
              </w:rPr>
            </w:pPr>
          </w:p>
        </w:tc>
      </w:tr>
      <w:tr>
        <w:trPr>
          <w:trHeight w:val="220"/>
        </w:trPr>
        <w:tc>
          <w:tcPr>
            <w:tcW w:w="7180" w:type="dxa"/>
            <w:vAlign w:val="bottom"/>
          </w:tcPr>
          <w:p>
            <w:pPr>
              <w:ind w:left="200"/>
              <w:spacing w:after="0"/>
              <w:rPr>
                <w:sz w:val="20"/>
                <w:szCs w:val="20"/>
                <w:color w:val="auto"/>
              </w:rPr>
            </w:pPr>
            <w:r>
              <w:rPr>
                <w:rFonts w:ascii="Arial" w:cs="Arial" w:eastAsia="Arial" w:hAnsi="Arial"/>
                <w:sz w:val="16"/>
                <w:szCs w:val="16"/>
                <w:color w:val="auto"/>
              </w:rPr>
              <w:t>Noncontrolling interest distributions</w:t>
            </w:r>
          </w:p>
        </w:tc>
        <w:tc>
          <w:tcPr>
            <w:tcW w:w="44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(599 )</w:t>
            </w:r>
          </w:p>
        </w:tc>
        <w:tc>
          <w:tcPr>
            <w:tcW w:w="7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(900 )</w:t>
            </w:r>
          </w:p>
        </w:tc>
      </w:tr>
      <w:tr>
        <w:trPr>
          <w:trHeight w:val="233"/>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Common stock repurchase</w:t>
            </w:r>
          </w:p>
        </w:tc>
        <w:tc>
          <w:tcPr>
            <w:tcW w:w="4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(4,324 )</w:t>
            </w:r>
          </w:p>
        </w:tc>
      </w:tr>
      <w:tr>
        <w:trPr>
          <w:trHeight w:val="223"/>
        </w:trPr>
        <w:tc>
          <w:tcPr>
            <w:tcW w:w="7180" w:type="dxa"/>
            <w:vAlign w:val="bottom"/>
            <w:tcBorders>
              <w:top w:val="single" w:sz="8" w:color="CFF0FC"/>
            </w:tcBorders>
          </w:tcPr>
          <w:p>
            <w:pPr>
              <w:ind w:left="380"/>
              <w:spacing w:after="0"/>
              <w:rPr>
                <w:sz w:val="20"/>
                <w:szCs w:val="20"/>
                <w:color w:val="auto"/>
              </w:rPr>
            </w:pPr>
            <w:r>
              <w:rPr>
                <w:rFonts w:ascii="Arial" w:cs="Arial" w:eastAsia="Arial" w:hAnsi="Arial"/>
                <w:sz w:val="16"/>
                <w:szCs w:val="16"/>
                <w:color w:val="auto"/>
              </w:rPr>
              <w:t>Net cash provided by financing activities</w:t>
            </w:r>
          </w:p>
        </w:tc>
        <w:tc>
          <w:tcPr>
            <w:tcW w:w="4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29,498</w:t>
            </w:r>
          </w:p>
        </w:tc>
        <w:tc>
          <w:tcPr>
            <w:tcW w:w="320" w:type="dxa"/>
            <w:vAlign w:val="bottom"/>
            <w:tcBorders>
              <w:top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26,655</w:t>
            </w:r>
          </w:p>
        </w:tc>
        <w:tc>
          <w:tcPr>
            <w:tcW w:w="140" w:type="dxa"/>
            <w:vAlign w:val="bottom"/>
            <w:tcBorders>
              <w:top w:val="single" w:sz="8" w:color="CFF0FC"/>
            </w:tcBorders>
          </w:tcPr>
          <w:p>
            <w:pPr>
              <w:spacing w:after="0"/>
              <w:rPr>
                <w:sz w:val="19"/>
                <w:szCs w:val="19"/>
                <w:color w:val="auto"/>
              </w:rPr>
            </w:pPr>
          </w:p>
        </w:tc>
      </w:tr>
      <w:tr>
        <w:trPr>
          <w:trHeight w:val="223"/>
        </w:trPr>
        <w:tc>
          <w:tcPr>
            <w:tcW w:w="7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4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1,141</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(3,091 )</w:t>
            </w:r>
          </w:p>
        </w:tc>
      </w:tr>
      <w:tr>
        <w:trPr>
          <w:trHeight w:val="220"/>
        </w:trPr>
        <w:tc>
          <w:tcPr>
            <w:tcW w:w="71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4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1,967</w:t>
            </w:r>
          </w:p>
        </w:tc>
        <w:tc>
          <w:tcPr>
            <w:tcW w:w="320" w:type="dxa"/>
            <w:vAlign w:val="bottom"/>
            <w:tcBorders>
              <w:top w:val="single" w:sz="8" w:color="CFF0FC"/>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3,458</w:t>
            </w:r>
          </w:p>
        </w:tc>
        <w:tc>
          <w:tcPr>
            <w:tcW w:w="140" w:type="dxa"/>
            <w:vAlign w:val="bottom"/>
            <w:tcBorders>
              <w:top w:val="single" w:sz="8" w:color="CFF0FC"/>
            </w:tcBorders>
          </w:tcPr>
          <w:p>
            <w:pPr>
              <w:spacing w:after="0"/>
              <w:rPr>
                <w:sz w:val="19"/>
                <w:szCs w:val="19"/>
                <w:color w:val="auto"/>
              </w:rPr>
            </w:pPr>
          </w:p>
        </w:tc>
      </w:tr>
      <w:tr>
        <w:trPr>
          <w:trHeight w:val="233"/>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4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46,585</w:t>
            </w:r>
          </w:p>
        </w:tc>
        <w:tc>
          <w:tcPr>
            <w:tcW w:w="32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31,995</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48,552</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35,453</w:t>
            </w:r>
          </w:p>
        </w:tc>
        <w:tc>
          <w:tcPr>
            <w:tcW w:w="140" w:type="dxa"/>
            <w:vAlign w:val="bottom"/>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paid during the period for:</w:t>
            </w:r>
          </w:p>
        </w:tc>
        <w:tc>
          <w:tcPr>
            <w:tcW w:w="4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r>
      <w:tr>
        <w:trPr>
          <w:trHeight w:val="223"/>
        </w:trPr>
        <w:tc>
          <w:tcPr>
            <w:tcW w:w="7180" w:type="dxa"/>
            <w:vAlign w:val="bottom"/>
          </w:tcPr>
          <w:p>
            <w:pPr>
              <w:ind w:left="200"/>
              <w:spacing w:after="0"/>
              <w:rPr>
                <w:sz w:val="20"/>
                <w:szCs w:val="20"/>
                <w:color w:val="auto"/>
              </w:rPr>
            </w:pPr>
            <w:r>
              <w:rPr>
                <w:rFonts w:ascii="Arial" w:cs="Arial" w:eastAsia="Arial" w:hAnsi="Arial"/>
                <w:sz w:val="16"/>
                <w:szCs w:val="16"/>
                <w:color w:val="auto"/>
              </w:rPr>
              <w:t>Interest</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5,380</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1,821</w:t>
            </w:r>
          </w:p>
        </w:tc>
        <w:tc>
          <w:tcPr>
            <w:tcW w:w="140" w:type="dxa"/>
            <w:vAlign w:val="bottom"/>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7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Income taxes</w:t>
            </w: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7,605</w:t>
            </w:r>
          </w:p>
        </w:tc>
        <w:tc>
          <w:tcPr>
            <w:tcW w:w="3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970</w:t>
            </w:r>
          </w:p>
        </w:tc>
        <w:tc>
          <w:tcPr>
            <w:tcW w:w="1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-3642995</wp:posOffset>
            </wp:positionV>
            <wp:extent cx="85725"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-3642995</wp:posOffset>
            </wp:positionV>
            <wp:extent cx="85725"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-3051175</wp:posOffset>
            </wp:positionV>
            <wp:extent cx="85725"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-3051175</wp:posOffset>
            </wp:positionV>
            <wp:extent cx="85725"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-1285240</wp:posOffset>
            </wp:positionV>
            <wp:extent cx="85725" cy="162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-1285240</wp:posOffset>
            </wp:positionV>
            <wp:extent cx="85725"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-976630</wp:posOffset>
            </wp:positionV>
            <wp:extent cx="85725"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-976630</wp:posOffset>
            </wp:positionV>
            <wp:extent cx="85725"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-676275</wp:posOffset>
            </wp:positionV>
            <wp:extent cx="85725"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-676275</wp:posOffset>
            </wp:positionV>
            <wp:extent cx="85725" cy="179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-351155</wp:posOffset>
            </wp:positionV>
            <wp:extent cx="85725" cy="180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-351155</wp:posOffset>
            </wp:positionV>
            <wp:extent cx="85725" cy="180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857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857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u w:val="single" w:color="auto"/>
          <w:color w:val="auto"/>
        </w:rPr>
        <w:t>CECO ENVIRONMENTAL CORP.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(unaudited)</w:t>
      </w:r>
    </w:p>
    <w:p>
      <w:pPr>
        <w:spacing w:after="0" w:line="207"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Reporting for Consolidated Financial Statements</w:t>
      </w:r>
    </w:p>
    <w:p>
      <w:pPr>
        <w:spacing w:after="0" w:line="229" w:lineRule="exact"/>
        <w:rPr>
          <w:rFonts w:ascii="Arial" w:cs="Arial" w:eastAsia="Arial" w:hAnsi="Arial"/>
          <w:sz w:val="18"/>
          <w:szCs w:val="18"/>
          <w:b w:val="1"/>
          <w:bCs w:val="1"/>
          <w:color w:val="auto"/>
        </w:rPr>
      </w:pPr>
    </w:p>
    <w:p>
      <w:pPr>
        <w:ind w:left="520" w:right="10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condensed consolidated financial statements of CECO Environmental Corp. and its subsidiaries (the “Company,” “CECO,” “we,” “us,” or “our”) have been prepared pursuant to the rules and regulations of the Securities and Exchange Commission (the “SEC”). Certain information and footnote disclosures normally included in financial statements prepared in accordance with accounting principles generally accepted in the United States of America (“GAAP”)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June 30, 2023 and the results of operations, cash flows and shareholders’ equity for the three and six months ended June 30, 2023 and 2022. The results of operations for the three and six months ended June 30, 2023 are not necessarily indicative of the results to be expected for the full year. The balance sheet as of December 31, 2022 has been derived from the audited consolidated financial statements included in the Company’s Annual Report on Form 10-K for the year ended December 31, 2022 as filed with the SEC on March 6, 2023 (the “Form 10-K”).</w:t>
      </w:r>
    </w:p>
    <w:p>
      <w:pPr>
        <w:spacing w:after="0" w:line="185" w:lineRule="exact"/>
        <w:rPr>
          <w:rFonts w:ascii="Arial" w:cs="Arial" w:eastAsia="Arial" w:hAnsi="Arial"/>
          <w:sz w:val="18"/>
          <w:szCs w:val="18"/>
          <w:b w:val="1"/>
          <w:bCs w:val="1"/>
          <w:color w:val="auto"/>
        </w:rPr>
      </w:pPr>
    </w:p>
    <w:p>
      <w:pPr>
        <w:ind w:left="520" w:right="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5" w:lineRule="exact"/>
        <w:rPr>
          <w:rFonts w:ascii="Arial" w:cs="Arial" w:eastAsia="Arial" w:hAnsi="Arial"/>
          <w:sz w:val="18"/>
          <w:szCs w:val="18"/>
          <w:b w:val="1"/>
          <w:bCs w:val="1"/>
          <w:color w:val="auto"/>
        </w:rPr>
      </w:pPr>
    </w:p>
    <w:p>
      <w:pPr>
        <w:ind w:left="52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financial statements and accompanying notes should be read in conjunction with the audited financial statements and the notes thereto included in the Form 10-K.</w:t>
      </w:r>
    </w:p>
    <w:p>
      <w:pPr>
        <w:spacing w:after="0" w:line="17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Unless otherwise indicated, all balances within tables are in thousands, except per share amounts.</w:t>
      </w:r>
    </w:p>
    <w:p>
      <w:pPr>
        <w:spacing w:after="0" w:line="221" w:lineRule="exact"/>
        <w:rPr>
          <w:rFonts w:ascii="Arial" w:cs="Arial" w:eastAsia="Arial" w:hAnsi="Arial"/>
          <w:sz w:val="18"/>
          <w:szCs w:val="18"/>
          <w:b w:val="1"/>
          <w:bCs w:val="1"/>
          <w:color w:val="auto"/>
        </w:rPr>
      </w:pPr>
    </w:p>
    <w:p>
      <w:pPr>
        <w:ind w:left="520" w:right="7220" w:hanging="512"/>
        <w:spacing w:after="0" w:line="566" w:lineRule="auto"/>
        <w:tabs>
          <w:tab w:leader="none" w:pos="5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New Financial Accounting Pronouncements Accounting Standards Adopted in Fiscal 2023</w:t>
      </w:r>
    </w:p>
    <w:p>
      <w:pPr>
        <w:ind w:left="520" w:right="6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On January 1, 2023, the beginning of the Company's fiscal year, the Company adopted Accounting Standards Update ("ASU") 2021-08, Business Combinations (Topic 805): Accounting for Contract Assets and Contract Liabilities from Contracts with Customers, which addresses how an acquirer should recognize and measure revenue contracts acquired in a business combination. The adoption of ASU 2021-08 did not have a material impact on the Company's financial statements.</w:t>
      </w:r>
    </w:p>
    <w:p>
      <w:pPr>
        <w:spacing w:after="0" w:line="182" w:lineRule="exact"/>
        <w:rPr>
          <w:rFonts w:ascii="Arial" w:cs="Arial" w:eastAsia="Arial" w:hAnsi="Arial"/>
          <w:sz w:val="16"/>
          <w:szCs w:val="16"/>
          <w:b w:val="1"/>
          <w:bCs w:val="1"/>
          <w:color w:val="auto"/>
        </w:rPr>
      </w:pPr>
    </w:p>
    <w:p>
      <w:pPr>
        <w:ind w:left="520" w:right="7900"/>
        <w:spacing w:after="0" w:line="500"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Accounting Standards to be Adopted </w:t>
      </w:r>
      <w:r>
        <w:rPr>
          <w:rFonts w:ascii="Arial" w:cs="Arial" w:eastAsia="Arial" w:hAnsi="Arial"/>
          <w:sz w:val="18"/>
          <w:szCs w:val="18"/>
          <w:color w:val="auto"/>
        </w:rPr>
        <w:t>None.</w:t>
      </w:r>
    </w:p>
    <w:p>
      <w:pPr>
        <w:spacing w:after="0" w:line="1" w:lineRule="exact"/>
        <w:rPr>
          <w:rFonts w:ascii="Arial" w:cs="Arial" w:eastAsia="Arial" w:hAnsi="Arial"/>
          <w:sz w:val="16"/>
          <w:szCs w:val="16"/>
          <w:b w:val="1"/>
          <w:bCs w:val="1"/>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Accounts receivable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8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Pr>
          <w:p>
            <w:pPr>
              <w:spacing w:after="0"/>
              <w:rPr>
                <w:sz w:val="16"/>
                <w:szCs w:val="16"/>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December 31, 2022</w:t>
            </w:r>
          </w:p>
        </w:tc>
      </w:tr>
      <w:tr>
        <w:trPr>
          <w:trHeight w:val="236"/>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130,919</w:t>
            </w:r>
          </w:p>
        </w:tc>
        <w:tc>
          <w:tcPr>
            <w:tcW w:w="3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87,306</w:t>
            </w:r>
          </w:p>
        </w:tc>
        <w:tc>
          <w:tcPr>
            <w:tcW w:w="140" w:type="dxa"/>
            <w:vAlign w:val="bottom"/>
            <w:shd w:val="clear" w:color="auto" w:fill="CFF0FC"/>
          </w:tcPr>
          <w:p>
            <w:pPr>
              <w:spacing w:after="0"/>
              <w:rPr>
                <w:sz w:val="20"/>
                <w:szCs w:val="20"/>
                <w:color w:val="auto"/>
              </w:rPr>
            </w:pP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Pr>
          <w:p>
            <w:pPr>
              <w:spacing w:after="0"/>
              <w:rPr>
                <w:sz w:val="20"/>
                <w:szCs w:val="20"/>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(4,256 )</w:t>
            </w:r>
          </w:p>
        </w:tc>
        <w:tc>
          <w:tcPr>
            <w:tcW w:w="200" w:type="dxa"/>
            <w:vAlign w:val="bottom"/>
          </w:tcPr>
          <w:p>
            <w:pPr>
              <w:spacing w:after="0"/>
              <w:rPr>
                <w:sz w:val="20"/>
                <w:szCs w:val="20"/>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(4,220 )</w:t>
            </w:r>
          </w:p>
        </w:tc>
      </w:tr>
      <w:tr>
        <w:trPr>
          <w:trHeight w:val="276"/>
        </w:trPr>
        <w:tc>
          <w:tcPr>
            <w:tcW w:w="7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accounts receivable, net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126,663</w:t>
            </w:r>
          </w:p>
        </w:tc>
        <w:tc>
          <w:tcPr>
            <w:tcW w:w="3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83,086</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-24765</wp:posOffset>
            </wp:positionV>
            <wp:extent cx="857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both"/>
        <w:ind w:left="520" w:right="180"/>
        <w:spacing w:after="0" w:line="301" w:lineRule="auto"/>
        <w:rPr>
          <w:sz w:val="20"/>
          <w:szCs w:val="20"/>
          <w:color w:val="auto"/>
        </w:rPr>
      </w:pPr>
      <w:r>
        <w:rPr>
          <w:rFonts w:ascii="Arial" w:cs="Arial" w:eastAsia="Arial" w:hAnsi="Arial"/>
          <w:sz w:val="16"/>
          <w:szCs w:val="16"/>
          <w:color w:val="auto"/>
        </w:rPr>
        <w:t>Balances billed but not paid by customers under retainage provisions in contracts within the Condensed Consolidated Balance Sheets amounted to approximately $1.4 million and $1.6 million at June 30, 2023 and December 31, 2022, respectively. Retainage receivables on contracts in progress are generally collected within a year or two subsequent to contract completion, and are recorded in either "Accounts receivable, net" or "Deferred charges and other assets" within the Condensed Consolidated Balance Sheets depending on timing of expected collection.</w:t>
      </w:r>
    </w:p>
    <w:p>
      <w:pPr>
        <w:spacing w:after="0" w:line="157" w:lineRule="exact"/>
        <w:rPr>
          <w:sz w:val="20"/>
          <w:szCs w:val="20"/>
          <w:color w:val="auto"/>
        </w:rPr>
      </w:pPr>
    </w:p>
    <w:p>
      <w:pPr>
        <w:ind w:left="520" w:right="200"/>
        <w:spacing w:after="0" w:line="277" w:lineRule="auto"/>
        <w:rPr>
          <w:sz w:val="20"/>
          <w:szCs w:val="20"/>
          <w:color w:val="auto"/>
        </w:rPr>
      </w:pPr>
      <w:r>
        <w:rPr>
          <w:rFonts w:ascii="Arial" w:cs="Arial" w:eastAsia="Arial" w:hAnsi="Arial"/>
          <w:sz w:val="18"/>
          <w:szCs w:val="18"/>
          <w:color w:val="auto"/>
        </w:rPr>
        <w:t>Provision for credit losses was $(0.1) million and $0.4 million for the three months ended June 30, 2023 and 2022, respectively, and zero and $0.4 million for the six months ended June 30, 2023 and 2022,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Arial" w:cs="Arial" w:eastAsia="Arial" w:hAnsi="Arial"/>
                <w:sz w:val="18"/>
                <w:szCs w:val="18"/>
                <w:b w:val="1"/>
                <w:bCs w:val="1"/>
                <w:color w:val="auto"/>
              </w:rPr>
              <w:t>4.</w:t>
            </w:r>
          </w:p>
        </w:tc>
        <w:tc>
          <w:tcPr>
            <w:tcW w:w="7060" w:type="dxa"/>
            <w:vAlign w:val="bottom"/>
          </w:tcPr>
          <w:p>
            <w:pPr>
              <w:ind w:left="340"/>
              <w:spacing w:after="0"/>
              <w:rPr>
                <w:sz w:val="20"/>
                <w:szCs w:val="20"/>
                <w:color w:val="auto"/>
              </w:rPr>
            </w:pPr>
            <w:r>
              <w:rPr>
                <w:rFonts w:ascii="Arial" w:cs="Arial" w:eastAsia="Arial" w:hAnsi="Arial"/>
                <w:sz w:val="18"/>
                <w:szCs w:val="18"/>
                <w:b w:val="1"/>
                <w:bCs w:val="1"/>
                <w:color w:val="auto"/>
              </w:rPr>
              <w:t>Inventories</w:t>
            </w: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7060" w:type="dxa"/>
            <w:vAlign w:val="bottom"/>
          </w:tcPr>
          <w:p>
            <w:pPr>
              <w:ind w:left="360"/>
              <w:spacing w:after="0"/>
              <w:rPr>
                <w:sz w:val="20"/>
                <w:szCs w:val="20"/>
                <w:color w:val="auto"/>
              </w:rPr>
            </w:pPr>
            <w:r>
              <w:rPr>
                <w:rFonts w:ascii="Arial" w:cs="Arial" w:eastAsia="Arial" w:hAnsi="Arial"/>
                <w:sz w:val="18"/>
                <w:szCs w:val="18"/>
                <w:color w:val="auto"/>
              </w:rPr>
              <w:t>Inventories consisted of the following:</w:t>
            </w: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8"/>
        </w:trPr>
        <w:tc>
          <w:tcPr>
            <w:tcW w:w="7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4"/>
                <w:szCs w:val="24"/>
                <w:color w:val="auto"/>
              </w:rPr>
            </w:pPr>
          </w:p>
        </w:tc>
        <w:tc>
          <w:tcPr>
            <w:tcW w:w="18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Pr>
          <w:p>
            <w:pPr>
              <w:spacing w:after="0"/>
              <w:rPr>
                <w:sz w:val="24"/>
                <w:szCs w:val="24"/>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December 31, 2022</w:t>
            </w:r>
          </w:p>
        </w:tc>
      </w:tr>
      <w:tr>
        <w:trPr>
          <w:trHeight w:val="236"/>
        </w:trPr>
        <w:tc>
          <w:tcPr>
            <w:tcW w:w="72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22,833</w:t>
            </w:r>
          </w:p>
        </w:tc>
        <w:tc>
          <w:tcPr>
            <w:tcW w:w="3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19,774</w:t>
            </w:r>
          </w:p>
        </w:tc>
        <w:tc>
          <w:tcPr>
            <w:tcW w:w="140" w:type="dxa"/>
            <w:vAlign w:val="bottom"/>
            <w:shd w:val="clear" w:color="auto" w:fill="CFF0FC"/>
          </w:tcPr>
          <w:p>
            <w:pPr>
              <w:spacing w:after="0"/>
              <w:rPr>
                <w:sz w:val="20"/>
                <w:szCs w:val="20"/>
                <w:color w:val="auto"/>
              </w:rPr>
            </w:pPr>
          </w:p>
        </w:tc>
      </w:tr>
      <w:tr>
        <w:trPr>
          <w:trHeight w:val="237"/>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10,086</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7,183</w:t>
            </w:r>
          </w:p>
        </w:tc>
        <w:tc>
          <w:tcPr>
            <w:tcW w:w="140" w:type="dxa"/>
            <w:vAlign w:val="bottom"/>
          </w:tcPr>
          <w:p>
            <w:pPr>
              <w:spacing w:after="0"/>
              <w:rPr>
                <w:sz w:val="20"/>
                <w:szCs w:val="20"/>
                <w:color w:val="auto"/>
              </w:rPr>
            </w:pPr>
          </w:p>
        </w:tc>
      </w:tr>
      <w:tr>
        <w:trPr>
          <w:trHeight w:val="249"/>
        </w:trPr>
        <w:tc>
          <w:tcPr>
            <w:tcW w:w="72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140" w:type="dxa"/>
            <w:vAlign w:val="bottom"/>
            <w:shd w:val="clear" w:color="auto" w:fill="CFF0FC"/>
          </w:tcPr>
          <w:p>
            <w:pPr>
              <w:spacing w:after="0"/>
              <w:rPr>
                <w:sz w:val="21"/>
                <w:szCs w:val="21"/>
                <w:color w:val="auto"/>
              </w:rPr>
            </w:pPr>
          </w:p>
        </w:tc>
      </w:tr>
      <w:tr>
        <w:trPr>
          <w:trHeight w:val="237"/>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Obsolescence allowance</w:t>
            </w:r>
          </w:p>
        </w:tc>
        <w:tc>
          <w:tcPr>
            <w:tcW w:w="280" w:type="dxa"/>
            <w:vAlign w:val="bottom"/>
          </w:tcPr>
          <w:p>
            <w:pPr>
              <w:spacing w:after="0"/>
              <w:rPr>
                <w:sz w:val="20"/>
                <w:szCs w:val="20"/>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(3,326 )</w:t>
            </w:r>
          </w:p>
        </w:tc>
        <w:tc>
          <w:tcPr>
            <w:tcW w:w="200" w:type="dxa"/>
            <w:vAlign w:val="bottom"/>
          </w:tcPr>
          <w:p>
            <w:pPr>
              <w:spacing w:after="0"/>
              <w:rPr>
                <w:sz w:val="20"/>
                <w:szCs w:val="20"/>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(2,867 )</w:t>
            </w:r>
          </w:p>
        </w:tc>
      </w:tr>
      <w:tr>
        <w:trPr>
          <w:trHeight w:val="276"/>
        </w:trPr>
        <w:tc>
          <w:tcPr>
            <w:tcW w:w="180" w:type="dxa"/>
            <w:vAlign w:val="bottom"/>
            <w:tcBorders>
              <w:bottom w:val="single" w:sz="8" w:color="CFF0FC"/>
            </w:tcBorders>
            <w:shd w:val="clear" w:color="auto" w:fill="CFF0FC"/>
          </w:tcPr>
          <w:p>
            <w:pPr>
              <w:spacing w:after="0"/>
              <w:rPr>
                <w:sz w:val="24"/>
                <w:szCs w:val="24"/>
                <w:color w:val="auto"/>
              </w:rPr>
            </w:pPr>
          </w:p>
        </w:tc>
        <w:tc>
          <w:tcPr>
            <w:tcW w:w="7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inventories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31,828</w:t>
            </w:r>
          </w:p>
        </w:tc>
        <w:tc>
          <w:tcPr>
            <w:tcW w:w="3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26,526</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-25400</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857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ind w:left="520" w:right="420"/>
        <w:spacing w:after="0" w:line="263" w:lineRule="auto"/>
        <w:rPr>
          <w:sz w:val="20"/>
          <w:szCs w:val="20"/>
          <w:color w:val="auto"/>
        </w:rPr>
      </w:pPr>
      <w:r>
        <w:rPr>
          <w:rFonts w:ascii="Arial" w:cs="Arial" w:eastAsia="Arial" w:hAnsi="Arial"/>
          <w:sz w:val="18"/>
          <w:szCs w:val="18"/>
          <w:color w:val="auto"/>
        </w:rPr>
        <w:t>Amounts credited to the allowance for obsolete inventory and charged to cost of sales amounted to $0.4 million and $(0.1) million for the three months ended June 30, 2023 and 2022, respectively, and $0.6 million and $0.1 million for the six months ended June 30, 2023 and 2022, respectively.</w:t>
      </w:r>
    </w:p>
    <w:p>
      <w:pPr>
        <w:spacing w:after="0" w:line="180"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Goodwill activity for the six months ended June 30, 2023 and the year ended December 31, 2022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260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9"/>
              </w:rPr>
              <w:t>Six months ended June 30, 2023</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 ended December 31, 2022</w:t>
            </w:r>
          </w:p>
        </w:tc>
        <w:tc>
          <w:tcPr>
            <w:tcW w:w="0" w:type="dxa"/>
            <w:vAlign w:val="bottom"/>
          </w:tcPr>
          <w:p>
            <w:pPr>
              <w:spacing w:after="0"/>
              <w:rPr>
                <w:sz w:val="1"/>
                <w:szCs w:val="1"/>
                <w:color w:val="auto"/>
              </w:rPr>
            </w:pPr>
          </w:p>
        </w:tc>
      </w:tr>
      <w:tr>
        <w:trPr>
          <w:trHeight w:val="169"/>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Goodwill / Tradename</w:t>
            </w: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Goodwill</w:t>
            </w: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Tradename</w:t>
            </w:r>
          </w:p>
        </w:tc>
        <w:tc>
          <w:tcPr>
            <w:tcW w:w="2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right"/>
              <w:ind w:right="640"/>
              <w:spacing w:after="0"/>
              <w:rPr>
                <w:sz w:val="20"/>
                <w:szCs w:val="20"/>
                <w:color w:val="auto"/>
              </w:rPr>
            </w:pPr>
            <w:r>
              <w:rPr>
                <w:rFonts w:ascii="Arial" w:cs="Arial" w:eastAsia="Arial" w:hAnsi="Arial"/>
                <w:sz w:val="14"/>
                <w:szCs w:val="14"/>
                <w:b w:val="1"/>
                <w:bCs w:val="1"/>
                <w:color w:val="auto"/>
              </w:rPr>
              <w:t>Goodwill</w:t>
            </w: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Tradename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183,197</w:t>
            </w: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9,508</w:t>
            </w: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161,183</w:t>
            </w: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9,629</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15,450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23,312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(1,298 )</w:t>
            </w:r>
          </w:p>
        </w:tc>
        <w:tc>
          <w:tcPr>
            <w:tcW w:w="1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36"/>
        </w:trPr>
        <w:tc>
          <w:tcPr>
            <w:tcW w:w="52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199,736</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9,559</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183,197</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9,508</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ind w:left="540"/>
              <w:spacing w:after="0"/>
              <w:rPr>
                <w:sz w:val="20"/>
                <w:szCs w:val="20"/>
                <w:color w:val="auto"/>
              </w:rPr>
            </w:pPr>
            <w:r>
              <w:rPr>
                <w:rFonts w:ascii="Arial" w:cs="Arial" w:eastAsia="Arial" w:hAnsi="Arial"/>
                <w:sz w:val="18"/>
                <w:szCs w:val="18"/>
                <w:color w:val="auto"/>
              </w:rPr>
              <w:t>Finite life intangible assets consisted of the following:</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4"/>
          </w:tcPr>
          <w:p>
            <w:pPr>
              <w:jc w:val="right"/>
              <w:ind w:right="913"/>
              <w:spacing w:after="0"/>
              <w:rPr>
                <w:sz w:val="20"/>
                <w:szCs w:val="20"/>
                <w:color w:val="auto"/>
              </w:rPr>
            </w:pPr>
            <w:r>
              <w:rPr>
                <w:rFonts w:ascii="Arial" w:cs="Arial" w:eastAsia="Arial" w:hAnsi="Arial"/>
                <w:sz w:val="14"/>
                <w:szCs w:val="14"/>
                <w:b w:val="1"/>
                <w:bCs w:val="1"/>
                <w:color w:val="auto"/>
              </w:rPr>
              <w:t>June 30, 2023</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69"/>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right"/>
              <w:ind w:right="760"/>
              <w:spacing w:after="0"/>
              <w:rPr>
                <w:sz w:val="20"/>
                <w:szCs w:val="20"/>
                <w:color w:val="auto"/>
              </w:rPr>
            </w:pPr>
            <w:r>
              <w:rPr>
                <w:rFonts w:ascii="Arial" w:cs="Arial" w:eastAsia="Arial" w:hAnsi="Arial"/>
                <w:sz w:val="14"/>
                <w:szCs w:val="14"/>
                <w:b w:val="1"/>
                <w:bCs w:val="1"/>
                <w:color w:val="auto"/>
              </w:rPr>
              <w:t>Cost</w:t>
            </w: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4"/>
              </w:rPr>
              <w:t>Accum. Amort.</w:t>
            </w:r>
          </w:p>
        </w:tc>
        <w:tc>
          <w:tcPr>
            <w:tcW w:w="2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right"/>
              <w:ind w:right="780"/>
              <w:spacing w:after="0"/>
              <w:rPr>
                <w:sz w:val="20"/>
                <w:szCs w:val="20"/>
                <w:color w:val="auto"/>
              </w:rPr>
            </w:pPr>
            <w:r>
              <w:rPr>
                <w:rFonts w:ascii="Arial" w:cs="Arial" w:eastAsia="Arial" w:hAnsi="Arial"/>
                <w:sz w:val="14"/>
                <w:szCs w:val="14"/>
                <w:b w:val="1"/>
                <w:bCs w:val="1"/>
                <w:color w:val="auto"/>
              </w:rPr>
              <w:t>Cost</w:t>
            </w: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Accum. Amort.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15,087</w:t>
            </w: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13,869</w:t>
            </w: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14,457</w:t>
            </w: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13,729</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Customer lists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94,751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60,255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85,719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57,540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Tradenames</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12,634</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11,604</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Foreign currency adjustments</w:t>
            </w:r>
          </w:p>
        </w:tc>
        <w:tc>
          <w:tcPr>
            <w:tcW w:w="2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(1,099 )</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(1,864 )</w:t>
            </w:r>
          </w:p>
        </w:tc>
        <w:tc>
          <w:tcPr>
            <w:tcW w:w="14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(372 )</w:t>
            </w:r>
          </w:p>
        </w:tc>
        <w:tc>
          <w:tcPr>
            <w:tcW w:w="0" w:type="dxa"/>
            <w:vAlign w:val="bottom"/>
          </w:tcPr>
          <w:p>
            <w:pPr>
              <w:spacing w:after="0"/>
              <w:rPr>
                <w:sz w:val="1"/>
                <w:szCs w:val="1"/>
                <w:color w:val="auto"/>
              </w:rPr>
            </w:pPr>
          </w:p>
        </w:tc>
      </w:tr>
      <w:tr>
        <w:trPr>
          <w:trHeight w:val="276"/>
        </w:trPr>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intangible assets – finite life</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121,373</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78,474</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109,916</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74,665</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-1662430</wp:posOffset>
            </wp:positionV>
            <wp:extent cx="85725"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-1662430</wp:posOffset>
            </wp:positionV>
            <wp:extent cx="85725"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-1662430</wp:posOffset>
            </wp:positionV>
            <wp:extent cx="85725"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-1662430</wp:posOffset>
            </wp:positionV>
            <wp:extent cx="85725"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-24765</wp:posOffset>
            </wp:positionV>
            <wp:extent cx="85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85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Finite life intangible asset activity for the six months ended June 30, 2023 and 2022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6"/>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 finite life, net at beginning of period</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35,251</w:t>
            </w:r>
          </w:p>
        </w:tc>
        <w:tc>
          <w:tcPr>
            <w:tcW w:w="3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25,841</w:t>
            </w:r>
          </w:p>
        </w:tc>
        <w:tc>
          <w:tcPr>
            <w:tcW w:w="140" w:type="dxa"/>
            <w:vAlign w:val="bottom"/>
            <w:shd w:val="clear" w:color="auto" w:fill="CFF0FC"/>
          </w:tcPr>
          <w:p>
            <w:pPr>
              <w:spacing w:after="0"/>
              <w:rPr>
                <w:sz w:val="20"/>
                <w:szCs w:val="20"/>
                <w:color w:val="auto"/>
              </w:rPr>
            </w:pPr>
          </w:p>
        </w:tc>
      </w:tr>
      <w:tr>
        <w:trPr>
          <w:trHeight w:val="237"/>
        </w:trPr>
        <w:tc>
          <w:tcPr>
            <w:tcW w:w="7200" w:type="dxa"/>
            <w:vAlign w:val="bottom"/>
          </w:tcPr>
          <w:p>
            <w:pPr>
              <w:ind w:left="200"/>
              <w:spacing w:after="0"/>
              <w:rPr>
                <w:sz w:val="20"/>
                <w:szCs w:val="20"/>
                <w:color w:val="auto"/>
              </w:rPr>
            </w:pPr>
            <w:r>
              <w:rPr>
                <w:rFonts w:ascii="Arial" w:cs="Arial" w:eastAsia="Arial" w:hAnsi="Arial"/>
                <w:sz w:val="18"/>
                <w:szCs w:val="18"/>
                <w:color w:val="auto"/>
              </w:rPr>
              <w:t>Amortization expense</w:t>
            </w:r>
          </w:p>
        </w:tc>
        <w:tc>
          <w:tcPr>
            <w:tcW w:w="440" w:type="dxa"/>
            <w:vAlign w:val="bottom"/>
          </w:tcPr>
          <w:p>
            <w:pPr>
              <w:spacing w:after="0"/>
              <w:rPr>
                <w:sz w:val="20"/>
                <w:szCs w:val="20"/>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(3,430 )</w:t>
            </w:r>
          </w:p>
        </w:tc>
        <w:tc>
          <w:tcPr>
            <w:tcW w:w="42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(2,789 )</w:t>
            </w:r>
          </w:p>
        </w:tc>
      </w:tr>
      <w:tr>
        <w:trPr>
          <w:trHeight w:val="249"/>
        </w:trPr>
        <w:tc>
          <w:tcPr>
            <w:tcW w:w="7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Acquisitions</w:t>
            </w:r>
          </w:p>
        </w:tc>
        <w:tc>
          <w:tcPr>
            <w:tcW w:w="4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10,708</w:t>
            </w:r>
          </w:p>
        </w:tc>
        <w:tc>
          <w:tcPr>
            <w:tcW w:w="3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13,280</w:t>
            </w:r>
          </w:p>
        </w:tc>
        <w:tc>
          <w:tcPr>
            <w:tcW w:w="140" w:type="dxa"/>
            <w:vAlign w:val="bottom"/>
            <w:shd w:val="clear" w:color="auto" w:fill="CFF0FC"/>
          </w:tcPr>
          <w:p>
            <w:pPr>
              <w:spacing w:after="0"/>
              <w:rPr>
                <w:sz w:val="21"/>
                <w:szCs w:val="21"/>
                <w:color w:val="auto"/>
              </w:rPr>
            </w:pPr>
          </w:p>
        </w:tc>
      </w:tr>
      <w:tr>
        <w:trPr>
          <w:trHeight w:val="237"/>
        </w:trPr>
        <w:tc>
          <w:tcPr>
            <w:tcW w:w="7200" w:type="dxa"/>
            <w:vAlign w:val="bottom"/>
          </w:tcPr>
          <w:p>
            <w:pPr>
              <w:ind w:left="200"/>
              <w:spacing w:after="0"/>
              <w:rPr>
                <w:sz w:val="20"/>
                <w:szCs w:val="20"/>
                <w:color w:val="auto"/>
              </w:rPr>
            </w:pPr>
            <w:r>
              <w:rPr>
                <w:rFonts w:ascii="Arial" w:cs="Arial" w:eastAsia="Arial" w:hAnsi="Arial"/>
                <w:sz w:val="18"/>
                <w:szCs w:val="18"/>
                <w:color w:val="auto"/>
              </w:rPr>
              <w:t>Foreign currency adjustments</w:t>
            </w:r>
          </w:p>
        </w:tc>
        <w:tc>
          <w:tcPr>
            <w:tcW w:w="4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370</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(538 )</w:t>
            </w:r>
          </w:p>
        </w:tc>
      </w:tr>
      <w:tr>
        <w:trPr>
          <w:trHeight w:val="276"/>
        </w:trPr>
        <w:tc>
          <w:tcPr>
            <w:tcW w:w="7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Intangible assets – finite life, net at end of period</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42,899</w:t>
            </w:r>
          </w:p>
        </w:tc>
        <w:tc>
          <w:tcPr>
            <w:tcW w:w="3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35,794</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-25400</wp:posOffset>
            </wp:positionV>
            <wp:extent cx="857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857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ind w:left="520" w:right="60"/>
        <w:spacing w:after="0" w:line="259" w:lineRule="auto"/>
        <w:rPr>
          <w:sz w:val="20"/>
          <w:szCs w:val="20"/>
          <w:color w:val="auto"/>
        </w:rPr>
      </w:pPr>
      <w:r>
        <w:rPr>
          <w:rFonts w:ascii="Arial" w:cs="Arial" w:eastAsia="Arial" w:hAnsi="Arial"/>
          <w:sz w:val="18"/>
          <w:szCs w:val="18"/>
          <w:color w:val="auto"/>
        </w:rPr>
        <w:t>Amortization expense of finite life intangible assets was $1.7 million and $1.5 million for the three months ended June 30, 2023 and 2022, respectively, and $3.4 million and $2.8 million for the six months ended June 30, 2023 and 2022, respectively. Amortization over the next five years for finite life intangibles is expected to be $3.7 million for the remainder of 2023, $7.1 million in 2024, $6.1 million in 2025, $4.8 million in 2026, and $4.7 million in 2027.</w:t>
      </w:r>
    </w:p>
    <w:p>
      <w:pPr>
        <w:spacing w:after="0" w:line="187" w:lineRule="exact"/>
        <w:rPr>
          <w:sz w:val="20"/>
          <w:szCs w:val="20"/>
          <w:color w:val="auto"/>
        </w:rPr>
      </w:pPr>
    </w:p>
    <w:p>
      <w:pPr>
        <w:ind w:left="520" w:right="20"/>
        <w:spacing w:after="0" w:line="254" w:lineRule="auto"/>
        <w:rPr>
          <w:sz w:val="20"/>
          <w:szCs w:val="20"/>
          <w:color w:val="auto"/>
        </w:rPr>
      </w:pPr>
      <w:r>
        <w:rPr>
          <w:rFonts w:ascii="Arial" w:cs="Arial" w:eastAsia="Arial" w:hAnsi="Arial"/>
          <w:sz w:val="18"/>
          <w:szCs w:val="18"/>
          <w:color w:val="auto"/>
        </w:rPr>
        <w:t>The Company completes its goodwill and indefinite life intangible asset impairment assessment annually in the fourth quarter, or more often if circumstances require. As a part of its impairment assessment, the Company first qualitatively assesses whether current events or changes in circumstances lead to a determination that it is more likely than not, defined as a likelihood of more than 50 percent, that the fair value of a reporting unit or indefinite life intangible asset is less than its carrying amount. If there is a qualitative determination that the fair value is more likely than not greater than the carrying value, the Company does not quantitatively test for impairment. If this qualitative assessment indicates a more likely than not potential that the asset may be impaired, the estimated fair value is calculated. If the estimated fair value is less than carrying value, an impairment charge is recorded.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ind w:left="520" w:right="280"/>
        <w:spacing w:after="0" w:line="259" w:lineRule="auto"/>
        <w:rPr>
          <w:sz w:val="20"/>
          <w:szCs w:val="20"/>
          <w:color w:val="auto"/>
        </w:rPr>
      </w:pPr>
      <w:r>
        <w:rPr>
          <w:rFonts w:ascii="Arial" w:cs="Arial" w:eastAsia="Arial" w:hAnsi="Arial"/>
          <w:sz w:val="18"/>
          <w:szCs w:val="18"/>
          <w:color w:val="auto"/>
        </w:rPr>
        <w:t>As of June 30, 2023, the Company reviewed its previous forecasts and assumptions based on its current projections, which are subject to various risks and uncertainties, including projected revenue, projected operational profit, terminal growth rates, and the cost of capital. The Company did not identify any triggering events during the three or six months ended June 30, 2023 that would require an interim impairment assessment of goodwill or intangible assets.</w:t>
      </w:r>
    </w:p>
    <w:p>
      <w:pPr>
        <w:spacing w:after="0" w:line="187" w:lineRule="exact"/>
        <w:rPr>
          <w:sz w:val="20"/>
          <w:szCs w:val="20"/>
          <w:color w:val="auto"/>
        </w:rPr>
      </w:pPr>
    </w:p>
    <w:p>
      <w:pPr>
        <w:jc w:val="both"/>
        <w:ind w:left="520" w:right="20"/>
        <w:spacing w:after="0" w:line="263" w:lineRule="auto"/>
        <w:rPr>
          <w:sz w:val="20"/>
          <w:szCs w:val="20"/>
          <w:color w:val="auto"/>
        </w:rPr>
      </w:pPr>
      <w:r>
        <w:rPr>
          <w:rFonts w:ascii="Arial" w:cs="Arial" w:eastAsia="Arial" w:hAnsi="Arial"/>
          <w:sz w:val="18"/>
          <w:szCs w:val="18"/>
          <w:color w:val="auto"/>
        </w:rPr>
        <w:t>The Company’s assumptions about future conditions important to its assessment of potential impairment of its goodwill and indefinite life intangible assets are subject to uncertainty, and the Company will continue to monitor these conditions in future periods as new information becomes available, and will update its analysis accordingly.</w:t>
      </w:r>
    </w:p>
    <w:p>
      <w:pPr>
        <w:spacing w:after="0" w:line="72"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payable and accrued expenses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gridSpan w:val="5"/>
          </w:tcPr>
          <w:p>
            <w:pPr>
              <w:ind w:left="480"/>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Pr>
          <w:p>
            <w:pPr>
              <w:spacing w:after="0"/>
              <w:rPr>
                <w:sz w:val="16"/>
                <w:szCs w:val="16"/>
                <w:color w:val="auto"/>
              </w:rPr>
            </w:pPr>
          </w:p>
        </w:tc>
        <w:tc>
          <w:tcPr>
            <w:tcW w:w="16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December 31, 2022</w:t>
            </w:r>
          </w:p>
        </w:tc>
      </w:tr>
      <w:tr>
        <w:trPr>
          <w:trHeight w:val="236"/>
        </w:trPr>
        <w:tc>
          <w:tcPr>
            <w:tcW w:w="72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Trade accounts payable, including amounts due to subcontractors</w:t>
            </w:r>
          </w:p>
        </w:tc>
        <w:tc>
          <w:tcPr>
            <w:tcW w:w="540" w:type="dxa"/>
            <w:vAlign w:val="bottom"/>
            <w:tcBorders>
              <w:top w:val="single" w:sz="8" w:color="auto"/>
            </w:tcBorders>
            <w:shd w:val="clear" w:color="auto" w:fill="CFF0FC"/>
          </w:tcPr>
          <w:p>
            <w:pPr>
              <w:jc w:val="right"/>
              <w:ind w:right="355"/>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80,492</w:t>
            </w:r>
          </w:p>
        </w:tc>
        <w:tc>
          <w:tcPr>
            <w:tcW w:w="2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73,407</w:t>
            </w:r>
          </w:p>
        </w:tc>
        <w:tc>
          <w:tcPr>
            <w:tcW w:w="140" w:type="dxa"/>
            <w:vAlign w:val="bottom"/>
            <w:shd w:val="clear" w:color="auto" w:fill="CFF0FC"/>
          </w:tcPr>
          <w:p>
            <w:pPr>
              <w:spacing w:after="0"/>
              <w:rPr>
                <w:sz w:val="20"/>
                <w:szCs w:val="20"/>
                <w:color w:val="auto"/>
              </w:rPr>
            </w:pPr>
          </w:p>
        </w:tc>
      </w:tr>
      <w:tr>
        <w:trPr>
          <w:trHeight w:val="237"/>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Compensation and related benefits</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6,353</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9,577</w:t>
            </w:r>
          </w:p>
        </w:tc>
        <w:tc>
          <w:tcPr>
            <w:tcW w:w="140" w:type="dxa"/>
            <w:vAlign w:val="bottom"/>
          </w:tcPr>
          <w:p>
            <w:pPr>
              <w:spacing w:after="0"/>
              <w:rPr>
                <w:sz w:val="20"/>
                <w:szCs w:val="20"/>
                <w:color w:val="auto"/>
              </w:rPr>
            </w:pPr>
          </w:p>
        </w:tc>
      </w:tr>
      <w:tr>
        <w:trPr>
          <w:trHeight w:val="249"/>
        </w:trPr>
        <w:tc>
          <w:tcPr>
            <w:tcW w:w="72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Accrued warranty</w:t>
            </w: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3,958</w:t>
            </w:r>
          </w:p>
        </w:tc>
        <w:tc>
          <w:tcPr>
            <w:tcW w:w="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3,691</w:t>
            </w:r>
          </w:p>
        </w:tc>
        <w:tc>
          <w:tcPr>
            <w:tcW w:w="140" w:type="dxa"/>
            <w:vAlign w:val="bottom"/>
            <w:shd w:val="clear" w:color="auto" w:fill="CFF0FC"/>
          </w:tcPr>
          <w:p>
            <w:pPr>
              <w:spacing w:after="0"/>
              <w:rPr>
                <w:sz w:val="21"/>
                <w:szCs w:val="21"/>
                <w:color w:val="auto"/>
              </w:rPr>
            </w:pPr>
          </w:p>
        </w:tc>
      </w:tr>
      <w:tr>
        <w:trPr>
          <w:trHeight w:val="237"/>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Contract liability</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6,729</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4,516</w:t>
            </w:r>
          </w:p>
        </w:tc>
        <w:tc>
          <w:tcPr>
            <w:tcW w:w="140" w:type="dxa"/>
            <w:vAlign w:val="bottom"/>
          </w:tcPr>
          <w:p>
            <w:pPr>
              <w:spacing w:after="0"/>
              <w:rPr>
                <w:sz w:val="20"/>
                <w:szCs w:val="20"/>
                <w:color w:val="auto"/>
              </w:rPr>
            </w:pPr>
          </w:p>
        </w:tc>
      </w:tr>
      <w:tr>
        <w:trPr>
          <w:trHeight w:val="249"/>
        </w:trPr>
        <w:tc>
          <w:tcPr>
            <w:tcW w:w="72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Short-term operating lease liability</w:t>
            </w: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3,520</w:t>
            </w:r>
          </w:p>
        </w:tc>
        <w:tc>
          <w:tcPr>
            <w:tcW w:w="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3,228</w:t>
            </w:r>
          </w:p>
        </w:tc>
        <w:tc>
          <w:tcPr>
            <w:tcW w:w="140" w:type="dxa"/>
            <w:vAlign w:val="bottom"/>
            <w:shd w:val="clear" w:color="auto" w:fill="CFF0FC"/>
          </w:tcPr>
          <w:p>
            <w:pPr>
              <w:spacing w:after="0"/>
              <w:rPr>
                <w:sz w:val="21"/>
                <w:szCs w:val="21"/>
                <w:color w:val="auto"/>
              </w:rPr>
            </w:pPr>
          </w:p>
        </w:tc>
      </w:tr>
      <w:tr>
        <w:trPr>
          <w:trHeight w:val="237"/>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15,202</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12,779</w:t>
            </w:r>
          </w:p>
        </w:tc>
        <w:tc>
          <w:tcPr>
            <w:tcW w:w="140" w:type="dxa"/>
            <w:vAlign w:val="bottom"/>
          </w:tcPr>
          <w:p>
            <w:pPr>
              <w:spacing w:after="0"/>
              <w:rPr>
                <w:sz w:val="20"/>
                <w:szCs w:val="20"/>
                <w:color w:val="auto"/>
              </w:rPr>
            </w:pPr>
          </w:p>
        </w:tc>
      </w:tr>
      <w:tr>
        <w:trPr>
          <w:trHeight w:val="276"/>
        </w:trPr>
        <w:tc>
          <w:tcPr>
            <w:tcW w:w="140" w:type="dxa"/>
            <w:vAlign w:val="bottom"/>
            <w:tcBorders>
              <w:bottom w:val="single" w:sz="8" w:color="CFF0FC"/>
            </w:tcBorders>
            <w:shd w:val="clear" w:color="auto" w:fill="CFF0FC"/>
          </w:tcPr>
          <w:p>
            <w:pPr>
              <w:spacing w:after="0"/>
              <w:rPr>
                <w:sz w:val="24"/>
                <w:szCs w:val="24"/>
                <w:color w:val="auto"/>
              </w:rPr>
            </w:pPr>
          </w:p>
        </w:tc>
        <w:tc>
          <w:tcPr>
            <w:tcW w:w="70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Total accounts payable and accrued expenses</w:t>
            </w:r>
          </w:p>
        </w:tc>
        <w:tc>
          <w:tcPr>
            <w:tcW w:w="540" w:type="dxa"/>
            <w:vAlign w:val="bottom"/>
            <w:tcBorders>
              <w:bottom w:val="single" w:sz="8" w:color="auto"/>
            </w:tcBorders>
            <w:shd w:val="clear" w:color="auto" w:fill="CFF0FC"/>
          </w:tcPr>
          <w:p>
            <w:pPr>
              <w:jc w:val="right"/>
              <w:ind w:right="355"/>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116,254</w:t>
            </w:r>
          </w:p>
        </w:tc>
        <w:tc>
          <w:tcPr>
            <w:tcW w:w="28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24"/>
                <w:szCs w:val="2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107,198</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527"/>
        </w:trPr>
        <w:tc>
          <w:tcPr>
            <w:tcW w:w="140" w:type="dxa"/>
            <w:vAlign w:val="bottom"/>
          </w:tcPr>
          <w:p>
            <w:pPr>
              <w:spacing w:after="0"/>
              <w:rPr>
                <w:sz w:val="20"/>
                <w:szCs w:val="20"/>
                <w:color w:val="auto"/>
              </w:rPr>
            </w:pPr>
            <w:r>
              <w:rPr>
                <w:rFonts w:ascii="Arial" w:cs="Arial" w:eastAsia="Arial" w:hAnsi="Arial"/>
                <w:sz w:val="18"/>
                <w:szCs w:val="18"/>
                <w:b w:val="1"/>
                <w:bCs w:val="1"/>
                <w:color w:val="auto"/>
                <w:w w:val="79"/>
              </w:rPr>
              <w:t>7.</w:t>
            </w:r>
          </w:p>
        </w:tc>
        <w:tc>
          <w:tcPr>
            <w:tcW w:w="7060" w:type="dxa"/>
            <w:vAlign w:val="bottom"/>
          </w:tcPr>
          <w:p>
            <w:pPr>
              <w:ind w:left="380"/>
              <w:spacing w:after="0"/>
              <w:rPr>
                <w:sz w:val="20"/>
                <w:szCs w:val="20"/>
                <w:color w:val="auto"/>
              </w:rPr>
            </w:pPr>
            <w:r>
              <w:rPr>
                <w:rFonts w:ascii="Arial" w:cs="Arial" w:eastAsia="Arial" w:hAnsi="Arial"/>
                <w:sz w:val="18"/>
                <w:szCs w:val="18"/>
                <w:b w:val="1"/>
                <w:bCs w:val="1"/>
                <w:color w:val="auto"/>
              </w:rPr>
              <w:t>Senior Debt</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140" w:type="dxa"/>
            <w:vAlign w:val="bottom"/>
          </w:tcPr>
          <w:p>
            <w:pPr>
              <w:spacing w:after="0"/>
              <w:rPr>
                <w:sz w:val="24"/>
                <w:szCs w:val="24"/>
                <w:color w:val="auto"/>
              </w:rPr>
            </w:pPr>
          </w:p>
        </w:tc>
        <w:tc>
          <w:tcPr>
            <w:tcW w:w="7060" w:type="dxa"/>
            <w:vAlign w:val="bottom"/>
          </w:tcPr>
          <w:p>
            <w:pPr>
              <w:ind w:left="380"/>
              <w:spacing w:after="0"/>
              <w:rPr>
                <w:sz w:val="20"/>
                <w:szCs w:val="20"/>
                <w:color w:val="auto"/>
              </w:rPr>
            </w:pPr>
            <w:r>
              <w:rPr>
                <w:rFonts w:ascii="Arial" w:cs="Arial" w:eastAsia="Arial" w:hAnsi="Arial"/>
                <w:sz w:val="18"/>
                <w:szCs w:val="18"/>
                <w:color w:val="auto"/>
              </w:rPr>
              <w:t>Debt consisted of the following:</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9"/>
        </w:trPr>
        <w:tc>
          <w:tcPr>
            <w:tcW w:w="72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ind w:left="120"/>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December 31, 2022</w:t>
            </w:r>
          </w:p>
        </w:tc>
      </w:tr>
      <w:tr>
        <w:trPr>
          <w:trHeight w:val="209"/>
        </w:trPr>
        <w:tc>
          <w:tcPr>
            <w:tcW w:w="72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Outstanding borrowings under the Credit Facility (as defined below)</w:t>
            </w:r>
          </w:p>
        </w:tc>
        <w:tc>
          <w:tcPr>
            <w:tcW w:w="5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140" w:type="dxa"/>
            <w:vAlign w:val="bottom"/>
            <w:shd w:val="clear" w:color="auto" w:fill="CFF0FC"/>
          </w:tcPr>
          <w:p>
            <w:pPr>
              <w:spacing w:after="0"/>
              <w:rPr>
                <w:sz w:val="18"/>
                <w:szCs w:val="18"/>
                <w:color w:val="auto"/>
              </w:rPr>
            </w:pPr>
          </w:p>
        </w:tc>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Term loan payable in quarterly principal installments of $550 through September 2023,</w:t>
            </w: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140" w:type="dxa"/>
            <w:vAlign w:val="bottom"/>
            <w:shd w:val="clear" w:color="auto" w:fill="CFF0FC"/>
          </w:tcPr>
          <w:p>
            <w:pPr>
              <w:spacing w:after="0"/>
              <w:rPr>
                <w:sz w:val="18"/>
                <w:szCs w:val="18"/>
                <w:color w:val="auto"/>
              </w:rPr>
            </w:pPr>
          </w:p>
        </w:tc>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$825 through September 2025 and $1,100 thereafter with balance due upon maturity in</w:t>
            </w: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44"/>
        </w:trPr>
        <w:tc>
          <w:tcPr>
            <w:tcW w:w="140" w:type="dxa"/>
            <w:vAlign w:val="bottom"/>
            <w:shd w:val="clear" w:color="auto" w:fill="CFF0FC"/>
          </w:tcPr>
          <w:p>
            <w:pPr>
              <w:spacing w:after="0"/>
              <w:rPr>
                <w:sz w:val="21"/>
                <w:szCs w:val="21"/>
                <w:color w:val="auto"/>
              </w:rPr>
            </w:pPr>
          </w:p>
        </w:tc>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December 2026.</w:t>
            </w: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140" w:type="dxa"/>
            <w:vAlign w:val="bottom"/>
          </w:tcPr>
          <w:p>
            <w:pPr>
              <w:spacing w:after="0"/>
              <w:rPr>
                <w:sz w:val="20"/>
                <w:szCs w:val="20"/>
                <w:color w:val="auto"/>
              </w:rPr>
            </w:pPr>
          </w:p>
        </w:tc>
        <w:tc>
          <w:tcPr>
            <w:tcW w:w="7060" w:type="dxa"/>
            <w:vAlign w:val="bottom"/>
          </w:tcPr>
          <w:p>
            <w:pPr>
              <w:ind w:left="60"/>
              <w:spacing w:after="0"/>
              <w:rPr>
                <w:sz w:val="20"/>
                <w:szCs w:val="20"/>
                <w:color w:val="auto"/>
              </w:rPr>
            </w:pPr>
            <w:r>
              <w:rPr>
                <w:rFonts w:ascii="Arial" w:cs="Arial" w:eastAsia="Arial" w:hAnsi="Arial"/>
                <w:sz w:val="18"/>
                <w:szCs w:val="18"/>
                <w:color w:val="auto"/>
              </w:rPr>
              <w:t>Term loan</w:t>
            </w: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40,207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41,309</w:t>
            </w:r>
          </w:p>
        </w:tc>
        <w:tc>
          <w:tcPr>
            <w:tcW w:w="140" w:type="dxa"/>
            <w:vAlign w:val="bottom"/>
          </w:tcPr>
          <w:p>
            <w:pPr>
              <w:spacing w:after="0"/>
              <w:rPr>
                <w:sz w:val="20"/>
                <w:szCs w:val="20"/>
                <w:color w:val="auto"/>
              </w:rPr>
            </w:pPr>
          </w:p>
        </w:tc>
      </w:tr>
      <w:tr>
        <w:trPr>
          <w:trHeight w:val="249"/>
        </w:trPr>
        <w:tc>
          <w:tcPr>
            <w:tcW w:w="140" w:type="dxa"/>
            <w:vAlign w:val="bottom"/>
            <w:tcBorders>
              <w:bottom w:val="single" w:sz="8" w:color="CFF0FC"/>
            </w:tcBorders>
            <w:shd w:val="clear" w:color="auto" w:fill="CFF0FC"/>
          </w:tcPr>
          <w:p>
            <w:pPr>
              <w:spacing w:after="0"/>
              <w:rPr>
                <w:sz w:val="21"/>
                <w:szCs w:val="21"/>
                <w:color w:val="auto"/>
              </w:rPr>
            </w:pPr>
          </w:p>
        </w:tc>
        <w:tc>
          <w:tcPr>
            <w:tcW w:w="70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Revolving credit facility</w:t>
            </w:r>
          </w:p>
        </w:tc>
        <w:tc>
          <w:tcPr>
            <w:tcW w:w="5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93,200</w:t>
            </w:r>
          </w:p>
        </w:tc>
        <w:tc>
          <w:tcPr>
            <w:tcW w:w="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61,300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Total outstanding borrowings under the Credit Facility</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133,407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102,609</w:t>
            </w:r>
          </w:p>
        </w:tc>
        <w:tc>
          <w:tcPr>
            <w:tcW w:w="140" w:type="dxa"/>
            <w:vAlign w:val="bottom"/>
          </w:tcPr>
          <w:p>
            <w:pPr>
              <w:spacing w:after="0"/>
              <w:rPr>
                <w:sz w:val="20"/>
                <w:szCs w:val="20"/>
                <w:color w:val="auto"/>
              </w:rPr>
            </w:pPr>
          </w:p>
        </w:tc>
      </w:tr>
      <w:tr>
        <w:trPr>
          <w:trHeight w:val="249"/>
        </w:trPr>
        <w:tc>
          <w:tcPr>
            <w:tcW w:w="72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Outstanding borrowings under the joint venture term debt</w:t>
            </w: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9,406</w:t>
            </w: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10,083</w:t>
            </w:r>
          </w:p>
        </w:tc>
        <w:tc>
          <w:tcPr>
            <w:tcW w:w="140" w:type="dxa"/>
            <w:vAlign w:val="bottom"/>
            <w:shd w:val="clear" w:color="auto" w:fill="CFF0FC"/>
          </w:tcPr>
          <w:p>
            <w:pPr>
              <w:spacing w:after="0"/>
              <w:rPr>
                <w:sz w:val="21"/>
                <w:szCs w:val="21"/>
                <w:color w:val="auto"/>
              </w:rPr>
            </w:pPr>
          </w:p>
        </w:tc>
      </w:tr>
      <w:tr>
        <w:trPr>
          <w:trHeight w:val="243"/>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Unamortized debt discount</w:t>
            </w: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4"/>
          </w:tcPr>
          <w:p>
            <w:pPr>
              <w:jc w:val="right"/>
              <w:ind w:right="130"/>
              <w:spacing w:after="0"/>
              <w:rPr>
                <w:sz w:val="20"/>
                <w:szCs w:val="20"/>
                <w:color w:val="auto"/>
              </w:rPr>
            </w:pPr>
            <w:r>
              <w:rPr>
                <w:rFonts w:ascii="Arial" w:cs="Arial" w:eastAsia="Arial" w:hAnsi="Arial"/>
                <w:sz w:val="18"/>
                <w:szCs w:val="18"/>
                <w:color w:val="auto"/>
              </w:rPr>
              <w:t>(1,178 )</w:t>
            </w:r>
          </w:p>
        </w:tc>
        <w:tc>
          <w:tcPr>
            <w:tcW w:w="140" w:type="dxa"/>
            <w:vAlign w:val="bottom"/>
          </w:tcPr>
          <w:p>
            <w:pPr>
              <w:spacing w:after="0"/>
              <w:rPr>
                <w:sz w:val="21"/>
                <w:szCs w:val="21"/>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(1,488 )</w:t>
            </w:r>
          </w:p>
        </w:tc>
      </w:tr>
      <w:tr>
        <w:trPr>
          <w:trHeight w:val="236"/>
        </w:trPr>
        <w:tc>
          <w:tcPr>
            <w:tcW w:w="72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Total outstanding borrowings</w:t>
            </w:r>
          </w:p>
        </w:tc>
        <w:tc>
          <w:tcPr>
            <w:tcW w:w="5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141,635</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111,204</w:t>
            </w:r>
          </w:p>
        </w:tc>
        <w:tc>
          <w:tcPr>
            <w:tcW w:w="140" w:type="dxa"/>
            <w:vAlign w:val="bottom"/>
            <w:shd w:val="clear" w:color="auto" w:fill="CFF0FC"/>
          </w:tcPr>
          <w:p>
            <w:pPr>
              <w:spacing w:after="0"/>
              <w:rPr>
                <w:sz w:val="20"/>
                <w:szCs w:val="20"/>
                <w:color w:val="auto"/>
              </w:rPr>
            </w:pPr>
          </w:p>
        </w:tc>
      </w:tr>
      <w:tr>
        <w:trPr>
          <w:trHeight w:val="243"/>
        </w:trPr>
        <w:tc>
          <w:tcPr>
            <w:tcW w:w="140" w:type="dxa"/>
            <w:vAlign w:val="bottom"/>
          </w:tcPr>
          <w:p>
            <w:pPr>
              <w:spacing w:after="0"/>
              <w:rPr>
                <w:sz w:val="21"/>
                <w:szCs w:val="21"/>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4"/>
          </w:tcPr>
          <w:p>
            <w:pPr>
              <w:jc w:val="right"/>
              <w:ind w:right="130"/>
              <w:spacing w:after="0"/>
              <w:rPr>
                <w:sz w:val="20"/>
                <w:szCs w:val="20"/>
                <w:color w:val="auto"/>
              </w:rPr>
            </w:pPr>
            <w:r>
              <w:rPr>
                <w:rFonts w:ascii="Arial" w:cs="Arial" w:eastAsia="Arial" w:hAnsi="Arial"/>
                <w:sz w:val="18"/>
                <w:szCs w:val="18"/>
                <w:color w:val="auto"/>
              </w:rPr>
              <w:t>(4,313 )</w:t>
            </w:r>
          </w:p>
        </w:tc>
        <w:tc>
          <w:tcPr>
            <w:tcW w:w="140" w:type="dxa"/>
            <w:vAlign w:val="bottom"/>
          </w:tcPr>
          <w:p>
            <w:pPr>
              <w:spacing w:after="0"/>
              <w:rPr>
                <w:sz w:val="21"/>
                <w:szCs w:val="21"/>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(3,579 )</w:t>
            </w:r>
          </w:p>
        </w:tc>
      </w:tr>
      <w:tr>
        <w:trPr>
          <w:trHeight w:val="276"/>
        </w:trPr>
        <w:tc>
          <w:tcPr>
            <w:tcW w:w="72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debt, less current portion</w:t>
            </w:r>
          </w:p>
        </w:tc>
        <w:tc>
          <w:tcPr>
            <w:tcW w:w="5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137,322</w:t>
            </w:r>
          </w:p>
        </w:tc>
        <w:tc>
          <w:tcPr>
            <w:tcW w:w="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107,625</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-2767965</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-2750820</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-2767965</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-2750820</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-976630</wp:posOffset>
            </wp:positionV>
            <wp:extent cx="85725" cy="162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-976630</wp:posOffset>
            </wp:positionV>
            <wp:extent cx="85725"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857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color w:val="auto"/>
        </w:rPr>
        <w:t>Scheduled principal payments under the Credit Facility and joint venture term debt are $2.5 million remaining in 2023, $4.9 million in 2024, $5.2 million in 2025, $126.3 million in 2026, and $3.9 million in 2027.</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ind w:left="520" w:right="60"/>
        <w:spacing w:after="0" w:line="257" w:lineRule="auto"/>
        <w:rPr>
          <w:sz w:val="20"/>
          <w:szCs w:val="20"/>
          <w:color w:val="auto"/>
        </w:rPr>
      </w:pPr>
      <w:r>
        <w:rPr>
          <w:rFonts w:ascii="Arial" w:cs="Arial" w:eastAsia="Arial" w:hAnsi="Arial"/>
          <w:sz w:val="18"/>
          <w:szCs w:val="18"/>
          <w:color w:val="auto"/>
        </w:rPr>
        <w:t>As of June 30, 2023 and December 31, 2022, $20.4 million and $18.9 million of letters of credit were outstanding, respectively. Total unused credit availability, in consideration of borrowing limitations, under the Company’s senior secured term loan and senior secured revolver loan with sub-facilities for letters of credit, swing-line loans and senior secured multi-currency loans (the "Credit Facility") was $26.4 million and $59.8 million at June 30, 2023 and December 31, 2022, respectively. Revolving loans may be borrowed, repaid and reborrowed until December 17, 2026, at which time all outstanding balances of the Credit Facility must be repaid.</w:t>
      </w:r>
    </w:p>
    <w:p>
      <w:pPr>
        <w:spacing w:after="0" w:line="188" w:lineRule="exact"/>
        <w:rPr>
          <w:sz w:val="20"/>
          <w:szCs w:val="20"/>
          <w:color w:val="auto"/>
        </w:rPr>
      </w:pPr>
    </w:p>
    <w:p>
      <w:pPr>
        <w:ind w:left="520" w:right="100"/>
        <w:spacing w:after="0" w:line="275" w:lineRule="auto"/>
        <w:rPr>
          <w:sz w:val="20"/>
          <w:szCs w:val="20"/>
          <w:color w:val="auto"/>
        </w:rPr>
      </w:pPr>
      <w:r>
        <w:rPr>
          <w:rFonts w:ascii="Arial" w:cs="Arial" w:eastAsia="Arial" w:hAnsi="Arial"/>
          <w:sz w:val="17"/>
          <w:szCs w:val="17"/>
          <w:color w:val="auto"/>
        </w:rPr>
        <w:t>At the Company’s option, revolving loans and the term loans accrue interest at a per annum rate based on either the highest of (a) the federal funds rate plus 0.5%, (b) the Agent’s prime lending rate, (c) Daily Simple SOFR plus the Daily Simple SOFR Adjustment of 0.11448% plus 1.0%, or (d) 1.0%, plus a margin ranging from 1.75% to 2.75% depending on the Company’s Consolidated Leverage Ratio (“Base Rate”), or (d) a one/three/six-month Term SOFR Rate (as defined in the Credit Facility) plus the Term SOFR Adjustment ranging from 0.11% to 0.43% plus 1.75% to 2.75% depending on the Company’s Consolidated Leverage Ratio. Interest on swing line loans is the Base Rate.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ind w:left="520" w:right="80"/>
        <w:spacing w:after="0" w:line="259" w:lineRule="auto"/>
        <w:rPr>
          <w:sz w:val="20"/>
          <w:szCs w:val="20"/>
          <w:color w:val="auto"/>
        </w:rPr>
      </w:pPr>
      <w:r>
        <w:rPr>
          <w:rFonts w:ascii="Arial" w:cs="Arial" w:eastAsia="Arial" w:hAnsi="Arial"/>
          <w:sz w:val="18"/>
          <w:szCs w:val="18"/>
          <w:color w:val="auto"/>
        </w:rPr>
        <w:t>Interest on Base Rate loans is payable quarterly in arrears on the last day of each calendar quarter and at maturity. Interest on Term SOFR rate loans is payable on the last date of each applicable Interest Period (as defined in the agreement), but in no event less than once every three months and at maturity. The weighted average stated interest rate on outstanding borrowings was 8.06% and 6.75% at June 30, 2023 and December 31, 2022, respectively.</w:t>
      </w:r>
    </w:p>
    <w:p>
      <w:pPr>
        <w:spacing w:after="0" w:line="187" w:lineRule="exact"/>
        <w:rPr>
          <w:sz w:val="20"/>
          <w:szCs w:val="20"/>
          <w:color w:val="auto"/>
        </w:rPr>
      </w:pPr>
    </w:p>
    <w:p>
      <w:pPr>
        <w:ind w:left="520" w:right="20"/>
        <w:spacing w:after="0" w:line="263" w:lineRule="auto"/>
        <w:rPr>
          <w:sz w:val="20"/>
          <w:szCs w:val="20"/>
          <w:color w:val="auto"/>
        </w:rPr>
      </w:pPr>
      <w:r>
        <w:rPr>
          <w:rFonts w:ascii="Arial" w:cs="Arial" w:eastAsia="Arial" w:hAnsi="Arial"/>
          <w:sz w:val="18"/>
          <w:szCs w:val="18"/>
          <w:color w:val="auto"/>
        </w:rPr>
        <w:t>Under the terms of the Credit Facility, the Company is required to maintain certain financial covenants, including the maintenance of a Consolidated Net Leverage Ratio (as defined in the Credit Facility). Through September 30, 2023, the maximum Consolidated Net Leverage Ratio is 3.75, after which time it will decrease to 3.50 until the end of the term of the Credit Facility.</w:t>
      </w:r>
    </w:p>
    <w:p>
      <w:pPr>
        <w:spacing w:after="0" w:line="184" w:lineRule="exact"/>
        <w:rPr>
          <w:sz w:val="20"/>
          <w:szCs w:val="20"/>
          <w:color w:val="auto"/>
        </w:rPr>
      </w:pPr>
    </w:p>
    <w:p>
      <w:pPr>
        <w:jc w:val="both"/>
        <w:ind w:left="520" w:right="40"/>
        <w:spacing w:after="0" w:line="301" w:lineRule="auto"/>
        <w:rPr>
          <w:sz w:val="20"/>
          <w:szCs w:val="20"/>
          <w:color w:val="auto"/>
        </w:rPr>
      </w:pPr>
      <w:r>
        <w:rPr>
          <w:rFonts w:ascii="Arial" w:cs="Arial" w:eastAsia="Arial" w:hAnsi="Arial"/>
          <w:sz w:val="16"/>
          <w:szCs w:val="16"/>
          <w:color w:val="auto"/>
        </w:rPr>
        <w:t>The Company has granted a security interest in substantially all of its assets to secure its obligations pursuant to the Credit Facility. The Company’s obligations under the Credit Facility are guaranteed by the Company’s domestic subsidiaries and such guaranty obligations are secured by a security interest on substantially all the assets of such subsidiaries, including certain real property. The Company’s obligations under the Credit Facility may also be guaranteed by the Company’s material foreign subsidiaries to the extent no adverse tax consequences would result to the Company.</w:t>
      </w:r>
    </w:p>
    <w:p>
      <w:pPr>
        <w:spacing w:after="0" w:line="157" w:lineRule="exact"/>
        <w:rPr>
          <w:sz w:val="20"/>
          <w:szCs w:val="20"/>
          <w:color w:val="auto"/>
        </w:rPr>
      </w:pPr>
    </w:p>
    <w:p>
      <w:pPr>
        <w:ind w:left="520" w:right="320"/>
        <w:spacing w:after="0" w:line="277" w:lineRule="auto"/>
        <w:rPr>
          <w:sz w:val="20"/>
          <w:szCs w:val="20"/>
          <w:color w:val="auto"/>
        </w:rPr>
      </w:pPr>
      <w:r>
        <w:rPr>
          <w:rFonts w:ascii="Arial" w:cs="Arial" w:eastAsia="Arial" w:hAnsi="Arial"/>
          <w:sz w:val="18"/>
          <w:szCs w:val="18"/>
          <w:color w:val="auto"/>
        </w:rPr>
        <w:t>As of June 30, 2023 and December 31, 2022, the Company was in compliance with all related financial and other restrictive covenants under the Credit Facility.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Joint Venture Debt</w:t>
      </w:r>
    </w:p>
    <w:p>
      <w:pPr>
        <w:spacing w:after="0" w:line="225" w:lineRule="exact"/>
        <w:rPr>
          <w:sz w:val="20"/>
          <w:szCs w:val="20"/>
          <w:color w:val="auto"/>
        </w:rPr>
      </w:pPr>
    </w:p>
    <w:p>
      <w:pPr>
        <w:ind w:left="520" w:right="100"/>
        <w:spacing w:after="0" w:line="254" w:lineRule="auto"/>
        <w:rPr>
          <w:sz w:val="20"/>
          <w:szCs w:val="20"/>
          <w:color w:val="auto"/>
        </w:rPr>
      </w:pPr>
      <w:r>
        <w:rPr>
          <w:rFonts w:ascii="Arial" w:cs="Arial" w:eastAsia="Arial" w:hAnsi="Arial"/>
          <w:sz w:val="18"/>
          <w:szCs w:val="18"/>
          <w:color w:val="auto"/>
        </w:rPr>
        <w:t>On March 7, 2022, the Company's Effox-Flextor-Mader, Inc. joint venture ("EFM JV") entered into a loan agreement secured by the assets of the EFM JV in the aggregate principal amount of $11.0 million for the acquisition of General Rubber, LLC ("GRC"). As of June 30, 2023 and December 31, 2022, $9.4 million and $10.0 million was outstanding under the loan, respectively. Principal will be paid back to the lender monthly with the final installment due by February 27, 2027. Interest is accrued at the per annum rate based on EFM JV's choice of the 1/3/6 month Term SOFR rate plus 3.25%, with a floor rate of 3.75%. Interest is paid monthly on the last day of each month. The interest rate at June 30, 2023 and December 31, 2022 was 8.40% and 6.60%, respectively. As of June 30, 2023 and December 31, 2022, the EFM JV was in compliance with all related financial and other restrictive covenants under this loan agreement. This loan balance does not impact the Company’s borrowing capacity or the financial covenants under the Credit Facility.</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Foreign Debt</w:t>
      </w:r>
    </w:p>
    <w:p>
      <w:pPr>
        <w:spacing w:after="0" w:line="225" w:lineRule="exact"/>
        <w:rPr>
          <w:sz w:val="20"/>
          <w:szCs w:val="20"/>
          <w:color w:val="auto"/>
        </w:rPr>
      </w:pPr>
    </w:p>
    <w:p>
      <w:pPr>
        <w:ind w:left="520" w:right="120"/>
        <w:spacing w:after="0" w:line="293" w:lineRule="auto"/>
        <w:rPr>
          <w:sz w:val="20"/>
          <w:szCs w:val="20"/>
          <w:color w:val="auto"/>
        </w:rPr>
      </w:pPr>
      <w:r>
        <w:rPr>
          <w:rFonts w:ascii="Arial" w:cs="Arial" w:eastAsia="Arial" w:hAnsi="Arial"/>
          <w:sz w:val="16"/>
          <w:szCs w:val="16"/>
          <w:color w:val="auto"/>
        </w:rPr>
        <w:t>The Company has a number of bank guarantee facilities and bilateral lines of credit in various foreign countries currently supported by cash, letters of credit or pledged assets and collateral under the Credit Facility. In March 2023, the Company amended the Credit Facility, allowing letters of credit and bank guarantee issuances of up to $80.0 million from the bilateral lines of credit secured through pledged assets and collateral under the Credit Facility. As of June 30, 2023 and December 31, 2022, $38.5 million and $30.4 million in bank guarantees were outstanding, respectively. In addition, a subsidiary of the Company located in the Netherlands has a Euro-denominated bank guarantee agreement secured by local assets under which $2.5 million and $0.6 million in bank guarantees were outstanding as of June 30, 2023 and December 31, 2022, respectively.</w:t>
      </w:r>
    </w:p>
    <w:p>
      <w:pPr>
        <w:spacing w:after="0" w:line="160"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The computational components of basic and diluted earnings per share for the three months ended June 30, 2023 and 2022 are as follows:</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1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7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6"/>
                <w:szCs w:val="16"/>
                <w:color w:val="auto"/>
              </w:rPr>
            </w:pPr>
          </w:p>
        </w:tc>
        <w:tc>
          <w:tcPr>
            <w:tcW w:w="17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2022</w:t>
            </w:r>
          </w:p>
        </w:tc>
      </w:tr>
    </w:tbl>
    <w:p>
      <w:pPr>
        <w:ind w:left="20"/>
        <w:spacing w:after="0"/>
        <w:rPr>
          <w:sz w:val="20"/>
          <w:szCs w:val="20"/>
          <w:color w:val="auto"/>
        </w:rPr>
      </w:pPr>
      <w:r>
        <w:rPr>
          <w:rFonts w:ascii="Arial" w:cs="Arial" w:eastAsia="Arial" w:hAnsi="Arial"/>
          <w:sz w:val="18"/>
          <w:szCs w:val="18"/>
          <w:b w:val="1"/>
          <w:bCs w:val="1"/>
          <w:color w:val="auto"/>
        </w:rPr>
        <w:t xml:space="preserve">Numerator </w:t>
      </w:r>
      <w:r>
        <w:rPr>
          <w:rFonts w:ascii="Arial" w:cs="Arial" w:eastAsia="Arial" w:hAnsi="Arial"/>
          <w:sz w:val="18"/>
          <w:szCs w:val="18"/>
          <w:color w:val="auto"/>
        </w:rPr>
        <w:t>(for basic and diluted earnings per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7020" w:type="dxa"/>
            <w:vAlign w:val="bottom"/>
            <w:shd w:val="clear" w:color="auto" w:fill="CFF0FC"/>
          </w:tcPr>
          <w:p>
            <w:pPr>
              <w:ind w:left="60"/>
              <w:spacing w:after="0"/>
              <w:rPr>
                <w:sz w:val="20"/>
                <w:szCs w:val="20"/>
                <w:color w:val="auto"/>
              </w:rPr>
            </w:pPr>
            <w:r>
              <w:rPr>
                <w:rFonts w:ascii="Arial" w:cs="Arial" w:eastAsia="Arial" w:hAnsi="Arial"/>
                <w:sz w:val="18"/>
                <w:szCs w:val="18"/>
                <w:color w:val="auto"/>
              </w:rPr>
              <w:t>Net income attributable to CECO Environmental Corp.</w:t>
            </w:r>
          </w:p>
        </w:tc>
        <w:tc>
          <w:tcPr>
            <w:tcW w:w="880" w:type="dxa"/>
            <w:vAlign w:val="bottom"/>
            <w:gridSpan w:val="2"/>
            <w:shd w:val="clear" w:color="auto" w:fill="CCECFF"/>
          </w:tcPr>
          <w:p>
            <w:pPr>
              <w:jc w:val="right"/>
              <w:ind w:right="6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3,724</w:t>
            </w:r>
          </w:p>
        </w:tc>
        <w:tc>
          <w:tcPr>
            <w:tcW w:w="1020" w:type="dxa"/>
            <w:vAlign w:val="bottom"/>
            <w:gridSpan w:val="2"/>
            <w:shd w:val="clear" w:color="auto" w:fill="CCECFF"/>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4,385</w:t>
            </w:r>
          </w:p>
        </w:tc>
        <w:tc>
          <w:tcPr>
            <w:tcW w:w="140" w:type="dxa"/>
            <w:vAlign w:val="bottom"/>
            <w:shd w:val="clear" w:color="auto" w:fill="CCECFF"/>
          </w:tcPr>
          <w:p>
            <w:pPr>
              <w:spacing w:after="0"/>
              <w:rPr>
                <w:sz w:val="24"/>
                <w:szCs w:val="24"/>
                <w:color w:val="auto"/>
              </w:rPr>
            </w:pPr>
          </w:p>
        </w:tc>
      </w:tr>
      <w:tr>
        <w:trPr>
          <w:trHeight w:val="223"/>
        </w:trPr>
        <w:tc>
          <w:tcPr>
            <w:tcW w:w="7020" w:type="dxa"/>
            <w:vAlign w:val="bottom"/>
            <w:tcBorders>
              <w:top w:val="single" w:sz="8" w:color="CFF0FC"/>
            </w:tcBorders>
          </w:tcPr>
          <w:p>
            <w:pPr>
              <w:spacing w:after="0"/>
              <w:rPr>
                <w:sz w:val="19"/>
                <w:szCs w:val="19"/>
                <w:color w:val="auto"/>
              </w:rPr>
            </w:pPr>
          </w:p>
        </w:tc>
        <w:tc>
          <w:tcPr>
            <w:tcW w:w="180" w:type="dxa"/>
            <w:vAlign w:val="bottom"/>
            <w:tcBorders>
              <w:top w:val="single" w:sz="8" w:color="CCECFF"/>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40" w:type="dxa"/>
            <w:vAlign w:val="bottom"/>
            <w:tcBorders>
              <w:top w:val="single" w:sz="8" w:color="CCECFF"/>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Borders>
              <w:top w:val="single" w:sz="8" w:color="CCECFF"/>
            </w:tcBorders>
          </w:tcPr>
          <w:p>
            <w:pPr>
              <w:spacing w:after="0"/>
              <w:rPr>
                <w:sz w:val="19"/>
                <w:szCs w:val="19"/>
                <w:color w:val="auto"/>
              </w:rPr>
            </w:pPr>
          </w:p>
        </w:tc>
      </w:tr>
      <w:tr>
        <w:trPr>
          <w:trHeight w:val="243"/>
        </w:trPr>
        <w:tc>
          <w:tcPr>
            <w:tcW w:w="702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Denominator</w:t>
            </w:r>
          </w:p>
        </w:tc>
        <w:tc>
          <w:tcPr>
            <w:tcW w:w="180" w:type="dxa"/>
            <w:vAlign w:val="bottom"/>
            <w:shd w:val="clear" w:color="auto" w:fill="CCECFF"/>
          </w:tcPr>
          <w:p>
            <w:pPr>
              <w:spacing w:after="0"/>
              <w:rPr>
                <w:sz w:val="21"/>
                <w:szCs w:val="21"/>
                <w:color w:val="auto"/>
              </w:rPr>
            </w:pPr>
          </w:p>
        </w:tc>
        <w:tc>
          <w:tcPr>
            <w:tcW w:w="700" w:type="dxa"/>
            <w:vAlign w:val="bottom"/>
            <w:shd w:val="clear" w:color="auto" w:fill="CCECFF"/>
          </w:tcPr>
          <w:p>
            <w:pPr>
              <w:spacing w:after="0"/>
              <w:rPr>
                <w:sz w:val="21"/>
                <w:szCs w:val="21"/>
                <w:color w:val="auto"/>
              </w:rPr>
            </w:pPr>
          </w:p>
        </w:tc>
        <w:tc>
          <w:tcPr>
            <w:tcW w:w="108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680" w:type="dxa"/>
            <w:vAlign w:val="bottom"/>
            <w:shd w:val="clear" w:color="auto" w:fill="CCECFF"/>
          </w:tcPr>
          <w:p>
            <w:pPr>
              <w:spacing w:after="0"/>
              <w:rPr>
                <w:sz w:val="21"/>
                <w:szCs w:val="21"/>
                <w:color w:val="auto"/>
              </w:rPr>
            </w:pPr>
          </w:p>
        </w:tc>
        <w:tc>
          <w:tcPr>
            <w:tcW w:w="11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r>
      <w:tr>
        <w:trPr>
          <w:trHeight w:val="237"/>
        </w:trPr>
        <w:tc>
          <w:tcPr>
            <w:tcW w:w="7020" w:type="dxa"/>
            <w:vAlign w:val="bottom"/>
          </w:tcPr>
          <w:p>
            <w:pPr>
              <w:ind w:left="20"/>
              <w:spacing w:after="0"/>
              <w:rPr>
                <w:sz w:val="20"/>
                <w:szCs w:val="20"/>
                <w:color w:val="auto"/>
              </w:rPr>
            </w:pPr>
            <w:r>
              <w:rPr>
                <w:rFonts w:ascii="Arial" w:cs="Arial" w:eastAsia="Arial" w:hAnsi="Arial"/>
                <w:sz w:val="18"/>
                <w:szCs w:val="18"/>
                <w:color w:val="auto"/>
              </w:rPr>
              <w:t>Basic weighted-average shares outstanding</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34,619</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34,873</w:t>
            </w:r>
          </w:p>
        </w:tc>
        <w:tc>
          <w:tcPr>
            <w:tcW w:w="140" w:type="dxa"/>
            <w:vAlign w:val="bottom"/>
          </w:tcPr>
          <w:p>
            <w:pPr>
              <w:spacing w:after="0"/>
              <w:rPr>
                <w:sz w:val="20"/>
                <w:szCs w:val="20"/>
                <w:color w:val="auto"/>
              </w:rPr>
            </w:pPr>
          </w:p>
        </w:tc>
      </w:tr>
      <w:tr>
        <w:trPr>
          <w:trHeight w:val="247"/>
        </w:trPr>
        <w:tc>
          <w:tcPr>
            <w:tcW w:w="70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7"/>
                <w:szCs w:val="17"/>
                <w:color w:val="auto"/>
              </w:rPr>
              <w:t>Common stock equivalents arising from stock options and restricted stock awards</w:t>
            </w:r>
          </w:p>
        </w:tc>
        <w:tc>
          <w:tcPr>
            <w:tcW w:w="180" w:type="dxa"/>
            <w:vAlign w:val="bottom"/>
            <w:tcBorders>
              <w:bottom w:val="single" w:sz="8" w:color="CCECFF"/>
            </w:tcBorders>
            <w:shd w:val="clear" w:color="auto" w:fill="CCECFF"/>
          </w:tcPr>
          <w:p>
            <w:pPr>
              <w:spacing w:after="0"/>
              <w:rPr>
                <w:sz w:val="21"/>
                <w:szCs w:val="21"/>
                <w:color w:val="auto"/>
              </w:rPr>
            </w:pPr>
          </w:p>
        </w:tc>
        <w:tc>
          <w:tcPr>
            <w:tcW w:w="700" w:type="dxa"/>
            <w:vAlign w:val="bottom"/>
            <w:tcBorders>
              <w:bottom w:val="single" w:sz="8" w:color="auto"/>
            </w:tcBorders>
            <w:shd w:val="clear" w:color="auto" w:fill="CCECFF"/>
          </w:tcPr>
          <w:p>
            <w:pPr>
              <w:spacing w:after="0"/>
              <w:rPr>
                <w:sz w:val="21"/>
                <w:szCs w:val="21"/>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525</w:t>
            </w:r>
          </w:p>
        </w:tc>
        <w:tc>
          <w:tcPr>
            <w:tcW w:w="340" w:type="dxa"/>
            <w:vAlign w:val="bottom"/>
            <w:tcBorders>
              <w:bottom w:val="single" w:sz="8" w:color="CCECFF"/>
            </w:tcBorders>
            <w:shd w:val="clear" w:color="auto" w:fill="CCECFF"/>
          </w:tcPr>
          <w:p>
            <w:pPr>
              <w:spacing w:after="0"/>
              <w:rPr>
                <w:sz w:val="21"/>
                <w:szCs w:val="21"/>
                <w:color w:val="auto"/>
              </w:rPr>
            </w:pPr>
          </w:p>
        </w:tc>
        <w:tc>
          <w:tcPr>
            <w:tcW w:w="680" w:type="dxa"/>
            <w:vAlign w:val="bottom"/>
            <w:tcBorders>
              <w:bottom w:val="single" w:sz="8" w:color="auto"/>
            </w:tcBorders>
            <w:shd w:val="clear" w:color="auto" w:fill="CCECFF"/>
          </w:tcPr>
          <w:p>
            <w:pPr>
              <w:spacing w:after="0"/>
              <w:rPr>
                <w:sz w:val="21"/>
                <w:szCs w:val="21"/>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Borders>
              <w:bottom w:val="single" w:sz="8" w:color="CCECFF"/>
            </w:tcBorders>
            <w:shd w:val="clear" w:color="auto" w:fill="CCECFF"/>
          </w:tcPr>
          <w:p>
            <w:pPr>
              <w:spacing w:after="0"/>
              <w:rPr>
                <w:sz w:val="21"/>
                <w:szCs w:val="21"/>
                <w:color w:val="auto"/>
              </w:rPr>
            </w:pPr>
          </w:p>
        </w:tc>
      </w:tr>
      <w:tr>
        <w:trPr>
          <w:trHeight w:val="238"/>
        </w:trPr>
        <w:tc>
          <w:tcPr>
            <w:tcW w:w="7020" w:type="dxa"/>
            <w:vAlign w:val="bottom"/>
          </w:tcPr>
          <w:p>
            <w:pPr>
              <w:ind w:left="20"/>
              <w:spacing w:after="0"/>
              <w:rPr>
                <w:sz w:val="20"/>
                <w:szCs w:val="20"/>
                <w:color w:val="auto"/>
              </w:rPr>
            </w:pPr>
            <w:r>
              <w:rPr>
                <w:rFonts w:ascii="Arial" w:cs="Arial" w:eastAsia="Arial" w:hAnsi="Arial"/>
                <w:sz w:val="18"/>
                <w:szCs w:val="18"/>
                <w:color w:val="auto"/>
              </w:rPr>
              <w:t>Diluted weighted-average shares outstanding</w:t>
            </w:r>
          </w:p>
        </w:tc>
        <w:tc>
          <w:tcPr>
            <w:tcW w:w="1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35,144</w:t>
            </w:r>
          </w:p>
        </w:tc>
        <w:tc>
          <w:tcPr>
            <w:tcW w:w="3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35,041</w:t>
            </w:r>
          </w:p>
        </w:tc>
        <w:tc>
          <w:tcPr>
            <w:tcW w:w="140" w:type="dxa"/>
            <w:vAlign w:val="bottom"/>
          </w:tcPr>
          <w:p>
            <w:pPr>
              <w:spacing w:after="0"/>
              <w:rPr>
                <w:sz w:val="20"/>
                <w:szCs w:val="20"/>
                <w:color w:val="auto"/>
              </w:rPr>
            </w:pPr>
          </w:p>
        </w:tc>
      </w:tr>
      <w:tr>
        <w:trPr>
          <w:trHeight w:val="20"/>
        </w:trPr>
        <w:tc>
          <w:tcPr>
            <w:tcW w:w="7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-831215</wp:posOffset>
            </wp:positionV>
            <wp:extent cx="1431925" cy="1797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31925" cy="1797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-187960</wp:posOffset>
            </wp:positionV>
            <wp:extent cx="85725"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The computational components of basic and diluted earnings per share for the six months ended June 30, 2023 and 2022 are as follows: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5" w:lineRule="exact"/>
        <w:rPr>
          <w:sz w:val="20"/>
          <w:szCs w:val="20"/>
          <w:color w:val="auto"/>
        </w:rPr>
      </w:pPr>
    </w:p>
    <w:p>
      <w:pPr>
        <w:ind w:left="60" w:right="2260" w:hanging="44"/>
        <w:spacing w:after="0" w:line="427" w:lineRule="auto"/>
        <w:rPr>
          <w:sz w:val="20"/>
          <w:szCs w:val="20"/>
          <w:color w:val="auto"/>
        </w:rPr>
      </w:pPr>
      <w:r>
        <w:rPr>
          <w:rFonts w:ascii="Arial" w:cs="Arial" w:eastAsia="Arial" w:hAnsi="Arial"/>
          <w:sz w:val="16"/>
          <w:szCs w:val="16"/>
          <w:b w:val="1"/>
          <w:bCs w:val="1"/>
          <w:color w:val="auto"/>
        </w:rPr>
        <w:t xml:space="preserve">Numerator </w:t>
      </w:r>
      <w:r>
        <w:rPr>
          <w:rFonts w:ascii="Arial" w:cs="Arial" w:eastAsia="Arial" w:hAnsi="Arial"/>
          <w:sz w:val="16"/>
          <w:szCs w:val="16"/>
          <w:color w:val="auto"/>
        </w:rPr>
        <w:t>(for basic and diluted earnings per share)</w:t>
      </w:r>
      <w:r>
        <w:rPr>
          <w:rFonts w:ascii="Arial" w:cs="Arial" w:eastAsia="Arial" w:hAnsi="Arial"/>
          <w:sz w:val="16"/>
          <w:szCs w:val="16"/>
          <w:b w:val="1"/>
          <w:bCs w:val="1"/>
          <w:color w:val="auto"/>
        </w:rPr>
        <w:t xml:space="preserve"> </w:t>
      </w:r>
      <w:r>
        <w:rPr>
          <w:rFonts w:ascii="Arial" w:cs="Arial" w:eastAsia="Arial" w:hAnsi="Arial"/>
          <w:sz w:val="16"/>
          <w:szCs w:val="16"/>
          <w:color w:val="auto"/>
        </w:rPr>
        <w:t>Net income attributable to CECO Environmental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4448810" cy="179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448810" cy="179705"/>
                    </a:xfrm>
                    <a:prstGeom prst="rect">
                      <a:avLst/>
                    </a:prstGeom>
                    <a:noFill/>
                  </pic:spPr>
                </pic:pic>
              </a:graphicData>
            </a:graphic>
          </wp:anchor>
        </w:drawing>
      </w:r>
    </w:p>
    <w:p>
      <w:pPr>
        <w:spacing w:after="0" w:line="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Denominator</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weighted-average shares outstanding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7"/>
        </w:trPr>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gridSpan w:val="2"/>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7"/>
        </w:trPr>
        <w:tc>
          <w:tcPr>
            <w:tcW w:w="180" w:type="dxa"/>
            <w:vAlign w:val="bottom"/>
            <w:shd w:val="clear" w:color="auto" w:fill="CCECFF"/>
          </w:tcPr>
          <w:p>
            <w:pPr>
              <w:spacing w:after="0"/>
              <w:rPr>
                <w:sz w:val="24"/>
                <w:szCs w:val="24"/>
                <w:color w:val="auto"/>
              </w:rPr>
            </w:pPr>
          </w:p>
        </w:tc>
        <w:tc>
          <w:tcPr>
            <w:tcW w:w="440" w:type="dxa"/>
            <w:vAlign w:val="bottom"/>
            <w:shd w:val="clear" w:color="auto" w:fill="CCECFF"/>
          </w:tcPr>
          <w:p>
            <w:pPr>
              <w:jc w:val="right"/>
              <w:ind w:right="2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5,701</w:t>
            </w:r>
          </w:p>
        </w:tc>
        <w:tc>
          <w:tcPr>
            <w:tcW w:w="76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7,180</w:t>
            </w:r>
          </w:p>
        </w:tc>
        <w:tc>
          <w:tcPr>
            <w:tcW w:w="140" w:type="dxa"/>
            <w:vAlign w:val="bottom"/>
            <w:shd w:val="clear" w:color="auto" w:fill="CCECFF"/>
          </w:tcPr>
          <w:p>
            <w:pPr>
              <w:spacing w:after="0"/>
              <w:rPr>
                <w:sz w:val="24"/>
                <w:szCs w:val="24"/>
                <w:color w:val="auto"/>
              </w:rPr>
            </w:pPr>
          </w:p>
        </w:tc>
      </w:tr>
      <w:tr>
        <w:trPr>
          <w:trHeight w:val="702"/>
        </w:trPr>
        <w:tc>
          <w:tcPr>
            <w:tcW w:w="180" w:type="dxa"/>
            <w:vAlign w:val="bottom"/>
            <w:tcBorders>
              <w:top w:val="single" w:sz="8" w:color="CCEC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34,531</w:t>
            </w:r>
          </w:p>
        </w:tc>
        <w:tc>
          <w:tcPr>
            <w:tcW w:w="340" w:type="dxa"/>
            <w:vAlign w:val="bottom"/>
            <w:tcBorders>
              <w:top w:val="single" w:sz="8" w:color="CCEC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34,962</w:t>
            </w:r>
          </w:p>
        </w:tc>
        <w:tc>
          <w:tcPr>
            <w:tcW w:w="140" w:type="dxa"/>
            <w:vAlign w:val="bottom"/>
            <w:tcBorders>
              <w:top w:val="single" w:sz="8" w:color="CCEC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-479425</wp:posOffset>
            </wp:positionV>
            <wp:extent cx="7132320" cy="3346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300" w:space="720"/>
            <w:col w:w="4220"/>
          </w:cols>
          <w:pgMar w:left="320" w:top="373" w:right="339" w:bottom="1440" w:gutter="0" w:footer="0" w:header="0"/>
        </w:sectPr>
      </w:pPr>
    </w:p>
    <w:tbl>
      <w:tblPr>
        <w:tblLayout w:type="fixed"/>
        <w:tblInd w:w="0" w:type="dxa"/>
        <w:tblCellMar>
          <w:top w:w="0" w:type="dxa"/>
          <w:left w:w="0" w:type="dxa"/>
          <w:bottom w:w="0" w:type="dxa"/>
          <w:right w:w="0" w:type="dxa"/>
        </w:tblCellMar>
      </w:tblPr>
      <w:tr>
        <w:trPr>
          <w:trHeight w:val="237"/>
        </w:trPr>
        <w:tc>
          <w:tcPr>
            <w:tcW w:w="72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7"/>
                <w:szCs w:val="17"/>
                <w:color w:val="auto"/>
              </w:rPr>
              <w:t>Common stock equivalents arising from stock options and restricted stock awards</w:t>
            </w:r>
          </w:p>
        </w:tc>
        <w:tc>
          <w:tcPr>
            <w:tcW w:w="1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641</w:t>
            </w:r>
          </w:p>
        </w:tc>
        <w:tc>
          <w:tcPr>
            <w:tcW w:w="340" w:type="dxa"/>
            <w:vAlign w:val="bottom"/>
            <w:tcBorders>
              <w:bottom w:val="single" w:sz="8" w:color="CCECFF"/>
            </w:tcBorders>
            <w:shd w:val="clear" w:color="auto" w:fill="CCECFF"/>
          </w:tcPr>
          <w:p>
            <w:pPr>
              <w:spacing w:after="0"/>
              <w:rPr>
                <w:sz w:val="20"/>
                <w:szCs w:val="20"/>
                <w:color w:val="auto"/>
              </w:rPr>
            </w:pPr>
          </w:p>
        </w:tc>
        <w:tc>
          <w:tcPr>
            <w:tcW w:w="1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Borders>
              <w:bottom w:val="single" w:sz="8" w:color="CCECFF"/>
            </w:tcBorders>
            <w:shd w:val="clear" w:color="auto" w:fill="CCECFF"/>
          </w:tcPr>
          <w:p>
            <w:pPr>
              <w:spacing w:after="0"/>
              <w:rPr>
                <w:sz w:val="20"/>
                <w:szCs w:val="20"/>
                <w:color w:val="auto"/>
              </w:rPr>
            </w:pP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Diluted weighted-average shares outstanding</w:t>
            </w:r>
          </w:p>
        </w:tc>
        <w:tc>
          <w:tcPr>
            <w:tcW w:w="1780" w:type="dxa"/>
            <w:vAlign w:val="bottom"/>
          </w:tcPr>
          <w:p>
            <w:pPr>
              <w:jc w:val="right"/>
              <w:spacing w:after="0"/>
              <w:rPr>
                <w:sz w:val="20"/>
                <w:szCs w:val="20"/>
                <w:color w:val="auto"/>
              </w:rPr>
            </w:pPr>
            <w:r>
              <w:rPr>
                <w:rFonts w:ascii="Arial" w:cs="Arial" w:eastAsia="Arial" w:hAnsi="Arial"/>
                <w:sz w:val="18"/>
                <w:szCs w:val="18"/>
                <w:color w:val="auto"/>
              </w:rPr>
              <w:t>35,172</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35,120</w:t>
            </w:r>
          </w:p>
        </w:tc>
        <w:tc>
          <w:tcPr>
            <w:tcW w:w="140" w:type="dxa"/>
            <w:vAlign w:val="bottom"/>
          </w:tcPr>
          <w:p>
            <w:pPr>
              <w:spacing w:after="0"/>
              <w:rPr>
                <w:sz w:val="20"/>
                <w:szCs w:val="20"/>
                <w:color w:val="auto"/>
              </w:rPr>
            </w:pPr>
          </w:p>
        </w:tc>
      </w:tr>
      <w:tr>
        <w:trPr>
          <w:trHeight w:val="20"/>
        </w:trPr>
        <w:tc>
          <w:tcPr>
            <w:tcW w:w="720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-187960</wp:posOffset>
            </wp:positionV>
            <wp:extent cx="85725"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left="520" w:right="40"/>
        <w:spacing w:after="0" w:line="259" w:lineRule="auto"/>
        <w:rPr>
          <w:sz w:val="20"/>
          <w:szCs w:val="20"/>
          <w:color w:val="auto"/>
        </w:rPr>
      </w:pPr>
      <w:r>
        <w:rPr>
          <w:rFonts w:ascii="Arial" w:cs="Arial" w:eastAsia="Arial" w:hAnsi="Arial"/>
          <w:sz w:val="18"/>
          <w:szCs w:val="18"/>
          <w:color w:val="auto"/>
        </w:rPr>
        <w:t>Options and restricted stock units included in the computation of diluted earnings per share are calculated using the treasury stock method. For the three months ended June 30, 2023 and 2022, 1.3 and 1.9 million, respectively, and for the six months ended June 30, 2023 and 2022, 0.7 million and 2.0 million, respectively, of outstanding options and restricted stock units were excluded from the computation of diluted earnings per share due to their having an anti-dilutive effect.</w:t>
      </w:r>
    </w:p>
    <w:p>
      <w:pPr>
        <w:spacing w:after="0" w:line="187"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Once a restricted stock unit vests, it is included in the computation of weighted average shares outstanding for purposes of basic and diluted earnings per share.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Common Stock Repurchase</w:t>
      </w:r>
    </w:p>
    <w:p>
      <w:pPr>
        <w:spacing w:after="0" w:line="225" w:lineRule="exact"/>
        <w:rPr>
          <w:sz w:val="20"/>
          <w:szCs w:val="20"/>
          <w:color w:val="auto"/>
        </w:rPr>
      </w:pPr>
    </w:p>
    <w:p>
      <w:pPr>
        <w:ind w:left="520" w:right="20"/>
        <w:spacing w:after="0" w:line="275" w:lineRule="auto"/>
        <w:rPr>
          <w:sz w:val="20"/>
          <w:szCs w:val="20"/>
          <w:color w:val="auto"/>
        </w:rPr>
      </w:pPr>
      <w:r>
        <w:rPr>
          <w:rFonts w:ascii="Arial" w:cs="Arial" w:eastAsia="Arial" w:hAnsi="Arial"/>
          <w:sz w:val="17"/>
          <w:szCs w:val="17"/>
          <w:color w:val="auto"/>
        </w:rPr>
        <w:t>On May 10, 2022, the Company's Board of Directors authorized a share repurchase program under which the Company may purchase up to $20.0 million of its outstanding shares of common stock through April 30, 2025. The authorization permits the Company to repurchase shares in the open market, through accelerated share repurchases, block trades, Rule 10b5-1 trading plans or through privately negotiated transactions in accordance with applicable laws, rules and regulations. Under the program, the Company repurchased zero and 725,000 shares at a cost of zero and $4.3 million during the three and six months ended June 30, 2023 and 2022, respectively.</w:t>
      </w:r>
    </w:p>
    <w:p>
      <w:pPr>
        <w:spacing w:after="0" w:line="172"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rFonts w:ascii="Arial" w:cs="Arial" w:eastAsia="Arial" w:hAnsi="Arial"/>
          <w:sz w:val="18"/>
          <w:szCs w:val="18"/>
          <w:b w:val="1"/>
          <w:bCs w:val="1"/>
          <w:color w:val="auto"/>
        </w:rPr>
      </w:pPr>
    </w:p>
    <w:p>
      <w:pPr>
        <w:ind w:left="52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share-based compensation in accordance with Accounting Standards Codification (“ASC”) Topic 718, “Compensation – Stock Compensation,” which requires the Company to recognize compensation expense for share-based awards, measured at the fair value of the awards at the grant date. The Company recognized $1.2 million and $0.9 million of share-based compensation related expense during the three months ended June 30, 2023 and 2022, respectively, and $2.0 million and $1.8 million of share-based compensation related expense during the six months ended June 30, 2023 and 2022, respectively.</w:t>
      </w:r>
    </w:p>
    <w:p>
      <w:pPr>
        <w:spacing w:after="0" w:line="187" w:lineRule="exact"/>
        <w:rPr>
          <w:rFonts w:ascii="Arial" w:cs="Arial" w:eastAsia="Arial" w:hAnsi="Arial"/>
          <w:sz w:val="18"/>
          <w:szCs w:val="18"/>
          <w:b w:val="1"/>
          <w:bCs w:val="1"/>
          <w:color w:val="auto"/>
        </w:rPr>
      </w:pPr>
    </w:p>
    <w:p>
      <w:pPr>
        <w:ind w:left="520" w:right="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granted approximately 50,000 and 104,000 restricted stock units during the three months ended June 30, 2023 and 2022, respectively, and approximately 390,000 and 688,000 restricted stock units during the six months ended June 30, 2023 and 2022, respectively.</w:t>
      </w:r>
    </w:p>
    <w:p>
      <w:pPr>
        <w:spacing w:after="0" w:line="123" w:lineRule="exact"/>
        <w:rPr>
          <w:rFonts w:ascii="Arial" w:cs="Arial" w:eastAsia="Arial" w:hAnsi="Arial"/>
          <w:sz w:val="18"/>
          <w:szCs w:val="18"/>
          <w:b w:val="1"/>
          <w:bCs w:val="1"/>
          <w:color w:val="auto"/>
        </w:rPr>
      </w:pPr>
    </w:p>
    <w:p>
      <w:pPr>
        <w:ind w:left="52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There were 0.1 million options exercised during the three and six months ended June 30, 2023. The Company received $0.3 million and $0.9 million in cash from employees and directors exercising options during the three and six months ended June 30, 2023, respectively. The intrinsic value of options exercised was $0.1 million and $0.2 million for the three and six months ended June 30, 2023, respectively. There were zero options exercised during the three and six month periods ended June 30, 2022.</w:t>
      </w:r>
    </w:p>
    <w:p>
      <w:pPr>
        <w:spacing w:after="0" w:line="182" w:lineRule="exact"/>
        <w:rPr>
          <w:rFonts w:ascii="Arial" w:cs="Arial" w:eastAsia="Arial" w:hAnsi="Arial"/>
          <w:sz w:val="18"/>
          <w:szCs w:val="18"/>
          <w:b w:val="1"/>
          <w:bCs w:val="1"/>
          <w:color w:val="auto"/>
        </w:rPr>
      </w:pPr>
    </w:p>
    <w:p>
      <w:pPr>
        <w:ind w:left="880" w:hanging="872"/>
        <w:spacing w:after="0"/>
        <w:tabs>
          <w:tab w:leader="none" w:pos="8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Employee Benefit Plans</w:t>
      </w:r>
    </w:p>
    <w:p>
      <w:pPr>
        <w:spacing w:after="0" w:line="229" w:lineRule="exact"/>
        <w:rPr>
          <w:sz w:val="20"/>
          <w:szCs w:val="20"/>
          <w:color w:val="auto"/>
        </w:rPr>
      </w:pPr>
    </w:p>
    <w:p>
      <w:pPr>
        <w:ind w:left="520" w:right="380"/>
        <w:spacing w:after="0" w:line="277" w:lineRule="auto"/>
        <w:rPr>
          <w:sz w:val="20"/>
          <w:szCs w:val="20"/>
          <w:color w:val="auto"/>
        </w:rPr>
      </w:pPr>
      <w:r>
        <w:rPr>
          <w:rFonts w:ascii="Arial" w:cs="Arial" w:eastAsia="Arial" w:hAnsi="Arial"/>
          <w:sz w:val="18"/>
          <w:szCs w:val="18"/>
          <w:color w:val="auto"/>
        </w:rPr>
        <w:t>The Company sponsors a non-contributory defined benefit pension plan for certain union employees. The plan is funded in accordance with the funding requirements of the Employee Retirement Income Security Act of 1974.</w:t>
      </w:r>
    </w:p>
    <w:p>
      <w:pPr>
        <w:spacing w:after="0" w:line="170"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color w:val="auto"/>
        </w:rPr>
        <w:t>The Company presents the components of net periodic benefit cost (gain) within “Other income (expense), net” on the Condensed Consolidated Statements of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12" w:name="page13"/>
    <w:bookmarkEnd w:id="12"/>
    <w:p>
      <w:pPr>
        <w:ind w:left="520" w:right="140"/>
        <w:spacing w:after="0" w:line="277" w:lineRule="auto"/>
        <w:rPr>
          <w:sz w:val="20"/>
          <w:szCs w:val="20"/>
          <w:color w:val="auto"/>
        </w:rPr>
      </w:pPr>
      <w:r>
        <w:rPr>
          <w:rFonts w:ascii="Arial" w:cs="Arial" w:eastAsia="Arial" w:hAnsi="Arial"/>
          <w:sz w:val="18"/>
          <w:szCs w:val="18"/>
          <w:color w:val="auto"/>
        </w:rPr>
        <w:t>Retirement plan expense is based on valuations performed by plan actuaries as of the beginning of each fiscal year. The components of the pension plan expense consisted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37"/>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w:t>
            </w: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140" w:type="dxa"/>
            <w:vAlign w:val="bottom"/>
            <w:shd w:val="clear" w:color="auto" w:fill="CFF0FC"/>
          </w:tcPr>
          <w:p>
            <w:pPr>
              <w:spacing w:after="0"/>
              <w:rPr>
                <w:sz w:val="20"/>
                <w:szCs w:val="20"/>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84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(285 )</w:t>
            </w:r>
          </w:p>
        </w:tc>
        <w:tc>
          <w:tcPr>
            <w:tcW w:w="86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(390 )</w:t>
            </w:r>
          </w:p>
        </w:tc>
        <w:tc>
          <w:tcPr>
            <w:tcW w:w="84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(571 )</w:t>
            </w:r>
          </w:p>
        </w:tc>
        <w:tc>
          <w:tcPr>
            <w:tcW w:w="8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(780 )</w:t>
            </w:r>
          </w:p>
        </w:tc>
      </w:tr>
      <w:tr>
        <w:trPr>
          <w:trHeight w:val="249"/>
        </w:trPr>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Amortization of net actuarial loss</w:t>
            </w:r>
          </w:p>
        </w:tc>
        <w:tc>
          <w:tcPr>
            <w:tcW w:w="84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8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Net periodic benefit cost (gain)</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0"/>
                <w:szCs w:val="20"/>
                <w:color w:val="auto"/>
              </w:rPr>
            </w:pP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(105 )</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214</w:t>
            </w:r>
          </w:p>
        </w:tc>
        <w:tc>
          <w:tcPr>
            <w:tcW w:w="280" w:type="dxa"/>
            <w:vAlign w:val="bottom"/>
          </w:tcPr>
          <w:p>
            <w:pPr>
              <w:spacing w:after="0"/>
              <w:rPr>
                <w:sz w:val="20"/>
                <w:szCs w:val="20"/>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(210 )</w:t>
            </w:r>
          </w:p>
        </w:tc>
      </w:tr>
      <w:tr>
        <w:trPr>
          <w:trHeight w:val="20"/>
        </w:trPr>
        <w:tc>
          <w:tcPr>
            <w:tcW w:w="5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-187960</wp:posOffset>
            </wp:positionV>
            <wp:extent cx="85725"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-187960</wp:posOffset>
            </wp:positionV>
            <wp:extent cx="85725"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85725"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both"/>
        <w:ind w:left="520" w:right="20"/>
        <w:spacing w:after="0" w:line="311" w:lineRule="auto"/>
        <w:rPr>
          <w:sz w:val="20"/>
          <w:szCs w:val="20"/>
          <w:color w:val="auto"/>
        </w:rPr>
      </w:pPr>
      <w:r>
        <w:rPr>
          <w:rFonts w:ascii="Arial" w:cs="Arial" w:eastAsia="Arial" w:hAnsi="Arial"/>
          <w:sz w:val="16"/>
          <w:szCs w:val="16"/>
          <w:color w:val="auto"/>
        </w:rPr>
        <w:t>The Company made no contributions to its defined benefit plan during the six months ended June 30, 2023 and 2022. For the remainder of 2023, the Company does not expect to make any contributions to fund the pension plan. The unfunded liability of the plan of $5.7 million and $5.5 million as of June 30, 2023 and December 31, 2022, respectively, is included in “Other liabilities” on the Condensed Consolidated Balance Sheets.</w:t>
      </w:r>
    </w:p>
    <w:p>
      <w:pPr>
        <w:spacing w:after="0" w:line="145" w:lineRule="exact"/>
        <w:rPr>
          <w:sz w:val="20"/>
          <w:szCs w:val="20"/>
          <w:color w:val="auto"/>
        </w:rPr>
      </w:pPr>
    </w:p>
    <w:p>
      <w:pPr>
        <w:ind w:left="880" w:hanging="872"/>
        <w:spacing w:after="0"/>
        <w:tabs>
          <w:tab w:leader="none" w:pos="8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color w:val="auto"/>
        </w:rPr>
        <w:t>The Company files income tax returns in various federal, state and local jurisdictions. Tax years from 2018 forward remain open for examination by Federal authorities. Tax years from 2017 forward remain open for all significant state and foreign authorities.</w:t>
      </w:r>
    </w:p>
    <w:p>
      <w:pPr>
        <w:spacing w:after="0" w:line="170" w:lineRule="exact"/>
        <w:rPr>
          <w:sz w:val="20"/>
          <w:szCs w:val="20"/>
          <w:color w:val="auto"/>
        </w:rPr>
      </w:pPr>
    </w:p>
    <w:p>
      <w:pPr>
        <w:ind w:left="520" w:right="60"/>
        <w:spacing w:after="0" w:line="259" w:lineRule="auto"/>
        <w:rPr>
          <w:sz w:val="20"/>
          <w:szCs w:val="20"/>
          <w:color w:val="auto"/>
        </w:rPr>
      </w:pPr>
      <w:r>
        <w:rPr>
          <w:rFonts w:ascii="Arial" w:cs="Arial" w:eastAsia="Arial" w:hAnsi="Arial"/>
          <w:sz w:val="18"/>
          <w:szCs w:val="18"/>
          <w:color w:val="auto"/>
        </w:rPr>
        <w:t>The Company accounts for uncertain tax positions pursuant to ASC Topic 740, “Income Taxes.” As of June 30, 2023 and December 31, 2022, the liability for uncertain tax positions totaled $0.1 million, which is included in “Other liabilities” on the Condensed Consolidated Balance Sheets. The Company recognizes accrued interest related to uncertain tax positions and penalties, if any, in income tax expense within the Condensed Consolidated Statements of Income.</w:t>
      </w:r>
    </w:p>
    <w:p>
      <w:pPr>
        <w:spacing w:after="0" w:line="187" w:lineRule="exact"/>
        <w:rPr>
          <w:sz w:val="20"/>
          <w:szCs w:val="20"/>
          <w:color w:val="auto"/>
        </w:rPr>
      </w:pPr>
    </w:p>
    <w:p>
      <w:pPr>
        <w:ind w:left="520" w:right="100"/>
        <w:spacing w:after="0" w:line="275" w:lineRule="auto"/>
        <w:rPr>
          <w:sz w:val="20"/>
          <w:szCs w:val="20"/>
          <w:color w:val="auto"/>
        </w:rPr>
      </w:pPr>
      <w:r>
        <w:rPr>
          <w:rFonts w:ascii="Arial" w:cs="Arial" w:eastAsia="Arial" w:hAnsi="Arial"/>
          <w:sz w:val="17"/>
          <w:szCs w:val="17"/>
          <w:color w:val="auto"/>
        </w:rPr>
        <w:t>Certain of the Company’s undistributed earnings of our foreign subsidiaries are not permanently reinvested. Since foreign earnings have already been subject to United States income tax in 2017 as a result of the 2017 Tax Cuts and Jobs Act, the Company intends to repatriate foreign-held cash as needed. The Company records deferred income tax attributable to foreign withholding taxes that would become payable should it decide to repatriate cash held in our foreign operations. As of June 30, 2023 and December 31, 2022, the Company recorded deferred income taxes of approximately $0.8 million and $1.3 million, respectively, on the undistributed earnings of its foreign subsidiaries.</w:t>
      </w:r>
    </w:p>
    <w:p>
      <w:pPr>
        <w:spacing w:after="0" w:line="176" w:lineRule="exact"/>
        <w:rPr>
          <w:sz w:val="20"/>
          <w:szCs w:val="20"/>
          <w:color w:val="auto"/>
        </w:rPr>
      </w:pPr>
    </w:p>
    <w:p>
      <w:pPr>
        <w:ind w:left="520" w:right="140"/>
        <w:spacing w:after="0" w:line="254" w:lineRule="auto"/>
        <w:rPr>
          <w:sz w:val="20"/>
          <w:szCs w:val="20"/>
          <w:color w:val="auto"/>
        </w:rPr>
      </w:pPr>
      <w:r>
        <w:rPr>
          <w:rFonts w:ascii="Arial" w:cs="Arial" w:eastAsia="Arial" w:hAnsi="Arial"/>
          <w:sz w:val="18"/>
          <w:szCs w:val="18"/>
          <w:color w:val="auto"/>
        </w:rPr>
        <w:t>Income tax expense was $1.0 million and $1.9 million for the three months ended June 30, 2023 and 2022, respectively, and $1.0 million and $3.0 million for the six months ended June 30, 2023 and 2022, respectively. The effective income tax rate for the three months ended June 30, 2023 was 19.8% compared with 28.3% for the three months ended June 30, 2022, and the effective income tax rate for the six months ended June 30, 2023 was 13.3% compared with 28.3% for the six months ended June 30, 2022. The effective income tax rates for the three and six months ended June 30, 2023 and 2022 differ from the United States federal statutory rate. The Company's effective rate is affected by certain other permanent differences, including state income taxes, non-deductible incentive stock-based compensation and differences in tax rates among jurisdictions in which it operates.</w:t>
      </w:r>
    </w:p>
    <w:p>
      <w:pPr>
        <w:spacing w:after="0" w:line="191" w:lineRule="exact"/>
        <w:rPr>
          <w:sz w:val="20"/>
          <w:szCs w:val="20"/>
          <w:color w:val="auto"/>
        </w:rPr>
      </w:pPr>
    </w:p>
    <w:p>
      <w:pPr>
        <w:ind w:left="880" w:hanging="872"/>
        <w:spacing w:after="0"/>
        <w:tabs>
          <w:tab w:leader="none" w:pos="8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ind w:left="520" w:right="20"/>
        <w:spacing w:after="0" w:line="263" w:lineRule="auto"/>
        <w:rPr>
          <w:sz w:val="20"/>
          <w:szCs w:val="20"/>
          <w:color w:val="auto"/>
        </w:rPr>
      </w:pPr>
      <w:r>
        <w:rPr>
          <w:rFonts w:ascii="Arial" w:cs="Arial" w:eastAsia="Arial" w:hAnsi="Arial"/>
          <w:sz w:val="18"/>
          <w:szCs w:val="18"/>
          <w:color w:val="auto"/>
        </w:rPr>
        <w:t>The Company's financial instruments consist primarily of investments in cash and cash equivalents, receivables and certain other assets, foreign debt and accounts payable, which approximate fair value at June 30, 2023 and December 31, 2022, due to their short-term nature or variable, market-driven interest rates.</w:t>
      </w:r>
    </w:p>
    <w:p>
      <w:pPr>
        <w:spacing w:after="0" w:line="184" w:lineRule="exact"/>
        <w:rPr>
          <w:sz w:val="20"/>
          <w:szCs w:val="20"/>
          <w:color w:val="auto"/>
        </w:rPr>
      </w:pPr>
    </w:p>
    <w:p>
      <w:pPr>
        <w:jc w:val="both"/>
        <w:ind w:left="520" w:right="240"/>
        <w:spacing w:after="0" w:line="263" w:lineRule="auto"/>
        <w:rPr>
          <w:sz w:val="20"/>
          <w:szCs w:val="20"/>
          <w:color w:val="auto"/>
        </w:rPr>
      </w:pPr>
      <w:r>
        <w:rPr>
          <w:rFonts w:ascii="Arial" w:cs="Arial" w:eastAsia="Arial" w:hAnsi="Arial"/>
          <w:sz w:val="18"/>
          <w:szCs w:val="18"/>
          <w:color w:val="auto"/>
        </w:rPr>
        <w:t>The fair value of the debt issued under the Credit Facility and joint venture term loan was $142.8 million and $112.7 million at June 30, 2023 and December 31, 2022, respectively. The fair value was determined considering market conditions, the Company's credit worthiness and the current terms of our debt, which is considered Level 2 on the fair value hierarchy.</w:t>
      </w:r>
    </w:p>
    <w:p>
      <w:pPr>
        <w:spacing w:after="0" w:line="184" w:lineRule="exact"/>
        <w:rPr>
          <w:sz w:val="20"/>
          <w:szCs w:val="20"/>
          <w:color w:val="auto"/>
        </w:rPr>
      </w:pPr>
    </w:p>
    <w:p>
      <w:pPr>
        <w:jc w:val="both"/>
        <w:ind w:left="520" w:right="220"/>
        <w:spacing w:after="0" w:line="263" w:lineRule="auto"/>
        <w:rPr>
          <w:sz w:val="20"/>
          <w:szCs w:val="20"/>
          <w:color w:val="auto"/>
        </w:rPr>
      </w:pPr>
      <w:r>
        <w:rPr>
          <w:rFonts w:ascii="Arial" w:cs="Arial" w:eastAsia="Arial" w:hAnsi="Arial"/>
          <w:sz w:val="18"/>
          <w:szCs w:val="18"/>
          <w:color w:val="auto"/>
        </w:rPr>
        <w:t>At June 30, 2023 and December 31, 2022, the Company had cash and cash equivalents of $47.6 million and $45.5 million, respectively, of which $35.6 million and $31.7 million, respectively, was held outside of the United States, principally in the Netherlands, United Kingdom, United Arab Emirates and China.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ind w:left="872" w:hanging="872"/>
        <w:spacing w:after="0"/>
        <w:tabs>
          <w:tab w:leader="none" w:pos="87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512"/>
        <w:spacing w:after="0"/>
        <w:rPr>
          <w:sz w:val="20"/>
          <w:szCs w:val="20"/>
          <w:color w:val="auto"/>
        </w:rPr>
      </w:pPr>
      <w:r>
        <w:rPr>
          <w:rFonts w:ascii="Arial" w:cs="Arial" w:eastAsia="Arial" w:hAnsi="Arial"/>
          <w:sz w:val="18"/>
          <w:szCs w:val="18"/>
          <w:i w:val="1"/>
          <w:iCs w:val="1"/>
          <w:color w:val="auto"/>
        </w:rPr>
        <w:t>Asbestos cases</w:t>
      </w:r>
    </w:p>
    <w:p>
      <w:pPr>
        <w:spacing w:after="0" w:line="225" w:lineRule="exact"/>
        <w:rPr>
          <w:sz w:val="20"/>
          <w:szCs w:val="20"/>
          <w:color w:val="auto"/>
        </w:rPr>
      </w:pPr>
    </w:p>
    <w:p>
      <w:pPr>
        <w:ind w:left="512" w:right="40"/>
        <w:spacing w:after="0" w:line="287" w:lineRule="auto"/>
        <w:rPr>
          <w:sz w:val="20"/>
          <w:szCs w:val="20"/>
          <w:color w:val="auto"/>
        </w:rPr>
      </w:pPr>
      <w:r>
        <w:rPr>
          <w:rFonts w:ascii="Arial" w:cs="Arial" w:eastAsia="Arial" w:hAnsi="Arial"/>
          <w:sz w:val="16"/>
          <w:szCs w:val="16"/>
          <w:color w:val="auto"/>
        </w:rPr>
        <w:t>The Company's subsidiary, Met-Pro Technologies LLC (“Met-Pro”), beginning in 2002, has been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 payments from 2002 through June 30, 2023 for cases involving asbestos-related claims were $6.2 million which together with all legal fees other than corporate counsel expenses have substantially been paid by the Company’s insurers. The average cost per settled claim, excluding legal fees, was approximately $38,000.</w:t>
      </w:r>
    </w:p>
    <w:p>
      <w:pPr>
        <w:spacing w:after="0" w:line="172" w:lineRule="exact"/>
        <w:rPr>
          <w:sz w:val="20"/>
          <w:szCs w:val="20"/>
          <w:color w:val="auto"/>
        </w:rPr>
      </w:pPr>
    </w:p>
    <w:p>
      <w:pPr>
        <w:ind w:left="512" w:right="40"/>
        <w:spacing w:after="0" w:line="270" w:lineRule="auto"/>
        <w:rPr>
          <w:sz w:val="20"/>
          <w:szCs w:val="20"/>
          <w:color w:val="auto"/>
        </w:rPr>
      </w:pPr>
      <w:r>
        <w:rPr>
          <w:rFonts w:ascii="Arial" w:cs="Arial" w:eastAsia="Arial" w:hAnsi="Arial"/>
          <w:sz w:val="17"/>
          <w:szCs w:val="17"/>
          <w:color w:val="auto"/>
        </w:rPr>
        <w:t>Based upon the most recent information available to the Company regarding such claims, there were a total of 261 cases pending against the Company as of June 30, 2023 with Illinois, New York, Pennsylvania and West Virginia having the largest number of cases, as compared with 247 cases that were pending as of December 31, 2022. During the six months ended June 30, 2023, 71 new cases were filed against the Company, and the Company was dismissed from 46 cases and settled 11 cases. Most of the pending cases have not advanced beyond the early stages of discovery, although a number of cases are on schedules leading to or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181" w:lineRule="exact"/>
        <w:rPr>
          <w:sz w:val="20"/>
          <w:szCs w:val="20"/>
          <w:color w:val="auto"/>
        </w:rPr>
      </w:pPr>
    </w:p>
    <w:p>
      <w:pPr>
        <w:ind w:left="512"/>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512" w:right="120"/>
        <w:spacing w:after="0" w:line="277" w:lineRule="auto"/>
        <w:rPr>
          <w:sz w:val="20"/>
          <w:szCs w:val="20"/>
          <w:color w:val="auto"/>
        </w:rPr>
      </w:pPr>
      <w:r>
        <w:rPr>
          <w:rFonts w:ascii="Arial" w:cs="Arial" w:eastAsia="Arial" w:hAnsi="Arial"/>
          <w:sz w:val="18"/>
          <w:szCs w:val="18"/>
          <w:color w:val="auto"/>
        </w:rPr>
        <w:t>The Company is also a party to routine contract and employment-related litigation matters, warranty claims and routine audits of state and local tax returns arising in the ordinary course of its business.</w:t>
      </w:r>
    </w:p>
    <w:p>
      <w:pPr>
        <w:spacing w:after="0" w:line="170" w:lineRule="exact"/>
        <w:rPr>
          <w:sz w:val="20"/>
          <w:szCs w:val="20"/>
          <w:color w:val="auto"/>
        </w:rPr>
      </w:pPr>
    </w:p>
    <w:p>
      <w:pPr>
        <w:ind w:left="512"/>
        <w:spacing w:after="0" w:line="259" w:lineRule="auto"/>
        <w:rPr>
          <w:sz w:val="20"/>
          <w:szCs w:val="20"/>
          <w:color w:val="auto"/>
        </w:rPr>
      </w:pPr>
      <w:r>
        <w:rPr>
          <w:rFonts w:ascii="Arial" w:cs="Arial" w:eastAsia="Arial" w:hAnsi="Arial"/>
          <w:sz w:val="18"/>
          <w:szCs w:val="18"/>
          <w:color w:val="auto"/>
        </w:rPr>
        <w:t>The final outcome and impact of open matters, and related claims and investigations that may be brought in the future, are subject to many variables, and cannot be predicted. In accordance with ASC 450, “Contingencies,” and related guidance, the Company records accruals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87" w:lineRule="exact"/>
        <w:rPr>
          <w:sz w:val="20"/>
          <w:szCs w:val="20"/>
          <w:color w:val="auto"/>
        </w:rPr>
      </w:pPr>
    </w:p>
    <w:p>
      <w:pPr>
        <w:ind w:left="512" w:right="220"/>
        <w:spacing w:after="0" w:line="277" w:lineRule="auto"/>
        <w:rPr>
          <w:sz w:val="20"/>
          <w:szCs w:val="20"/>
          <w:color w:val="auto"/>
        </w:rPr>
      </w:pPr>
      <w:r>
        <w:rPr>
          <w:rFonts w:ascii="Arial" w:cs="Arial" w:eastAsia="Arial" w:hAnsi="Arial"/>
          <w:sz w:val="18"/>
          <w:szCs w:val="18"/>
          <w:color w:val="auto"/>
        </w:rPr>
        <w:t>The Company is not aware of any pending claims or assessments, other than as described above, which may have a material adverse impact on its liquidity, financial position, results of operations, or cash flows.</w:t>
      </w:r>
    </w:p>
    <w:p>
      <w:pPr>
        <w:spacing w:after="0" w:line="166" w:lineRule="exact"/>
        <w:rPr>
          <w:sz w:val="20"/>
          <w:szCs w:val="20"/>
          <w:color w:val="auto"/>
        </w:rPr>
      </w:pPr>
    </w:p>
    <w:p>
      <w:pPr>
        <w:ind w:left="512" w:right="8300" w:hanging="512"/>
        <w:spacing w:after="0" w:line="603" w:lineRule="auto"/>
        <w:tabs>
          <w:tab w:leader="none" w:pos="488"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and Joint Ventures </w:t>
      </w:r>
      <w:r>
        <w:rPr>
          <w:rFonts w:ascii="Arial" w:cs="Arial" w:eastAsia="Arial" w:hAnsi="Arial"/>
          <w:sz w:val="15"/>
          <w:szCs w:val="15"/>
          <w:i w:val="1"/>
          <w:iCs w:val="1"/>
          <w:color w:val="auto"/>
        </w:rPr>
        <w:t>Malvar Engineering Limited</w:t>
      </w:r>
    </w:p>
    <w:p>
      <w:pPr>
        <w:spacing w:after="0" w:line="1" w:lineRule="exact"/>
        <w:rPr>
          <w:sz w:val="20"/>
          <w:szCs w:val="20"/>
          <w:color w:val="auto"/>
        </w:rPr>
      </w:pPr>
    </w:p>
    <w:p>
      <w:pPr>
        <w:ind w:left="512"/>
        <w:spacing w:after="0" w:line="269" w:lineRule="auto"/>
        <w:rPr>
          <w:sz w:val="20"/>
          <w:szCs w:val="20"/>
          <w:color w:val="auto"/>
        </w:rPr>
      </w:pPr>
      <w:r>
        <w:rPr>
          <w:rFonts w:ascii="Arial" w:cs="Arial" w:eastAsia="Arial" w:hAnsi="Arial"/>
          <w:sz w:val="17"/>
          <w:szCs w:val="17"/>
          <w:color w:val="auto"/>
        </w:rPr>
        <w:t>On January 10, 2023, the Company acquired 100% of the equity interests of Malvar Engineering Limited, including its subsidiaries Arkanum Management Limited and Wakefield Acoustics Limited (collectively, "Wakefield"), for $4.1 million in cash, which was financed with a draw on the Company’s revolving credit facility, and $0.4 million of deferred cash consideration. As additional consideration, the former owners are entitled to earn-out payments based upon specified financial results through July 31, 2023. Based on projections at the acquisition date, the Company estimated the fair value of the earn-out to be $0.6 million. As of June 30, 2023, the earnout liability recorded in “Accounts payable and accrued expenses” on the Condensed Consolidated Balance Sheets is $0.6 million. Wakefield is a producer of industrial engineered noise control solutions, including custom acoustical gen-set packages, ambient air baffles, acoustical louvres, and skid enclosures, primarily serving server farms for data centers, standby and emergency power generation, oil and gas, petrochemical, commercial construction, infrastructure, and general manufacturing industries. This acquisition advances the Company's position within the industrial silencing and noise attenuation market by adding a range of solutions and access to new geographic markets within</w:t>
      </w:r>
    </w:p>
    <w:p>
      <w:pPr>
        <w:spacing w:after="0" w:line="1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53" w:right="339" w:bottom="1440" w:gutter="0" w:footer="0" w:header="0"/>
        </w:sectPr>
      </w:pPr>
    </w:p>
    <w:bookmarkStart w:id="14" w:name="page15"/>
    <w:bookmarkEnd w:id="14"/>
    <w:p>
      <w:pPr>
        <w:ind w:left="520"/>
        <w:spacing w:after="0"/>
        <w:rPr>
          <w:sz w:val="20"/>
          <w:szCs w:val="20"/>
          <w:color w:val="auto"/>
        </w:rPr>
      </w:pPr>
      <w:r>
        <w:rPr>
          <w:rFonts w:ascii="Arial" w:cs="Arial" w:eastAsia="Arial" w:hAnsi="Arial"/>
          <w:sz w:val="16"/>
          <w:szCs w:val="16"/>
          <w:color w:val="auto"/>
        </w:rPr>
        <w:t>the Engineered Systems segment. The following table summarizes the fair values of the assets acquired and liabilities assumed at the date of closing.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assets</w:t>
            </w:r>
          </w:p>
        </w:tc>
        <w:tc>
          <w:tcPr>
            <w:tcW w:w="76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3,240</w:t>
            </w:r>
          </w:p>
        </w:tc>
        <w:tc>
          <w:tcPr>
            <w:tcW w:w="140" w:type="dxa"/>
            <w:vAlign w:val="bottom"/>
            <w:shd w:val="clear" w:color="auto" w:fill="CFF0FC"/>
          </w:tcPr>
          <w:p>
            <w:pPr>
              <w:spacing w:after="0"/>
              <w:rPr>
                <w:sz w:val="21"/>
                <w:szCs w:val="21"/>
                <w:color w:val="auto"/>
              </w:rPr>
            </w:pP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7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635</w:t>
            </w:r>
          </w:p>
        </w:tc>
        <w:tc>
          <w:tcPr>
            <w:tcW w:w="140" w:type="dxa"/>
            <w:vAlign w:val="bottom"/>
          </w:tcPr>
          <w:p>
            <w:pPr>
              <w:spacing w:after="0"/>
              <w:rPr>
                <w:sz w:val="20"/>
                <w:szCs w:val="20"/>
                <w:color w:val="auto"/>
              </w:rPr>
            </w:pPr>
          </w:p>
        </w:tc>
      </w:tr>
      <w:tr>
        <w:trPr>
          <w:trHeight w:val="24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 finite life</w:t>
            </w:r>
          </w:p>
        </w:tc>
        <w:tc>
          <w:tcPr>
            <w:tcW w:w="7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w:t>
            </w:r>
          </w:p>
        </w:tc>
        <w:tc>
          <w:tcPr>
            <w:tcW w:w="140" w:type="dxa"/>
            <w:vAlign w:val="bottom"/>
            <w:shd w:val="clear" w:color="auto" w:fill="CFF0FC"/>
          </w:tcPr>
          <w:p>
            <w:pPr>
              <w:spacing w:after="0"/>
              <w:rPr>
                <w:sz w:val="21"/>
                <w:szCs w:val="21"/>
                <w:color w:val="auto"/>
              </w:rPr>
            </w:pP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color w:val="auto"/>
              </w:rPr>
              <w:t>Goodwill</w:t>
            </w:r>
          </w:p>
        </w:tc>
        <w:tc>
          <w:tcPr>
            <w:tcW w:w="7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140" w:type="dxa"/>
            <w:vAlign w:val="bottom"/>
          </w:tcPr>
          <w:p>
            <w:pPr>
              <w:spacing w:after="0"/>
              <w:rPr>
                <w:sz w:val="21"/>
                <w:szCs w:val="21"/>
                <w:color w:val="auto"/>
              </w:rPr>
            </w:pPr>
          </w:p>
        </w:tc>
      </w:tr>
      <w:tr>
        <w:trPr>
          <w:trHeight w:val="237"/>
        </w:trPr>
        <w:tc>
          <w:tcPr>
            <w:tcW w:w="9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assets acquired</w:t>
            </w:r>
          </w:p>
        </w:tc>
        <w:tc>
          <w:tcPr>
            <w:tcW w:w="7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10,432</w:t>
            </w:r>
          </w:p>
        </w:tc>
        <w:tc>
          <w:tcPr>
            <w:tcW w:w="140" w:type="dxa"/>
            <w:vAlign w:val="bottom"/>
            <w:shd w:val="clear" w:color="auto" w:fill="CFF0FC"/>
          </w:tcPr>
          <w:p>
            <w:pPr>
              <w:spacing w:after="0"/>
              <w:rPr>
                <w:sz w:val="20"/>
                <w:szCs w:val="20"/>
                <w:color w:val="auto"/>
              </w:rPr>
            </w:pP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Current liabilities assumed</w:t>
            </w:r>
          </w:p>
        </w:tc>
        <w:tc>
          <w:tcPr>
            <w:tcW w:w="76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(4,860 )</w:t>
            </w:r>
          </w:p>
        </w:tc>
      </w:tr>
      <w:tr>
        <w:trPr>
          <w:trHeight w:val="24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income tax liability</w:t>
            </w:r>
          </w:p>
        </w:tc>
        <w:tc>
          <w:tcPr>
            <w:tcW w:w="7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(444 )</w:t>
            </w:r>
          </w:p>
        </w:tc>
      </w:tr>
      <w:tr>
        <w:trPr>
          <w:trHeight w:val="237"/>
        </w:trPr>
        <w:tc>
          <w:tcPr>
            <w:tcW w:w="918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Net assets acquired</w:t>
            </w: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5,128</w:t>
            </w:r>
          </w:p>
        </w:tc>
        <w:tc>
          <w:tcPr>
            <w:tcW w:w="140" w:type="dxa"/>
            <w:vAlign w:val="bottom"/>
            <w:tcBorders>
              <w:top w:val="single" w:sz="8" w:color="CFF0FC"/>
            </w:tcBorders>
          </w:tcPr>
          <w:p>
            <w:pPr>
              <w:spacing w:after="0"/>
              <w:rPr>
                <w:sz w:val="20"/>
                <w:szCs w:val="20"/>
                <w:color w:val="auto"/>
              </w:rPr>
            </w:pPr>
          </w:p>
        </w:tc>
      </w:tr>
      <w:tr>
        <w:trPr>
          <w:trHeight w:val="20"/>
        </w:trPr>
        <w:tc>
          <w:tcPr>
            <w:tcW w:w="9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left="520" w:right="480"/>
        <w:spacing w:after="0" w:line="277" w:lineRule="auto"/>
        <w:rPr>
          <w:sz w:val="20"/>
          <w:szCs w:val="20"/>
          <w:color w:val="auto"/>
        </w:rPr>
      </w:pPr>
      <w:r>
        <w:rPr>
          <w:rFonts w:ascii="Arial" w:cs="Arial" w:eastAsia="Arial" w:hAnsi="Arial"/>
          <w:sz w:val="18"/>
          <w:szCs w:val="18"/>
          <w:color w:val="auto"/>
        </w:rPr>
        <w:t>The Company acquired customer lists and tradename intangible assets valued at $1.5 million and $0.3 million, respectively. These assets were determined to have useful lives of 10 years.</w:t>
      </w:r>
    </w:p>
    <w:p>
      <w:pPr>
        <w:spacing w:after="0" w:line="170" w:lineRule="exact"/>
        <w:rPr>
          <w:sz w:val="20"/>
          <w:szCs w:val="20"/>
          <w:color w:val="auto"/>
        </w:rPr>
      </w:pPr>
    </w:p>
    <w:p>
      <w:pPr>
        <w:ind w:left="520" w:right="420"/>
        <w:spacing w:after="0" w:line="277" w:lineRule="auto"/>
        <w:rPr>
          <w:sz w:val="20"/>
          <w:szCs w:val="20"/>
          <w:color w:val="auto"/>
        </w:rPr>
      </w:pPr>
      <w:r>
        <w:rPr>
          <w:rFonts w:ascii="Arial" w:cs="Arial" w:eastAsia="Arial" w:hAnsi="Arial"/>
          <w:sz w:val="18"/>
          <w:szCs w:val="18"/>
          <w:color w:val="auto"/>
        </w:rPr>
        <w:t>During the three and six months ended June 30, 2023, Wakefield accounted for $3.0 million and $5.5 million in revenue, respectively, and $0.2 million and $0.3 million of net income, respectively, included in the Company’s results.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Transcend Solutions</w:t>
      </w:r>
    </w:p>
    <w:p>
      <w:pPr>
        <w:spacing w:after="0" w:line="225" w:lineRule="exact"/>
        <w:rPr>
          <w:sz w:val="20"/>
          <w:szCs w:val="20"/>
          <w:color w:val="auto"/>
        </w:rPr>
      </w:pPr>
    </w:p>
    <w:p>
      <w:pPr>
        <w:ind w:left="520"/>
        <w:spacing w:after="0" w:line="272" w:lineRule="auto"/>
        <w:rPr>
          <w:sz w:val="20"/>
          <w:szCs w:val="20"/>
          <w:color w:val="auto"/>
        </w:rPr>
      </w:pPr>
      <w:r>
        <w:rPr>
          <w:rFonts w:ascii="Arial" w:cs="Arial" w:eastAsia="Arial" w:hAnsi="Arial"/>
          <w:sz w:val="17"/>
          <w:szCs w:val="17"/>
          <w:color w:val="auto"/>
        </w:rPr>
        <w:t>On March 31, 2023, the Company acquired 100% of the equity interests of Transcend Solutions, LLC ("Transcend") for $22.4 million, including $20.0 million in cash, which was financed with a draw on the Company’s revolving credit facility, $2.4 million of deferred cash consideration, consisting of $0.4 million of holdback payable within one year and $2.0 million of notes payable due in equal installments over two years. Transcend is a process filtration solution design and manufacturing company with applications in hydrocarbon and chemical processing. This acquisition improves the Company's short-cycle and long-cycle mix and expands the Company's reach into midstream oil and gas, liquified natural gas, hydrocarbon processing, and chemical processing applications within the Engineered Systems segment. The following table summarizes the fair values of the assets acquired and liabilities assumed at the date of closing.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assets (including cash of $52)</w:t>
            </w:r>
          </w:p>
        </w:tc>
        <w:tc>
          <w:tcPr>
            <w:tcW w:w="76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2,614</w:t>
            </w:r>
          </w:p>
        </w:tc>
        <w:tc>
          <w:tcPr>
            <w:tcW w:w="140" w:type="dxa"/>
            <w:vAlign w:val="bottom"/>
            <w:shd w:val="clear" w:color="auto" w:fill="CFF0FC"/>
          </w:tcPr>
          <w:p>
            <w:pPr>
              <w:spacing w:after="0"/>
              <w:rPr>
                <w:sz w:val="21"/>
                <w:szCs w:val="21"/>
                <w:color w:val="auto"/>
              </w:rPr>
            </w:pP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7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1,153</w:t>
            </w:r>
          </w:p>
        </w:tc>
        <w:tc>
          <w:tcPr>
            <w:tcW w:w="140" w:type="dxa"/>
            <w:vAlign w:val="bottom"/>
          </w:tcPr>
          <w:p>
            <w:pPr>
              <w:spacing w:after="0"/>
              <w:rPr>
                <w:sz w:val="20"/>
                <w:szCs w:val="20"/>
                <w:color w:val="auto"/>
              </w:rPr>
            </w:pPr>
          </w:p>
        </w:tc>
      </w:tr>
      <w:tr>
        <w:trPr>
          <w:trHeight w:val="24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 finite life</w:t>
            </w:r>
          </w:p>
        </w:tc>
        <w:tc>
          <w:tcPr>
            <w:tcW w:w="7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8,930</w:t>
            </w:r>
          </w:p>
        </w:tc>
        <w:tc>
          <w:tcPr>
            <w:tcW w:w="140" w:type="dxa"/>
            <w:vAlign w:val="bottom"/>
            <w:shd w:val="clear" w:color="auto" w:fill="CFF0FC"/>
          </w:tcPr>
          <w:p>
            <w:pPr>
              <w:spacing w:after="0"/>
              <w:rPr>
                <w:sz w:val="21"/>
                <w:szCs w:val="21"/>
                <w:color w:val="auto"/>
              </w:rPr>
            </w:pP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Goodwill</w:t>
            </w:r>
          </w:p>
        </w:tc>
        <w:tc>
          <w:tcPr>
            <w:tcW w:w="7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10,671</w:t>
            </w:r>
          </w:p>
        </w:tc>
        <w:tc>
          <w:tcPr>
            <w:tcW w:w="140" w:type="dxa"/>
            <w:vAlign w:val="bottom"/>
          </w:tcPr>
          <w:p>
            <w:pPr>
              <w:spacing w:after="0"/>
              <w:rPr>
                <w:sz w:val="20"/>
                <w:szCs w:val="20"/>
                <w:color w:val="auto"/>
              </w:rPr>
            </w:pPr>
          </w:p>
        </w:tc>
      </w:tr>
      <w:tr>
        <w:trPr>
          <w:trHeight w:val="249"/>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7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9180" w:type="dxa"/>
            <w:vAlign w:val="bottom"/>
          </w:tcPr>
          <w:p>
            <w:pPr>
              <w:ind w:left="200"/>
              <w:spacing w:after="0"/>
              <w:rPr>
                <w:sz w:val="20"/>
                <w:szCs w:val="20"/>
                <w:color w:val="auto"/>
              </w:rPr>
            </w:pPr>
            <w:r>
              <w:rPr>
                <w:rFonts w:ascii="Arial" w:cs="Arial" w:eastAsia="Arial" w:hAnsi="Arial"/>
                <w:sz w:val="18"/>
                <w:szCs w:val="18"/>
                <w:color w:val="auto"/>
              </w:rPr>
              <w:t>Total assets acquired</w:t>
            </w:r>
          </w:p>
        </w:tc>
        <w:tc>
          <w:tcPr>
            <w:tcW w:w="7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23,599</w:t>
            </w:r>
          </w:p>
        </w:tc>
        <w:tc>
          <w:tcPr>
            <w:tcW w:w="140" w:type="dxa"/>
            <w:vAlign w:val="bottom"/>
          </w:tcPr>
          <w:p>
            <w:pPr>
              <w:spacing w:after="0"/>
              <w:rPr>
                <w:sz w:val="20"/>
                <w:szCs w:val="20"/>
                <w:color w:val="auto"/>
              </w:rPr>
            </w:pPr>
          </w:p>
        </w:tc>
      </w:tr>
      <w:tr>
        <w:trPr>
          <w:trHeight w:val="24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 assumed</w:t>
            </w:r>
          </w:p>
        </w:tc>
        <w:tc>
          <w:tcPr>
            <w:tcW w:w="7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(1,203 )</w:t>
            </w:r>
          </w:p>
        </w:tc>
      </w:tr>
      <w:tr>
        <w:trPr>
          <w:trHeight w:val="236"/>
        </w:trPr>
        <w:tc>
          <w:tcPr>
            <w:tcW w:w="918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Net assets acquired</w:t>
            </w: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22,396</w:t>
            </w:r>
          </w:p>
        </w:tc>
        <w:tc>
          <w:tcPr>
            <w:tcW w:w="140" w:type="dxa"/>
            <w:vAlign w:val="bottom"/>
            <w:tcBorders>
              <w:top w:val="single" w:sz="8" w:color="CFF0FC"/>
            </w:tcBorders>
          </w:tcPr>
          <w:p>
            <w:pPr>
              <w:spacing w:after="0"/>
              <w:rPr>
                <w:sz w:val="20"/>
                <w:szCs w:val="20"/>
                <w:color w:val="auto"/>
              </w:rPr>
            </w:pPr>
          </w:p>
        </w:tc>
      </w:tr>
      <w:tr>
        <w:trPr>
          <w:trHeight w:val="20"/>
        </w:trPr>
        <w:tc>
          <w:tcPr>
            <w:tcW w:w="9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-505460</wp:posOffset>
            </wp:positionV>
            <wp:extent cx="85725"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left="520" w:right="920"/>
        <w:spacing w:after="0" w:line="277" w:lineRule="auto"/>
        <w:rPr>
          <w:sz w:val="20"/>
          <w:szCs w:val="20"/>
          <w:color w:val="auto"/>
        </w:rPr>
      </w:pPr>
      <w:r>
        <w:rPr>
          <w:rFonts w:ascii="Arial" w:cs="Arial" w:eastAsia="Arial" w:hAnsi="Arial"/>
          <w:sz w:val="18"/>
          <w:szCs w:val="18"/>
          <w:color w:val="auto"/>
        </w:rPr>
        <w:t>The Company acquired technology, customer lists and tradename intangible assets valued at $0.6 million, $7.6 million and $0.7 million, respectively. These assets were determined to have useful lives of 7, 10 and 10 years, respectively.</w:t>
      </w:r>
    </w:p>
    <w:p>
      <w:pPr>
        <w:spacing w:after="0" w:line="170" w:lineRule="exact"/>
        <w:rPr>
          <w:sz w:val="20"/>
          <w:szCs w:val="20"/>
          <w:color w:val="auto"/>
        </w:rPr>
      </w:pPr>
    </w:p>
    <w:p>
      <w:pPr>
        <w:ind w:left="520" w:right="180"/>
        <w:spacing w:after="0" w:line="277" w:lineRule="auto"/>
        <w:rPr>
          <w:sz w:val="20"/>
          <w:szCs w:val="20"/>
          <w:color w:val="auto"/>
        </w:rPr>
      </w:pPr>
      <w:r>
        <w:rPr>
          <w:rFonts w:ascii="Arial" w:cs="Arial" w:eastAsia="Arial" w:hAnsi="Arial"/>
          <w:sz w:val="18"/>
          <w:szCs w:val="18"/>
          <w:color w:val="auto"/>
        </w:rPr>
        <w:t>During the three and six months ended June 30, 2023, Transcend accounted for $2.5 million in revenue and $0.5 million of net income included in the Company’s results.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Rubber LLC</w:t>
      </w:r>
    </w:p>
    <w:p>
      <w:pPr>
        <w:spacing w:after="0" w:line="225" w:lineRule="exact"/>
        <w:rPr>
          <w:sz w:val="20"/>
          <w:szCs w:val="20"/>
          <w:color w:val="auto"/>
        </w:rPr>
      </w:pPr>
    </w:p>
    <w:p>
      <w:pPr>
        <w:ind w:left="520" w:right="20"/>
        <w:spacing w:after="0" w:line="272" w:lineRule="auto"/>
        <w:rPr>
          <w:sz w:val="20"/>
          <w:szCs w:val="20"/>
          <w:color w:val="auto"/>
        </w:rPr>
      </w:pPr>
      <w:r>
        <w:rPr>
          <w:rFonts w:ascii="Arial" w:cs="Arial" w:eastAsia="Arial" w:hAnsi="Arial"/>
          <w:sz w:val="17"/>
          <w:szCs w:val="17"/>
          <w:color w:val="auto"/>
        </w:rPr>
        <w:t>On March 7, 2022, the Company, through the EFM JV, acquired 100% of the equity interests of General Rubber LLC ("GRC") for $19.7 million in cash, which was financed with a combination of a draw on the Company's revolving credit facility and issuance of term debt by the EFM JV. As additional consideration, the former owners of GRC were issued 10% of the equity interest in the EFM JV, resulting in the Company holding 63% of the equity in the joint venture. The fair value ascribed to the equity interest of the former owners of GRC was approximately $4.1 million. As of June 30, 2023, there were $15.5 million in current assets, $27.2 million in long-lived assets, and $31.5 million in total liabilities related to the EFM JV included in the Condensed Consolidated Balance Sheets. For the three months and six months ended June 30, 2023, the EFM JV accounted for $9.9 million and $19.3 million, respectively, in revenue included in the Company's results.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left="500" w:right="240"/>
        <w:spacing w:after="0" w:line="259" w:lineRule="auto"/>
        <w:rPr>
          <w:sz w:val="20"/>
          <w:szCs w:val="20"/>
          <w:color w:val="auto"/>
        </w:rPr>
      </w:pPr>
      <w:r>
        <w:rPr>
          <w:rFonts w:ascii="Arial" w:cs="Arial" w:eastAsia="Arial" w:hAnsi="Arial"/>
          <w:sz w:val="18"/>
          <w:szCs w:val="18"/>
          <w:color w:val="auto"/>
        </w:rPr>
        <w:t>GRC engineers and manufactures non-metallic expansion joints and flow control products including rubber expansion joints, ducting expansion joints, and industrial pinch and duck bill valves, serving the industrial water and wastewater markets. The acquisition diversifies and expands the EFM JV product offerings within the Engineered Systems segment. The following table summarizes the fair values of the assets acquired and liabilities assumed at the date of closing.</w:t>
      </w:r>
    </w:p>
    <w:p>
      <w:pPr>
        <w:sectPr>
          <w:pgSz w:w="11900" w:h="16838" w:orient="portrait"/>
          <w:cols w:equalWidth="0" w:num="1">
            <w:col w:w="11220"/>
          </w:cols>
          <w:pgMar w:left="340" w:top="557" w:right="339" w:bottom="1440" w:gutter="0" w:footer="0" w:header="0"/>
        </w:sect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Current assets (including cash of $137)</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3232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132320"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Intangible - finite life</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assets acquired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3232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132320" cy="3346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4,963</w:t>
      </w:r>
    </w:p>
    <w:p>
      <w:pPr>
        <w:spacing w:after="0" w:line="36"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459</w:t>
      </w:r>
    </w:p>
    <w:p>
      <w:pPr>
        <w:spacing w:after="0" w:line="36"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11,120</w:t>
      </w:r>
    </w:p>
    <w:p>
      <w:pPr>
        <w:spacing w:after="0" w:line="36"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8,380</w:t>
      </w:r>
    </w:p>
    <w:p>
      <w:pPr>
        <w:jc w:val="right"/>
        <w:spacing w:after="0"/>
        <w:rPr>
          <w:sz w:val="20"/>
          <w:szCs w:val="20"/>
          <w:color w:val="auto"/>
        </w:rPr>
      </w:pPr>
      <w:r>
        <w:rPr>
          <w:rFonts w:ascii="Arial" w:cs="Arial" w:eastAsia="Arial" w:hAnsi="Arial"/>
          <w:sz w:val="18"/>
          <w:szCs w:val="18"/>
          <w:color w:val="auto"/>
        </w:rPr>
        <w:t>24,922</w:t>
      </w:r>
      <w:r>
        <w:rPr>
          <w:sz w:val="1"/>
          <w:szCs w:val="1"/>
          <w:color w:val="auto"/>
        </w:rPr>
        <w:drawing>
          <wp:inline distT="0" distB="0" distL="0" distR="0">
            <wp:extent cx="85725" cy="15240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152400"/>
                    </a:xfrm>
                    <a:prstGeom prst="rect">
                      <a:avLst/>
                    </a:prstGeom>
                    <a:noFill/>
                    <a:ln>
                      <a:noFill/>
                    </a:ln>
                  </pic:spPr>
                </pic:pic>
              </a:graphicData>
            </a:graphic>
          </wp:inline>
        </w:drawing>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(714 )</w:t>
      </w:r>
    </w:p>
    <w:p>
      <w:pPr>
        <w:spacing w:after="0" w:line="3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(388 )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122618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26185" cy="8255"/>
                    </a:xfrm>
                    <a:prstGeom prst="rect">
                      <a:avLst/>
                    </a:prstGeom>
                    <a:noFill/>
                  </pic:spPr>
                </pic:pic>
              </a:graphicData>
            </a:graphic>
          </wp:anchor>
        </w:drawing>
      </w:r>
    </w:p>
    <w:p>
      <w:pPr>
        <w:spacing w:after="0" w:line="30"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23,820</w:t>
      </w:r>
    </w:p>
    <w:p>
      <w:pPr>
        <w:spacing w:after="0" w:line="240" w:lineRule="exact"/>
        <w:rPr>
          <w:sz w:val="20"/>
          <w:szCs w:val="20"/>
          <w:color w:val="auto"/>
        </w:rPr>
      </w:pPr>
    </w:p>
    <w:p>
      <w:pPr>
        <w:sectPr>
          <w:pgSz w:w="11900" w:h="16838" w:orient="portrait"/>
          <w:cols w:equalWidth="0" w:num="2">
            <w:col w:w="8440" w:space="720"/>
            <w:col w:w="2060"/>
          </w:cols>
          <w:pgMar w:left="340" w:top="557" w:right="339" w:bottom="1440" w:gutter="0" w:footer="0" w:header="0"/>
          <w:type w:val="continuous"/>
        </w:sectPr>
      </w:pPr>
    </w:p>
    <w:p>
      <w:pPr>
        <w:spacing w:after="0" w:line="66" w:lineRule="exact"/>
        <w:rPr>
          <w:sz w:val="20"/>
          <w:szCs w:val="20"/>
          <w:color w:val="auto"/>
        </w:rPr>
      </w:pPr>
    </w:p>
    <w:p>
      <w:pPr>
        <w:ind w:left="500" w:right="480"/>
        <w:spacing w:after="0" w:line="277" w:lineRule="auto"/>
        <w:rPr>
          <w:sz w:val="20"/>
          <w:szCs w:val="20"/>
          <w:color w:val="auto"/>
        </w:rPr>
      </w:pPr>
      <w:r>
        <w:rPr>
          <w:rFonts w:ascii="Arial" w:cs="Arial" w:eastAsia="Arial" w:hAnsi="Arial"/>
          <w:sz w:val="18"/>
          <w:szCs w:val="18"/>
          <w:color w:val="auto"/>
        </w:rPr>
        <w:t>The Company acquired customer lists and tradename intangible assets valued at $7.7 million and $0.7 million, respectively. These assets were determined to have useful lives of 10 years.</w:t>
      </w:r>
    </w:p>
    <w:p>
      <w:pPr>
        <w:spacing w:after="0" w:line="170" w:lineRule="exact"/>
        <w:rPr>
          <w:sz w:val="20"/>
          <w:szCs w:val="20"/>
          <w:color w:val="auto"/>
        </w:rPr>
      </w:pPr>
    </w:p>
    <w:p>
      <w:pPr>
        <w:ind w:left="500" w:right="220"/>
        <w:spacing w:after="0" w:line="277" w:lineRule="auto"/>
        <w:rPr>
          <w:sz w:val="20"/>
          <w:szCs w:val="20"/>
          <w:color w:val="auto"/>
        </w:rPr>
      </w:pPr>
      <w:r>
        <w:rPr>
          <w:rFonts w:ascii="Arial" w:cs="Arial" w:eastAsia="Arial" w:hAnsi="Arial"/>
          <w:sz w:val="18"/>
          <w:szCs w:val="18"/>
          <w:color w:val="auto"/>
        </w:rPr>
        <w:t>During the three and six months ended June 30, 2022, GRC accounted for $3.8 million and $4.5 million in revenue, respectively, and $0.5 million and $0.8 million, respectively, of net income included in the Company’s results.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Compass Water Solutions, Inc.</w:t>
      </w:r>
    </w:p>
    <w:p>
      <w:pPr>
        <w:spacing w:after="0" w:line="225" w:lineRule="exact"/>
        <w:rPr>
          <w:sz w:val="20"/>
          <w:szCs w:val="20"/>
          <w:color w:val="auto"/>
        </w:rPr>
      </w:pPr>
    </w:p>
    <w:p>
      <w:pPr>
        <w:ind w:left="500" w:right="60"/>
        <w:spacing w:after="0" w:line="296" w:lineRule="auto"/>
        <w:rPr>
          <w:sz w:val="20"/>
          <w:szCs w:val="20"/>
          <w:color w:val="auto"/>
        </w:rPr>
      </w:pPr>
      <w:r>
        <w:rPr>
          <w:rFonts w:ascii="Arial" w:cs="Arial" w:eastAsia="Arial" w:hAnsi="Arial"/>
          <w:sz w:val="16"/>
          <w:szCs w:val="16"/>
          <w:color w:val="auto"/>
        </w:rPr>
        <w:t>On May 3, 2022, the Company acquired 100% of the equity interests of Compass Water Solutions, Inc. ("Compass") for $9.0 million in cash, which was financed with a draw on the Company’s revolving credit facility, and $2.0 million in notes payable to the former owners over two years. As additional consideration, the former owners are entitled to earn-out payments based upon a multiple of specified financial results through April 30, 2023. Based on projections at the acquisition date, the Company estimated the fair value of the earn-out to be $1.4 million. As of June 30, 2023, the earnout liability recorded in “Accounts payable and accrued expenses” on the Condensed Consolidated Balance Sheets is $1.4 million.</w:t>
      </w:r>
    </w:p>
    <w:p>
      <w:pPr>
        <w:spacing w:after="0" w:line="161" w:lineRule="exact"/>
        <w:rPr>
          <w:sz w:val="20"/>
          <w:szCs w:val="20"/>
          <w:color w:val="auto"/>
        </w:rPr>
      </w:pPr>
    </w:p>
    <w:p>
      <w:pPr>
        <w:ind w:left="500" w:right="20"/>
        <w:spacing w:after="0" w:line="259" w:lineRule="auto"/>
        <w:rPr>
          <w:sz w:val="20"/>
          <w:szCs w:val="20"/>
          <w:color w:val="auto"/>
        </w:rPr>
      </w:pPr>
      <w:r>
        <w:rPr>
          <w:rFonts w:ascii="Arial" w:cs="Arial" w:eastAsia="Arial" w:hAnsi="Arial"/>
          <w:sz w:val="18"/>
          <w:szCs w:val="18"/>
          <w:color w:val="auto"/>
        </w:rPr>
        <w:t>Compass is a leading global supplier of membrane-based industrial water and wastewater treatment systems that help customers achieve regulatory compliance of water discharge at the lowest lifecycle cost. The acquisition diversifies and expands the Company's industrial water product offerings within the Engineered Systems segment. The following table summarizes the fair values of the assets acquired and liabilities assumed at the date of closing.</w:t>
      </w:r>
    </w:p>
    <w:p>
      <w:pPr>
        <w:sectPr>
          <w:pgSz w:w="11900" w:h="16838" w:orient="portrait"/>
          <w:cols w:equalWidth="0" w:num="1">
            <w:col w:w="11220"/>
          </w:cols>
          <w:pgMar w:left="340" w:top="557" w:right="339" w:bottom="1440" w:gutter="0" w:footer="0" w:header="0"/>
          <w:type w:val="continuous"/>
        </w:sect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Current assets (including cash of $334)</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3232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132320" cy="162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Intangible - finite life</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assets acquired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3232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132320" cy="3346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4,796</w:t>
      </w:r>
    </w:p>
    <w:p>
      <w:pPr>
        <w:spacing w:after="0" w:line="36"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101</w:t>
      </w:r>
    </w:p>
    <w:p>
      <w:pPr>
        <w:spacing w:after="0" w:line="36"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4,848</w:t>
      </w:r>
    </w:p>
    <w:p>
      <w:pPr>
        <w:spacing w:after="0" w:line="3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4,900</w:t>
      </w:r>
    </w:p>
    <w:p>
      <w:pPr>
        <w:jc w:val="right"/>
        <w:spacing w:after="0"/>
        <w:rPr>
          <w:sz w:val="20"/>
          <w:szCs w:val="20"/>
          <w:color w:val="auto"/>
        </w:rPr>
      </w:pPr>
      <w:r>
        <w:rPr>
          <w:rFonts w:ascii="Arial" w:cs="Arial" w:eastAsia="Arial" w:hAnsi="Arial"/>
          <w:sz w:val="18"/>
          <w:szCs w:val="18"/>
          <w:color w:val="auto"/>
        </w:rPr>
        <w:t>14,645</w:t>
      </w:r>
      <w:r>
        <w:rPr>
          <w:sz w:val="1"/>
          <w:szCs w:val="1"/>
          <w:color w:val="auto"/>
        </w:rPr>
        <w:drawing>
          <wp:inline distT="0" distB="0" distL="0" distR="0">
            <wp:extent cx="85725" cy="15240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152400"/>
                    </a:xfrm>
                    <a:prstGeom prst="rect">
                      <a:avLst/>
                    </a:prstGeom>
                    <a:noFill/>
                    <a:ln>
                      <a:noFill/>
                    </a:ln>
                  </pic:spPr>
                </pic:pic>
              </a:graphicData>
            </a:graphic>
          </wp:inline>
        </w:drawing>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(623 )</w:t>
      </w:r>
    </w:p>
    <w:p>
      <w:pPr>
        <w:spacing w:after="0" w:line="35"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(1,627 )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122618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26185" cy="8255"/>
                    </a:xfrm>
                    <a:prstGeom prst="rect">
                      <a:avLst/>
                    </a:prstGeom>
                    <a:noFill/>
                  </pic:spPr>
                </pic:pic>
              </a:graphicData>
            </a:graphic>
          </wp:anchor>
        </w:drawing>
      </w:r>
    </w:p>
    <w:p>
      <w:pPr>
        <w:spacing w:after="0" w:line="41"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12,395</w:t>
      </w:r>
    </w:p>
    <w:p>
      <w:pPr>
        <w:spacing w:after="0" w:line="240" w:lineRule="exact"/>
        <w:rPr>
          <w:sz w:val="20"/>
          <w:szCs w:val="20"/>
          <w:color w:val="auto"/>
        </w:rPr>
      </w:pPr>
    </w:p>
    <w:p>
      <w:pPr>
        <w:sectPr>
          <w:pgSz w:w="11900" w:h="16838" w:orient="portrait"/>
          <w:cols w:equalWidth="0" w:num="2">
            <w:col w:w="8440" w:space="720"/>
            <w:col w:w="2060"/>
          </w:cols>
          <w:pgMar w:left="340" w:top="557" w:right="339" w:bottom="1440" w:gutter="0" w:footer="0" w:header="0"/>
          <w:type w:val="continuous"/>
        </w:sectPr>
      </w:pPr>
    </w:p>
    <w:p>
      <w:pPr>
        <w:spacing w:after="0" w:line="66" w:lineRule="exact"/>
        <w:rPr>
          <w:sz w:val="20"/>
          <w:szCs w:val="20"/>
          <w:color w:val="auto"/>
        </w:rPr>
      </w:pPr>
    </w:p>
    <w:p>
      <w:pPr>
        <w:ind w:left="500" w:right="480"/>
        <w:spacing w:after="0" w:line="277" w:lineRule="auto"/>
        <w:rPr>
          <w:sz w:val="20"/>
          <w:szCs w:val="20"/>
          <w:color w:val="auto"/>
        </w:rPr>
      </w:pPr>
      <w:r>
        <w:rPr>
          <w:rFonts w:ascii="Arial" w:cs="Arial" w:eastAsia="Arial" w:hAnsi="Arial"/>
          <w:sz w:val="18"/>
          <w:szCs w:val="18"/>
          <w:color w:val="auto"/>
        </w:rPr>
        <w:t>The Company acquired customer lists and tradename intangible assets valued at $4.4 million and $0.5 million, respectively. These assets were determined to have useful lives of 10 years.</w:t>
      </w:r>
    </w:p>
    <w:p>
      <w:pPr>
        <w:spacing w:after="0" w:line="170" w:lineRule="exact"/>
        <w:rPr>
          <w:sz w:val="20"/>
          <w:szCs w:val="20"/>
          <w:color w:val="auto"/>
        </w:rPr>
      </w:pPr>
    </w:p>
    <w:p>
      <w:pPr>
        <w:ind w:left="500" w:right="260"/>
        <w:spacing w:after="0" w:line="277" w:lineRule="auto"/>
        <w:rPr>
          <w:sz w:val="20"/>
          <w:szCs w:val="20"/>
          <w:color w:val="auto"/>
        </w:rPr>
      </w:pPr>
      <w:r>
        <w:rPr>
          <w:rFonts w:ascii="Arial" w:cs="Arial" w:eastAsia="Arial" w:hAnsi="Arial"/>
          <w:sz w:val="18"/>
          <w:szCs w:val="18"/>
          <w:color w:val="auto"/>
        </w:rPr>
        <w:t>During the three and six months ended June 30, 2022, Compass accounted for $0.8 million in revenue and $0.1 million of net loss included in the Company’s results.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Western Air Ducts Limited</w:t>
      </w:r>
    </w:p>
    <w:p>
      <w:pPr>
        <w:spacing w:after="0" w:line="225" w:lineRule="exact"/>
        <w:rPr>
          <w:sz w:val="20"/>
          <w:szCs w:val="20"/>
          <w:color w:val="auto"/>
        </w:rPr>
      </w:pPr>
    </w:p>
    <w:p>
      <w:pPr>
        <w:ind w:left="500"/>
        <w:spacing w:after="0" w:line="263" w:lineRule="auto"/>
        <w:rPr>
          <w:sz w:val="20"/>
          <w:szCs w:val="20"/>
          <w:color w:val="auto"/>
        </w:rPr>
      </w:pPr>
      <w:r>
        <w:rPr>
          <w:rFonts w:ascii="Arial" w:cs="Arial" w:eastAsia="Arial" w:hAnsi="Arial"/>
          <w:sz w:val="18"/>
          <w:szCs w:val="18"/>
          <w:color w:val="auto"/>
        </w:rPr>
        <w:t>On June 22, 2022, the Company acquired 100% of the equity interests of Western Air Ducts Limited ("Western Air Ducts") for $10.7 million in cash, which was financed with a draw on the Company’s revolving credit facility, and deferred cash consideration of $0.8 million paid one year from the date of closing.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57" w:right="339" w:bottom="1440" w:gutter="0" w:footer="0" w:header="0"/>
          <w:type w:val="continuous"/>
        </w:sectPr>
      </w:pPr>
    </w:p>
    <w:bookmarkStart w:id="16" w:name="page17"/>
    <w:bookmarkEnd w:id="16"/>
    <w:p>
      <w:pPr>
        <w:jc w:val="both"/>
        <w:ind w:left="520" w:right="60"/>
        <w:spacing w:after="0" w:line="286" w:lineRule="auto"/>
        <w:rPr>
          <w:sz w:val="20"/>
          <w:szCs w:val="20"/>
          <w:color w:val="auto"/>
        </w:rPr>
      </w:pPr>
      <w:r>
        <w:rPr>
          <w:rFonts w:ascii="Arial" w:cs="Arial" w:eastAsia="Arial" w:hAnsi="Arial"/>
          <w:sz w:val="17"/>
          <w:szCs w:val="17"/>
          <w:color w:val="auto"/>
        </w:rPr>
        <w:t>Western Air Ducts is a leading European supplier of dust and fume extraction solutions, providing consultation, design, manufacturing, installation, and service. The acquisition diversifies and expands the Company's industrial air product offerings within the Industrial Process Solutions segment. The following table summarizes the fair values of the assets acquired and liabilities assumed at the date of closing.</w:t>
      </w:r>
    </w:p>
    <w:p>
      <w:pPr>
        <w:sectPr>
          <w:pgSz w:w="11900" w:h="16838" w:orient="portrait"/>
          <w:cols w:equalWidth="0" w:num="1">
            <w:col w:w="11240"/>
          </w:cols>
          <w:pgMar w:left="320" w:top="341" w:right="339" w:bottom="1440" w:gutter="0" w:footer="0" w:header="0"/>
        </w:sect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 (including cash of $1,557)</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Intangible - finite life</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assets acquired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income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3346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2,711</w:t>
      </w:r>
    </w:p>
    <w:p>
      <w:pPr>
        <w:spacing w:after="0" w:line="36"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188</w:t>
      </w:r>
    </w:p>
    <w:p>
      <w:pPr>
        <w:spacing w:after="0" w:line="36"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7,344</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3,158</w:t>
      </w:r>
    </w:p>
    <w:p>
      <w:pPr>
        <w:spacing w:after="0" w:line="5"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13,401</w:t>
      </w:r>
      <w:r>
        <w:rPr>
          <w:sz w:val="1"/>
          <w:szCs w:val="1"/>
          <w:color w:val="auto"/>
        </w:rPr>
        <w:drawing>
          <wp:inline distT="0" distB="0" distL="0" distR="0">
            <wp:extent cx="85725" cy="16256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162560"/>
                    </a:xfrm>
                    <a:prstGeom prst="rect">
                      <a:avLst/>
                    </a:prstGeom>
                    <a:noFill/>
                    <a:ln>
                      <a:noFill/>
                    </a:ln>
                  </pic:spPr>
                </pic:pic>
              </a:graphicData>
            </a:graphic>
          </wp:inline>
        </w:drawing>
      </w:r>
    </w:p>
    <w:p>
      <w:pPr>
        <w:ind w:left="1400"/>
        <w:spacing w:after="0"/>
        <w:rPr>
          <w:sz w:val="20"/>
          <w:szCs w:val="20"/>
          <w:color w:val="auto"/>
        </w:rPr>
      </w:pPr>
      <w:r>
        <w:rPr>
          <w:rFonts w:ascii="Arial" w:cs="Arial" w:eastAsia="Arial" w:hAnsi="Arial"/>
          <w:sz w:val="17"/>
          <w:szCs w:val="17"/>
          <w:color w:val="auto"/>
        </w:rPr>
        <w:t>(1,127 )</w:t>
      </w:r>
    </w:p>
    <w:p>
      <w:pPr>
        <w:spacing w:after="0" w:line="4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(824 )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23495</wp:posOffset>
            </wp:positionV>
            <wp:extent cx="12090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3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11,450</w:t>
      </w:r>
    </w:p>
    <w:p>
      <w:pPr>
        <w:spacing w:after="0" w:line="240" w:lineRule="exact"/>
        <w:rPr>
          <w:sz w:val="20"/>
          <w:szCs w:val="20"/>
          <w:color w:val="auto"/>
        </w:rPr>
      </w:pPr>
    </w:p>
    <w:p>
      <w:pPr>
        <w:sectPr>
          <w:pgSz w:w="11900" w:h="16838" w:orient="portrait"/>
          <w:cols w:equalWidth="0" w:num="2">
            <w:col w:w="8500" w:space="720"/>
            <w:col w:w="2020"/>
          </w:cols>
          <w:pgMar w:left="320" w:top="341" w:right="339" w:bottom="1440" w:gutter="0" w:footer="0" w:header="0"/>
          <w:type w:val="continuous"/>
        </w:sectPr>
      </w:pPr>
    </w:p>
    <w:p>
      <w:pPr>
        <w:spacing w:after="0" w:line="66" w:lineRule="exact"/>
        <w:rPr>
          <w:sz w:val="20"/>
          <w:szCs w:val="20"/>
          <w:color w:val="auto"/>
        </w:rPr>
      </w:pPr>
    </w:p>
    <w:p>
      <w:pPr>
        <w:ind w:left="520" w:right="480"/>
        <w:spacing w:after="0" w:line="277" w:lineRule="auto"/>
        <w:rPr>
          <w:sz w:val="20"/>
          <w:szCs w:val="20"/>
          <w:color w:val="auto"/>
        </w:rPr>
      </w:pPr>
      <w:r>
        <w:rPr>
          <w:rFonts w:ascii="Arial" w:cs="Arial" w:eastAsia="Arial" w:hAnsi="Arial"/>
          <w:sz w:val="18"/>
          <w:szCs w:val="18"/>
          <w:color w:val="auto"/>
        </w:rPr>
        <w:t>The Company acquired customer lists and tradename intangible assets valued at $2.8 million and $0.4 million, respectively. These assets were determined to have useful lives of 10 years.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DS21 Co., Ltd.</w:t>
      </w:r>
    </w:p>
    <w:p>
      <w:pPr>
        <w:spacing w:after="0" w:line="225" w:lineRule="exact"/>
        <w:rPr>
          <w:sz w:val="20"/>
          <w:szCs w:val="20"/>
          <w:color w:val="auto"/>
        </w:rPr>
      </w:pPr>
    </w:p>
    <w:p>
      <w:pPr>
        <w:ind w:left="520" w:right="120"/>
        <w:spacing w:after="0" w:line="263" w:lineRule="auto"/>
        <w:rPr>
          <w:sz w:val="20"/>
          <w:szCs w:val="20"/>
          <w:color w:val="auto"/>
        </w:rPr>
      </w:pPr>
      <w:r>
        <w:rPr>
          <w:rFonts w:ascii="Arial" w:cs="Arial" w:eastAsia="Arial" w:hAnsi="Arial"/>
          <w:sz w:val="18"/>
          <w:szCs w:val="18"/>
          <w:color w:val="auto"/>
        </w:rPr>
        <w:t>On September 19, 2022, the Company acquired 100% of the equity interests of DS21 Co., Ltd. ("DS21") for $9.2 million, including $8.9 million in cash, which was financed with a draw on the Company’s revolving credit facility, and deferred cash consideration of $0.3 million payable in one year.</w:t>
      </w:r>
    </w:p>
    <w:p>
      <w:pPr>
        <w:spacing w:after="0" w:line="184" w:lineRule="exact"/>
        <w:rPr>
          <w:sz w:val="20"/>
          <w:szCs w:val="20"/>
          <w:color w:val="auto"/>
        </w:rPr>
      </w:pPr>
    </w:p>
    <w:p>
      <w:pPr>
        <w:ind w:left="520" w:right="140"/>
        <w:spacing w:after="0" w:line="259" w:lineRule="auto"/>
        <w:rPr>
          <w:sz w:val="20"/>
          <w:szCs w:val="20"/>
          <w:color w:val="auto"/>
        </w:rPr>
      </w:pPr>
      <w:r>
        <w:rPr>
          <w:rFonts w:ascii="Arial" w:cs="Arial" w:eastAsia="Arial" w:hAnsi="Arial"/>
          <w:sz w:val="18"/>
          <w:szCs w:val="18"/>
          <w:color w:val="auto"/>
        </w:rPr>
        <w:t>DS21 is a South Korean-based design and manufacturing firm specializing in innovative water and wastewater treatment solutions. The addition of DS21 advances the Company's leadership position in niche oily water and produced water treatment, demineralization water treatment and ultra-pure water supply applications within the Company's Engineered Systems segment. The following table summarizes the fair values of the assets acquired and liabilities assumed at the date of closing.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7"/>
        </w:trPr>
        <w:tc>
          <w:tcPr>
            <w:tcW w:w="9100" w:type="dxa"/>
            <w:vAlign w:val="bottom"/>
          </w:tcPr>
          <w:p>
            <w:pPr>
              <w:ind w:left="20"/>
              <w:spacing w:after="0"/>
              <w:rPr>
                <w:sz w:val="20"/>
                <w:szCs w:val="20"/>
                <w:color w:val="auto"/>
              </w:rPr>
            </w:pPr>
            <w:r>
              <w:rPr>
                <w:rFonts w:ascii="Arial" w:cs="Arial" w:eastAsia="Arial" w:hAnsi="Arial"/>
                <w:sz w:val="18"/>
                <w:szCs w:val="18"/>
                <w:color w:val="auto"/>
              </w:rPr>
              <w:t>Current assets (including cash of $1,453)</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5,099</w:t>
            </w:r>
          </w:p>
        </w:tc>
        <w:tc>
          <w:tcPr>
            <w:tcW w:w="140" w:type="dxa"/>
            <w:vAlign w:val="bottom"/>
          </w:tcPr>
          <w:p>
            <w:pPr>
              <w:spacing w:after="0"/>
              <w:rPr>
                <w:sz w:val="20"/>
                <w:szCs w:val="20"/>
                <w:color w:val="auto"/>
              </w:rPr>
            </w:pPr>
          </w:p>
        </w:tc>
      </w:tr>
      <w:tr>
        <w:trPr>
          <w:trHeight w:val="250"/>
        </w:trPr>
        <w:tc>
          <w:tcPr>
            <w:tcW w:w="9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8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w:t>
            </w:r>
          </w:p>
        </w:tc>
        <w:tc>
          <w:tcPr>
            <w:tcW w:w="140" w:type="dxa"/>
            <w:vAlign w:val="bottom"/>
            <w:shd w:val="clear" w:color="auto" w:fill="CFF0FC"/>
          </w:tcPr>
          <w:p>
            <w:pPr>
              <w:spacing w:after="0"/>
              <w:rPr>
                <w:sz w:val="21"/>
                <w:szCs w:val="21"/>
                <w:color w:val="auto"/>
              </w:rPr>
            </w:pPr>
          </w:p>
        </w:tc>
      </w:tr>
      <w:tr>
        <w:trPr>
          <w:trHeight w:val="237"/>
        </w:trPr>
        <w:tc>
          <w:tcPr>
            <w:tcW w:w="9100" w:type="dxa"/>
            <w:vAlign w:val="bottom"/>
          </w:tcPr>
          <w:p>
            <w:pPr>
              <w:ind w:left="20"/>
              <w:spacing w:after="0"/>
              <w:rPr>
                <w:sz w:val="20"/>
                <w:szCs w:val="20"/>
                <w:color w:val="auto"/>
              </w:rPr>
            </w:pPr>
            <w:r>
              <w:rPr>
                <w:rFonts w:ascii="Arial" w:cs="Arial" w:eastAsia="Arial" w:hAnsi="Arial"/>
                <w:sz w:val="18"/>
                <w:szCs w:val="18"/>
                <w:color w:val="auto"/>
              </w:rPr>
              <w:t>Intangible - finite life</w:t>
            </w:r>
          </w:p>
        </w:tc>
        <w:tc>
          <w:tcPr>
            <w:tcW w:w="8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422</w:t>
            </w:r>
          </w:p>
        </w:tc>
        <w:tc>
          <w:tcPr>
            <w:tcW w:w="140" w:type="dxa"/>
            <w:vAlign w:val="bottom"/>
          </w:tcPr>
          <w:p>
            <w:pPr>
              <w:spacing w:after="0"/>
              <w:rPr>
                <w:sz w:val="20"/>
                <w:szCs w:val="20"/>
                <w:color w:val="auto"/>
              </w:rPr>
            </w:pPr>
          </w:p>
        </w:tc>
      </w:tr>
      <w:tr>
        <w:trPr>
          <w:trHeight w:val="249"/>
        </w:trPr>
        <w:tc>
          <w:tcPr>
            <w:tcW w:w="9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income taxes</w:t>
            </w:r>
          </w:p>
        </w:tc>
        <w:tc>
          <w:tcPr>
            <w:tcW w:w="8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40" w:type="dxa"/>
            <w:vAlign w:val="bottom"/>
            <w:shd w:val="clear" w:color="auto" w:fill="CFF0FC"/>
          </w:tcPr>
          <w:p>
            <w:pPr>
              <w:spacing w:after="0"/>
              <w:rPr>
                <w:sz w:val="21"/>
                <w:szCs w:val="21"/>
                <w:color w:val="auto"/>
              </w:rPr>
            </w:pPr>
          </w:p>
        </w:tc>
      </w:tr>
      <w:tr>
        <w:trPr>
          <w:trHeight w:val="243"/>
        </w:trPr>
        <w:tc>
          <w:tcPr>
            <w:tcW w:w="91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8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21"/>
                <w:szCs w:val="21"/>
                <w:color w:val="auto"/>
              </w:rPr>
            </w:pPr>
          </w:p>
        </w:tc>
      </w:tr>
      <w:tr>
        <w:trPr>
          <w:trHeight w:val="237"/>
        </w:trPr>
        <w:tc>
          <w:tcPr>
            <w:tcW w:w="9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assets acquired</w:t>
            </w:r>
          </w:p>
        </w:tc>
        <w:tc>
          <w:tcPr>
            <w:tcW w:w="8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10,359</w:t>
            </w:r>
          </w:p>
        </w:tc>
        <w:tc>
          <w:tcPr>
            <w:tcW w:w="140" w:type="dxa"/>
            <w:vAlign w:val="bottom"/>
            <w:shd w:val="clear" w:color="auto" w:fill="CFF0FC"/>
          </w:tcPr>
          <w:p>
            <w:pPr>
              <w:spacing w:after="0"/>
              <w:rPr>
                <w:sz w:val="20"/>
                <w:szCs w:val="20"/>
                <w:color w:val="auto"/>
              </w:rPr>
            </w:pPr>
          </w:p>
        </w:tc>
      </w:tr>
      <w:tr>
        <w:trPr>
          <w:trHeight w:val="237"/>
        </w:trPr>
        <w:tc>
          <w:tcPr>
            <w:tcW w:w="9100" w:type="dxa"/>
            <w:vAlign w:val="bottom"/>
          </w:tcPr>
          <w:p>
            <w:pPr>
              <w:ind w:left="20"/>
              <w:spacing w:after="0"/>
              <w:rPr>
                <w:sz w:val="20"/>
                <w:szCs w:val="20"/>
                <w:color w:val="auto"/>
              </w:rPr>
            </w:pPr>
            <w:r>
              <w:rPr>
                <w:rFonts w:ascii="Arial" w:cs="Arial" w:eastAsia="Arial" w:hAnsi="Arial"/>
                <w:sz w:val="18"/>
                <w:szCs w:val="18"/>
                <w:color w:val="auto"/>
              </w:rPr>
              <w:t>Current liabilities assumed</w:t>
            </w:r>
          </w:p>
        </w:tc>
        <w:tc>
          <w:tcPr>
            <w:tcW w:w="80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(1,008 )</w:t>
            </w:r>
          </w:p>
        </w:tc>
      </w:tr>
      <w:tr>
        <w:trPr>
          <w:trHeight w:val="249"/>
        </w:trPr>
        <w:tc>
          <w:tcPr>
            <w:tcW w:w="9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8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(113 )</w:t>
            </w:r>
          </w:p>
        </w:tc>
      </w:tr>
      <w:tr>
        <w:trPr>
          <w:trHeight w:val="237"/>
        </w:trPr>
        <w:tc>
          <w:tcPr>
            <w:tcW w:w="910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Net assets acquired</w:t>
            </w: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9,238</w:t>
            </w:r>
          </w:p>
        </w:tc>
        <w:tc>
          <w:tcPr>
            <w:tcW w:w="140" w:type="dxa"/>
            <w:vAlign w:val="bottom"/>
            <w:tcBorders>
              <w:top w:val="single" w:sz="8" w:color="CFF0FC"/>
            </w:tcBorders>
          </w:tcPr>
          <w:p>
            <w:pPr>
              <w:spacing w:after="0"/>
              <w:rPr>
                <w:sz w:val="20"/>
                <w:szCs w:val="20"/>
                <w:color w:val="auto"/>
              </w:rPr>
            </w:pPr>
          </w:p>
        </w:tc>
      </w:tr>
      <w:tr>
        <w:trPr>
          <w:trHeight w:val="20"/>
        </w:trPr>
        <w:tc>
          <w:tcPr>
            <w:tcW w:w="9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3429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342900"/>
                    </a:xfrm>
                    <a:prstGeom prst="rect">
                      <a:avLst/>
                    </a:prstGeom>
                    <a:noFill/>
                  </pic:spPr>
                </pic:pic>
              </a:graphicData>
            </a:graphic>
          </wp:anchor>
        </w:drawing>
      </w:r>
    </w:p>
    <w:p>
      <w:pPr>
        <w:spacing w:after="0" w:line="209" w:lineRule="exact"/>
        <w:rPr>
          <w:sz w:val="20"/>
          <w:szCs w:val="20"/>
          <w:color w:val="auto"/>
        </w:rPr>
      </w:pPr>
    </w:p>
    <w:p>
      <w:pPr>
        <w:ind w:left="520" w:right="480"/>
        <w:spacing w:after="0" w:line="277" w:lineRule="auto"/>
        <w:rPr>
          <w:sz w:val="20"/>
          <w:szCs w:val="20"/>
          <w:color w:val="auto"/>
        </w:rPr>
      </w:pPr>
      <w:r>
        <w:rPr>
          <w:rFonts w:ascii="Arial" w:cs="Arial" w:eastAsia="Arial" w:hAnsi="Arial"/>
          <w:sz w:val="18"/>
          <w:szCs w:val="18"/>
          <w:color w:val="auto"/>
        </w:rPr>
        <w:t>The Company acquired customer lists and tradename intangible assets valued at $0.1 million and $0.3 million, respectively. These assets were determined to have useful lives of 10 years.</w:t>
      </w:r>
    </w:p>
    <w:p>
      <w:pPr>
        <w:spacing w:after="0" w:line="170" w:lineRule="exact"/>
        <w:rPr>
          <w:sz w:val="20"/>
          <w:szCs w:val="20"/>
          <w:color w:val="auto"/>
        </w:rPr>
      </w:pPr>
    </w:p>
    <w:p>
      <w:pPr>
        <w:ind w:left="520" w:right="100"/>
        <w:spacing w:after="0" w:line="255" w:lineRule="auto"/>
        <w:rPr>
          <w:sz w:val="20"/>
          <w:szCs w:val="20"/>
          <w:color w:val="auto"/>
        </w:rPr>
      </w:pPr>
      <w:r>
        <w:rPr>
          <w:rFonts w:ascii="Arial" w:cs="Arial" w:eastAsia="Arial" w:hAnsi="Arial"/>
          <w:sz w:val="18"/>
          <w:szCs w:val="18"/>
          <w:color w:val="auto"/>
        </w:rPr>
        <w:t>The Company has finalized the valuation of assets acquired and liabilities assumed related to the acquisitions of GRC, Compass, and Western Air Ducts. The approximate fair values of the assets acquired and liabilities assumed related to the remaining acquisitions are based on preliminary estimates and assumptions. These preliminary estimates and assumptions could change significantly during the purchase price measurement period as the Company finalizes the valuation of assets acquired and liabilities assumed. These changes could result in material variances between the Company's future financial results, including variances in the estimated purchase price, fair values recorded and expenses associated with these items.</w:t>
      </w:r>
    </w:p>
    <w:p>
      <w:pPr>
        <w:spacing w:after="0" w:line="192" w:lineRule="exact"/>
        <w:rPr>
          <w:sz w:val="20"/>
          <w:szCs w:val="20"/>
          <w:color w:val="auto"/>
        </w:rPr>
      </w:pPr>
    </w:p>
    <w:p>
      <w:pPr>
        <w:ind w:left="520" w:right="120"/>
        <w:spacing w:after="0" w:line="263" w:lineRule="auto"/>
        <w:rPr>
          <w:sz w:val="20"/>
          <w:szCs w:val="20"/>
          <w:color w:val="auto"/>
        </w:rPr>
      </w:pPr>
      <w:r>
        <w:rPr>
          <w:rFonts w:ascii="Arial" w:cs="Arial" w:eastAsia="Arial" w:hAnsi="Arial"/>
          <w:sz w:val="18"/>
          <w:szCs w:val="18"/>
          <w:color w:val="auto"/>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this acquisition is not deductible for tax purposes.</w:t>
      </w:r>
    </w:p>
    <w:p>
      <w:pPr>
        <w:spacing w:after="0" w:line="184" w:lineRule="exact"/>
        <w:rPr>
          <w:sz w:val="20"/>
          <w:szCs w:val="20"/>
          <w:color w:val="auto"/>
        </w:rPr>
      </w:pPr>
    </w:p>
    <w:p>
      <w:pPr>
        <w:ind w:left="520" w:right="500"/>
        <w:spacing w:after="0" w:line="277" w:lineRule="auto"/>
        <w:rPr>
          <w:sz w:val="20"/>
          <w:szCs w:val="20"/>
          <w:color w:val="auto"/>
        </w:rPr>
      </w:pPr>
      <w:r>
        <w:rPr>
          <w:rFonts w:ascii="Arial" w:cs="Arial" w:eastAsia="Arial" w:hAnsi="Arial"/>
          <w:sz w:val="18"/>
          <w:szCs w:val="18"/>
          <w:color w:val="auto"/>
        </w:rPr>
        <w:t>Acquisition and integration expenses on the Condensed Consolidated Statements of Income are related to acquisition activities, which include retention, legal, accounting, banking, and other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7" w:name="page18"/>
    <w:bookmarkEnd w:id="17"/>
    <w:p>
      <w:pPr>
        <w:ind w:left="520" w:right="120"/>
        <w:spacing w:after="0" w:line="277" w:lineRule="auto"/>
        <w:rPr>
          <w:sz w:val="20"/>
          <w:szCs w:val="20"/>
          <w:color w:val="auto"/>
        </w:rPr>
      </w:pPr>
      <w:r>
        <w:rPr>
          <w:rFonts w:ascii="Arial" w:cs="Arial" w:eastAsia="Arial" w:hAnsi="Arial"/>
          <w:sz w:val="18"/>
          <w:szCs w:val="18"/>
          <w:color w:val="auto"/>
        </w:rPr>
        <w:t>The following unaudited pro forma financial information represents the Company’s results of operations as if these acquisitions had occurred at the beginning of the fiscal year prior to the acquisition: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w w:val="97"/>
              </w:rPr>
              <w:t>Three months ended June 30,</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w w:val="99"/>
              </w:rPr>
              <w:t>Six months ended June 30,</w:t>
            </w:r>
          </w:p>
        </w:tc>
        <w:tc>
          <w:tcPr>
            <w:tcW w:w="140" w:type="dxa"/>
            <w:vAlign w:val="bottom"/>
          </w:tcPr>
          <w:p>
            <w:pPr>
              <w:spacing w:after="0"/>
              <w:rPr>
                <w:sz w:val="16"/>
                <w:szCs w:val="16"/>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9"/>
                <w:szCs w:val="19"/>
                <w:color w:val="auto"/>
              </w:rPr>
            </w:pPr>
          </w:p>
        </w:tc>
      </w:tr>
      <w:tr>
        <w:trPr>
          <w:trHeight w:val="23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129,181</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113,063</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245,297</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216,077</w:t>
            </w:r>
          </w:p>
        </w:tc>
        <w:tc>
          <w:tcPr>
            <w:tcW w:w="140" w:type="dxa"/>
            <w:vAlign w:val="bottom"/>
            <w:shd w:val="clear" w:color="auto" w:fill="CFF0FC"/>
          </w:tcPr>
          <w:p>
            <w:pPr>
              <w:spacing w:after="0"/>
              <w:rPr>
                <w:sz w:val="20"/>
                <w:szCs w:val="20"/>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Net income attributable to CECO Environmental Corp.</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3,724</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4,271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5,462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6,853</w:t>
            </w:r>
          </w:p>
        </w:tc>
        <w:tc>
          <w:tcPr>
            <w:tcW w:w="140" w:type="dxa"/>
            <w:vAlign w:val="bottom"/>
          </w:tcPr>
          <w:p>
            <w:pPr>
              <w:spacing w:after="0"/>
              <w:rPr>
                <w:sz w:val="20"/>
                <w:szCs w:val="20"/>
                <w:color w:val="auto"/>
              </w:rPr>
            </w:pPr>
          </w:p>
        </w:tc>
      </w:tr>
      <w:tr>
        <w:trPr>
          <w:trHeight w:val="249"/>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per share:</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5740" w:type="dxa"/>
            <w:vAlign w:val="bottom"/>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0.11</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0.12</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0.20</w:t>
            </w:r>
          </w:p>
        </w:tc>
        <w:tc>
          <w:tcPr>
            <w:tcW w:w="140" w:type="dxa"/>
            <w:vAlign w:val="bottom"/>
          </w:tcPr>
          <w:p>
            <w:pPr>
              <w:spacing w:after="0"/>
              <w:rPr>
                <w:sz w:val="20"/>
                <w:szCs w:val="20"/>
                <w:color w:val="auto"/>
              </w:rPr>
            </w:pPr>
          </w:p>
        </w:tc>
      </w:tr>
      <w:tr>
        <w:trPr>
          <w:trHeight w:val="249"/>
        </w:trPr>
        <w:tc>
          <w:tcPr>
            <w:tcW w:w="5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5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4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left="520" w:right="20"/>
        <w:spacing w:after="0" w:line="279" w:lineRule="auto"/>
        <w:rPr>
          <w:sz w:val="20"/>
          <w:szCs w:val="20"/>
          <w:color w:val="auto"/>
        </w:rPr>
      </w:pPr>
      <w:r>
        <w:rPr>
          <w:rFonts w:ascii="Arial" w:cs="Arial" w:eastAsia="Arial" w:hAnsi="Arial"/>
          <w:sz w:val="17"/>
          <w:szCs w:val="17"/>
          <w:color w:val="auto"/>
        </w:rPr>
        <w:t>The pro forma results have been prepared for informational purposes only and include adjustments to amortize acquired intangible assets with finite life, reflect additional interest expense on debt used to fund the acquisition, and to record the income tax consequences of the pro forma adjustments. These pro forma results do not purport to be indicative of the results of operations that would have occurred had the purchase been made as of the beginning of the periods presented or of the results of operations that may occur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Business Segment Information</w:t>
      </w:r>
    </w:p>
    <w:p>
      <w:pPr>
        <w:spacing w:after="0" w:line="229" w:lineRule="exact"/>
        <w:rPr>
          <w:sz w:val="20"/>
          <w:szCs w:val="20"/>
          <w:color w:val="auto"/>
        </w:rPr>
      </w:pPr>
    </w:p>
    <w:p>
      <w:pPr>
        <w:ind w:left="520" w:right="520"/>
        <w:spacing w:after="0" w:line="263" w:lineRule="auto"/>
        <w:rPr>
          <w:sz w:val="20"/>
          <w:szCs w:val="20"/>
          <w:color w:val="auto"/>
        </w:rPr>
      </w:pPr>
      <w:r>
        <w:rPr>
          <w:rFonts w:ascii="Arial" w:cs="Arial" w:eastAsia="Arial" w:hAnsi="Arial"/>
          <w:sz w:val="18"/>
          <w:szCs w:val="18"/>
          <w:color w:val="auto"/>
        </w:rPr>
        <w:t>The Company’s operations are organized and reviewed by management along with its solutions or end markets that the segment serves and presented in two reportable segments. The results of the segments are reviewed through the “Income from operations” line on the Condensed Consolidated Statements of Income</w:t>
      </w:r>
      <w:r>
        <w:rPr>
          <w:rFonts w:ascii="Arial" w:cs="Arial" w:eastAsia="Arial" w:hAnsi="Arial"/>
          <w:sz w:val="21"/>
          <w:szCs w:val="21"/>
          <w:color w:val="auto"/>
        </w:rPr>
        <w:t>.</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reportable segments are organized as groups of similar products and services, as described as follows:</w:t>
      </w:r>
    </w:p>
    <w:p>
      <w:pPr>
        <w:spacing w:after="0" w:line="225"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u w:val="single" w:color="auto"/>
          <w:color w:val="auto"/>
        </w:rPr>
        <w:t>Engineered Systems segment:</w:t>
      </w:r>
      <w:r>
        <w:rPr>
          <w:rFonts w:ascii="Arial" w:cs="Arial" w:eastAsia="Arial" w:hAnsi="Arial"/>
          <w:sz w:val="18"/>
          <w:szCs w:val="18"/>
          <w:color w:val="auto"/>
        </w:rPr>
        <w:t xml:space="preserve"> The Engineered Systems segment serves the power generation, hydrocarbon processing, water/wastewater treatment, oily water separation and treatment, marine and naval vessels, and midstream oil &amp; gas sectors. The Company addresses the global demand for environmental and equipment protection solutions with its highly engineered platforms including emissions management, fluid bed cyclones, thermal acoustics, separation &amp; filtration, and dampers &amp; expansion joints.</w:t>
      </w:r>
    </w:p>
    <w:p>
      <w:pPr>
        <w:spacing w:after="0" w:line="187" w:lineRule="exact"/>
        <w:rPr>
          <w:sz w:val="20"/>
          <w:szCs w:val="20"/>
          <w:color w:val="auto"/>
        </w:rPr>
      </w:pPr>
    </w:p>
    <w:p>
      <w:pPr>
        <w:ind w:left="520" w:right="100"/>
        <w:spacing w:after="0" w:line="293" w:lineRule="auto"/>
        <w:rPr>
          <w:sz w:val="20"/>
          <w:szCs w:val="20"/>
          <w:color w:val="auto"/>
        </w:rPr>
      </w:pPr>
      <w:r>
        <w:rPr>
          <w:rFonts w:ascii="Arial" w:cs="Arial" w:eastAsia="Arial" w:hAnsi="Arial"/>
          <w:sz w:val="16"/>
          <w:szCs w:val="16"/>
          <w:u w:val="single" w:color="auto"/>
          <w:color w:val="auto"/>
        </w:rPr>
        <w:t>Industrial Process Solutions segment:</w:t>
      </w:r>
      <w:r>
        <w:rPr>
          <w:rFonts w:ascii="Arial" w:cs="Arial" w:eastAsia="Arial" w:hAnsi="Arial"/>
          <w:sz w:val="16"/>
          <w:szCs w:val="16"/>
          <w:color w:val="auto"/>
        </w:rPr>
        <w:t xml:space="preserve"> The Industrial Process Solutions segment serves the broad industrial sector with solutions for air pollution 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For Industrial Air applications, the Company assists companies in maintaining clean and safe operations for employees, reducing energy consumption, minimizing waste for customers, and meeting regulatory standards for toxic emissions, fumes, volatile organic compounds and odor elimination through its platforms including duct fabrication &amp; installation, industrial air, and fluid handling.</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segment information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6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6"/>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sales (less intra-, inter-segment sales)</w:t>
            </w: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Engineered Systems segment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87,522</w:t>
            </w:r>
          </w:p>
        </w:tc>
        <w:tc>
          <w:tcPr>
            <w:tcW w:w="2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67,333</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161,977</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124,308</w:t>
            </w:r>
          </w:p>
        </w:tc>
        <w:tc>
          <w:tcPr>
            <w:tcW w:w="140" w:type="dxa"/>
            <w:vAlign w:val="bottom"/>
          </w:tcPr>
          <w:p>
            <w:pPr>
              <w:spacing w:after="0"/>
              <w:rPr>
                <w:sz w:val="20"/>
                <w:szCs w:val="20"/>
                <w:color w:val="auto"/>
              </w:rPr>
            </w:pPr>
          </w:p>
        </w:tc>
      </w:tr>
      <w:tr>
        <w:trPr>
          <w:trHeight w:val="249"/>
        </w:trPr>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41,659</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38,042</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79,767</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73,503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5200" w:type="dxa"/>
            <w:vAlign w:val="bottom"/>
          </w:tcPr>
          <w:p>
            <w:pPr>
              <w:ind w:left="20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129,181</w:t>
            </w:r>
          </w:p>
        </w:tc>
        <w:tc>
          <w:tcPr>
            <w:tcW w:w="28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105,375</w:t>
            </w:r>
          </w:p>
        </w:tc>
        <w:tc>
          <w:tcPr>
            <w:tcW w:w="28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241,744</w:t>
            </w:r>
          </w:p>
        </w:tc>
        <w:tc>
          <w:tcPr>
            <w:tcW w:w="28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197,811</w:t>
            </w:r>
          </w:p>
        </w:tc>
        <w:tc>
          <w:tcPr>
            <w:tcW w:w="140" w:type="dxa"/>
            <w:vAlign w:val="bottom"/>
          </w:tcPr>
          <w:p>
            <w:pPr>
              <w:spacing w:after="0"/>
              <w:rPr>
                <w:sz w:val="20"/>
                <w:szCs w:val="20"/>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15"/>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24"/>
                <w:szCs w:val="24"/>
                <w:color w:val="auto"/>
              </w:rPr>
            </w:pPr>
          </w:p>
        </w:tc>
        <w:tc>
          <w:tcPr>
            <w:tcW w:w="26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6"/>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Engineered Systems segment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14,089</w:t>
            </w:r>
          </w:p>
        </w:tc>
        <w:tc>
          <w:tcPr>
            <w:tcW w:w="2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9,006</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23,894</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15,476</w:t>
            </w:r>
          </w:p>
        </w:tc>
        <w:tc>
          <w:tcPr>
            <w:tcW w:w="140" w:type="dxa"/>
            <w:vAlign w:val="bottom"/>
          </w:tcPr>
          <w:p>
            <w:pPr>
              <w:spacing w:after="0"/>
              <w:rPr>
                <w:sz w:val="20"/>
                <w:szCs w:val="20"/>
                <w:color w:val="auto"/>
              </w:rPr>
            </w:pPr>
          </w:p>
        </w:tc>
      </w:tr>
      <w:tr>
        <w:trPr>
          <w:trHeight w:val="249"/>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4,586</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5,482</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10,131</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9,621</w:t>
            </w:r>
          </w:p>
        </w:tc>
        <w:tc>
          <w:tcPr>
            <w:tcW w:w="140" w:type="dxa"/>
            <w:vAlign w:val="bottom"/>
            <w:shd w:val="clear" w:color="auto" w:fill="CFF0FC"/>
          </w:tcPr>
          <w:p>
            <w:pPr>
              <w:spacing w:after="0"/>
              <w:rPr>
                <w:sz w:val="21"/>
                <w:szCs w:val="21"/>
                <w:color w:val="auto"/>
              </w:rPr>
            </w:pPr>
          </w:p>
        </w:tc>
      </w:tr>
      <w:tr>
        <w:trPr>
          <w:trHeight w:val="243"/>
        </w:trPr>
        <w:tc>
          <w:tcPr>
            <w:tcW w:w="5200" w:type="dxa"/>
            <w:vAlign w:val="bottom"/>
          </w:tcPr>
          <w:p>
            <w:pPr>
              <w:ind w:left="20"/>
              <w:spacing w:after="0" w:line="243" w:lineRule="exact"/>
              <w:rPr>
                <w:sz w:val="20"/>
                <w:szCs w:val="20"/>
                <w:color w:val="auto"/>
              </w:rPr>
            </w:pPr>
            <w:r>
              <w:rPr>
                <w:rFonts w:ascii="Arial" w:cs="Arial" w:eastAsia="Arial" w:hAnsi="Arial"/>
                <w:sz w:val="18"/>
                <w:szCs w:val="18"/>
                <w:color w:val="auto"/>
              </w:rPr>
              <w:t>Corporate and Other</w:t>
            </w:r>
            <w:r>
              <w:rPr>
                <w:rFonts w:ascii="Arial" w:cs="Arial" w:eastAsia="Arial" w:hAnsi="Arial"/>
                <w:sz w:val="24"/>
                <w:szCs w:val="24"/>
                <w:color w:val="auto"/>
                <w:vertAlign w:val="superscript"/>
              </w:rPr>
              <w:t>(1)</w:t>
            </w:r>
          </w:p>
        </w:tc>
        <w:tc>
          <w:tcPr>
            <w:tcW w:w="3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(10,072 )</w:t>
            </w:r>
          </w:p>
        </w:tc>
        <w:tc>
          <w:tcPr>
            <w:tcW w:w="3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(8,742 )</w:t>
            </w:r>
          </w:p>
        </w:tc>
        <w:tc>
          <w:tcPr>
            <w:tcW w:w="2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(19,961 )</w:t>
            </w:r>
          </w:p>
        </w:tc>
        <w:tc>
          <w:tcPr>
            <w:tcW w:w="3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(14,147 )</w:t>
            </w:r>
          </w:p>
        </w:tc>
      </w:tr>
      <w:tr>
        <w:trPr>
          <w:trHeight w:val="276"/>
        </w:trPr>
        <w:tc>
          <w:tcPr>
            <w:tcW w:w="5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income from operations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8,603</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5,746</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14,064</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10,950</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-1525270</wp:posOffset>
            </wp:positionV>
            <wp:extent cx="85725"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-1525270</wp:posOffset>
            </wp:positionV>
            <wp:extent cx="85725"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-1525270</wp:posOffset>
            </wp:positionV>
            <wp:extent cx="85725"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-1525270</wp:posOffset>
            </wp:positionV>
            <wp:extent cx="85725"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-24765</wp:posOffset>
            </wp:positionV>
            <wp:extent cx="857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85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857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857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 w:lineRule="exact"/>
        <w:rPr>
          <w:sz w:val="20"/>
          <w:szCs w:val="20"/>
          <w:color w:val="auto"/>
        </w:rPr>
      </w:pPr>
    </w:p>
    <w:p>
      <w:pPr>
        <w:ind w:left="760" w:hanging="752"/>
        <w:spacing w:after="0"/>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corporate compensation, professional services, information technology, and other general and administrative corporate expenses.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tbl>
      <w:tblPr>
        <w:tblLayout w:type="fixed"/>
        <w:tblInd w:w="2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28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1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12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12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p>
      <w:pPr>
        <w:ind w:left="20" w:right="1800"/>
        <w:spacing w:after="0" w:line="334" w:lineRule="auto"/>
        <w:rPr>
          <w:sz w:val="20"/>
          <w:szCs w:val="20"/>
          <w:color w:val="auto"/>
        </w:rPr>
      </w:pPr>
      <w:r>
        <w:rPr>
          <w:rFonts w:ascii="Arial" w:cs="Arial" w:eastAsia="Arial" w:hAnsi="Arial"/>
          <w:sz w:val="16"/>
          <w:szCs w:val="16"/>
          <w:b w:val="1"/>
          <w:bCs w:val="1"/>
          <w:color w:val="auto"/>
        </w:rPr>
        <w:t xml:space="preserve">Property and equipment additions </w:t>
      </w:r>
      <w:r>
        <w:rPr>
          <w:rFonts w:ascii="Arial" w:cs="Arial" w:eastAsia="Arial" w:hAnsi="Arial"/>
          <w:sz w:val="16"/>
          <w:szCs w:val="16"/>
          <w:color w:val="auto"/>
        </w:rPr>
        <w:t>Engineered Systems segment Industrial Process Solutions segment Corporate and Other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property and equipment additions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444</w:t>
            </w:r>
          </w:p>
        </w:tc>
        <w:tc>
          <w:tcPr>
            <w:tcW w:w="116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688</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340</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1,711</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50"/>
        </w:trPr>
        <w:tc>
          <w:tcPr>
            <w:tcW w:w="8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1,406</w:t>
            </w:r>
          </w:p>
        </w:tc>
        <w:tc>
          <w:tcPr>
            <w:tcW w:w="28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r>
      <w:tr>
        <w:trPr>
          <w:trHeight w:val="237"/>
        </w:trPr>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2,162</w:t>
            </w:r>
          </w:p>
        </w:tc>
        <w:tc>
          <w:tcPr>
            <w:tcW w:w="280" w:type="dxa"/>
            <w:vAlign w:val="bottom"/>
          </w:tcPr>
          <w:p>
            <w:pPr>
              <w:spacing w:after="0"/>
              <w:rPr>
                <w:sz w:val="20"/>
                <w:szCs w:val="20"/>
                <w:color w:val="auto"/>
              </w:rPr>
            </w:pPr>
          </w:p>
        </w:tc>
        <w:tc>
          <w:tcPr>
            <w:tcW w:w="8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28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3,919</w:t>
            </w:r>
          </w:p>
        </w:tc>
        <w:tc>
          <w:tcPr>
            <w:tcW w:w="28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r>
      <w:tr>
        <w:trPr>
          <w:trHeight w:val="20"/>
        </w:trPr>
        <w:tc>
          <w:tcPr>
            <w:tcW w:w="12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621"/>
        </w:trPr>
        <w:tc>
          <w:tcPr>
            <w:tcW w:w="24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4"/>
                <w:szCs w:val="14"/>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-1019175</wp:posOffset>
            </wp:positionV>
            <wp:extent cx="713232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-702310</wp:posOffset>
            </wp:positionV>
            <wp:extent cx="7132320" cy="1797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480" w:space="720"/>
            <w:col w:w="6040"/>
          </w:cols>
          <w:pgMar w:left="320" w:top="373"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52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48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Engineered Systems segment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1,274</w:t>
            </w:r>
          </w:p>
        </w:tc>
        <w:tc>
          <w:tcPr>
            <w:tcW w:w="7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960</w:t>
            </w:r>
          </w:p>
        </w:tc>
        <w:tc>
          <w:tcPr>
            <w:tcW w:w="7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2,486</w:t>
            </w:r>
          </w:p>
        </w:tc>
        <w:tc>
          <w:tcPr>
            <w:tcW w:w="7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1,855</w:t>
            </w:r>
          </w:p>
        </w:tc>
        <w:tc>
          <w:tcPr>
            <w:tcW w:w="140" w:type="dxa"/>
            <w:vAlign w:val="bottom"/>
          </w:tcPr>
          <w:p>
            <w:pPr>
              <w:spacing w:after="0"/>
              <w:rPr>
                <w:sz w:val="20"/>
                <w:szCs w:val="20"/>
                <w:color w:val="auto"/>
              </w:rPr>
            </w:pPr>
          </w:p>
        </w:tc>
      </w:tr>
      <w:tr>
        <w:trPr>
          <w:trHeight w:val="249"/>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4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2,107</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2,059</w:t>
            </w:r>
          </w:p>
        </w:tc>
        <w:tc>
          <w:tcPr>
            <w:tcW w:w="140" w:type="dxa"/>
            <w:vAlign w:val="bottom"/>
            <w:shd w:val="clear" w:color="auto" w:fill="CFF0FC"/>
          </w:tcPr>
          <w:p>
            <w:pPr>
              <w:spacing w:after="0"/>
              <w:rPr>
                <w:sz w:val="21"/>
                <w:szCs w:val="2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2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40" w:type="dxa"/>
            <w:vAlign w:val="bottom"/>
          </w:tcPr>
          <w:p>
            <w:pPr>
              <w:spacing w:after="0"/>
              <w:rPr>
                <w:sz w:val="21"/>
                <w:szCs w:val="21"/>
                <w:color w:val="auto"/>
              </w:rPr>
            </w:pPr>
          </w:p>
        </w:tc>
      </w:tr>
      <w:tr>
        <w:trPr>
          <w:trHeight w:val="277"/>
        </w:trPr>
        <w:tc>
          <w:tcPr>
            <w:tcW w:w="5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depreciation and amortization</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2,765</w:t>
            </w:r>
          </w:p>
        </w:tc>
        <w:tc>
          <w:tcPr>
            <w:tcW w:w="2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2,379</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5,650</w:t>
            </w:r>
          </w:p>
        </w:tc>
        <w:tc>
          <w:tcPr>
            <w:tcW w:w="2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4,668</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-24765</wp:posOffset>
            </wp:positionV>
            <wp:extent cx="85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85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8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June 30, 2023</w:t>
            </w: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9"/>
              </w:rPr>
              <w:t>December 31, 2022</w:t>
            </w:r>
          </w:p>
        </w:tc>
        <w:tc>
          <w:tcPr>
            <w:tcW w:w="140" w:type="dxa"/>
            <w:vAlign w:val="bottom"/>
          </w:tcPr>
          <w:p>
            <w:pPr>
              <w:spacing w:after="0"/>
              <w:rPr>
                <w:sz w:val="16"/>
                <w:szCs w:val="16"/>
                <w:color w:val="auto"/>
              </w:rPr>
            </w:pPr>
          </w:p>
        </w:tc>
      </w:tr>
      <w:tr>
        <w:trPr>
          <w:trHeight w:val="237"/>
        </w:trPr>
        <w:tc>
          <w:tcPr>
            <w:tcW w:w="720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Identifiable assets</w:t>
            </w:r>
          </w:p>
        </w:tc>
        <w:tc>
          <w:tcPr>
            <w:tcW w:w="30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Engineered Systems segment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406,289</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332,820</w:t>
            </w:r>
          </w:p>
        </w:tc>
        <w:tc>
          <w:tcPr>
            <w:tcW w:w="140" w:type="dxa"/>
            <w:vAlign w:val="bottom"/>
          </w:tcPr>
          <w:p>
            <w:pPr>
              <w:spacing w:after="0"/>
              <w:rPr>
                <w:sz w:val="20"/>
                <w:szCs w:val="20"/>
                <w:color w:val="auto"/>
              </w:rPr>
            </w:pPr>
          </w:p>
        </w:tc>
      </w:tr>
      <w:tr>
        <w:trPr>
          <w:trHeight w:val="249"/>
        </w:trPr>
        <w:tc>
          <w:tcPr>
            <w:tcW w:w="72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3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154,610</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150,458</w:t>
            </w:r>
          </w:p>
        </w:tc>
        <w:tc>
          <w:tcPr>
            <w:tcW w:w="140" w:type="dxa"/>
            <w:vAlign w:val="bottom"/>
            <w:shd w:val="clear" w:color="auto" w:fill="CFF0FC"/>
          </w:tcPr>
          <w:p>
            <w:pPr>
              <w:spacing w:after="0"/>
              <w:rPr>
                <w:sz w:val="21"/>
                <w:szCs w:val="21"/>
                <w:color w:val="auto"/>
              </w:rPr>
            </w:pPr>
          </w:p>
        </w:tc>
      </w:tr>
      <w:tr>
        <w:trPr>
          <w:trHeight w:val="243"/>
        </w:trPr>
        <w:tc>
          <w:tcPr>
            <w:tcW w:w="720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Corporate and Other</w:t>
            </w:r>
            <w:r>
              <w:rPr>
                <w:rFonts w:ascii="Arial" w:cs="Arial" w:eastAsia="Arial" w:hAnsi="Arial"/>
                <w:sz w:val="24"/>
                <w:szCs w:val="24"/>
                <w:color w:val="auto"/>
                <w:vertAlign w:val="superscript"/>
              </w:rPr>
              <w:t>(2)</w:t>
            </w:r>
          </w:p>
        </w:tc>
        <w:tc>
          <w:tcPr>
            <w:tcW w:w="3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21,719</w:t>
            </w: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21,443</w:t>
            </w:r>
          </w:p>
        </w:tc>
        <w:tc>
          <w:tcPr>
            <w:tcW w:w="140" w:type="dxa"/>
            <w:vAlign w:val="bottom"/>
          </w:tcPr>
          <w:p>
            <w:pPr>
              <w:spacing w:after="0"/>
              <w:rPr>
                <w:sz w:val="21"/>
                <w:szCs w:val="21"/>
                <w:color w:val="auto"/>
              </w:rPr>
            </w:pPr>
          </w:p>
        </w:tc>
      </w:tr>
      <w:tr>
        <w:trPr>
          <w:trHeight w:val="270"/>
        </w:trPr>
        <w:tc>
          <w:tcPr>
            <w:tcW w:w="180" w:type="dxa"/>
            <w:vAlign w:val="bottom"/>
            <w:tcBorders>
              <w:bottom w:val="single" w:sz="8" w:color="CFF0FC"/>
            </w:tcBorders>
            <w:shd w:val="clear" w:color="auto" w:fill="CFF0FC"/>
          </w:tcPr>
          <w:p>
            <w:pPr>
              <w:spacing w:after="0"/>
              <w:rPr>
                <w:sz w:val="23"/>
                <w:szCs w:val="23"/>
                <w:color w:val="auto"/>
              </w:rPr>
            </w:pPr>
          </w:p>
        </w:tc>
        <w:tc>
          <w:tcPr>
            <w:tcW w:w="7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identifiable assets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582,618</w:t>
            </w:r>
          </w:p>
        </w:tc>
        <w:tc>
          <w:tcPr>
            <w:tcW w:w="3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504,721</w:t>
            </w:r>
          </w:p>
        </w:tc>
        <w:tc>
          <w:tcPr>
            <w:tcW w:w="140" w:type="dxa"/>
            <w:vAlign w:val="bottom"/>
            <w:tcBorders>
              <w:bottom w:val="single" w:sz="8" w:color="CFF0FC"/>
            </w:tcBorders>
            <w:shd w:val="clear" w:color="auto" w:fill="CFF0FC"/>
          </w:tcPr>
          <w:p>
            <w:pPr>
              <w:spacing w:after="0"/>
              <w:rPr>
                <w:sz w:val="23"/>
                <w:szCs w:val="23"/>
                <w:color w:val="auto"/>
              </w:rPr>
            </w:pPr>
          </w:p>
        </w:tc>
      </w:tr>
      <w:tr>
        <w:trPr>
          <w:trHeight w:val="204"/>
        </w:trPr>
        <w:tc>
          <w:tcPr>
            <w:tcW w:w="180" w:type="dxa"/>
            <w:vAlign w:val="bottom"/>
          </w:tcPr>
          <w:p>
            <w:pPr>
              <w:spacing w:after="0"/>
              <w:rPr>
                <w:sz w:val="20"/>
                <w:szCs w:val="20"/>
                <w:color w:val="auto"/>
              </w:rPr>
            </w:pPr>
            <w:r>
              <w:rPr>
                <w:rFonts w:ascii="Arial" w:cs="Arial" w:eastAsia="Arial" w:hAnsi="Arial"/>
                <w:sz w:val="14"/>
                <w:szCs w:val="14"/>
                <w:color w:val="auto"/>
                <w:w w:val="93"/>
              </w:rPr>
              <w:t>(2)</w:t>
            </w:r>
          </w:p>
        </w:tc>
        <w:tc>
          <w:tcPr>
            <w:tcW w:w="7020" w:type="dxa"/>
            <w:vAlign w:val="bottom"/>
          </w:tcPr>
          <w:p>
            <w:pPr>
              <w:ind w:left="580"/>
              <w:spacing w:after="0"/>
              <w:rPr>
                <w:sz w:val="20"/>
                <w:szCs w:val="20"/>
                <w:color w:val="auto"/>
              </w:rPr>
            </w:pPr>
            <w:r>
              <w:rPr>
                <w:rFonts w:ascii="Arial" w:cs="Arial" w:eastAsia="Arial" w:hAnsi="Arial"/>
                <w:sz w:val="14"/>
                <w:szCs w:val="14"/>
                <w:color w:val="auto"/>
              </w:rPr>
              <w:t>Corporate and Other assets consist primarily of cash and income tax related assets.</w:t>
            </w: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512"/>
        </w:trPr>
        <w:tc>
          <w:tcPr>
            <w:tcW w:w="72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June 30, 2023</w:t>
            </w: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9"/>
              </w:rPr>
              <w:t>December 31, 2022</w:t>
            </w:r>
          </w:p>
        </w:tc>
        <w:tc>
          <w:tcPr>
            <w:tcW w:w="140" w:type="dxa"/>
            <w:vAlign w:val="bottom"/>
          </w:tcPr>
          <w:p>
            <w:pPr>
              <w:spacing w:after="0"/>
              <w:rPr>
                <w:sz w:val="24"/>
                <w:szCs w:val="24"/>
                <w:color w:val="auto"/>
              </w:rPr>
            </w:pPr>
          </w:p>
        </w:tc>
      </w:tr>
      <w:tr>
        <w:trPr>
          <w:trHeight w:val="237"/>
        </w:trPr>
        <w:tc>
          <w:tcPr>
            <w:tcW w:w="720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Goodwill</w:t>
            </w:r>
          </w:p>
        </w:tc>
        <w:tc>
          <w:tcPr>
            <w:tcW w:w="30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Engineered Systems segment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130,572</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114,746</w:t>
            </w:r>
          </w:p>
        </w:tc>
        <w:tc>
          <w:tcPr>
            <w:tcW w:w="140" w:type="dxa"/>
            <w:vAlign w:val="bottom"/>
          </w:tcPr>
          <w:p>
            <w:pPr>
              <w:spacing w:after="0"/>
              <w:rPr>
                <w:sz w:val="20"/>
                <w:szCs w:val="20"/>
                <w:color w:val="auto"/>
              </w:rPr>
            </w:pPr>
          </w:p>
        </w:tc>
      </w:tr>
      <w:tr>
        <w:trPr>
          <w:trHeight w:val="243"/>
        </w:trPr>
        <w:tc>
          <w:tcPr>
            <w:tcW w:w="72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30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69,164</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68,451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180" w:type="dxa"/>
            <w:vAlign w:val="bottom"/>
          </w:tcPr>
          <w:p>
            <w:pPr>
              <w:spacing w:after="0"/>
              <w:rPr>
                <w:sz w:val="20"/>
                <w:szCs w:val="20"/>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Total goodwill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199,736</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183,197</w:t>
            </w:r>
          </w:p>
        </w:tc>
        <w:tc>
          <w:tcPr>
            <w:tcW w:w="14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-1148080</wp:posOffset>
            </wp:positionV>
            <wp:extent cx="857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-1130935</wp:posOffset>
            </wp:positionV>
            <wp:extent cx="857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-1148080</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-1130935</wp:posOffset>
            </wp:positionV>
            <wp:extent cx="857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-187960</wp:posOffset>
            </wp:positionV>
            <wp:extent cx="85725"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Intra-segment and Inter-segment Revenues</w:t>
      </w:r>
    </w:p>
    <w:p>
      <w:pPr>
        <w:spacing w:after="0" w:line="117" w:lineRule="exact"/>
        <w:rPr>
          <w:sz w:val="20"/>
          <w:szCs w:val="20"/>
          <w:color w:val="auto"/>
        </w:rPr>
      </w:pPr>
    </w:p>
    <w:p>
      <w:pPr>
        <w:ind w:left="520" w:right="280"/>
        <w:spacing w:after="0" w:line="277" w:lineRule="auto"/>
        <w:rPr>
          <w:sz w:val="20"/>
          <w:szCs w:val="20"/>
          <w:color w:val="auto"/>
        </w:rPr>
      </w:pPr>
      <w:r>
        <w:rPr>
          <w:rFonts w:ascii="Arial" w:cs="Arial" w:eastAsia="Arial" w:hAnsi="Arial"/>
          <w:sz w:val="18"/>
          <w:szCs w:val="18"/>
          <w:color w:val="auto"/>
        </w:rPr>
        <w:t>The Company has multiple divisions that sell to each other within segments (intra-segment sales) and between segments (inter-segment sales),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8"/>
          </w:tcPr>
          <w:p>
            <w:pPr>
              <w:jc w:val="center"/>
              <w:ind w:right="440"/>
              <w:spacing w:after="0"/>
              <w:rPr>
                <w:sz w:val="20"/>
                <w:szCs w:val="20"/>
                <w:color w:val="auto"/>
              </w:rPr>
            </w:pPr>
            <w:r>
              <w:rPr>
                <w:rFonts w:ascii="Arial" w:cs="Arial" w:eastAsia="Arial" w:hAnsi="Arial"/>
                <w:sz w:val="14"/>
                <w:szCs w:val="14"/>
                <w:b w:val="1"/>
                <w:bCs w:val="1"/>
                <w:color w:val="auto"/>
                <w:w w:val="91"/>
              </w:rPr>
              <w:t>Three months ended June 30, 2023</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Less Inter-Segment Sales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460"/>
              <w:spacing w:after="0" w:line="160" w:lineRule="exact"/>
              <w:rPr>
                <w:sz w:val="20"/>
                <w:szCs w:val="20"/>
                <w:color w:val="auto"/>
              </w:rPr>
            </w:pPr>
            <w:r>
              <w:rPr>
                <w:rFonts w:ascii="Arial" w:cs="Arial" w:eastAsia="Arial" w:hAnsi="Arial"/>
                <w:sz w:val="14"/>
                <w:szCs w:val="14"/>
                <w:b w:val="1"/>
                <w:bCs w:val="1"/>
                <w:color w:val="auto"/>
              </w:rPr>
              <w:t>Intra-</w:t>
            </w:r>
          </w:p>
        </w:tc>
        <w:tc>
          <w:tcPr>
            <w:tcW w:w="140" w:type="dxa"/>
            <w:vAlign w:val="bottom"/>
          </w:tcPr>
          <w:p>
            <w:pPr>
              <w:spacing w:after="0"/>
              <w:rPr>
                <w:sz w:val="13"/>
                <w:szCs w:val="13"/>
                <w:color w:val="auto"/>
              </w:rPr>
            </w:pPr>
          </w:p>
        </w:tc>
        <w:tc>
          <w:tcPr>
            <w:tcW w:w="1180" w:type="dxa"/>
            <w:vAlign w:val="bottom"/>
            <w:gridSpan w:val="2"/>
          </w:tcPr>
          <w:p>
            <w:pPr>
              <w:jc w:val="center"/>
              <w:ind w:right="440"/>
              <w:spacing w:after="0" w:line="160" w:lineRule="exact"/>
              <w:rPr>
                <w:sz w:val="20"/>
                <w:szCs w:val="20"/>
                <w:color w:val="auto"/>
              </w:rPr>
            </w:pPr>
            <w:r>
              <w:rPr>
                <w:rFonts w:ascii="Arial" w:cs="Arial" w:eastAsia="Arial" w:hAnsi="Arial"/>
                <w:sz w:val="14"/>
                <w:szCs w:val="14"/>
                <w:b w:val="1"/>
                <w:bCs w:val="1"/>
                <w:color w:val="auto"/>
                <w:w w:val="98"/>
              </w:rPr>
              <w:t>Industrial</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Engineered</w:t>
            </w:r>
          </w:p>
        </w:tc>
        <w:tc>
          <w:tcPr>
            <w:tcW w:w="140" w:type="dxa"/>
            <w:vAlign w:val="bottom"/>
          </w:tcPr>
          <w:p>
            <w:pPr>
              <w:spacing w:after="0"/>
              <w:rPr>
                <w:sz w:val="13"/>
                <w:szCs w:val="13"/>
                <w:color w:val="auto"/>
              </w:rPr>
            </w:pPr>
          </w:p>
        </w:tc>
        <w:tc>
          <w:tcPr>
            <w:tcW w:w="920" w:type="dxa"/>
            <w:vAlign w:val="bottom"/>
          </w:tcPr>
          <w:p>
            <w:pPr>
              <w:jc w:val="center"/>
              <w:ind w:right="59"/>
              <w:spacing w:after="0" w:line="160" w:lineRule="exact"/>
              <w:rPr>
                <w:sz w:val="20"/>
                <w:szCs w:val="20"/>
                <w:color w:val="auto"/>
              </w:rPr>
            </w:pPr>
            <w:r>
              <w:rPr>
                <w:rFonts w:ascii="Arial" w:cs="Arial" w:eastAsia="Arial" w:hAnsi="Arial"/>
                <w:sz w:val="14"/>
                <w:szCs w:val="14"/>
                <w:b w:val="1"/>
                <w:bCs w:val="1"/>
                <w:color w:val="auto"/>
                <w:w w:val="87"/>
              </w:rPr>
              <w:t>Net Sales to</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Segment</w:t>
            </w:r>
          </w:p>
        </w:tc>
        <w:tc>
          <w:tcPr>
            <w:tcW w:w="1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Process</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1"/>
              </w:rPr>
              <w:t>Outside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840" w:type="dxa"/>
            <w:vAlign w:val="bottom"/>
          </w:tcPr>
          <w:p>
            <w:pPr>
              <w:jc w:val="right"/>
              <w:ind w:right="297"/>
              <w:spacing w:after="0"/>
              <w:rPr>
                <w:sz w:val="20"/>
                <w:szCs w:val="20"/>
                <w:color w:val="auto"/>
              </w:rPr>
            </w:pPr>
            <w:r>
              <w:rPr>
                <w:rFonts w:ascii="Arial" w:cs="Arial" w:eastAsia="Arial" w:hAnsi="Arial"/>
                <w:sz w:val="14"/>
                <w:szCs w:val="14"/>
                <w:b w:val="1"/>
                <w:bCs w:val="1"/>
                <w:color w:val="auto"/>
              </w:rPr>
              <w:t>Sales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1"/>
              </w:rPr>
              <w:t>Sales</w:t>
            </w:r>
          </w:p>
        </w:tc>
        <w:tc>
          <w:tcPr>
            <w:tcW w:w="14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Solutions</w:t>
            </w:r>
          </w:p>
        </w:tc>
        <w:tc>
          <w:tcPr>
            <w:tcW w:w="14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Systems</w:t>
            </w:r>
          </w:p>
        </w:tc>
        <w:tc>
          <w:tcPr>
            <w:tcW w:w="140" w:type="dxa"/>
            <w:vAlign w:val="bottom"/>
          </w:tcPr>
          <w:p>
            <w:pPr>
              <w:spacing w:after="0"/>
              <w:rPr>
                <w:sz w:val="16"/>
                <w:szCs w:val="16"/>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Customers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80" w:type="dxa"/>
            <w:vAlign w:val="bottom"/>
            <w:tcBorders>
              <w:right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Engineered Systems segment</w:t>
            </w:r>
          </w:p>
        </w:tc>
        <w:tc>
          <w:tcPr>
            <w:tcW w:w="22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95,880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(7,995 )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(363 )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87,522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44,641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(2,806 )</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(176 )</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41,659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tcPr>
          <w:p>
            <w:pPr>
              <w:ind w:left="200"/>
              <w:spacing w:after="0"/>
              <w:rPr>
                <w:sz w:val="20"/>
                <w:szCs w:val="20"/>
                <w:color w:val="auto"/>
              </w:rPr>
            </w:pPr>
            <w:r>
              <w:rPr>
                <w:rFonts w:ascii="Arial" w:cs="Arial" w:eastAsia="Arial" w:hAnsi="Arial"/>
                <w:sz w:val="18"/>
                <w:szCs w:val="18"/>
                <w:color w:val="auto"/>
              </w:rPr>
              <w:t>Total net sales</w:t>
            </w:r>
          </w:p>
        </w:tc>
        <w:tc>
          <w:tcPr>
            <w:tcW w:w="22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140,521</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(10,801 )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(363 )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(176 )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129,181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4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8"/>
          </w:tcPr>
          <w:p>
            <w:pPr>
              <w:jc w:val="center"/>
              <w:ind w:right="440"/>
              <w:spacing w:after="0"/>
              <w:rPr>
                <w:sz w:val="20"/>
                <w:szCs w:val="20"/>
                <w:color w:val="auto"/>
              </w:rPr>
            </w:pPr>
            <w:r>
              <w:rPr>
                <w:rFonts w:ascii="Arial" w:cs="Arial" w:eastAsia="Arial" w:hAnsi="Arial"/>
                <w:sz w:val="14"/>
                <w:szCs w:val="14"/>
                <w:b w:val="1"/>
                <w:bCs w:val="1"/>
                <w:color w:val="auto"/>
                <w:w w:val="91"/>
              </w:rPr>
              <w:t>Three months ended June 30, 2022</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Less Inter-Segment Sales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460"/>
              <w:spacing w:after="0" w:line="160" w:lineRule="exact"/>
              <w:rPr>
                <w:sz w:val="20"/>
                <w:szCs w:val="20"/>
                <w:color w:val="auto"/>
              </w:rPr>
            </w:pPr>
            <w:r>
              <w:rPr>
                <w:rFonts w:ascii="Arial" w:cs="Arial" w:eastAsia="Arial" w:hAnsi="Arial"/>
                <w:sz w:val="14"/>
                <w:szCs w:val="14"/>
                <w:b w:val="1"/>
                <w:bCs w:val="1"/>
                <w:color w:val="auto"/>
              </w:rPr>
              <w:t>Intra-</w:t>
            </w:r>
          </w:p>
        </w:tc>
        <w:tc>
          <w:tcPr>
            <w:tcW w:w="140" w:type="dxa"/>
            <w:vAlign w:val="bottom"/>
          </w:tcPr>
          <w:p>
            <w:pPr>
              <w:spacing w:after="0"/>
              <w:rPr>
                <w:sz w:val="13"/>
                <w:szCs w:val="13"/>
                <w:color w:val="auto"/>
              </w:rPr>
            </w:pPr>
          </w:p>
        </w:tc>
        <w:tc>
          <w:tcPr>
            <w:tcW w:w="1180" w:type="dxa"/>
            <w:vAlign w:val="bottom"/>
            <w:gridSpan w:val="2"/>
          </w:tcPr>
          <w:p>
            <w:pPr>
              <w:jc w:val="center"/>
              <w:ind w:right="440"/>
              <w:spacing w:after="0" w:line="160" w:lineRule="exact"/>
              <w:rPr>
                <w:sz w:val="20"/>
                <w:szCs w:val="20"/>
                <w:color w:val="auto"/>
              </w:rPr>
            </w:pPr>
            <w:r>
              <w:rPr>
                <w:rFonts w:ascii="Arial" w:cs="Arial" w:eastAsia="Arial" w:hAnsi="Arial"/>
                <w:sz w:val="14"/>
                <w:szCs w:val="14"/>
                <w:b w:val="1"/>
                <w:bCs w:val="1"/>
                <w:color w:val="auto"/>
                <w:w w:val="98"/>
              </w:rPr>
              <w:t>Industrial</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Engineered</w:t>
            </w:r>
          </w:p>
        </w:tc>
        <w:tc>
          <w:tcPr>
            <w:tcW w:w="140" w:type="dxa"/>
            <w:vAlign w:val="bottom"/>
          </w:tcPr>
          <w:p>
            <w:pPr>
              <w:spacing w:after="0"/>
              <w:rPr>
                <w:sz w:val="13"/>
                <w:szCs w:val="13"/>
                <w:color w:val="auto"/>
              </w:rPr>
            </w:pPr>
          </w:p>
        </w:tc>
        <w:tc>
          <w:tcPr>
            <w:tcW w:w="920" w:type="dxa"/>
            <w:vAlign w:val="bottom"/>
          </w:tcPr>
          <w:p>
            <w:pPr>
              <w:jc w:val="center"/>
              <w:ind w:right="59"/>
              <w:spacing w:after="0" w:line="160" w:lineRule="exact"/>
              <w:rPr>
                <w:sz w:val="20"/>
                <w:szCs w:val="20"/>
                <w:color w:val="auto"/>
              </w:rPr>
            </w:pPr>
            <w:r>
              <w:rPr>
                <w:rFonts w:ascii="Arial" w:cs="Arial" w:eastAsia="Arial" w:hAnsi="Arial"/>
                <w:sz w:val="14"/>
                <w:szCs w:val="14"/>
                <w:b w:val="1"/>
                <w:bCs w:val="1"/>
                <w:color w:val="auto"/>
                <w:w w:val="87"/>
              </w:rPr>
              <w:t>Net Sales to</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Segment</w:t>
            </w:r>
          </w:p>
        </w:tc>
        <w:tc>
          <w:tcPr>
            <w:tcW w:w="1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Process</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1"/>
              </w:rPr>
              <w:t>Outside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840" w:type="dxa"/>
            <w:vAlign w:val="bottom"/>
          </w:tcPr>
          <w:p>
            <w:pPr>
              <w:jc w:val="right"/>
              <w:ind w:right="297"/>
              <w:spacing w:after="0"/>
              <w:rPr>
                <w:sz w:val="20"/>
                <w:szCs w:val="20"/>
                <w:color w:val="auto"/>
              </w:rPr>
            </w:pPr>
            <w:r>
              <w:rPr>
                <w:rFonts w:ascii="Arial" w:cs="Arial" w:eastAsia="Arial" w:hAnsi="Arial"/>
                <w:sz w:val="14"/>
                <w:szCs w:val="14"/>
                <w:b w:val="1"/>
                <w:bCs w:val="1"/>
                <w:color w:val="auto"/>
              </w:rPr>
              <w:t>Sales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1"/>
              </w:rPr>
              <w:t>Sales</w:t>
            </w:r>
          </w:p>
        </w:tc>
        <w:tc>
          <w:tcPr>
            <w:tcW w:w="14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Solutions</w:t>
            </w:r>
          </w:p>
        </w:tc>
        <w:tc>
          <w:tcPr>
            <w:tcW w:w="14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Systems</w:t>
            </w:r>
          </w:p>
        </w:tc>
        <w:tc>
          <w:tcPr>
            <w:tcW w:w="140" w:type="dxa"/>
            <w:vAlign w:val="bottom"/>
          </w:tcPr>
          <w:p>
            <w:pPr>
              <w:spacing w:after="0"/>
              <w:rPr>
                <w:sz w:val="16"/>
                <w:szCs w:val="16"/>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Customers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80" w:type="dxa"/>
            <w:vAlign w:val="bottom"/>
            <w:tcBorders>
              <w:right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Engineered Systems segment</w:t>
            </w:r>
          </w:p>
        </w:tc>
        <w:tc>
          <w:tcPr>
            <w:tcW w:w="220" w:type="dxa"/>
            <w:vAlign w:val="bottom"/>
          </w:tcPr>
          <w:p>
            <w:pPr>
              <w:jc w:val="right"/>
              <w:ind w:right="38"/>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70,754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(3,231 )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67,333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39,901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(1,717 )</w:t>
            </w: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(142 )</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tcPr>
          <w:p>
            <w:pPr>
              <w:ind w:left="200"/>
              <w:spacing w:after="0"/>
              <w:rPr>
                <w:sz w:val="20"/>
                <w:szCs w:val="20"/>
                <w:color w:val="auto"/>
              </w:rPr>
            </w:pPr>
            <w:r>
              <w:rPr>
                <w:rFonts w:ascii="Arial" w:cs="Arial" w:eastAsia="Arial" w:hAnsi="Arial"/>
                <w:sz w:val="18"/>
                <w:szCs w:val="18"/>
                <w:color w:val="auto"/>
              </w:rPr>
              <w:t>Total net sales</w:t>
            </w:r>
          </w:p>
        </w:tc>
        <w:tc>
          <w:tcPr>
            <w:tcW w:w="220" w:type="dxa"/>
            <w:vAlign w:val="bottom"/>
          </w:tcPr>
          <w:p>
            <w:pPr>
              <w:jc w:val="right"/>
              <w:ind w:right="38"/>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110,655</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 xml:space="preserve">(4,948 </w:t>
            </w:r>
            <w:r>
              <w:rPr>
                <w:rFonts w:ascii="Arial" w:cs="Arial" w:eastAsia="Arial" w:hAnsi="Arial"/>
                <w:sz w:val="18"/>
                <w:szCs w:val="18"/>
                <w:color w:val="auto"/>
                <w:highlight w:val="white"/>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(142 )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105,375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-2254250</wp:posOffset>
            </wp:positionV>
            <wp:extent cx="85725"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-2254250</wp:posOffset>
            </wp:positionV>
            <wp:extent cx="85725"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-2254250</wp:posOffset>
            </wp:positionV>
            <wp:extent cx="85725"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-2254250</wp:posOffset>
            </wp:positionV>
            <wp:extent cx="85725"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-2254250</wp:posOffset>
            </wp:positionV>
            <wp:extent cx="85725"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-745490</wp:posOffset>
            </wp:positionV>
            <wp:extent cx="85725"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-745490</wp:posOffset>
            </wp:positionV>
            <wp:extent cx="85725"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-745490</wp:posOffset>
            </wp:positionV>
            <wp:extent cx="85725"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-745490</wp:posOffset>
            </wp:positionV>
            <wp:extent cx="85725"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8"/>
          </w:tcPr>
          <w:p>
            <w:pPr>
              <w:jc w:val="center"/>
              <w:ind w:right="460"/>
              <w:spacing w:after="0"/>
              <w:rPr>
                <w:sz w:val="20"/>
                <w:szCs w:val="20"/>
                <w:color w:val="auto"/>
              </w:rPr>
            </w:pPr>
            <w:r>
              <w:rPr>
                <w:rFonts w:ascii="Arial" w:cs="Arial" w:eastAsia="Arial" w:hAnsi="Arial"/>
                <w:sz w:val="14"/>
                <w:szCs w:val="14"/>
                <w:b w:val="1"/>
                <w:bCs w:val="1"/>
                <w:color w:val="auto"/>
                <w:w w:val="90"/>
              </w:rPr>
              <w:t>Six months ended June 30, 2023</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Less Inter-Segment Sales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440"/>
              <w:spacing w:after="0" w:line="160" w:lineRule="exact"/>
              <w:rPr>
                <w:sz w:val="20"/>
                <w:szCs w:val="20"/>
                <w:color w:val="auto"/>
              </w:rPr>
            </w:pPr>
            <w:r>
              <w:rPr>
                <w:rFonts w:ascii="Arial" w:cs="Arial" w:eastAsia="Arial" w:hAnsi="Arial"/>
                <w:sz w:val="14"/>
                <w:szCs w:val="14"/>
                <w:b w:val="1"/>
                <w:bCs w:val="1"/>
                <w:color w:val="auto"/>
              </w:rPr>
              <w:t>Intra-</w:t>
            </w:r>
          </w:p>
        </w:tc>
        <w:tc>
          <w:tcPr>
            <w:tcW w:w="160" w:type="dxa"/>
            <w:vAlign w:val="bottom"/>
          </w:tcPr>
          <w:p>
            <w:pPr>
              <w:spacing w:after="0"/>
              <w:rPr>
                <w:sz w:val="13"/>
                <w:szCs w:val="13"/>
                <w:color w:val="auto"/>
              </w:rPr>
            </w:pPr>
          </w:p>
        </w:tc>
        <w:tc>
          <w:tcPr>
            <w:tcW w:w="1180" w:type="dxa"/>
            <w:vAlign w:val="bottom"/>
            <w:gridSpan w:val="2"/>
          </w:tcPr>
          <w:p>
            <w:pPr>
              <w:jc w:val="center"/>
              <w:ind w:right="480"/>
              <w:spacing w:after="0" w:line="160" w:lineRule="exact"/>
              <w:rPr>
                <w:sz w:val="20"/>
                <w:szCs w:val="20"/>
                <w:color w:val="auto"/>
              </w:rPr>
            </w:pPr>
            <w:r>
              <w:rPr>
                <w:rFonts w:ascii="Arial" w:cs="Arial" w:eastAsia="Arial" w:hAnsi="Arial"/>
                <w:sz w:val="14"/>
                <w:szCs w:val="14"/>
                <w:b w:val="1"/>
                <w:bCs w:val="1"/>
                <w:color w:val="auto"/>
                <w:w w:val="98"/>
              </w:rPr>
              <w:t>Industrial</w:t>
            </w:r>
          </w:p>
        </w:tc>
        <w:tc>
          <w:tcPr>
            <w:tcW w:w="120" w:type="dxa"/>
            <w:vAlign w:val="bottom"/>
          </w:tcPr>
          <w:p>
            <w:pPr>
              <w:spacing w:after="0"/>
              <w:rPr>
                <w:sz w:val="13"/>
                <w:szCs w:val="13"/>
                <w:color w:val="auto"/>
              </w:rPr>
            </w:pP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Engineered</w:t>
            </w:r>
          </w:p>
        </w:tc>
        <w:tc>
          <w:tcPr>
            <w:tcW w:w="140" w:type="dxa"/>
            <w:vAlign w:val="bottom"/>
          </w:tcPr>
          <w:p>
            <w:pPr>
              <w:spacing w:after="0"/>
              <w:rPr>
                <w:sz w:val="13"/>
                <w:szCs w:val="13"/>
                <w:color w:val="auto"/>
              </w:rPr>
            </w:pPr>
          </w:p>
        </w:tc>
        <w:tc>
          <w:tcPr>
            <w:tcW w:w="920" w:type="dxa"/>
            <w:vAlign w:val="bottom"/>
          </w:tcPr>
          <w:p>
            <w:pPr>
              <w:jc w:val="center"/>
              <w:ind w:right="59"/>
              <w:spacing w:after="0" w:line="160" w:lineRule="exact"/>
              <w:rPr>
                <w:sz w:val="20"/>
                <w:szCs w:val="20"/>
                <w:color w:val="auto"/>
              </w:rPr>
            </w:pPr>
            <w:r>
              <w:rPr>
                <w:rFonts w:ascii="Arial" w:cs="Arial" w:eastAsia="Arial" w:hAnsi="Arial"/>
                <w:sz w:val="14"/>
                <w:szCs w:val="14"/>
                <w:b w:val="1"/>
                <w:bCs w:val="1"/>
                <w:color w:val="auto"/>
                <w:w w:val="87"/>
              </w:rPr>
              <w:t>Net Sales to</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Segment</w:t>
            </w:r>
          </w:p>
        </w:tc>
        <w:tc>
          <w:tcPr>
            <w:tcW w:w="16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Process</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1"/>
              </w:rPr>
              <w:t>Outside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840" w:type="dxa"/>
            <w:vAlign w:val="bottom"/>
          </w:tcPr>
          <w:p>
            <w:pPr>
              <w:jc w:val="right"/>
              <w:ind w:right="297"/>
              <w:spacing w:after="0"/>
              <w:rPr>
                <w:sz w:val="20"/>
                <w:szCs w:val="20"/>
                <w:color w:val="auto"/>
              </w:rPr>
            </w:pPr>
            <w:r>
              <w:rPr>
                <w:rFonts w:ascii="Arial" w:cs="Arial" w:eastAsia="Arial" w:hAnsi="Arial"/>
                <w:sz w:val="14"/>
                <w:szCs w:val="14"/>
                <w:b w:val="1"/>
                <w:bCs w:val="1"/>
                <w:color w:val="auto"/>
              </w:rPr>
              <w:t>Sales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Sales</w:t>
            </w:r>
          </w:p>
        </w:tc>
        <w:tc>
          <w:tcPr>
            <w:tcW w:w="160" w:type="dxa"/>
            <w:vAlign w:val="bottom"/>
          </w:tcPr>
          <w:p>
            <w:pPr>
              <w:spacing w:after="0"/>
              <w:rPr>
                <w:sz w:val="16"/>
                <w:szCs w:val="16"/>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Solutions</w:t>
            </w:r>
          </w:p>
        </w:tc>
        <w:tc>
          <w:tcPr>
            <w:tcW w:w="12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Systems</w:t>
            </w:r>
          </w:p>
        </w:tc>
        <w:tc>
          <w:tcPr>
            <w:tcW w:w="140" w:type="dxa"/>
            <w:vAlign w:val="bottom"/>
          </w:tcPr>
          <w:p>
            <w:pPr>
              <w:spacing w:after="0"/>
              <w:rPr>
                <w:sz w:val="16"/>
                <w:szCs w:val="16"/>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Customers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80" w:type="dxa"/>
            <w:vAlign w:val="bottom"/>
            <w:tcBorders>
              <w:right w:val="single" w:sz="8" w:color="CFF0FC"/>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Engineered Systems segment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171,970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(9,533 )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(460 )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161,977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83,682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(3,641 )</w:t>
            </w:r>
          </w:p>
        </w:tc>
        <w:tc>
          <w:tcPr>
            <w:tcW w:w="160" w:type="dxa"/>
            <w:vAlign w:val="bottom"/>
            <w:shd w:val="clear" w:color="auto" w:fill="CFF0FC"/>
          </w:tcPr>
          <w:p>
            <w:pPr>
              <w:spacing w:after="0"/>
              <w:rPr>
                <w:sz w:val="21"/>
                <w:szCs w:val="21"/>
                <w:color w:val="auto"/>
              </w:rPr>
            </w:pPr>
          </w:p>
        </w:tc>
        <w:tc>
          <w:tcPr>
            <w:tcW w:w="11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(274 )</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79,767</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8"/>
                <w:szCs w:val="18"/>
                <w:color w:val="auto"/>
              </w:rPr>
              <w:t>Total net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255,652</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(13,174 )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(460 )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(274 )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241,744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8"/>
          </w:tcPr>
          <w:p>
            <w:pPr>
              <w:jc w:val="center"/>
              <w:ind w:right="460"/>
              <w:spacing w:after="0"/>
              <w:rPr>
                <w:sz w:val="20"/>
                <w:szCs w:val="20"/>
                <w:color w:val="auto"/>
              </w:rPr>
            </w:pPr>
            <w:r>
              <w:rPr>
                <w:rFonts w:ascii="Arial" w:cs="Arial" w:eastAsia="Arial" w:hAnsi="Arial"/>
                <w:sz w:val="14"/>
                <w:szCs w:val="14"/>
                <w:b w:val="1"/>
                <w:bCs w:val="1"/>
                <w:color w:val="auto"/>
                <w:w w:val="90"/>
              </w:rPr>
              <w:t>Six months ended June 30, 2022</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Less Inter-Segment Sales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460"/>
              <w:spacing w:after="0" w:line="160" w:lineRule="exact"/>
              <w:rPr>
                <w:sz w:val="20"/>
                <w:szCs w:val="20"/>
                <w:color w:val="auto"/>
              </w:rPr>
            </w:pPr>
            <w:r>
              <w:rPr>
                <w:rFonts w:ascii="Arial" w:cs="Arial" w:eastAsia="Arial" w:hAnsi="Arial"/>
                <w:sz w:val="14"/>
                <w:szCs w:val="14"/>
                <w:b w:val="1"/>
                <w:bCs w:val="1"/>
                <w:color w:val="auto"/>
              </w:rPr>
              <w:t>Intra-</w:t>
            </w:r>
          </w:p>
        </w:tc>
        <w:tc>
          <w:tcPr>
            <w:tcW w:w="160" w:type="dxa"/>
            <w:vAlign w:val="bottom"/>
          </w:tcPr>
          <w:p>
            <w:pPr>
              <w:spacing w:after="0"/>
              <w:rPr>
                <w:sz w:val="13"/>
                <w:szCs w:val="13"/>
                <w:color w:val="auto"/>
              </w:rPr>
            </w:pPr>
          </w:p>
        </w:tc>
        <w:tc>
          <w:tcPr>
            <w:tcW w:w="1180" w:type="dxa"/>
            <w:vAlign w:val="bottom"/>
            <w:gridSpan w:val="2"/>
          </w:tcPr>
          <w:p>
            <w:pPr>
              <w:jc w:val="center"/>
              <w:ind w:right="480"/>
              <w:spacing w:after="0" w:line="160" w:lineRule="exact"/>
              <w:rPr>
                <w:sz w:val="20"/>
                <w:szCs w:val="20"/>
                <w:color w:val="auto"/>
              </w:rPr>
            </w:pPr>
            <w:r>
              <w:rPr>
                <w:rFonts w:ascii="Arial" w:cs="Arial" w:eastAsia="Arial" w:hAnsi="Arial"/>
                <w:sz w:val="14"/>
                <w:szCs w:val="14"/>
                <w:b w:val="1"/>
                <w:bCs w:val="1"/>
                <w:color w:val="auto"/>
                <w:w w:val="98"/>
              </w:rPr>
              <w:t>Industrial</w:t>
            </w:r>
          </w:p>
        </w:tc>
        <w:tc>
          <w:tcPr>
            <w:tcW w:w="120" w:type="dxa"/>
            <w:vAlign w:val="bottom"/>
          </w:tcPr>
          <w:p>
            <w:pPr>
              <w:spacing w:after="0"/>
              <w:rPr>
                <w:sz w:val="13"/>
                <w:szCs w:val="13"/>
                <w:color w:val="auto"/>
              </w:rPr>
            </w:pP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Engineered</w:t>
            </w:r>
          </w:p>
        </w:tc>
        <w:tc>
          <w:tcPr>
            <w:tcW w:w="140" w:type="dxa"/>
            <w:vAlign w:val="bottom"/>
          </w:tcPr>
          <w:p>
            <w:pPr>
              <w:spacing w:after="0"/>
              <w:rPr>
                <w:sz w:val="13"/>
                <w:szCs w:val="13"/>
                <w:color w:val="auto"/>
              </w:rPr>
            </w:pPr>
          </w:p>
        </w:tc>
        <w:tc>
          <w:tcPr>
            <w:tcW w:w="920" w:type="dxa"/>
            <w:vAlign w:val="bottom"/>
          </w:tcPr>
          <w:p>
            <w:pPr>
              <w:jc w:val="center"/>
              <w:ind w:right="59"/>
              <w:spacing w:after="0" w:line="160" w:lineRule="exact"/>
              <w:rPr>
                <w:sz w:val="20"/>
                <w:szCs w:val="20"/>
                <w:color w:val="auto"/>
              </w:rPr>
            </w:pPr>
            <w:r>
              <w:rPr>
                <w:rFonts w:ascii="Arial" w:cs="Arial" w:eastAsia="Arial" w:hAnsi="Arial"/>
                <w:sz w:val="14"/>
                <w:szCs w:val="14"/>
                <w:b w:val="1"/>
                <w:bCs w:val="1"/>
                <w:color w:val="auto"/>
                <w:w w:val="87"/>
              </w:rPr>
              <w:t>Net Sales to</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Segment</w:t>
            </w:r>
          </w:p>
        </w:tc>
        <w:tc>
          <w:tcPr>
            <w:tcW w:w="16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Process</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1"/>
              </w:rPr>
              <w:t>Outside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840" w:type="dxa"/>
            <w:vAlign w:val="bottom"/>
          </w:tcPr>
          <w:p>
            <w:pPr>
              <w:jc w:val="right"/>
              <w:ind w:right="297"/>
              <w:spacing w:after="0"/>
              <w:rPr>
                <w:sz w:val="20"/>
                <w:szCs w:val="20"/>
                <w:color w:val="auto"/>
              </w:rPr>
            </w:pPr>
            <w:r>
              <w:rPr>
                <w:rFonts w:ascii="Arial" w:cs="Arial" w:eastAsia="Arial" w:hAnsi="Arial"/>
                <w:sz w:val="14"/>
                <w:szCs w:val="14"/>
                <w:b w:val="1"/>
                <w:bCs w:val="1"/>
                <w:color w:val="auto"/>
              </w:rPr>
              <w:t>Sales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1"/>
              </w:rPr>
              <w:t>Sales</w:t>
            </w:r>
          </w:p>
        </w:tc>
        <w:tc>
          <w:tcPr>
            <w:tcW w:w="160" w:type="dxa"/>
            <w:vAlign w:val="bottom"/>
          </w:tcPr>
          <w:p>
            <w:pPr>
              <w:spacing w:after="0"/>
              <w:rPr>
                <w:sz w:val="16"/>
                <w:szCs w:val="16"/>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Solutions</w:t>
            </w:r>
          </w:p>
        </w:tc>
        <w:tc>
          <w:tcPr>
            <w:tcW w:w="12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Systems</w:t>
            </w:r>
          </w:p>
        </w:tc>
        <w:tc>
          <w:tcPr>
            <w:tcW w:w="140" w:type="dxa"/>
            <w:vAlign w:val="bottom"/>
          </w:tcPr>
          <w:p>
            <w:pPr>
              <w:spacing w:after="0"/>
              <w:rPr>
                <w:sz w:val="16"/>
                <w:szCs w:val="16"/>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Customers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80" w:type="dxa"/>
            <w:vAlign w:val="bottom"/>
            <w:tcBorders>
              <w:right w:val="single" w:sz="8" w:color="CFF0FC"/>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Engineered Systems segment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132,354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(7,789 )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(257 )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124,308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77,043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(3,342 )</w:t>
            </w:r>
          </w:p>
        </w:tc>
        <w:tc>
          <w:tcPr>
            <w:tcW w:w="160" w:type="dxa"/>
            <w:vAlign w:val="bottom"/>
            <w:shd w:val="clear" w:color="auto" w:fill="CFF0FC"/>
          </w:tcPr>
          <w:p>
            <w:pPr>
              <w:spacing w:after="0"/>
              <w:rPr>
                <w:sz w:val="21"/>
                <w:szCs w:val="21"/>
                <w:color w:val="auto"/>
              </w:rPr>
            </w:pPr>
          </w:p>
        </w:tc>
        <w:tc>
          <w:tcPr>
            <w:tcW w:w="11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(198 )</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73,503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00" w:type="dxa"/>
            <w:vAlign w:val="bottom"/>
          </w:tcPr>
          <w:p>
            <w:pPr>
              <w:ind w:left="200"/>
              <w:spacing w:after="0"/>
              <w:rPr>
                <w:sz w:val="20"/>
                <w:szCs w:val="20"/>
                <w:color w:val="auto"/>
              </w:rPr>
            </w:pPr>
            <w:r>
              <w:rPr>
                <w:rFonts w:ascii="Arial" w:cs="Arial" w:eastAsia="Arial" w:hAnsi="Arial"/>
                <w:sz w:val="18"/>
                <w:szCs w:val="18"/>
                <w:color w:val="auto"/>
              </w:rPr>
              <w:t>Total net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209,397</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(11,131 )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(257 )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(198 )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197,811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-2082800</wp:posOffset>
            </wp:positionV>
            <wp:extent cx="77470"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-2082800</wp:posOffset>
            </wp:positionV>
            <wp:extent cx="85725"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-2082800</wp:posOffset>
            </wp:positionV>
            <wp:extent cx="85725"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-2082800</wp:posOffset>
            </wp:positionV>
            <wp:extent cx="85725"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-2082800</wp:posOffset>
            </wp:positionV>
            <wp:extent cx="85725" cy="1885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-685165</wp:posOffset>
            </wp:positionV>
            <wp:extent cx="85725" cy="1885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-685165</wp:posOffset>
            </wp:positionV>
            <wp:extent cx="85725" cy="1885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-685165</wp:posOffset>
            </wp:positionV>
            <wp:extent cx="85725"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-685165</wp:posOffset>
            </wp:positionV>
            <wp:extent cx="85725" cy="1885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-685165</wp:posOffset>
            </wp:positionV>
            <wp:extent cx="85725" cy="188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0" w:name="page21"/>
    <w:bookmarkEnd w:id="20"/>
    <w:p>
      <w:pPr>
        <w:jc w:val="center"/>
        <w:ind w:left="380" w:right="2460"/>
        <w:spacing w:after="0" w:line="263" w:lineRule="auto"/>
        <w:rPr>
          <w:sz w:val="20"/>
          <w:szCs w:val="20"/>
          <w:color w:val="auto"/>
        </w:rPr>
      </w:pPr>
      <w:r>
        <w:rPr>
          <w:rFonts w:ascii="Arial" w:cs="Arial" w:eastAsia="Arial" w:hAnsi="Arial"/>
          <w:sz w:val="18"/>
          <w:szCs w:val="18"/>
          <w:u w:val="single" w:color="auto"/>
          <w:color w:val="auto"/>
        </w:rPr>
        <w:t>CECO ENVIRONMENTAL CORP. AND SUBSIDIARIES MANAGEMENT’S DISCUSSION AND ANALYSIS OF FINANCIAL CONDITION AND RESULTS OF OPERATIONS</w:t>
      </w:r>
    </w:p>
    <w:p>
      <w:pPr>
        <w:spacing w:after="0" w:line="200" w:lineRule="exact"/>
        <w:rPr>
          <w:sz w:val="20"/>
          <w:szCs w:val="20"/>
          <w:color w:val="auto"/>
        </w:rPr>
      </w:pPr>
    </w:p>
    <w:p>
      <w:pPr>
        <w:spacing w:after="0" w:line="2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Company’s Condensed Consolidated Statements of Income for the three and six months ended June 30, 2023 and 2022 reflect the consolidated operations of the Company and its subsidiaries.</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CECO Environmental Corp. (“CECO,” “we,” “us,” or the “Company”) is a leading environmentally focused, diversified industrial company, serving the broad landscape of industrial air, industrial water and energy transition markets globally providing innovative technology and application expertise. CECO helps companies grow their business with safe, clean, and more efficient solutions that help protect people, the environment and industrial equipment. CECO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Pressures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senior management team monitors and manages the Company’s ability to operate effectively as the result of market pressures. In particular, we are currently experiencing challenges in obtaining certain raw materials and labor on a timely basis at a reasonable cost. We expect these supply chain challenges and cost impacts to continue for the foreseeable future. Although we have secured additional raw materials from existing and alternate suppliers and have taken other mitigating actions to mitigate supply disruptions, we cannot guarantee that we can continue to do so in the future. In this event, our business, results and financial condition could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Company’s unaudited condensed consolidated financial statements are prepared in accordance with accounting principles generally accepted in the United States of America (“GAAP”). These GAAP financial statements include certain charges the Company believes are not indicative of its core ongoing operational performance.</w:t>
      </w:r>
    </w:p>
    <w:p>
      <w:pPr>
        <w:spacing w:after="0" w:line="18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a result, the Company provides financial information in this Management’s Discussion and Analysis that was not prepared in accordance with GAAP and should not be considered as an alternative to the information prepared in accordance with GAAP. The Company provides this non-GAAP financial information because the Company’s management utilizes it to evaluate its ongoing financial performance and the Company believes it provides greater transparency to investors as supplemental information to its GAAP results.</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has provided the non-GAAP financial measures of non-GAAP operating income and non-GAAP operating margin as a result of items that the Company believes are not indicative of its ongoing operations. These include transactions associated with the Company’s acquisitions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income associated with acquisitions. While the Company cannot predict the exact timing or amounts of such charges, it does expect to treat the financial impact of these transactions as special items in its future presentation of non-GAAP results.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Condensed Consolidated Statements of Income for the three and six months ended June 30, 2023 and 2022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2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w w:val="94"/>
              </w:rPr>
              <w:t>Three months ended June 30,</w:t>
            </w:r>
          </w:p>
        </w:tc>
        <w:tc>
          <w:tcPr>
            <w:tcW w:w="260" w:type="dxa"/>
            <w:vAlign w:val="bottom"/>
          </w:tcPr>
          <w:p>
            <w:pPr>
              <w:spacing w:after="0"/>
              <w:rPr>
                <w:sz w:val="19"/>
                <w:szCs w:val="19"/>
                <w:color w:val="auto"/>
              </w:rPr>
            </w:pPr>
          </w:p>
        </w:tc>
        <w:tc>
          <w:tcPr>
            <w:tcW w:w="2660" w:type="dxa"/>
            <w:vAlign w:val="bottom"/>
            <w:gridSpan w:val="6"/>
          </w:tcPr>
          <w:p>
            <w:pPr>
              <w:jc w:val="right"/>
              <w:ind w:right="620"/>
              <w:spacing w:after="0"/>
              <w:rPr>
                <w:sz w:val="20"/>
                <w:szCs w:val="20"/>
                <w:color w:val="auto"/>
              </w:rPr>
            </w:pPr>
            <w:r>
              <w:rPr>
                <w:rFonts w:ascii="Arial" w:cs="Arial" w:eastAsia="Arial" w:hAnsi="Arial"/>
                <w:sz w:val="16"/>
                <w:szCs w:val="16"/>
                <w:b w:val="1"/>
                <w:bCs w:val="1"/>
                <w:color w:val="auto"/>
                <w:w w:val="97"/>
              </w:rPr>
              <w:t>Six months ended June 30,</w:t>
            </w:r>
          </w:p>
        </w:tc>
      </w:tr>
      <w:tr>
        <w:trPr>
          <w:trHeight w:val="227"/>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(in millions, except ratios)</w:t>
            </w: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sales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129.2</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197.8</w:t>
            </w: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w:t>
            </w: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167.0</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58.1</w:t>
            </w: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5280" w:type="dxa"/>
            <w:vAlign w:val="bottom"/>
          </w:tcPr>
          <w:p>
            <w:pPr>
              <w:ind w:left="200"/>
              <w:spacing w:after="0"/>
              <w:rPr>
                <w:sz w:val="20"/>
                <w:szCs w:val="20"/>
                <w:color w:val="auto"/>
              </w:rPr>
            </w:pPr>
            <w:r>
              <w:rPr>
                <w:rFonts w:ascii="Arial" w:cs="Arial" w:eastAsia="Arial" w:hAnsi="Arial"/>
                <w:sz w:val="16"/>
                <w:szCs w:val="16"/>
                <w:i w:val="1"/>
                <w:iCs w:val="1"/>
                <w:color w:val="auto"/>
              </w:rPr>
              <w:t>Percent of sales</w:t>
            </w:r>
          </w:p>
        </w:tc>
        <w:tc>
          <w:tcPr>
            <w:tcW w:w="2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30.8 %</w:t>
            </w: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30.1 %</w:t>
            </w: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30.9 %</w:t>
            </w:r>
          </w:p>
        </w:tc>
        <w:tc>
          <w:tcPr>
            <w:tcW w:w="28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i w:val="1"/>
                <w:iCs w:val="1"/>
                <w:color w:val="auto"/>
              </w:rPr>
              <w:t>29.4 %</w:t>
            </w:r>
          </w:p>
        </w:tc>
      </w:tr>
      <w:tr>
        <w:trPr>
          <w:trHeight w:val="23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Selling and administrative expenses</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55.6</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5280" w:type="dxa"/>
            <w:vAlign w:val="bottom"/>
          </w:tcPr>
          <w:p>
            <w:pPr>
              <w:ind w:left="200"/>
              <w:spacing w:after="0"/>
              <w:rPr>
                <w:sz w:val="20"/>
                <w:szCs w:val="20"/>
                <w:color w:val="auto"/>
              </w:rPr>
            </w:pPr>
            <w:r>
              <w:rPr>
                <w:rFonts w:ascii="Arial" w:cs="Arial" w:eastAsia="Arial" w:hAnsi="Arial"/>
                <w:sz w:val="16"/>
                <w:szCs w:val="16"/>
                <w:i w:val="1"/>
                <w:iCs w:val="1"/>
                <w:color w:val="auto"/>
              </w:rPr>
              <w:t>Percent of sales</w:t>
            </w:r>
          </w:p>
        </w:tc>
        <w:tc>
          <w:tcPr>
            <w:tcW w:w="2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22.0 %</w:t>
            </w: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21.8 %</w:t>
            </w: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23.0 %</w:t>
            </w:r>
          </w:p>
        </w:tc>
        <w:tc>
          <w:tcPr>
            <w:tcW w:w="28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i w:val="1"/>
                <w:iCs w:val="1"/>
                <w:color w:val="auto"/>
              </w:rPr>
              <w:t>21.0 %</w:t>
            </w:r>
          </w:p>
        </w:tc>
      </w:tr>
      <w:tr>
        <w:trPr>
          <w:trHeight w:val="23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Amortization and earnout expenses</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5280" w:type="dxa"/>
            <w:vAlign w:val="bottom"/>
          </w:tcPr>
          <w:p>
            <w:pPr>
              <w:ind w:left="20"/>
              <w:spacing w:after="0"/>
              <w:rPr>
                <w:sz w:val="20"/>
                <w:szCs w:val="20"/>
                <w:color w:val="auto"/>
              </w:rPr>
            </w:pPr>
            <w:r>
              <w:rPr>
                <w:rFonts w:ascii="Arial" w:cs="Arial" w:eastAsia="Arial" w:hAnsi="Arial"/>
                <w:sz w:val="16"/>
                <w:szCs w:val="16"/>
                <w:color w:val="auto"/>
              </w:rPr>
              <w:t>Acquisition and integration expenses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Executive transition expenses</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2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30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28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28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5280" w:type="dxa"/>
            <w:vAlign w:val="bottom"/>
          </w:tcPr>
          <w:p>
            <w:pPr>
              <w:ind w:left="200"/>
              <w:spacing w:after="0"/>
              <w:rPr>
                <w:sz w:val="20"/>
                <w:szCs w:val="20"/>
                <w:color w:val="auto"/>
              </w:rPr>
            </w:pPr>
            <w:r>
              <w:rPr>
                <w:rFonts w:ascii="Arial" w:cs="Arial" w:eastAsia="Arial" w:hAnsi="Arial"/>
                <w:sz w:val="16"/>
                <w:szCs w:val="16"/>
                <w:i w:val="1"/>
                <w:iCs w:val="1"/>
                <w:color w:val="auto"/>
              </w:rPr>
              <w:t>Operating margin</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6.7 %</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5.4 %</w:t>
            </w: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5.8 %</w:t>
            </w:r>
          </w:p>
        </w:tc>
        <w:tc>
          <w:tcPr>
            <w:tcW w:w="2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i w:val="1"/>
                <w:iCs w:val="1"/>
                <w:color w:val="auto"/>
              </w:rPr>
              <w:t>5.6 %</w:t>
            </w:r>
          </w:p>
        </w:tc>
      </w:tr>
    </w:tbl>
    <w:p>
      <w:pPr>
        <w:spacing w:after="0" w:line="22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To compare operating performance between the three and six months ended June 30, 2023 and 2022, the Company has adjusted GAAP operating income to exclude (1) amortization of intangible assets, earnout and retention expenses, (2) acquisition and integration expenses, which include legal, accounting, and other expenses, (3) executive transition expenses, including fees and expenses incurred in the search, for and hiring, of new executives and (4) restructuring expenses primarily relating to severance, facility exits, and associated legal expenses.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presents the reconciliation of GAAP operating income and GAAP operating margin to non-GAAP operating income and non-GAAP operating margin: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242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6"/>
          </w:tcPr>
          <w:p>
            <w:pPr>
              <w:ind w:left="30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260" w:type="dxa"/>
            <w:vAlign w:val="bottom"/>
          </w:tcPr>
          <w:p>
            <w:pPr>
              <w:ind w:left="20"/>
              <w:spacing w:after="0"/>
              <w:rPr>
                <w:sz w:val="20"/>
                <w:szCs w:val="20"/>
                <w:color w:val="auto"/>
              </w:rPr>
            </w:pPr>
            <w:r>
              <w:rPr>
                <w:rFonts w:ascii="Arial" w:cs="Arial" w:eastAsia="Arial" w:hAnsi="Arial"/>
                <w:sz w:val="14"/>
                <w:szCs w:val="14"/>
                <w:b w:val="1"/>
                <w:bCs w:val="1"/>
                <w:color w:val="auto"/>
              </w:rPr>
              <w:t>(in millions, except ratios)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6"/>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as reported in accordance with GAAP</w:t>
            </w: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5260" w:type="dxa"/>
            <w:vAlign w:val="bottom"/>
          </w:tcPr>
          <w:p>
            <w:pPr>
              <w:ind w:left="200"/>
              <w:spacing w:after="0"/>
              <w:rPr>
                <w:sz w:val="20"/>
                <w:szCs w:val="20"/>
                <w:color w:val="auto"/>
              </w:rPr>
            </w:pPr>
            <w:r>
              <w:rPr>
                <w:rFonts w:ascii="Arial" w:cs="Arial" w:eastAsia="Arial" w:hAnsi="Arial"/>
                <w:sz w:val="18"/>
                <w:szCs w:val="18"/>
                <w:i w:val="1"/>
                <w:iCs w:val="1"/>
                <w:color w:val="auto"/>
              </w:rPr>
              <w:t>Operating margin in accordance with GAAP</w:t>
            </w:r>
          </w:p>
        </w:tc>
        <w:tc>
          <w:tcPr>
            <w:tcW w:w="8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6.7 %</w:t>
            </w:r>
          </w:p>
        </w:tc>
        <w:tc>
          <w:tcPr>
            <w:tcW w:w="94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5.4 %</w:t>
            </w:r>
          </w:p>
        </w:tc>
        <w:tc>
          <w:tcPr>
            <w:tcW w:w="2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5.8 %</w:t>
            </w:r>
          </w:p>
        </w:tc>
        <w:tc>
          <w:tcPr>
            <w:tcW w:w="3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i w:val="1"/>
                <w:iCs w:val="1"/>
                <w:color w:val="auto"/>
              </w:rPr>
              <w:t>5.6 %</w:t>
            </w:r>
          </w:p>
        </w:tc>
        <w:tc>
          <w:tcPr>
            <w:tcW w:w="20" w:type="dxa"/>
            <w:vAlign w:val="bottom"/>
          </w:tcPr>
          <w:p>
            <w:pPr>
              <w:spacing w:after="0"/>
              <w:rPr>
                <w:sz w:val="20"/>
                <w:szCs w:val="20"/>
                <w:color w:val="auto"/>
              </w:rPr>
            </w:pPr>
          </w:p>
        </w:tc>
      </w:tr>
      <w:tr>
        <w:trPr>
          <w:trHeight w:val="249"/>
        </w:trPr>
        <w:tc>
          <w:tcPr>
            <w:tcW w:w="52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and earnout expenses</w:t>
            </w:r>
          </w:p>
        </w:tc>
        <w:tc>
          <w:tcPr>
            <w:tcW w:w="80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5260" w:type="dxa"/>
            <w:vAlign w:val="bottom"/>
          </w:tcPr>
          <w:p>
            <w:pPr>
              <w:ind w:left="380"/>
              <w:spacing w:after="0"/>
              <w:rPr>
                <w:sz w:val="20"/>
                <w:szCs w:val="20"/>
                <w:color w:val="auto"/>
              </w:rPr>
            </w:pPr>
            <w:r>
              <w:rPr>
                <w:rFonts w:ascii="Arial" w:cs="Arial" w:eastAsia="Arial" w:hAnsi="Arial"/>
                <w:sz w:val="18"/>
                <w:szCs w:val="18"/>
                <w:color w:val="auto"/>
              </w:rPr>
              <w:t>Acquisition and integration expenses</w:t>
            </w:r>
          </w:p>
        </w:tc>
        <w:tc>
          <w:tcPr>
            <w:tcW w:w="8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52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Executive transition expenses</w:t>
            </w:r>
          </w:p>
        </w:tc>
        <w:tc>
          <w:tcPr>
            <w:tcW w:w="800" w:type="dxa"/>
            <w:vAlign w:val="bottom"/>
            <w:shd w:val="clear" w:color="auto" w:fill="CFF0FC"/>
          </w:tcPr>
          <w:p>
            <w:pPr>
              <w:spacing w:after="0"/>
              <w:rPr>
                <w:sz w:val="22"/>
                <w:szCs w:val="2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8"/>
                <w:szCs w:val="18"/>
                <w:color w:val="auto"/>
              </w:rPr>
              <w:t>Restructuring expenses</w:t>
            </w:r>
          </w:p>
        </w:tc>
        <w:tc>
          <w:tcPr>
            <w:tcW w:w="800" w:type="dxa"/>
            <w:vAlign w:val="bottom"/>
          </w:tcPr>
          <w:p>
            <w:pPr>
              <w:spacing w:after="0"/>
              <w:rPr>
                <w:sz w:val="20"/>
                <w:szCs w:val="2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Non-GAAP operating income</w:t>
            </w:r>
          </w:p>
        </w:tc>
        <w:tc>
          <w:tcPr>
            <w:tcW w:w="800" w:type="dxa"/>
            <w:vAlign w:val="bottom"/>
            <w:tcBorders>
              <w:top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80" w:type="dxa"/>
            <w:vAlign w:val="bottom"/>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8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5260" w:type="dxa"/>
            <w:vAlign w:val="bottom"/>
          </w:tcPr>
          <w:p>
            <w:pPr>
              <w:ind w:left="200"/>
              <w:spacing w:after="0"/>
              <w:rPr>
                <w:sz w:val="20"/>
                <w:szCs w:val="20"/>
                <w:color w:val="auto"/>
              </w:rPr>
            </w:pPr>
            <w:r>
              <w:rPr>
                <w:rFonts w:ascii="Arial" w:cs="Arial" w:eastAsia="Arial" w:hAnsi="Arial"/>
                <w:sz w:val="18"/>
                <w:szCs w:val="18"/>
                <w:i w:val="1"/>
                <w:iCs w:val="1"/>
                <w:color w:val="auto"/>
              </w:rPr>
              <w:t>Non-GAAP operating margin</w:t>
            </w:r>
          </w:p>
        </w:tc>
        <w:tc>
          <w:tcPr>
            <w:tcW w:w="8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8.8 %</w:t>
            </w:r>
          </w:p>
        </w:tc>
        <w:tc>
          <w:tcPr>
            <w:tcW w:w="94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8.3 %</w:t>
            </w:r>
          </w:p>
        </w:tc>
        <w:tc>
          <w:tcPr>
            <w:tcW w:w="2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7.9 %</w:t>
            </w:r>
          </w:p>
        </w:tc>
        <w:tc>
          <w:tcPr>
            <w:tcW w:w="3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i w:val="1"/>
                <w:iCs w:val="1"/>
                <w:color w:val="auto"/>
              </w:rPr>
              <w:t>8.3 %</w:t>
            </w:r>
          </w:p>
        </w:tc>
        <w:tc>
          <w:tcPr>
            <w:tcW w:w="20" w:type="dxa"/>
            <w:vAlign w:val="bottom"/>
          </w:tcPr>
          <w:p>
            <w:pPr>
              <w:spacing w:after="0"/>
              <w:rPr>
                <w:sz w:val="20"/>
                <w:szCs w:val="20"/>
                <w:color w:val="auto"/>
              </w:rPr>
            </w:pPr>
          </w:p>
        </w:tc>
      </w:tr>
    </w:tbl>
    <w:p>
      <w:pPr>
        <w:spacing w:after="0" w:line="21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Orders booked increased $49.4 million, or 43.5%, to $162.9 million during the three months ended June 30, 2023 compared with $113.5 million in the three months ended June 30, 2022. The increase is led by an increase of $49.4 million in our emissions management technologies, partially offset by a decrease of $12.4 million in separation, filtration, and industrial water technologies. Of the $162.9 million in orders booked during the three months ended June 30, 2023, $15.1 million is attributable to acquisitions that have occurred during the preceding twelve month period.</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Orders booked increased $34.6 million, or 12.6%, to $309.0 million during the six months ended June 30, 2023 compared with $274.4 million in the six months ended June 30, 2022. The increase is led by increases of $17.7 million in our emissions management technologies and $15.4 million in our engineered cyclone systems. Of the $309.0 million in orders booked during the six months ended June 30, 2023, $39.3 million is attributable to acquisitions that have occurred during the preceding twelve month period.</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sales for the three months ended June 30, 2023 increased $23.8 million, or 22.6%, to $129.2 million compared with $105.4 million for the three months ended June 30, 2022. The increase is broad-based, led by increases of $15.2 million in separation, filtration, and industrial water technologies and $5.4 million in our emissions management technologies. Approximately 95%, or $121.3 million, of net sales for the three months ended June 30, 2023 is attributable to organic revenue.</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Net sales for the six months ended June 30, 2023 increased $43.9 million, or 22.2%, to $241.7 million compared with $197.8 million for the six months ended June 30, 2022. The increase is broad-based, led by increases of $27.8 million in separation, filtration, and industrial water technologies, $9.4 million in our thermal acoustics technologies, and $5.5 million in products serving the industrial air</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end markets. Approximately 90%, or $221.2 million, of net sales for the six months ended June 30, 2023 is attributable to organic revenue.</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Gross profit increased $8.1 million, or 25.6%, to $39.8 million in the three months ended June 30, 2023 compared with $31.7 million in the three months ended June 30, 2022. The increase in gross profit is primarily attributable to the increase in organic sales as described above, operating leverage and acquisitions of businesses with favorable margins. Gross profit as a percentage of sales increased to 30.8% in the three months ended June 30, 2023 compared with 30.1% in the three months ended June 30, 2022.</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Gross profit increased $16.6 million, or 28.6%, to $74.7 million in the six months ended June 30, 2023 compared with $58.1 million in the six months ended June 30, 2022. The increase in gross profit is primarily attributable to the increase in sales volume as described above, higher project margin mix and acquisitions of businesses with favorable margins. Gross profit as a percentage of sales increased to 30.9% in the six months ended June 30, 2023 compared with 29.4% in the six months ended June 30, 2022.</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Selling and administrative expenses were $28.4 million for the three months ended June 30, 2023 compared with $23.0 million for the three months ended June 30, 2022. The increase is primarily attributable to acquisitions during the prior and current year, and increased headcount to support our growth and efforts to expand our global footprint.</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Selling and administrative expenses were $55.6 million for the six months ended June 30, 2023 compared with $41.6 million for the six months ended June 30, 2022. The increase is primarily attributable to acquisitions during the prior and current year, a $2.5 million favorable insurance settlement in the prior year, and increased headcount to support our growth and efforts to expand our global footprint.</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Amortization and earnout expense was $2.3 million for the three months ended June 30, 2023 compared with $1.5 million for the three months ended June 30, 2022. The increase in expense is attributable to an increase of $0.5 million in earnout expense and an increase of $0.3 million in definite lived asset amortization due to increased intangible assets attributable to current and prior year acquisitions.</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Amortization and earnout expense was $4.0 million for the six months ended June 30, 2023 compared with $2.9 million for the six months ended June 30, 2022. The increase in expense is attributable to an increase of $0.6 million in earnout expense and an increase of $0.5 million in definite lived asset amortization due to increased intangible assets attributable to current and prior year acquisitions.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Operating income increased $2.9 million to $8.6 million for the three months ended June 30, 2023 compared with operating income of $5.7 million for the three months ended June 30, 2022. The increase in operating income is primarily attributable to increases in net sales.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income increased $3.1 million to $14.1 million for the six months ended June 30, 2023 compared with operating income of $11.0 million for the six months ended June 30, 2022. The increase in operating income is primarily attributable to increases in net sales.</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Non-GAAP operating income was $11.4 million for the three months ended June 30, 2023 compared with $8.7 million for the three months ended June 30, 2022. Non-GAAP operating income as a percentage of sales increased to 8.8% for the three months ended June 30, 2023 from 8.3% for the three months ended June 30, 2022.</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Non-GAAP operating income was $19.1 million for the six months ended June 30, 2023 compared with $16.5 million for the six months ended June 30, 2022. Non-GAAP operating income as a percentage of sales was 7.9% for the three months ended June 30, 2023 compared to 8.3% for the six months ended June 30, 2022.</w:t>
      </w:r>
    </w:p>
    <w:p>
      <w:pPr>
        <w:spacing w:after="0" w:line="18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Interest expense increased to $3.8 million in the three months ended June 30, 2023 compared with interest expense of $1.1 million for the three months ended June 30, 2022. The increase in interest expense is primarily due to increased debt balances and rising interest rates.</w:t>
      </w:r>
    </w:p>
    <w:p>
      <w:pPr>
        <w:spacing w:after="0" w:line="1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Interest expense increased to $6.2 million in the six months ended June 30, 2023 compared with interest expense of $1.9 million for the six months ended June 30, 2022. The increase in interest expense is primarily due to increased debt balances and rising interest rates.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Income tax expense was $1.0 million for the three months ended June 30, 2023 compared with income tax expense of $1.9 million for the three months ended June 30, 2022. Income tax expense was $1.0 million for the six months ended June 30, 2023 compared with income tax expense of $3.0 million for the six months ended June 30, 2022. The effective income tax rate for the three months ended June 30, 2023 was 19.8% compared with 28.3% for the three months ended June 30, 2022. The effective income tax rate for the six months ended June 30, 2023 was 13.3% compared with 28.3% for the six months ended June 30, 2022. The effective income tax rates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3" w:name="page24"/>
    <w:bookmarkEnd w:id="23"/>
    <w:p>
      <w:pPr>
        <w:ind w:right="460"/>
        <w:spacing w:after="0" w:line="263" w:lineRule="auto"/>
        <w:rPr>
          <w:sz w:val="20"/>
          <w:szCs w:val="20"/>
          <w:color w:val="auto"/>
        </w:rPr>
      </w:pPr>
      <w:r>
        <w:rPr>
          <w:rFonts w:ascii="Arial" w:cs="Arial" w:eastAsia="Arial" w:hAnsi="Arial"/>
          <w:sz w:val="18"/>
          <w:szCs w:val="18"/>
          <w:color w:val="auto"/>
        </w:rPr>
        <w:t>for the three and six months ended June 30, 2023 differ from the United States federal statutory rate. Our effective tax rate is affected by certain other permanent differences, including state income taxes, non-deductible incentive stock-based compensation, and differences in tax rates among the jurisdictions in which we operate.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Company’s operations are organized and reviewed by management along its product lines or end market that the segment serves and are presented in two reportable segments. The results of the segments are reviewed through “Income from operations” on the unaudited Condensed Consolidated Statements of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6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6"/>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Sales (less intra- and inter-segment sales)</w:t>
            </w: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Engineered Systems segment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87,522</w:t>
            </w:r>
          </w:p>
        </w:tc>
        <w:tc>
          <w:tcPr>
            <w:tcW w:w="2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67,333</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161,977</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124,308</w:t>
            </w:r>
          </w:p>
        </w:tc>
        <w:tc>
          <w:tcPr>
            <w:tcW w:w="140" w:type="dxa"/>
            <w:vAlign w:val="bottom"/>
          </w:tcPr>
          <w:p>
            <w:pPr>
              <w:spacing w:after="0"/>
              <w:rPr>
                <w:sz w:val="20"/>
                <w:szCs w:val="20"/>
                <w:color w:val="auto"/>
              </w:rPr>
            </w:pPr>
          </w:p>
        </w:tc>
      </w:tr>
      <w:tr>
        <w:trPr>
          <w:trHeight w:val="249"/>
        </w:trPr>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41,659</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38,042</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79,767</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73,503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5200" w:type="dxa"/>
            <w:vAlign w:val="bottom"/>
          </w:tcPr>
          <w:p>
            <w:pPr>
              <w:ind w:left="20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129,181</w:t>
            </w:r>
          </w:p>
        </w:tc>
        <w:tc>
          <w:tcPr>
            <w:tcW w:w="28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105,375</w:t>
            </w:r>
          </w:p>
        </w:tc>
        <w:tc>
          <w:tcPr>
            <w:tcW w:w="28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241,744</w:t>
            </w:r>
          </w:p>
        </w:tc>
        <w:tc>
          <w:tcPr>
            <w:tcW w:w="28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197,811</w:t>
            </w:r>
          </w:p>
        </w:tc>
        <w:tc>
          <w:tcPr>
            <w:tcW w:w="140" w:type="dxa"/>
            <w:vAlign w:val="bottom"/>
          </w:tcPr>
          <w:p>
            <w:pPr>
              <w:spacing w:after="0"/>
              <w:rPr>
                <w:sz w:val="20"/>
                <w:szCs w:val="20"/>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21"/>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24"/>
                <w:szCs w:val="24"/>
                <w:color w:val="auto"/>
              </w:rPr>
            </w:pPr>
          </w:p>
        </w:tc>
        <w:tc>
          <w:tcPr>
            <w:tcW w:w="26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Engineered Systems segment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14,089</w:t>
            </w:r>
          </w:p>
        </w:tc>
        <w:tc>
          <w:tcPr>
            <w:tcW w:w="2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9,006</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23,894</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15,476</w:t>
            </w:r>
          </w:p>
        </w:tc>
        <w:tc>
          <w:tcPr>
            <w:tcW w:w="140" w:type="dxa"/>
            <w:vAlign w:val="bottom"/>
          </w:tcPr>
          <w:p>
            <w:pPr>
              <w:spacing w:after="0"/>
              <w:rPr>
                <w:sz w:val="20"/>
                <w:szCs w:val="20"/>
                <w:color w:val="auto"/>
              </w:rPr>
            </w:pPr>
          </w:p>
        </w:tc>
      </w:tr>
      <w:tr>
        <w:trPr>
          <w:trHeight w:val="249"/>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Industrial Process Solutions segment</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4,586</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5,482</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10,131</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9,621</w:t>
            </w:r>
          </w:p>
        </w:tc>
        <w:tc>
          <w:tcPr>
            <w:tcW w:w="140" w:type="dxa"/>
            <w:vAlign w:val="bottom"/>
            <w:shd w:val="clear" w:color="auto" w:fill="CFF0FC"/>
          </w:tcPr>
          <w:p>
            <w:pPr>
              <w:spacing w:after="0"/>
              <w:rPr>
                <w:sz w:val="21"/>
                <w:szCs w:val="21"/>
                <w:color w:val="auto"/>
              </w:rPr>
            </w:pPr>
          </w:p>
        </w:tc>
      </w:tr>
      <w:tr>
        <w:trPr>
          <w:trHeight w:val="243"/>
        </w:trPr>
        <w:tc>
          <w:tcPr>
            <w:tcW w:w="5200" w:type="dxa"/>
            <w:vAlign w:val="bottom"/>
          </w:tcPr>
          <w:p>
            <w:pPr>
              <w:ind w:left="20"/>
              <w:spacing w:after="0" w:line="243" w:lineRule="exact"/>
              <w:rPr>
                <w:sz w:val="20"/>
                <w:szCs w:val="20"/>
                <w:color w:val="auto"/>
              </w:rPr>
            </w:pPr>
            <w:r>
              <w:rPr>
                <w:rFonts w:ascii="Arial" w:cs="Arial" w:eastAsia="Arial" w:hAnsi="Arial"/>
                <w:sz w:val="18"/>
                <w:szCs w:val="18"/>
                <w:color w:val="auto"/>
              </w:rPr>
              <w:t>Corporate and Other</w:t>
            </w:r>
            <w:r>
              <w:rPr>
                <w:rFonts w:ascii="Arial" w:cs="Arial" w:eastAsia="Arial" w:hAnsi="Arial"/>
                <w:sz w:val="24"/>
                <w:szCs w:val="24"/>
                <w:color w:val="auto"/>
                <w:vertAlign w:val="superscript"/>
              </w:rPr>
              <w:t>(1)</w:t>
            </w:r>
          </w:p>
        </w:tc>
        <w:tc>
          <w:tcPr>
            <w:tcW w:w="3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(10,072 )</w:t>
            </w:r>
          </w:p>
        </w:tc>
        <w:tc>
          <w:tcPr>
            <w:tcW w:w="3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(8,742 )</w:t>
            </w:r>
          </w:p>
        </w:tc>
        <w:tc>
          <w:tcPr>
            <w:tcW w:w="2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(19,961 )</w:t>
            </w:r>
          </w:p>
        </w:tc>
        <w:tc>
          <w:tcPr>
            <w:tcW w:w="3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(14,147 )</w:t>
            </w:r>
          </w:p>
        </w:tc>
      </w:tr>
      <w:tr>
        <w:trPr>
          <w:trHeight w:val="270"/>
        </w:trPr>
        <w:tc>
          <w:tcPr>
            <w:tcW w:w="5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income from operations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8,603</w:t>
            </w:r>
          </w:p>
        </w:tc>
        <w:tc>
          <w:tcPr>
            <w:tcW w:w="2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5,746</w:t>
            </w:r>
          </w:p>
        </w:tc>
        <w:tc>
          <w:tcPr>
            <w:tcW w:w="2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14,064</w:t>
            </w:r>
          </w:p>
        </w:tc>
        <w:tc>
          <w:tcPr>
            <w:tcW w:w="2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10,950</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-1525270</wp:posOffset>
            </wp:positionV>
            <wp:extent cx="85725"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-1525270</wp:posOffset>
            </wp:positionV>
            <wp:extent cx="85725" cy="188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-1525270</wp:posOffset>
            </wp:positionV>
            <wp:extent cx="85725" cy="188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-1525270</wp:posOffset>
            </wp:positionV>
            <wp:extent cx="85725" cy="1885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-24765</wp:posOffset>
            </wp:positionV>
            <wp:extent cx="857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857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857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857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857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857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0"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corporate compensation, professional services, information technology and other general and administrative corporate expenses.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Engineered Systems Segment</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Engineered Systems segment net sales increased $20.2 million to $87.5 million for the three months ended June 30, 2023 compared with $67.3 million for the three months ended June 30, 2022. The increase is led by increases of $15.2 million in separation, filtration, and industrial water technologies and $5.4 million in our emissions management technologies. Approximately 90%, or $80.5 million, of net sales for the three months ended June 30, 2023 is attributable to organic revenue.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Engineered Systems segment net sales increased $37.7 million to $162.0 million for the six months ended June 30, 2023 compared with $124.3 million for the six months ended June 30, 2022. The increase is led by increases of $27.8 million in separation, filtration, and industrial water technologies and $9.4 million in our thermal acoustics technologies. Approximately 90%, or $143.4 million, of net sales for the six months ended June 30, 2023 is attributable to organic revenue.</w:t>
      </w:r>
    </w:p>
    <w:p>
      <w:pPr>
        <w:spacing w:after="0" w:line="18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Operating income for the Engineered Systems segment increased $5.1 million to $14.1 million for the three months ended June 30, 2023 compared with $9.0 million for the three months ended June 30, 2022. The increase is primarily attributable to increased sales, partially offset by an increase in direct costs.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for the Engineered Systems segment increased $8.4 million to $23.9 million for the six months ended June 30, 2023 compared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$15.5 million for the six months ended June 30, 2022. The increase is primarily attributable to increased sales, partially offset by an increase in direct costs.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Industrial Process Solutions Segment</w:t>
      </w:r>
    </w:p>
    <w:p>
      <w:pPr>
        <w:spacing w:after="0" w:line="225"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Our Industrial Process Solutions segment net sales increased $3.7 million to $41.7 million for the three months ended June 30, 2023 compared with $38.0 million for the three months ended June 30, 2022. The increase is primarily attributable to increases across all products serving industrial air end markets. Approximately 98%, or $40.7 million, of net sales for the three months ended June 30, 2023 is attributable to organic revenue.</w:t>
      </w:r>
    </w:p>
    <w:p>
      <w:pPr>
        <w:spacing w:after="0" w:line="149"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Our Industrial Process Solutions segment net sales increased $6.3 million to $79.8 million for the six months ended June 30, 2023 compared with $73.5 million for the six months ended June 30, 2022. The increase is primarily attributable to increases across all products serving industrial air end markets. Approximately 98%, or $77.8 million, of net sales for the six months ended June 30, 2023 is attributable to organic revenue.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ind w:right="80"/>
        <w:spacing w:after="0" w:line="263" w:lineRule="auto"/>
        <w:rPr>
          <w:sz w:val="20"/>
          <w:szCs w:val="20"/>
          <w:color w:val="auto"/>
        </w:rPr>
      </w:pPr>
      <w:r>
        <w:rPr>
          <w:rFonts w:ascii="Arial" w:cs="Arial" w:eastAsia="Arial" w:hAnsi="Arial"/>
          <w:sz w:val="18"/>
          <w:szCs w:val="18"/>
          <w:color w:val="auto"/>
        </w:rPr>
        <w:t>Operating income for the Industrial Process Solutions segment decreased $0.9 million to $4.6 million for the three months ended June 30, 2023 compared with $5.5 million for the three months ended June 30, 2022. The decrease is primarily attributable to an increase in costs related to materials and labor, partially offset by increased sales.</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Operating income for the Industrial Process Solutions segment increased $0.5 million to $10.1 million for the six months ended June 30, 2023 compared with $9.6 million for the six months ended June 30, 2022. The increase is primarily attributable to increased sales, offset by an increase costs related to materials and labor.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Corporate and Other Segment</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Operating expense for the Corporate and Other segment increased $1.4 million to $10.1 million for the three months ended June 30, 2023 compared with $8.7 million for the three months ended June 30, 2022. The increase is primarily attributable to investments made to support growth, and inflationary increases for wages and services.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 for the Corporate and Other segment increased $5.9 million to $20.0 million for the six months ended June 30, 2023 compared with</w:t>
      </w:r>
    </w:p>
    <w:p>
      <w:pPr>
        <w:spacing w:after="0" w:line="46"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$14.1 million for the six months ended June 30, 2022. The increase is primarily attributable to investments made to support growth, inflationary increases for wages and services, and a favorable insurance settlement of $2.5 million in the prior year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Backlog (i.e., unfulfilled or remaining performance obligations) represents the sales we expect to recognize for our products and services for which control has not yet transferred to the customer. Backlog increased to $391.0 million as of June 30, 2023 from $311.7 million as of December 31, 2022, with $49.9 million, or 63%, of the increase due to organic growth. Our customers may have the right to cancel a given order. Historically, cancellations have not been common. Backlog is adjusted on a quarterly basis for adjustments in foreign currency exchange rates. Substantially all backlog is expected to be delivered within 12 to 18 months. Backlog is not defined by GAAP and our methodology for calculating backlog may not be consistent with methodologies used by other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information regarding recent accounting pronouncements, see Note 2 to the unaudited condensed consolidated financial statements within Item 1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When we undertake large jobs, our working capital objective is to make these projects self-funding. We work to achieve this by obtaining initial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 under our Credit Facility (as defined below).</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June 30, 2023, the Company had working capital of $102.8 million, compared with $94.0 million at December 31, 2022. The ratio of current assets to current liabilities was 1.55 to 1.00 on June 30, 2023, as compared with a ratio of 1.64 to 1.00 on December 31, 2022.</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At June 30, 2023 and December 31, 2022, cash and cash equivalents totaled $47.6 million and $45.5 million, respectively. As of June 30, 2023 and December 31, 2022, $35.6 million and $31.7 million, respectively, of our cash and cash equivalents were held by certain non-United States subsidiaries, as well as being denominated in foreign currencies.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Debt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December 31, 2022</w:t>
            </w:r>
          </w:p>
        </w:tc>
      </w:tr>
      <w:tr>
        <w:trPr>
          <w:trHeight w:val="209"/>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borrowings under the Credit Facility (as defined below)</w:t>
            </w:r>
          </w:p>
        </w:tc>
        <w:tc>
          <w:tcPr>
            <w:tcW w:w="2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78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Term loan payable in quarterly principal installments of $550 through September 2023,</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78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$825 through September 2025 and $1,100 thereafter with balance due upon maturity in</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44"/>
        </w:trPr>
        <w:tc>
          <w:tcPr>
            <w:tcW w:w="78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December 2026.</w:t>
            </w: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800" w:type="dxa"/>
            <w:vAlign w:val="bottom"/>
          </w:tcPr>
          <w:p>
            <w:pPr>
              <w:ind w:left="200"/>
              <w:spacing w:after="0"/>
              <w:rPr>
                <w:sz w:val="20"/>
                <w:szCs w:val="20"/>
                <w:color w:val="auto"/>
              </w:rPr>
            </w:pPr>
            <w:r>
              <w:rPr>
                <w:rFonts w:ascii="Arial" w:cs="Arial" w:eastAsia="Arial" w:hAnsi="Arial"/>
                <w:sz w:val="18"/>
                <w:szCs w:val="18"/>
                <w:color w:val="auto"/>
              </w:rPr>
              <w:t>Term loan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40,207</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41,309</w:t>
            </w:r>
          </w:p>
        </w:tc>
        <w:tc>
          <w:tcPr>
            <w:tcW w:w="140" w:type="dxa"/>
            <w:vAlign w:val="bottom"/>
          </w:tcPr>
          <w:p>
            <w:pPr>
              <w:spacing w:after="0"/>
              <w:rPr>
                <w:sz w:val="20"/>
                <w:szCs w:val="20"/>
                <w:color w:val="auto"/>
              </w:rPr>
            </w:pPr>
          </w:p>
        </w:tc>
      </w:tr>
      <w:tr>
        <w:trPr>
          <w:trHeight w:val="249"/>
        </w:trPr>
        <w:tc>
          <w:tcPr>
            <w:tcW w:w="7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Revolving credit facility</w:t>
            </w:r>
          </w:p>
        </w:tc>
        <w:tc>
          <w:tcPr>
            <w:tcW w:w="2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93,200</w:t>
            </w:r>
          </w:p>
        </w:tc>
        <w:tc>
          <w:tcPr>
            <w:tcW w:w="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61,300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Total outstanding borrowings under the Credit Facility</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133,407</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102,609</w:t>
            </w:r>
          </w:p>
        </w:tc>
        <w:tc>
          <w:tcPr>
            <w:tcW w:w="140" w:type="dxa"/>
            <w:vAlign w:val="bottom"/>
          </w:tcPr>
          <w:p>
            <w:pPr>
              <w:spacing w:after="0"/>
              <w:rPr>
                <w:sz w:val="20"/>
                <w:szCs w:val="20"/>
                <w:color w:val="auto"/>
              </w:rPr>
            </w:pPr>
          </w:p>
        </w:tc>
      </w:tr>
      <w:tr>
        <w:trPr>
          <w:trHeight w:val="249"/>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borrowings under the joint venture term debt</w:t>
            </w: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9,406</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10,083</w:t>
            </w:r>
          </w:p>
        </w:tc>
        <w:tc>
          <w:tcPr>
            <w:tcW w:w="140" w:type="dxa"/>
            <w:vAlign w:val="bottom"/>
            <w:shd w:val="clear" w:color="auto" w:fill="CFF0FC"/>
          </w:tcPr>
          <w:p>
            <w:pPr>
              <w:spacing w:after="0"/>
              <w:rPr>
                <w:sz w:val="21"/>
                <w:szCs w:val="2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20" w:type="dxa"/>
            <w:vAlign w:val="bottom"/>
          </w:tcPr>
          <w:p>
            <w:pPr>
              <w:spacing w:after="0"/>
              <w:rPr>
                <w:sz w:val="21"/>
                <w:szCs w:val="21"/>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(1,178 )</w:t>
            </w:r>
          </w:p>
        </w:tc>
        <w:tc>
          <w:tcPr>
            <w:tcW w:w="140" w:type="dxa"/>
            <w:vAlign w:val="bottom"/>
          </w:tcPr>
          <w:p>
            <w:pPr>
              <w:spacing w:after="0"/>
              <w:rPr>
                <w:sz w:val="21"/>
                <w:szCs w:val="21"/>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(1,488 )</w:t>
            </w:r>
          </w:p>
        </w:tc>
      </w:tr>
      <w:tr>
        <w:trPr>
          <w:trHeight w:val="237"/>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outstanding borrowings</w:t>
            </w:r>
          </w:p>
        </w:tc>
        <w:tc>
          <w:tcPr>
            <w:tcW w:w="22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141,635</w:t>
            </w:r>
          </w:p>
        </w:tc>
        <w:tc>
          <w:tcPr>
            <w:tcW w:w="3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111,204</w:t>
            </w:r>
          </w:p>
        </w:tc>
        <w:tc>
          <w:tcPr>
            <w:tcW w:w="140" w:type="dxa"/>
            <w:vAlign w:val="bottom"/>
            <w:shd w:val="clear" w:color="auto" w:fill="CFF0FC"/>
          </w:tcPr>
          <w:p>
            <w:pPr>
              <w:spacing w:after="0"/>
              <w:rPr>
                <w:sz w:val="20"/>
                <w:szCs w:val="20"/>
                <w:color w:val="auto"/>
              </w:rPr>
            </w:pPr>
          </w:p>
        </w:tc>
      </w:tr>
      <w:tr>
        <w:trPr>
          <w:trHeight w:val="243"/>
        </w:trPr>
        <w:tc>
          <w:tcPr>
            <w:tcW w:w="7800" w:type="dxa"/>
            <w:vAlign w:val="bottom"/>
          </w:tcPr>
          <w:p>
            <w:pPr>
              <w:ind w:left="160"/>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21"/>
                <w:szCs w:val="21"/>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(4,313 )</w:t>
            </w:r>
          </w:p>
        </w:tc>
        <w:tc>
          <w:tcPr>
            <w:tcW w:w="140" w:type="dxa"/>
            <w:vAlign w:val="bottom"/>
          </w:tcPr>
          <w:p>
            <w:pPr>
              <w:spacing w:after="0"/>
              <w:rPr>
                <w:sz w:val="21"/>
                <w:szCs w:val="21"/>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(3,579 )</w:t>
            </w:r>
          </w:p>
        </w:tc>
      </w:tr>
      <w:tr>
        <w:trPr>
          <w:trHeight w:val="277"/>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debt, less current portion</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137,322</w:t>
            </w:r>
          </w:p>
        </w:tc>
        <w:tc>
          <w:tcPr>
            <w:tcW w:w="3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107,625</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-976630</wp:posOffset>
            </wp:positionV>
            <wp:extent cx="85725" cy="1631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-976630</wp:posOffset>
            </wp:positionV>
            <wp:extent cx="85725" cy="1631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857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857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22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Company’s outstanding borrowings in the United States consist of a senior secured term loan and a senior secured revolver loan with sub-facilities for letters of credit, swing-line loans and multi-currency loans (collectively, the “Credit Facility”). As of June 30, 2023 and December 31, 2022, the Company was in compliance with all related financial and other restrictive covenants under the Credit Facility.</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See Note 7 to the unaudited condensed consolidated financial statements within Item 1 of this Quarterly Report on Form 10-Q for further information on the Company’s debt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Total unused credit availability under our existing Credit Facility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1820" w:type="dxa"/>
            <w:vAlign w:val="bottom"/>
            <w:gridSpan w:val="2"/>
          </w:tcPr>
          <w:p>
            <w:pPr>
              <w:jc w:val="right"/>
              <w:ind w:right="710"/>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Pr>
          <w:p>
            <w:pPr>
              <w:spacing w:after="0"/>
              <w:rPr>
                <w:sz w:val="16"/>
                <w:szCs w:val="16"/>
                <w:color w:val="auto"/>
              </w:rPr>
            </w:pPr>
          </w:p>
        </w:tc>
        <w:tc>
          <w:tcPr>
            <w:tcW w:w="1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December 31, 2022</w:t>
            </w:r>
          </w:p>
        </w:tc>
      </w:tr>
      <w:tr>
        <w:trPr>
          <w:trHeight w:val="236"/>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Credit Facility, revolving loans</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3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40" w:type="dxa"/>
            <w:vAlign w:val="bottom"/>
            <w:shd w:val="clear" w:color="auto" w:fill="CFF0FC"/>
          </w:tcPr>
          <w:p>
            <w:pPr>
              <w:spacing w:after="0"/>
              <w:rPr>
                <w:sz w:val="20"/>
                <w:szCs w:val="20"/>
                <w:color w:val="auto"/>
              </w:rPr>
            </w:pPr>
          </w:p>
        </w:tc>
      </w:tr>
      <w:tr>
        <w:trPr>
          <w:trHeight w:val="237"/>
        </w:trPr>
        <w:tc>
          <w:tcPr>
            <w:tcW w:w="7200" w:type="dxa"/>
            <w:vAlign w:val="bottom"/>
          </w:tcPr>
          <w:p>
            <w:pPr>
              <w:ind w:left="200"/>
              <w:spacing w:after="0"/>
              <w:rPr>
                <w:sz w:val="20"/>
                <w:szCs w:val="20"/>
                <w:color w:val="auto"/>
              </w:rPr>
            </w:pPr>
            <w:r>
              <w:rPr>
                <w:rFonts w:ascii="Arial" w:cs="Arial" w:eastAsia="Arial" w:hAnsi="Arial"/>
                <w:sz w:val="18"/>
                <w:szCs w:val="18"/>
                <w:color w:val="auto"/>
              </w:rPr>
              <w:t>Draw down</w:t>
            </w:r>
          </w:p>
        </w:tc>
        <w:tc>
          <w:tcPr>
            <w:tcW w:w="300" w:type="dxa"/>
            <w:vAlign w:val="bottom"/>
          </w:tcPr>
          <w:p>
            <w:pPr>
              <w:spacing w:after="0"/>
              <w:rPr>
                <w:sz w:val="20"/>
                <w:szCs w:val="20"/>
                <w:color w:val="auto"/>
              </w:rPr>
            </w:pPr>
          </w:p>
        </w:tc>
        <w:tc>
          <w:tcPr>
            <w:tcW w:w="1820" w:type="dxa"/>
            <w:vAlign w:val="bottom"/>
            <w:gridSpan w:val="2"/>
          </w:tcPr>
          <w:p>
            <w:pPr>
              <w:jc w:val="right"/>
              <w:ind w:right="170"/>
              <w:spacing w:after="0"/>
              <w:rPr>
                <w:sz w:val="20"/>
                <w:szCs w:val="20"/>
                <w:color w:val="auto"/>
              </w:rPr>
            </w:pPr>
            <w:r>
              <w:rPr>
                <w:rFonts w:ascii="Arial" w:cs="Arial" w:eastAsia="Arial" w:hAnsi="Arial"/>
                <w:sz w:val="18"/>
                <w:szCs w:val="18"/>
                <w:color w:val="auto"/>
              </w:rPr>
              <w:t>(93.2 )</w:t>
            </w:r>
          </w:p>
        </w:tc>
        <w:tc>
          <w:tcPr>
            <w:tcW w:w="200" w:type="dxa"/>
            <w:vAlign w:val="bottom"/>
          </w:tcPr>
          <w:p>
            <w:pPr>
              <w:spacing w:after="0"/>
              <w:rPr>
                <w:sz w:val="20"/>
                <w:szCs w:val="20"/>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(61.3 )</w:t>
            </w:r>
          </w:p>
        </w:tc>
      </w:tr>
      <w:tr>
        <w:trPr>
          <w:trHeight w:val="243"/>
        </w:trPr>
        <w:tc>
          <w:tcPr>
            <w:tcW w:w="7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Letters of credit open</w:t>
            </w:r>
          </w:p>
        </w:tc>
        <w:tc>
          <w:tcPr>
            <w:tcW w:w="3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(18.9 )</w:t>
            </w:r>
          </w:p>
        </w:tc>
      </w:tr>
      <w:tr>
        <w:trPr>
          <w:trHeight w:val="236"/>
        </w:trPr>
        <w:tc>
          <w:tcPr>
            <w:tcW w:w="72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unused credit availability</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3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40" w:type="dxa"/>
            <w:vAlign w:val="bottom"/>
            <w:tcBorders>
              <w:top w:val="single" w:sz="8" w:color="CFF0FC"/>
            </w:tcBorders>
          </w:tcPr>
          <w:p>
            <w:pPr>
              <w:spacing w:after="0"/>
              <w:rPr>
                <w:sz w:val="20"/>
                <w:szCs w:val="20"/>
                <w:color w:val="auto"/>
              </w:rPr>
            </w:pP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7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Amount available based on borrowing limitations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3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527"/>
        </w:trPr>
        <w:tc>
          <w:tcPr>
            <w:tcW w:w="7200" w:type="dxa"/>
            <w:vAlign w:val="bottom"/>
          </w:tcPr>
          <w:p>
            <w:pPr>
              <w:spacing w:after="0"/>
              <w:rPr>
                <w:sz w:val="20"/>
                <w:szCs w:val="20"/>
                <w:color w:val="auto"/>
              </w:rPr>
            </w:pPr>
            <w:r>
              <w:rPr>
                <w:rFonts w:ascii="Arial" w:cs="Arial" w:eastAsia="Arial" w:hAnsi="Arial"/>
                <w:sz w:val="18"/>
                <w:szCs w:val="18"/>
                <w:b w:val="1"/>
                <w:bCs w:val="1"/>
                <w:color w:val="auto"/>
              </w:rPr>
              <w:t>Overview of Cash Flows and Liquidity</w:t>
            </w: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10"/>
        </w:trPr>
        <w:tc>
          <w:tcPr>
            <w:tcW w:w="7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40" w:type="dxa"/>
            <w:vAlign w:val="bottom"/>
            <w:gridSpan w:val="5"/>
          </w:tcPr>
          <w:p>
            <w:pPr>
              <w:jc w:val="right"/>
              <w:ind w:right="126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6"/>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3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18,691</w:t>
            </w:r>
          </w:p>
        </w:tc>
        <w:tc>
          <w:tcPr>
            <w:tcW w:w="140" w:type="dxa"/>
            <w:vAlign w:val="bottom"/>
            <w:shd w:val="clear" w:color="auto" w:fill="CFF0FC"/>
          </w:tcPr>
          <w:p>
            <w:pPr>
              <w:spacing w:after="0"/>
              <w:rPr>
                <w:sz w:val="20"/>
                <w:szCs w:val="20"/>
                <w:color w:val="auto"/>
              </w:rPr>
            </w:pP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0"/>
                <w:szCs w:val="20"/>
                <w:color w:val="auto"/>
              </w:rPr>
            </w:pPr>
          </w:p>
        </w:tc>
        <w:tc>
          <w:tcPr>
            <w:tcW w:w="1820" w:type="dxa"/>
            <w:vAlign w:val="bottom"/>
            <w:gridSpan w:val="2"/>
          </w:tcPr>
          <w:p>
            <w:pPr>
              <w:jc w:val="right"/>
              <w:ind w:right="170"/>
              <w:spacing w:after="0"/>
              <w:rPr>
                <w:sz w:val="20"/>
                <w:szCs w:val="20"/>
                <w:color w:val="auto"/>
              </w:rPr>
            </w:pPr>
            <w:r>
              <w:rPr>
                <w:rFonts w:ascii="Arial" w:cs="Arial" w:eastAsia="Arial" w:hAnsi="Arial"/>
                <w:sz w:val="18"/>
                <w:szCs w:val="18"/>
                <w:color w:val="auto"/>
              </w:rPr>
              <w:t>(28,061 )</w:t>
            </w:r>
          </w:p>
        </w:tc>
        <w:tc>
          <w:tcPr>
            <w:tcW w:w="200" w:type="dxa"/>
            <w:vAlign w:val="bottom"/>
          </w:tcPr>
          <w:p>
            <w:pPr>
              <w:spacing w:after="0"/>
              <w:rPr>
                <w:sz w:val="20"/>
                <w:szCs w:val="20"/>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(38,797 )</w:t>
            </w:r>
          </w:p>
        </w:tc>
      </w:tr>
      <w:tr>
        <w:trPr>
          <w:trHeight w:val="249"/>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29,498</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26,655</w:t>
            </w:r>
          </w:p>
        </w:tc>
        <w:tc>
          <w:tcPr>
            <w:tcW w:w="140" w:type="dxa"/>
            <w:vAlign w:val="bottom"/>
            <w:shd w:val="clear" w:color="auto" w:fill="CFF0FC"/>
          </w:tcPr>
          <w:p>
            <w:pPr>
              <w:spacing w:after="0"/>
              <w:rPr>
                <w:sz w:val="21"/>
                <w:szCs w:val="21"/>
                <w:color w:val="auto"/>
              </w:rPr>
            </w:pP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1,141</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(3,091 )</w:t>
            </w:r>
          </w:p>
        </w:tc>
      </w:tr>
      <w:tr>
        <w:trPr>
          <w:trHeight w:val="276"/>
        </w:trPr>
        <w:tc>
          <w:tcPr>
            <w:tcW w:w="7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decrease in cash</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1,967</w:t>
            </w:r>
          </w:p>
        </w:tc>
        <w:tc>
          <w:tcPr>
            <w:tcW w:w="3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3,458</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-1842770</wp:posOffset>
            </wp:positionV>
            <wp:extent cx="85725" cy="1885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-1842770</wp:posOffset>
            </wp:positionV>
            <wp:extent cx="85725" cy="1885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-1499870</wp:posOffset>
            </wp:positionV>
            <wp:extent cx="857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-1482090</wp:posOffset>
            </wp:positionV>
            <wp:extent cx="857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-1499870</wp:posOffset>
            </wp:positionV>
            <wp:extent cx="857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-1482090</wp:posOffset>
            </wp:positionV>
            <wp:extent cx="857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857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857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six months ended June 30, 2023, $0.6 million of cash was used in operating activities compared with $18.7 million provided by operations in the prior year period, representing a $19.3 million additional use of cash. Cash flow from operating activities in the first six months of 2023 had an unfavorable impact year-over-year primarily due to timing of receipt of outstanding receivables and payments to suppliers, as well as the decrease in net income compared to the prior year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For the six months ended June 30, 2023, net cash used in investing activities was $28.1 million compared with $38.8 million used in investing activities in the prior year period. For the six months ended June 30, 2023, the $28.1 million cash used in investing activities was the result of $24.2 million cash used for acquisitions as described in Note 14 to the unaudited condensed consolidated financial statements, and $3.9 million for the acquisition of property and equipment. In the prior year period, the $38.8 million cash used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ind w:right="580" w:firstLine="45"/>
        <w:spacing w:after="0" w:line="277" w:lineRule="auto"/>
        <w:rPr>
          <w:sz w:val="20"/>
          <w:szCs w:val="20"/>
          <w:color w:val="auto"/>
        </w:rPr>
      </w:pPr>
      <w:r>
        <w:rPr>
          <w:rFonts w:ascii="Arial" w:cs="Arial" w:eastAsia="Arial" w:hAnsi="Arial"/>
          <w:sz w:val="18"/>
          <w:szCs w:val="18"/>
          <w:color w:val="auto"/>
        </w:rPr>
        <w:t>investing activities was the result of $37.4 million used for acquisitions as described in Note 14 and $1.4 million for the acquisition of property and equipment.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the six months ended June 30, 2023, $29.5 million was provided by financing activities compared with $26.7 million provided by financing activities in the prior year period, for an increase of $2.8 million. For the six months ended June 30, 2023, the Company used $31.9 million for net borrowings on the Company’s revolving credit lines, primarily used to finance current year acquisitions, $1.7 million in repayment on long-term debt, $0.9 million on deferred payments for acquisitions, and $0.6 million on distributions to the noncontrolling interest. The Company also received $1.2 million of proceeds from the exercise of stock options and the employee stock purchase plan. In the prior year period, the Company used $22.7 million for net borrowings on the Company’s revolving credit lines and $9.5 million for net borrowings on long-term debt, primarily used to finance acquisitions, as well as $4.3 million on common stock repurchases and $0.9 million on distributions to the noncontrolling interest.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Management’s discussion and analysis of the Company’s financial condition and results of operations are based upon the Company’s condensed consolidated financial statements. The preparation of these financial statements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revenue recognition, the valuation of trade receivables, inventories, goodwill, intangible assets, other long-lived assets, legal contingencies, guarantee obligations and assumptions used in the calculation of income taxes, assumptions used in business combination accounting and related balances, and pension and post-retirement benefits, among others. These estimates and assumptions are based on management’s best estimates and judgment. Management evaluates its estimates and assumptions on an ongoing basis using historical experience and other factors. Management monitors economic conditions and other factors and will adjust such estimates and assumptions when facts and circumstances dictate. As future events and their effects cannot be determined with precision, actual results could differ significantly from these estimates.</w:t>
      </w:r>
    </w:p>
    <w:p>
      <w:pPr>
        <w:spacing w:after="0" w:line="18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Management believes there have been no changes during the six months ended June 30, 2023 to the items that the Company disclosed as its critical accounting policies and estimates in Management’s Discussion and Analysis of Financial Condition and Results of Operations in the Company’s Annual Report on Form 10-K for the year ended December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Quarterly Report on Form 10-Q includes forward-looking statements within the meaning of Section 27A of the Securities Act of 1933 and Section 21E of the Securities Exchange Act of 1934, both as amended, which are intended to be covered by the safe harbor for “forward-looking statements” provided by the Private Securities Litigation Reform Act of 1995. Any statements contained in this Quarterly Report on Form 10-Q,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2022, and include, but are not limited to:</w:t>
      </w:r>
    </w:p>
    <w:p>
      <w:pPr>
        <w:spacing w:after="0" w:line="185" w:lineRule="exact"/>
        <w:rPr>
          <w:sz w:val="20"/>
          <w:szCs w:val="20"/>
          <w:color w:val="auto"/>
        </w:rPr>
      </w:pPr>
    </w:p>
    <w:p>
      <w:pPr>
        <w:ind w:left="760" w:hanging="378"/>
        <w:spacing w:after="0"/>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sensitivity of our business to economic and financial market conditions generally and economic conditions in CECO’s service areas;</w:t>
      </w:r>
    </w:p>
    <w:p>
      <w:pPr>
        <w:spacing w:after="0" w:line="128" w:lineRule="exact"/>
        <w:rPr>
          <w:rFonts w:ascii="Arial" w:cs="Arial" w:eastAsia="Arial" w:hAnsi="Arial"/>
          <w:sz w:val="17"/>
          <w:szCs w:val="17"/>
          <w:color w:val="auto"/>
        </w:rPr>
      </w:pPr>
    </w:p>
    <w:p>
      <w:pPr>
        <w:ind w:left="760" w:right="120" w:hanging="378"/>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dependence on fixed price contracts and the risks associated therewith, including actual costs exceeding estimates and method of accounting for revenue;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growth on CECO’s infrastructure, resources and existing sales;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expand operations in both new and existing markets;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contract delay or cancellation as a result of on-going or worsening supply chain challenges;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liabilities arising from faulty services or products that could result in significant professional or product liability, warranty or other claims;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or developments with respect to any litigation or investigation;</w:t>
      </w:r>
    </w:p>
    <w:p>
      <w:pPr>
        <w:spacing w:after="0" w:line="117" w:lineRule="exact"/>
        <w:rPr>
          <w:rFonts w:ascii="Arial" w:cs="Arial" w:eastAsia="Arial" w:hAnsi="Arial"/>
          <w:sz w:val="18"/>
          <w:szCs w:val="18"/>
          <w:color w:val="auto"/>
        </w:rPr>
      </w:pPr>
    </w:p>
    <w:p>
      <w:pPr>
        <w:ind w:left="760" w:right="500" w:hanging="378"/>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meet timely completion or performance standards that could result in higher cost and reduced profits or, in some cases, losses on projects;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potential for fluctuations in prices for manufactured components and raw materials, including as a result of tariffs and surcharges;</w:t>
      </w:r>
    </w:p>
    <w:p>
      <w:pPr>
        <w:spacing w:after="0" w:line="128" w:lineRule="exact"/>
        <w:rPr>
          <w:rFonts w:ascii="Arial" w:cs="Arial" w:eastAsia="Arial" w:hAnsi="Arial"/>
          <w:sz w:val="17"/>
          <w:szCs w:val="17"/>
          <w:color w:val="auto"/>
        </w:rPr>
      </w:pPr>
    </w:p>
    <w:p>
      <w:pPr>
        <w:ind w:left="760" w:right="280" w:hanging="378"/>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substantial amount of debt incurred in connection with our strategic transactions and our ability to repay or refinance it or incur additional debt in the future;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federal, state or local government regulations;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adverse developments affecting the banking and financial services industries on our ability to access our funds and deposits and our ability to raise or access capital in the future;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repurchase shares of our common stock and the amounts and timing of repurchases, if any;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and political conditions generally;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integrate acquired businesses and realize the synergies from strategic transactions;</w:t>
      </w:r>
    </w:p>
    <w:p>
      <w:pPr>
        <w:spacing w:after="0" w:line="117" w:lineRule="exact"/>
        <w:rPr>
          <w:rFonts w:ascii="Arial" w:cs="Arial" w:eastAsia="Arial" w:hAnsi="Arial"/>
          <w:sz w:val="18"/>
          <w:szCs w:val="18"/>
          <w:color w:val="auto"/>
        </w:rPr>
      </w:pPr>
    </w:p>
    <w:p>
      <w:pPr>
        <w:ind w:left="760" w:right="200" w:hanging="378"/>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unpredictability and severity of catastrophic events, including cybersecurity threats, acts of terrorism or outbreak of war or hostilities or public health crises, as well as management’s response to any of the aforementioned factors; and</w:t>
      </w:r>
    </w:p>
    <w:p>
      <w:pPr>
        <w:spacing w:after="0" w:line="62" w:lineRule="exact"/>
        <w:rPr>
          <w:rFonts w:ascii="Arial" w:cs="Arial" w:eastAsia="Arial" w:hAnsi="Arial"/>
          <w:sz w:val="18"/>
          <w:szCs w:val="18"/>
          <w:color w:val="auto"/>
        </w:rPr>
      </w:pPr>
    </w:p>
    <w:p>
      <w:pPr>
        <w:ind w:left="760" w:right="320" w:hanging="378"/>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remediate our material weakness, or any other material weakness that we may identify in the future that could result in material misstatements in our financial statements.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Many of these risks are beyond management’s ability to control or predict.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our views as of the date the statement is made. Furthermore, the forward-looking statements speak only as of the date they are made. Except as required under the federal securities laws or the rules and regulations of the Securities and Exchange Commission (the “SEC”), we undertake no obligation to update or review any forward-looking statements, whether as a result of new information, future events or otherwise.</w:t>
      </w:r>
    </w:p>
    <w:p>
      <w:pPr>
        <w:spacing w:after="0" w:line="1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w:t>
      </w:r>
    </w:p>
    <w:p>
      <w:pPr>
        <w:spacing w:after="0" w:line="184"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carrying value of the Company’s total long-term debt and current maturities of long-term debt at June 30, 2023 was $142.8 million. Market risk was estimated as the potential decrease (increase) in future earnings and cash flows resulting from a hypothetical 10% increase (decrease) in the Company’s estimated weighted average borrowing rate at June 30, 2023. Most of the interest on the Company’s debt is indexed to SOFR market rates. The estimated annual impact of a hypothetical 10% change in the estimated weighted average borrowing rate at June 30, 2023 is $1.2 million.</w:t>
      </w:r>
    </w:p>
    <w:p>
      <w:pPr>
        <w:spacing w:after="0" w:line="15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has wholly-owned subsidiaries in several countries, including in the Netherlands, Canada, the People’s Republic of China, Mexico, United Kingdom, Singapore, India, United Arab Emirates and South Korea. In the past, we have not hedged our foreign currency exposure, and fluctuations in exchange rates have not materially affected our operating results. Future changes in exchange rates may positively or negatively impact our revenues, operating expenses and earnings. Transaction gains (losses) included in “Other income (expense), net” line of the Condensed Consolidated Statements of Income were $0.3 million and $(1.6) million for the three months ended June 30, 2023 and 2022, respectively, and $0.8 million and $(1.3) million for the six months ended June 30, 2023 and 2022, respectively.</w:t>
      </w:r>
    </w:p>
    <w:p>
      <w:pPr>
        <w:spacing w:after="0" w:line="1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maintains disclosure controls and procedures (as defined in Rule 13a-15(e) of the Securities Exchange Act of 1934 (the “Exchange Act”)) that are designed to ensure that information required to be disclosed by the Company in reports that it files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8" w:name="page29"/>
    <w:bookmarkEnd w:id="28"/>
    <w:p>
      <w:pPr>
        <w:ind w:right="60"/>
        <w:spacing w:after="0" w:line="263" w:lineRule="auto"/>
        <w:rPr>
          <w:sz w:val="20"/>
          <w:szCs w:val="20"/>
          <w:color w:val="auto"/>
        </w:rPr>
      </w:pPr>
      <w:r>
        <w:rPr>
          <w:rFonts w:ascii="Arial" w:cs="Arial" w:eastAsia="Arial" w:hAnsi="Arial"/>
          <w:sz w:val="18"/>
          <w:szCs w:val="18"/>
          <w:color w:val="auto"/>
        </w:rPr>
        <w:t>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evaluated the effectiveness of the Company’s disclosure controls and procedures as of the end of the period covered by this Quarterly Report on Form 10-Q. Based on that evaluation, our management, including our Chief Executive Officer and Chief Financial Officer, concluded that our disclosure controls and procedures were not effective as of June 30, 2023, as the result of the material weakness in our internal control over financial reporting discussed below, which is currently being remediated.</w:t>
      </w:r>
    </w:p>
    <w:p>
      <w:pPr>
        <w:spacing w:after="0" w:line="18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Notwithstanding the material weakness, management believes that the condensed consolidated financial statements included in this report present fairly, in all material respects, the Company’s financial condition, results of operations and cash flows for each of the periods presented in this report in conformity with accounting principles generally accepted in the United States of America.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in Internal Control over Financial Reporting</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connection with our evaluation for the period ended June 30, 2023, we identified a material weakness in internal control over financial reporting for the first quarter ended March 31, 2023 relating to management’s review of its revenue recognition for contracts recognized over time isolated to our Engineered Systems segment. Specifically, for the quarter ended March 31, 2023, management did not retain appropriate documentation supporting the review of over time revenue recognition for customer contracts within the Engineered Systems segment.</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material weakness did not result in any material misstatement in our interim financial statements or disclosures, and there were no changes required to any of our previously released interim or audited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 to Address Material Weakness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Management is committed to maintaining a strong internal control environment. In response to the identified material weakness, management, with the oversight of the Audit Committee of the Board of Directors, has taken actions toward the remediation of the material weakness in internal control over financial reporting, including reinforcing the importance of adherence to Company policies regarding control performance and related documentation with control owners, strengthening existing training programs for control owners, and developing monitoring activities to validate the performance of controls by control owners.</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anticipates the actions described above and resulting improvements in controls will strengthen the Company’s processes, procedures and controls related to management’s review of over time revenue recognition and will address the related material weakness. However, the material weakness cannot be considered remediated until the applicable control has operated for a sufficient period of time, and management has concluded, through testing, that the control is operating effectively.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Other than the material weakness described above and the ongoing remediation of such material weakness, there were no changes in the Company’s internal control over financial reporting (as defined in Rule 13a-15(f) of the Exchange Act) during the quarter ended June 30, 2023 that materially affected, or are reasonably likely to materially affect, the Company’s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See Note 13 to the unaudited Condensed Consolidated Financial Statements contained in Part I, Item 1 of this Quarterly Report on Form 10-Q for information regarding legal proceedings in which the Company is involved.</w:t>
      </w:r>
    </w:p>
    <w:p>
      <w:pPr>
        <w:spacing w:after="0" w:line="166"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have been no material changes in the Company’s risk factors that were disclosed in “Part I – Item 1A. Risk Factors” of the Company's Annual Report on Form 10-K for the year ended December 31, 2022.</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purchases of the Company's equity securities for the three months ended June 30, 2023:</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(in thousands, except per share data)</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Issuer's Purchases of Equity Securities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54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400" w:type="dxa"/>
            <w:vAlign w:val="bottom"/>
            <w:tcBorders>
              <w:top w:val="single" w:sz="8" w:color="auto"/>
            </w:tcBorders>
          </w:tcPr>
          <w:p>
            <w:pPr>
              <w:jc w:val="center"/>
              <w:ind w:left="28"/>
              <w:spacing w:after="0" w:line="133" w:lineRule="exact"/>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40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4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5"/>
              </w:rPr>
              <w:t>Shares That May</w:t>
            </w:r>
          </w:p>
        </w:tc>
        <w:tc>
          <w:tcPr>
            <w:tcW w:w="0" w:type="dxa"/>
            <w:vAlign w:val="bottom"/>
          </w:tcPr>
          <w:p>
            <w:pPr>
              <w:spacing w:after="0"/>
              <w:rPr>
                <w:sz w:val="1"/>
                <w:szCs w:val="1"/>
                <w:color w:val="auto"/>
              </w:rPr>
            </w:pPr>
          </w:p>
        </w:tc>
      </w:tr>
      <w:tr>
        <w:trPr>
          <w:trHeight w:val="148"/>
        </w:trPr>
        <w:tc>
          <w:tcPr>
            <w:tcW w:w="15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3"/>
              </w:rPr>
              <w:t>Total Number of</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Average Price Paid</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40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4"/>
        </w:trPr>
        <w:tc>
          <w:tcPr>
            <w:tcW w:w="154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6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Announced Plans or</w:t>
            </w:r>
          </w:p>
        </w:tc>
        <w:tc>
          <w:tcPr>
            <w:tcW w:w="1400" w:type="dxa"/>
            <w:vAlign w:val="bottom"/>
          </w:tcPr>
          <w:p>
            <w:pPr>
              <w:jc w:val="center"/>
              <w:ind w:left="48"/>
              <w:spacing w:after="0" w:line="145"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89"/>
        </w:trPr>
        <w:tc>
          <w:tcPr>
            <w:tcW w:w="1540" w:type="dxa"/>
            <w:vAlign w:val="bottom"/>
          </w:tcPr>
          <w:p>
            <w:pPr>
              <w:jc w:val="center"/>
              <w:ind w:right="8"/>
              <w:spacing w:after="0" w:line="189" w:lineRule="exact"/>
              <w:rPr>
                <w:sz w:val="20"/>
                <w:szCs w:val="20"/>
                <w:color w:val="auto"/>
              </w:rPr>
            </w:pPr>
            <w:r>
              <w:rPr>
                <w:rFonts w:ascii="Arial" w:cs="Arial" w:eastAsia="Arial" w:hAnsi="Arial"/>
                <w:sz w:val="14"/>
                <w:szCs w:val="14"/>
                <w:b w:val="1"/>
                <w:bCs w:val="1"/>
                <w:color w:val="auto"/>
                <w:w w:val="88"/>
              </w:rPr>
              <w:t xml:space="preserve">Shares Purchased </w:t>
            </w:r>
            <w:r>
              <w:rPr>
                <w:rFonts w:ascii="Arial" w:cs="Arial" w:eastAsia="Arial" w:hAnsi="Arial"/>
                <w:sz w:val="19"/>
                <w:szCs w:val="19"/>
                <w:b w:val="1"/>
                <w:bCs w:val="1"/>
                <w:color w:val="auto"/>
                <w:w w:val="88"/>
                <w:vertAlign w:val="superscript"/>
              </w:rPr>
              <w:t>1</w:t>
            </w:r>
          </w:p>
        </w:tc>
        <w:tc>
          <w:tcPr>
            <w:tcW w:w="156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per Share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400" w:type="dxa"/>
            <w:vAlign w:val="bottom"/>
          </w:tcPr>
          <w:p>
            <w:pPr>
              <w:jc w:val="center"/>
              <w:ind w:left="88"/>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4280" w:space="720"/>
            <w:col w:w="6240"/>
          </w:cols>
          <w:pgMar w:left="320" w:top="553"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0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7"/>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April 1, 2023 - April 30, 2023</w:t>
            </w:r>
          </w:p>
        </w:tc>
        <w:tc>
          <w:tcPr>
            <w:tcW w:w="1480" w:type="dxa"/>
            <w:vAlign w:val="bottom"/>
            <w:shd w:val="clear" w:color="auto" w:fill="CFF0FC"/>
          </w:tcPr>
          <w:p>
            <w:pPr>
              <w:ind w:left="12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ind w:left="10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2040" w:type="dxa"/>
            <w:vAlign w:val="bottom"/>
            <w:gridSpan w:val="3"/>
            <w:shd w:val="clear" w:color="auto" w:fill="CFF0FC"/>
          </w:tcPr>
          <w:p>
            <w:pPr>
              <w:ind w:left="112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13,000</w:t>
            </w:r>
          </w:p>
        </w:tc>
        <w:tc>
          <w:tcPr>
            <w:tcW w:w="140" w:type="dxa"/>
            <w:vAlign w:val="bottom"/>
            <w:shd w:val="clear" w:color="auto" w:fill="CFF0FC"/>
          </w:tcPr>
          <w:p>
            <w:pPr>
              <w:spacing w:after="0"/>
              <w:rPr>
                <w:sz w:val="18"/>
                <w:szCs w:val="18"/>
                <w:color w:val="auto"/>
              </w:rPr>
            </w:pP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May 1, 2023 - May 31, 2023</w:t>
            </w:r>
          </w:p>
        </w:tc>
        <w:tc>
          <w:tcPr>
            <w:tcW w:w="1480" w:type="dxa"/>
            <w:vAlign w:val="bottom"/>
          </w:tcPr>
          <w:p>
            <w:pPr>
              <w:ind w:left="12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240" w:type="dxa"/>
            <w:vAlign w:val="bottom"/>
          </w:tcPr>
          <w:p>
            <w:pPr>
              <w:ind w:left="10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2040" w:type="dxa"/>
            <w:vAlign w:val="bottom"/>
            <w:gridSpan w:val="3"/>
          </w:tcPr>
          <w:p>
            <w:pPr>
              <w:ind w:left="1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13,000</w:t>
            </w:r>
          </w:p>
        </w:tc>
        <w:tc>
          <w:tcPr>
            <w:tcW w:w="140" w:type="dxa"/>
            <w:vAlign w:val="bottom"/>
          </w:tcPr>
          <w:p>
            <w:pPr>
              <w:spacing w:after="0"/>
              <w:rPr>
                <w:sz w:val="20"/>
                <w:szCs w:val="20"/>
                <w:color w:val="auto"/>
              </w:rPr>
            </w:pPr>
          </w:p>
        </w:tc>
      </w:tr>
      <w:tr>
        <w:trPr>
          <w:trHeight w:val="249"/>
        </w:trPr>
        <w:tc>
          <w:tcPr>
            <w:tcW w:w="5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June 1, 2023 - June 30, 2023</w:t>
            </w:r>
          </w:p>
        </w:tc>
        <w:tc>
          <w:tcPr>
            <w:tcW w:w="1480" w:type="dxa"/>
            <w:vAlign w:val="bottom"/>
            <w:tcBorders>
              <w:bottom w:val="single" w:sz="8" w:color="auto"/>
            </w:tcBorders>
            <w:shd w:val="clear" w:color="auto" w:fill="CFF0FC"/>
          </w:tcPr>
          <w:p>
            <w:pPr>
              <w:ind w:left="128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ind w:left="104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ind w:left="112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FF0FC"/>
            </w:tcBorders>
            <w:gridSpan w:val="2"/>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13,000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5000" w:type="dxa"/>
            <w:vAlign w:val="bottom"/>
          </w:tcPr>
          <w:p>
            <w:pPr>
              <w:ind w:left="200"/>
              <w:spacing w:after="0"/>
              <w:rPr>
                <w:sz w:val="20"/>
                <w:szCs w:val="20"/>
                <w:color w:val="auto"/>
              </w:rPr>
            </w:pPr>
            <w:r>
              <w:rPr>
                <w:rFonts w:ascii="Arial" w:cs="Arial" w:eastAsia="Arial" w:hAnsi="Arial"/>
                <w:sz w:val="18"/>
                <w:szCs w:val="18"/>
                <w:color w:val="auto"/>
              </w:rPr>
              <w:t>Total</w:t>
            </w:r>
          </w:p>
        </w:tc>
        <w:tc>
          <w:tcPr>
            <w:tcW w:w="1480" w:type="dxa"/>
            <w:vAlign w:val="bottom"/>
          </w:tcPr>
          <w:p>
            <w:pPr>
              <w:ind w:left="12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240" w:type="dxa"/>
            <w:vAlign w:val="bottom"/>
          </w:tcPr>
          <w:p>
            <w:pPr>
              <w:ind w:left="10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2040" w:type="dxa"/>
            <w:vAlign w:val="bottom"/>
            <w:gridSpan w:val="3"/>
          </w:tcPr>
          <w:p>
            <w:pPr>
              <w:ind w:left="11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0"/>
        </w:trPr>
        <w:tc>
          <w:tcPr>
            <w:tcW w:w="50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-187960</wp:posOffset>
            </wp:positionV>
            <wp:extent cx="77470" cy="1885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85725" cy="1885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85725" cy="1885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74" w:lineRule="exact"/>
        <w:rPr>
          <w:sz w:val="20"/>
          <w:szCs w:val="20"/>
          <w:color w:val="auto"/>
        </w:rPr>
      </w:pPr>
    </w:p>
    <w:p>
      <w:pPr>
        <w:ind w:right="380" w:firstLine="8"/>
        <w:spacing w:after="0" w:line="277"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May 10, 2022, the Board of Directors authorized a $20.0 million share repurchase program as described within Note 8. The program expires on April 30, 2025.</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180" w:type="dxa"/>
            <w:vAlign w:val="bottom"/>
            <w:gridSpan w:val="6"/>
          </w:tcPr>
          <w:p>
            <w:pPr>
              <w:ind w:left="200"/>
              <w:spacing w:after="0"/>
              <w:rPr>
                <w:sz w:val="20"/>
                <w:szCs w:val="20"/>
                <w:color w:val="auto"/>
              </w:rPr>
            </w:pPr>
            <w:r>
              <w:rPr>
                <w:rFonts w:ascii="Arial" w:cs="Arial" w:eastAsia="Arial" w:hAnsi="Arial"/>
                <w:sz w:val="18"/>
                <w:szCs w:val="18"/>
                <w:b w:val="1"/>
                <w:bCs w:val="1"/>
                <w:color w:val="auto"/>
              </w:rPr>
              <w:t>EXHIBITS</w:t>
            </w:r>
          </w:p>
        </w:tc>
      </w:tr>
      <w:tr>
        <w:trPr>
          <w:trHeight w:val="216"/>
        </w:trPr>
        <w:tc>
          <w:tcPr>
            <w:tcW w:w="960" w:type="dxa"/>
            <w:vAlign w:val="bottom"/>
          </w:tcPr>
          <w:p>
            <w:pPr>
              <w:ind w:left="8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18"/>
                <w:szCs w:val="18"/>
                <w:color w:val="auto"/>
              </w:rPr>
            </w:pPr>
          </w:p>
        </w:tc>
        <w:tc>
          <w:tcPr>
            <w:tcW w:w="4900" w:type="dxa"/>
            <w:vAlign w:val="bottom"/>
            <w:gridSpan w:val="5"/>
          </w:tcPr>
          <w:p>
            <w:pPr>
              <w:spacing w:after="0"/>
              <w:rPr>
                <w:sz w:val="20"/>
                <w:szCs w:val="20"/>
                <w:color w:val="auto"/>
              </w:rPr>
            </w:pPr>
            <w:r>
              <w:rPr>
                <w:rFonts w:ascii="Arial" w:cs="Arial" w:eastAsia="Arial" w:hAnsi="Arial"/>
                <w:sz w:val="18"/>
                <w:szCs w:val="18"/>
                <w:color w:val="0000FF"/>
              </w:rPr>
              <w:t>Rule 13(a)/15d-14(a) Certification by Chief Executive Officer</w:t>
            </w:r>
          </w:p>
        </w:tc>
      </w:tr>
      <w:tr>
        <w:trPr>
          <w:trHeight w:val="372"/>
        </w:trPr>
        <w:tc>
          <w:tcPr>
            <w:tcW w:w="960" w:type="dxa"/>
            <w:vAlign w:val="bottom"/>
          </w:tcPr>
          <w:p>
            <w:pPr>
              <w:ind w:left="8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44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3"/>
              </w:rPr>
              <w:t>Rule 13(a)/15d-14(a) Certification by Chief Financial Officer</w:t>
            </w:r>
          </w:p>
        </w:tc>
        <w:tc>
          <w:tcPr>
            <w:tcW w:w="40" w:type="dxa"/>
            <w:vAlign w:val="bottom"/>
            <w:tcBorders>
              <w:top w:val="single" w:sz="8" w:color="0000FF"/>
            </w:tcBorders>
          </w:tcPr>
          <w:p>
            <w:pPr>
              <w:spacing w:after="0"/>
              <w:rPr>
                <w:sz w:val="24"/>
                <w:szCs w:val="24"/>
                <w:color w:val="auto"/>
              </w:rPr>
            </w:pPr>
          </w:p>
        </w:tc>
        <w:tc>
          <w:tcPr>
            <w:tcW w:w="420" w:type="dxa"/>
            <w:vAlign w:val="bottom"/>
            <w:gridSpan w:val="3"/>
          </w:tcPr>
          <w:p>
            <w:pPr>
              <w:spacing w:after="0"/>
              <w:rPr>
                <w:sz w:val="24"/>
                <w:szCs w:val="24"/>
                <w:color w:val="auto"/>
              </w:rPr>
            </w:pPr>
          </w:p>
        </w:tc>
      </w:tr>
      <w:tr>
        <w:trPr>
          <w:trHeight w:val="372"/>
        </w:trPr>
        <w:tc>
          <w:tcPr>
            <w:tcW w:w="960" w:type="dxa"/>
            <w:vAlign w:val="bottom"/>
          </w:tcPr>
          <w:p>
            <w:pPr>
              <w:ind w:left="8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4900" w:type="dxa"/>
            <w:vAlign w:val="bottom"/>
            <w:gridSpan w:val="5"/>
          </w:tcPr>
          <w:p>
            <w:pPr>
              <w:spacing w:after="0"/>
              <w:rPr>
                <w:sz w:val="20"/>
                <w:szCs w:val="20"/>
                <w:color w:val="auto"/>
              </w:rPr>
            </w:pPr>
            <w:r>
              <w:rPr>
                <w:rFonts w:ascii="Arial" w:cs="Arial" w:eastAsia="Arial" w:hAnsi="Arial"/>
                <w:sz w:val="18"/>
                <w:szCs w:val="18"/>
                <w:color w:val="0000FF"/>
                <w:w w:val="99"/>
              </w:rPr>
              <w:t>Certification of Chief Executive Officer (18 U.S. Section 1350)</w:t>
            </w:r>
          </w:p>
        </w:tc>
      </w:tr>
      <w:tr>
        <w:trPr>
          <w:trHeight w:val="371"/>
        </w:trPr>
        <w:tc>
          <w:tcPr>
            <w:tcW w:w="960" w:type="dxa"/>
            <w:vAlign w:val="bottom"/>
          </w:tcPr>
          <w:p>
            <w:pPr>
              <w:ind w:left="80"/>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45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3"/>
              </w:rPr>
              <w:t>Certification of Chief Financial Officer (18 U.S. Section 1350)</w:t>
            </w:r>
          </w:p>
        </w:tc>
        <w:tc>
          <w:tcPr>
            <w:tcW w:w="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r>
      <w:tr>
        <w:trPr>
          <w:trHeight w:val="412"/>
        </w:trPr>
        <w:tc>
          <w:tcPr>
            <w:tcW w:w="960" w:type="dxa"/>
            <w:vAlign w:val="bottom"/>
          </w:tcPr>
          <w:p>
            <w:pPr>
              <w:ind w:left="80"/>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24"/>
                <w:szCs w:val="24"/>
                <w:color w:val="auto"/>
              </w:rPr>
            </w:pPr>
          </w:p>
        </w:tc>
        <w:tc>
          <w:tcPr>
            <w:tcW w:w="4900" w:type="dxa"/>
            <w:vAlign w:val="bottom"/>
            <w:gridSpan w:val="5"/>
          </w:tcPr>
          <w:p>
            <w:pPr>
              <w:spacing w:after="0"/>
              <w:rPr>
                <w:sz w:val="20"/>
                <w:szCs w:val="20"/>
                <w:color w:val="auto"/>
              </w:rPr>
            </w:pPr>
            <w:r>
              <w:rPr>
                <w:rFonts w:ascii="Arial" w:cs="Arial" w:eastAsia="Arial" w:hAnsi="Arial"/>
                <w:sz w:val="18"/>
                <w:szCs w:val="18"/>
                <w:color w:val="auto"/>
              </w:rPr>
              <w:t>Inline XBRL Instance Document</w:t>
            </w:r>
          </w:p>
        </w:tc>
      </w:tr>
      <w:tr>
        <w:trPr>
          <w:trHeight w:val="392"/>
        </w:trPr>
        <w:tc>
          <w:tcPr>
            <w:tcW w:w="960" w:type="dxa"/>
            <w:vAlign w:val="bottom"/>
          </w:tcPr>
          <w:p>
            <w:pPr>
              <w:ind w:left="80"/>
              <w:spacing w:after="0"/>
              <w:rPr>
                <w:sz w:val="20"/>
                <w:szCs w:val="20"/>
                <w:color w:val="auto"/>
              </w:rPr>
            </w:pPr>
            <w:r>
              <w:rPr>
                <w:rFonts w:ascii="Arial" w:cs="Arial" w:eastAsia="Arial" w:hAnsi="Arial"/>
                <w:sz w:val="18"/>
                <w:szCs w:val="18"/>
                <w:color w:val="auto"/>
              </w:rPr>
              <w:t>101.SCH</w:t>
            </w:r>
          </w:p>
        </w:tc>
        <w:tc>
          <w:tcPr>
            <w:tcW w:w="280" w:type="dxa"/>
            <w:vAlign w:val="bottom"/>
          </w:tcPr>
          <w:p>
            <w:pPr>
              <w:spacing w:after="0"/>
              <w:rPr>
                <w:sz w:val="24"/>
                <w:szCs w:val="24"/>
                <w:color w:val="auto"/>
              </w:rPr>
            </w:pPr>
          </w:p>
        </w:tc>
        <w:tc>
          <w:tcPr>
            <w:tcW w:w="490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2"/>
        </w:trPr>
        <w:tc>
          <w:tcPr>
            <w:tcW w:w="960" w:type="dxa"/>
            <w:vAlign w:val="bottom"/>
          </w:tcPr>
          <w:p>
            <w:pPr>
              <w:ind w:left="80"/>
              <w:spacing w:after="0"/>
              <w:rPr>
                <w:sz w:val="20"/>
                <w:szCs w:val="20"/>
                <w:color w:val="auto"/>
              </w:rPr>
            </w:pPr>
            <w:r>
              <w:rPr>
                <w:rFonts w:ascii="Arial" w:cs="Arial" w:eastAsia="Arial" w:hAnsi="Arial"/>
                <w:sz w:val="18"/>
                <w:szCs w:val="18"/>
                <w:color w:val="auto"/>
              </w:rPr>
              <w:t>101.CAL</w:t>
            </w:r>
          </w:p>
        </w:tc>
        <w:tc>
          <w:tcPr>
            <w:tcW w:w="280" w:type="dxa"/>
            <w:vAlign w:val="bottom"/>
          </w:tcPr>
          <w:p>
            <w:pPr>
              <w:spacing w:after="0"/>
              <w:rPr>
                <w:sz w:val="24"/>
                <w:szCs w:val="24"/>
                <w:color w:val="auto"/>
              </w:rPr>
            </w:pPr>
          </w:p>
        </w:tc>
        <w:tc>
          <w:tcPr>
            <w:tcW w:w="4900" w:type="dxa"/>
            <w:vAlign w:val="bottom"/>
            <w:gridSpan w:val="5"/>
          </w:tcPr>
          <w:p>
            <w:pPr>
              <w:spacing w:after="0"/>
              <w:rPr>
                <w:sz w:val="20"/>
                <w:szCs w:val="20"/>
                <w:color w:val="auto"/>
              </w:rPr>
            </w:pPr>
            <w:r>
              <w:rPr>
                <w:rFonts w:ascii="Arial" w:cs="Arial" w:eastAsia="Arial" w:hAnsi="Arial"/>
                <w:sz w:val="18"/>
                <w:szCs w:val="18"/>
                <w:color w:val="auto"/>
                <w:w w:val="92"/>
              </w:rPr>
              <w:t>Inline XBRL Taxonomy Extension Calculation Linkbase Document</w:t>
            </w:r>
          </w:p>
        </w:tc>
      </w:tr>
      <w:tr>
        <w:trPr>
          <w:trHeight w:val="391"/>
        </w:trPr>
        <w:tc>
          <w:tcPr>
            <w:tcW w:w="960" w:type="dxa"/>
            <w:vAlign w:val="bottom"/>
          </w:tcPr>
          <w:p>
            <w:pPr>
              <w:ind w:left="80"/>
              <w:spacing w:after="0"/>
              <w:rPr>
                <w:sz w:val="20"/>
                <w:szCs w:val="20"/>
                <w:color w:val="auto"/>
              </w:rPr>
            </w:pPr>
            <w:r>
              <w:rPr>
                <w:rFonts w:ascii="Arial" w:cs="Arial" w:eastAsia="Arial" w:hAnsi="Arial"/>
                <w:sz w:val="18"/>
                <w:szCs w:val="18"/>
                <w:color w:val="auto"/>
              </w:rPr>
              <w:t>101.DEF</w:t>
            </w:r>
          </w:p>
        </w:tc>
        <w:tc>
          <w:tcPr>
            <w:tcW w:w="280" w:type="dxa"/>
            <w:vAlign w:val="bottom"/>
          </w:tcPr>
          <w:p>
            <w:pPr>
              <w:spacing w:after="0"/>
              <w:rPr>
                <w:sz w:val="24"/>
                <w:szCs w:val="24"/>
                <w:color w:val="auto"/>
              </w:rPr>
            </w:pPr>
          </w:p>
        </w:tc>
        <w:tc>
          <w:tcPr>
            <w:tcW w:w="4900" w:type="dxa"/>
            <w:vAlign w:val="bottom"/>
            <w:gridSpan w:val="5"/>
          </w:tcPr>
          <w:p>
            <w:pPr>
              <w:spacing w:after="0"/>
              <w:rPr>
                <w:sz w:val="20"/>
                <w:szCs w:val="20"/>
                <w:color w:val="auto"/>
              </w:rPr>
            </w:pPr>
            <w:r>
              <w:rPr>
                <w:rFonts w:ascii="Arial" w:cs="Arial" w:eastAsia="Arial" w:hAnsi="Arial"/>
                <w:sz w:val="18"/>
                <w:szCs w:val="18"/>
                <w:color w:val="auto"/>
                <w:w w:val="95"/>
              </w:rPr>
              <w:t>Inline XBRL Taxonomy Extension Definition Linkbase Document</w:t>
            </w:r>
          </w:p>
        </w:tc>
      </w:tr>
      <w:tr>
        <w:trPr>
          <w:trHeight w:val="392"/>
        </w:trPr>
        <w:tc>
          <w:tcPr>
            <w:tcW w:w="960" w:type="dxa"/>
            <w:vAlign w:val="bottom"/>
          </w:tcPr>
          <w:p>
            <w:pPr>
              <w:ind w:left="80"/>
              <w:spacing w:after="0"/>
              <w:rPr>
                <w:sz w:val="20"/>
                <w:szCs w:val="20"/>
                <w:color w:val="auto"/>
              </w:rPr>
            </w:pPr>
            <w:r>
              <w:rPr>
                <w:rFonts w:ascii="Arial" w:cs="Arial" w:eastAsia="Arial" w:hAnsi="Arial"/>
                <w:sz w:val="18"/>
                <w:szCs w:val="18"/>
                <w:color w:val="auto"/>
              </w:rPr>
              <w:t>101.LAB</w:t>
            </w:r>
          </w:p>
        </w:tc>
        <w:tc>
          <w:tcPr>
            <w:tcW w:w="280" w:type="dxa"/>
            <w:vAlign w:val="bottom"/>
          </w:tcPr>
          <w:p>
            <w:pPr>
              <w:spacing w:after="0"/>
              <w:rPr>
                <w:sz w:val="24"/>
                <w:szCs w:val="24"/>
                <w:color w:val="auto"/>
              </w:rPr>
            </w:pPr>
          </w:p>
        </w:tc>
        <w:tc>
          <w:tcPr>
            <w:tcW w:w="490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bl>
    <w:p>
      <w:pPr>
        <w:spacing w:after="0" w:line="161" w:lineRule="exact"/>
        <w:rPr>
          <w:sz w:val="20"/>
          <w:szCs w:val="20"/>
          <w:color w:val="auto"/>
        </w:rPr>
      </w:pPr>
    </w:p>
    <w:p>
      <w:pPr>
        <w:ind w:left="1240" w:hanging="1162"/>
        <w:spacing w:after="0"/>
        <w:tabs>
          <w:tab w:leader="none" w:pos="1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CECO Environmental Corp.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760"/>
        <w:spacing w:after="0"/>
        <w:tabs>
          <w:tab w:leader="none" w:pos="8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M. Gohr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23495</wp:posOffset>
            </wp:positionV>
            <wp:extent cx="31978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197860" cy="8255"/>
                    </a:xfrm>
                    <a:prstGeom prst="rect">
                      <a:avLst/>
                    </a:prstGeom>
                    <a:noFill/>
                  </pic:spPr>
                </pic:pic>
              </a:graphicData>
            </a:graphic>
          </wp:anchor>
        </w:drawing>
      </w:r>
    </w:p>
    <w:p>
      <w:pPr>
        <w:spacing w:after="0" w:line="26"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Paul M. Gohr</w:t>
      </w:r>
    </w:p>
    <w:p>
      <w:pPr>
        <w:spacing w:after="0" w:line="36"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Accounting Officer</w:t>
      </w:r>
    </w:p>
    <w:p>
      <w:pPr>
        <w:spacing w:after="0" w:line="24" w:lineRule="exact"/>
        <w:rPr>
          <w:sz w:val="20"/>
          <w:szCs w:val="20"/>
          <w:color w:val="auto"/>
        </w:rPr>
      </w:pPr>
    </w:p>
    <w:p>
      <w:pPr>
        <w:ind w:left="6640"/>
        <w:spacing w:after="0"/>
        <w:rPr>
          <w:sz w:val="20"/>
          <w:szCs w:val="20"/>
          <w:color w:val="auto"/>
        </w:rPr>
      </w:pPr>
      <w:r>
        <w:rPr>
          <w:rFonts w:ascii="Arial" w:cs="Arial" w:eastAsia="Arial" w:hAnsi="Arial"/>
          <w:sz w:val="16"/>
          <w:szCs w:val="16"/>
          <w:b w:val="1"/>
          <w:bCs w:val="1"/>
          <w:color w:val="auto"/>
        </w:rPr>
        <w:t>(principal accounting officer and duly authorized officer)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2" w:name="page33"/>
    <w:bookmarkEnd w:id="3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Todd Gleason, certify that:</w:t>
      </w:r>
    </w:p>
    <w:p>
      <w:pPr>
        <w:spacing w:after="0" w:line="117"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80" w:hanging="512"/>
        <w:spacing w:after="0" w:line="263"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80" w:hanging="839"/>
        <w:spacing w:after="0"/>
        <w:tabs>
          <w:tab w:leader="none" w:pos="13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w:t>
      </w:r>
    </w:p>
    <w:p>
      <w:pPr>
        <w:spacing w:after="0" w:line="34" w:lineRule="exact"/>
        <w:rPr>
          <w:rFonts w:ascii="Arial" w:cs="Arial" w:eastAsia="Arial" w:hAnsi="Arial"/>
          <w:sz w:val="17"/>
          <w:szCs w:val="17"/>
          <w:color w:val="auto"/>
        </w:rPr>
      </w:pPr>
    </w:p>
    <w:p>
      <w:pPr>
        <w:ind w:left="1020" w:right="400"/>
        <w:spacing w:after="0" w:line="260" w:lineRule="auto"/>
        <w:rPr>
          <w:rFonts w:ascii="Arial" w:cs="Arial" w:eastAsia="Arial" w:hAnsi="Arial"/>
          <w:sz w:val="17"/>
          <w:szCs w:val="17"/>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7"/>
          <w:szCs w:val="17"/>
          <w:color w:val="auto"/>
        </w:rPr>
      </w:pPr>
    </w:p>
    <w:p>
      <w:pPr>
        <w:ind w:left="1020" w:right="40" w:hanging="479"/>
        <w:spacing w:after="0" w:line="263" w:lineRule="auto"/>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20" w:right="160" w:hanging="479"/>
        <w:spacing w:after="0" w:line="342" w:lineRule="auto"/>
        <w:tabs>
          <w:tab w:leader="none" w:pos="13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479"/>
        <w:spacing w:after="0" w:line="263" w:lineRule="auto"/>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380" w:hanging="479"/>
        <w:spacing w:after="0" w:line="308" w:lineRule="auto"/>
        <w:tabs>
          <w:tab w:leader="none" w:pos="13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right="60" w:hanging="479"/>
        <w:spacing w:after="0" w:line="277" w:lineRule="auto"/>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Todd Gleason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Peter Johansson, certify that:</w:t>
      </w:r>
    </w:p>
    <w:p>
      <w:pPr>
        <w:spacing w:after="0" w:line="117"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80" w:hanging="512"/>
        <w:spacing w:after="0" w:line="263"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80" w:hanging="839"/>
        <w:spacing w:after="0"/>
        <w:tabs>
          <w:tab w:leader="none" w:pos="13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w:t>
      </w:r>
    </w:p>
    <w:p>
      <w:pPr>
        <w:spacing w:after="0" w:line="34" w:lineRule="exact"/>
        <w:rPr>
          <w:rFonts w:ascii="Arial" w:cs="Arial" w:eastAsia="Arial" w:hAnsi="Arial"/>
          <w:sz w:val="17"/>
          <w:szCs w:val="17"/>
          <w:color w:val="auto"/>
        </w:rPr>
      </w:pPr>
    </w:p>
    <w:p>
      <w:pPr>
        <w:ind w:left="1020" w:right="400"/>
        <w:spacing w:after="0" w:line="260" w:lineRule="auto"/>
        <w:rPr>
          <w:rFonts w:ascii="Arial" w:cs="Arial" w:eastAsia="Arial" w:hAnsi="Arial"/>
          <w:sz w:val="17"/>
          <w:szCs w:val="17"/>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7"/>
          <w:szCs w:val="17"/>
          <w:color w:val="auto"/>
        </w:rPr>
      </w:pPr>
    </w:p>
    <w:p>
      <w:pPr>
        <w:ind w:left="1020" w:right="40" w:hanging="479"/>
        <w:spacing w:after="0" w:line="263" w:lineRule="auto"/>
        <w:tabs>
          <w:tab w:leader="none" w:pos="13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20" w:right="160" w:hanging="479"/>
        <w:spacing w:after="0" w:line="342" w:lineRule="auto"/>
        <w:tabs>
          <w:tab w:leader="none" w:pos="13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479"/>
        <w:spacing w:after="0" w:line="263" w:lineRule="auto"/>
        <w:tabs>
          <w:tab w:leader="none" w:pos="13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380" w:hanging="479"/>
        <w:spacing w:after="0" w:line="308" w:lineRule="auto"/>
        <w:tabs>
          <w:tab w:leader="none" w:pos="13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20" w:right="60" w:hanging="479"/>
        <w:spacing w:after="0" w:line="277" w:lineRule="auto"/>
        <w:tabs>
          <w:tab w:leader="none" w:pos="13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Peter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Peter Johansson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and Strategy Officer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In connection with the Quarterly Report of CECO Environmental Corp. (the “Company”) on Form 10-Q for the six month period ended June 30, 2023 as filed with the Securities and Exchange Commission on the date hereof (the “Report”), I, Todd Gleason, Chief Executive Officer of the Company, certify, pursuant to 18 U.S.C. § 1350, as adopted pursuant to § 906 of the Sarbanes-Oxley Act of 2002, to the best of my knowledge and belief, that:</w:t>
      </w:r>
    </w:p>
    <w:p>
      <w:pPr>
        <w:spacing w:after="0" w:line="41" w:lineRule="exact"/>
        <w:rPr>
          <w:sz w:val="20"/>
          <w:szCs w:val="20"/>
          <w:color w:val="auto"/>
        </w:rPr>
      </w:pPr>
    </w:p>
    <w:p>
      <w:pPr>
        <w:ind w:left="1380" w:hanging="839"/>
        <w:spacing w:after="0"/>
        <w:tabs>
          <w:tab w:leader="none" w:pos="1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40" w:lineRule="exact"/>
        <w:rPr>
          <w:rFonts w:ascii="Arial" w:cs="Arial" w:eastAsia="Arial" w:hAnsi="Arial"/>
          <w:sz w:val="16"/>
          <w:szCs w:val="16"/>
          <w:color w:val="auto"/>
        </w:rPr>
      </w:pPr>
    </w:p>
    <w:p>
      <w:pPr>
        <w:ind w:left="1020" w:right="200" w:hanging="479"/>
        <w:spacing w:after="0" w:line="277"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Todd Gleason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In connection with the Quarterly Report of CECO Environmental Corp. (the “Company”) on Form 10-Q for the six month period ended June 30, 2023 as filed with the Securities and Exchange Commission on the date hereof (the “Report”), I, Peter Johansson, Chief Financial Officer of the Company, certify, pursuant to 18 U.S.C. § 1350, as adopted pursuant to § 906 of the Sarbanes-Oxley Act of 2002, to the best of my knowledge and belief, that:</w:t>
      </w:r>
    </w:p>
    <w:p>
      <w:pPr>
        <w:spacing w:after="0" w:line="41" w:lineRule="exact"/>
        <w:rPr>
          <w:sz w:val="20"/>
          <w:szCs w:val="20"/>
          <w:color w:val="auto"/>
        </w:rPr>
      </w:pPr>
    </w:p>
    <w:p>
      <w:pPr>
        <w:ind w:left="1380" w:hanging="839"/>
        <w:spacing w:after="0"/>
        <w:tabs>
          <w:tab w:leader="none" w:pos="1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40" w:lineRule="exact"/>
        <w:rPr>
          <w:rFonts w:ascii="Arial" w:cs="Arial" w:eastAsia="Arial" w:hAnsi="Arial"/>
          <w:sz w:val="16"/>
          <w:szCs w:val="16"/>
          <w:color w:val="auto"/>
        </w:rPr>
      </w:pPr>
    </w:p>
    <w:p>
      <w:pPr>
        <w:ind w:left="1020" w:right="200" w:hanging="479"/>
        <w:spacing w:after="0" w:line="277" w:lineRule="auto"/>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Peter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Peter Johansson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and Strategy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5"/>
    </w:lvl>
  </w:abstractNum>
  <w:abstractNum w:abstractNumId="4">
    <w:nsid w:val="3352255A"/>
    <w:multiLevelType w:val="hybridMultilevel"/>
    <w:lvl w:ilvl="0">
      <w:lvlJc w:val="left"/>
      <w:lvlText w:val="%1."/>
      <w:numFmt w:val="decimal"/>
      <w:start w:val="6"/>
    </w:lvl>
  </w:abstractNum>
  <w:abstractNum w:abstractNumId="5">
    <w:nsid w:val="109CF92E"/>
    <w:multiLevelType w:val="hybridMultilevel"/>
    <w:lvl w:ilvl="0">
      <w:lvlJc w:val="left"/>
      <w:lvlText w:val="%1."/>
      <w:numFmt w:val="decimal"/>
      <w:start w:val="8"/>
    </w:lvl>
  </w:abstractNum>
  <w:abstractNum w:abstractNumId="6">
    <w:nsid w:val="DED7263"/>
    <w:multiLevelType w:val="hybridMultilevel"/>
    <w:lvl w:ilvl="0">
      <w:lvlJc w:val="left"/>
      <w:lvlText w:val="%1."/>
      <w:numFmt w:val="decimal"/>
      <w:start w:val="9"/>
    </w:lvl>
  </w:abstractNum>
  <w:abstractNum w:abstractNumId="7">
    <w:nsid w:val="7FDCC233"/>
    <w:multiLevelType w:val="hybridMultilevel"/>
    <w:lvl w:ilvl="0">
      <w:lvlJc w:val="left"/>
      <w:lvlText w:val="%1."/>
      <w:numFmt w:val="decimal"/>
      <w:start w:val="11"/>
    </w:lvl>
  </w:abstractNum>
  <w:abstractNum w:abstractNumId="8">
    <w:nsid w:val="1BEFD79F"/>
    <w:multiLevelType w:val="hybridMultilevel"/>
    <w:lvl w:ilvl="0">
      <w:lvlJc w:val="left"/>
      <w:lvlText w:val="%1."/>
      <w:numFmt w:val="decimal"/>
      <w:start w:val="12"/>
    </w:lvl>
  </w:abstractNum>
  <w:abstractNum w:abstractNumId="9">
    <w:nsid w:val="41A7C4C9"/>
    <w:multiLevelType w:val="hybridMultilevel"/>
    <w:lvl w:ilvl="0">
      <w:lvlJc w:val="left"/>
      <w:lvlText w:val="%1."/>
      <w:numFmt w:val="decimal"/>
      <w:start w:val="13"/>
    </w:lvl>
  </w:abstractNum>
  <w:abstractNum w:abstractNumId="10">
    <w:nsid w:val="6B68079A"/>
    <w:multiLevelType w:val="hybridMultilevel"/>
    <w:lvl w:ilvl="0">
      <w:lvlJc w:val="left"/>
      <w:lvlText w:val="%1."/>
      <w:numFmt w:val="decimal"/>
      <w:start w:val="14"/>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04"/>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2023-08-08T06:17:25Z</dcterms:created>
  <dcterms:modified xsi:type="dcterms:W3CDTF">2023-08-08T06:17:25Z</dcterms:modified>
</cp:coreProperties>
</file>