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Johansson Peter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5080 SPECTRUM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800E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CECO ENVIRONMENTAL CORP</w:t>
              </w:r>
            </w:hyperlink>
            <w:r>
              <w:rPr/>
              <w:t xml:space="preserve"> [ </w:t>
            </w:r>
            <w:r>
              <w:rPr>
                <w:rFonts w:ascii="Times;serif" w:hAnsi="Times;serif"/>
                <w:color w:val="0000FF"/>
                <w:sz w:val="24"/>
                <w:shd w:fill="FFFFFF" w:val="clear"/>
              </w:rPr>
              <w:t>CECO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59,620</w:t>
            </w:r>
            <w:r>
              <w:rPr>
                <w:rFonts w:ascii="Times;serif" w:hAnsi="Times;serif"/>
                <w:color w:val="008000"/>
                <w:position w:val="7"/>
                <w:sz w:val="16"/>
                <w:sz w:val="20"/>
                <w:shd w:fill="FFFFFF" w:val="clear"/>
              </w:rPr>
              <w:t>(2)</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withheld for net settlement to cover the tax liability for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415 shares acquired under the CECO Environmental Corp.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performance-based restricted stock units. Each restricted stock unit represents a contingent right to receive one share of the Company's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Kiril Kovachev as Attorney-in-Fact for Peter Johansson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1417" TargetMode="External"/><Relationship Id="rId5" Type="http://schemas.openxmlformats.org/officeDocument/2006/relationships/hyperlink" Target="http://www.sec.gov/cgi-bin/browse-edgar?action=getcompany&amp;CIK=00000031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3709</Characters>
  <CharactersWithSpaces>4323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