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9"/>
          <w:szCs w:val="19"/>
          <w:b w:val="1"/>
          <w:bCs w:val="1"/>
          <w:color w:val="auto"/>
        </w:rPr>
        <w:t>As filed with the Securities and Exchange Commission on June 17, 2020</w:t>
      </w:r>
    </w:p>
    <w:p>
      <w:pPr>
        <w:spacing w:after="0" w:line="274" w:lineRule="exact"/>
        <w:rPr>
          <w:sz w:val="24"/>
          <w:szCs w:val="24"/>
          <w:color w:val="auto"/>
        </w:rPr>
      </w:pPr>
    </w:p>
    <w:p>
      <w:pPr>
        <w:ind w:left="8820"/>
        <w:spacing w:after="0"/>
        <w:rPr>
          <w:sz w:val="20"/>
          <w:szCs w:val="20"/>
          <w:color w:val="auto"/>
        </w:rPr>
      </w:pPr>
      <w:r>
        <w:rPr>
          <w:rFonts w:ascii="Arial" w:cs="Arial" w:eastAsia="Arial" w:hAnsi="Arial"/>
          <w:sz w:val="19"/>
          <w:szCs w:val="19"/>
          <w:color w:val="auto"/>
        </w:rPr>
        <w:t>Registration No. 333-</w:t>
      </w:r>
    </w:p>
    <w:p>
      <w:pPr>
        <w:spacing w:after="0" w:line="245"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UNITED STATES</w:t>
      </w:r>
    </w:p>
    <w:p>
      <w:pPr>
        <w:spacing w:after="0" w:line="15"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SECURITIES AND EXCHANGE COMMISSION</w:t>
      </w:r>
    </w:p>
    <w:p>
      <w:pPr>
        <w:jc w:val="center"/>
        <w:ind w:right="-159"/>
        <w:spacing w:after="0"/>
        <w:rPr>
          <w:sz w:val="20"/>
          <w:szCs w:val="20"/>
          <w:color w:val="auto"/>
        </w:rPr>
      </w:pPr>
      <w:r>
        <w:rPr>
          <w:rFonts w:ascii="Arial" w:cs="Arial" w:eastAsia="Arial" w:hAnsi="Arial"/>
          <w:sz w:val="20"/>
          <w:szCs w:val="20"/>
          <w:color w:val="auto"/>
        </w:rPr>
        <w:t>Washington, DC 20549</w:t>
      </w:r>
    </w:p>
    <w:p>
      <w:pPr>
        <w:spacing w:after="0" w:line="183" w:lineRule="exact"/>
        <w:rPr>
          <w:sz w:val="24"/>
          <w:szCs w:val="24"/>
          <w:color w:val="auto"/>
        </w:rPr>
      </w:pPr>
    </w:p>
    <w:p>
      <w:pPr>
        <w:jc w:val="center"/>
        <w:ind w:right="-159"/>
        <w:spacing w:after="0"/>
        <w:rPr>
          <w:sz w:val="20"/>
          <w:szCs w:val="20"/>
          <w:color w:val="auto"/>
        </w:rPr>
      </w:pPr>
      <w:r>
        <w:rPr>
          <w:rFonts w:ascii="Arial" w:cs="Arial" w:eastAsia="Arial" w:hAnsi="Arial"/>
          <w:sz w:val="32"/>
          <w:szCs w:val="32"/>
          <w:color w:val="auto"/>
        </w:rPr>
        <w:t>FORM S-8</w:t>
      </w:r>
    </w:p>
    <w:p>
      <w:pPr>
        <w:spacing w:after="0" w:line="229" w:lineRule="exact"/>
        <w:rPr>
          <w:sz w:val="24"/>
          <w:szCs w:val="24"/>
          <w:color w:val="auto"/>
        </w:rPr>
      </w:pPr>
    </w:p>
    <w:p>
      <w:pPr>
        <w:ind w:left="4320"/>
        <w:spacing w:after="0"/>
        <w:rPr>
          <w:sz w:val="20"/>
          <w:szCs w:val="20"/>
          <w:color w:val="auto"/>
        </w:rPr>
      </w:pPr>
      <w:r>
        <w:rPr>
          <w:rFonts w:ascii="Arial" w:cs="Arial" w:eastAsia="Arial" w:hAnsi="Arial"/>
          <w:sz w:val="20"/>
          <w:szCs w:val="20"/>
          <w:color w:val="auto"/>
        </w:rPr>
        <w:t>REGISTRATION STATEMENT</w:t>
      </w:r>
    </w:p>
    <w:p>
      <w:pPr>
        <w:spacing w:after="0" w:line="16" w:lineRule="exact"/>
        <w:rPr>
          <w:sz w:val="24"/>
          <w:szCs w:val="24"/>
          <w:color w:val="auto"/>
        </w:rPr>
      </w:pPr>
    </w:p>
    <w:p>
      <w:pPr>
        <w:ind w:left="4280"/>
        <w:spacing w:after="0"/>
        <w:rPr>
          <w:sz w:val="20"/>
          <w:szCs w:val="20"/>
          <w:color w:val="auto"/>
        </w:rPr>
      </w:pPr>
      <w:r>
        <w:rPr>
          <w:rFonts w:ascii="Arial" w:cs="Arial" w:eastAsia="Arial" w:hAnsi="Arial"/>
          <w:sz w:val="20"/>
          <w:szCs w:val="20"/>
          <w:color w:val="auto"/>
        </w:rPr>
        <w:t>Under The Securities Act of 1933</w:t>
      </w:r>
    </w:p>
    <w:p>
      <w:pPr>
        <w:spacing w:after="0" w:line="183" w:lineRule="exact"/>
        <w:rPr>
          <w:sz w:val="24"/>
          <w:szCs w:val="24"/>
          <w:color w:val="auto"/>
        </w:rPr>
      </w:pPr>
    </w:p>
    <w:p>
      <w:pPr>
        <w:jc w:val="center"/>
        <w:ind w:right="-159"/>
        <w:spacing w:after="0"/>
        <w:rPr>
          <w:sz w:val="20"/>
          <w:szCs w:val="20"/>
          <w:color w:val="auto"/>
        </w:rPr>
      </w:pPr>
      <w:r>
        <w:rPr>
          <w:rFonts w:ascii="Arial" w:cs="Arial" w:eastAsia="Arial" w:hAnsi="Arial"/>
          <w:sz w:val="32"/>
          <w:szCs w:val="32"/>
          <w:color w:val="auto"/>
        </w:rPr>
        <w:t>CECO ENVIRONMENTAL CORP.</w:t>
      </w:r>
    </w:p>
    <w:p>
      <w:pPr>
        <w:spacing w:after="0" w:line="28" w:lineRule="exact"/>
        <w:rPr>
          <w:sz w:val="24"/>
          <w:szCs w:val="24"/>
          <w:color w:val="auto"/>
        </w:rPr>
      </w:pPr>
    </w:p>
    <w:p>
      <w:pPr>
        <w:jc w:val="center"/>
        <w:ind w:right="-159"/>
        <w:spacing w:after="0"/>
        <w:rPr>
          <w:sz w:val="20"/>
          <w:szCs w:val="20"/>
          <w:color w:val="auto"/>
        </w:rPr>
      </w:pPr>
      <w:r>
        <w:rPr>
          <w:rFonts w:ascii="Arial" w:cs="Arial" w:eastAsia="Arial" w:hAnsi="Arial"/>
          <w:sz w:val="11"/>
          <w:szCs w:val="11"/>
          <w:color w:val="auto"/>
        </w:rPr>
        <w:t>(Exact Name of Registrant as Specified in Its Charter)</w:t>
      </w:r>
    </w:p>
    <w:p>
      <w:pPr>
        <w:sectPr>
          <w:pgSz w:w="11900" w:h="16838" w:orient="portrait"/>
          <w:cols w:equalWidth="0" w:num="1">
            <w:col w:w="11080"/>
          </w:cols>
          <w:pgMar w:left="320" w:top="369" w:right="499" w:bottom="1440" w:gutter="0" w:footer="0" w:header="0"/>
        </w:sectPr>
      </w:pPr>
    </w:p>
    <w:p>
      <w:pPr>
        <w:spacing w:after="0" w:line="196" w:lineRule="exact"/>
        <w:rPr>
          <w:sz w:val="24"/>
          <w:szCs w:val="24"/>
          <w:color w:val="auto"/>
        </w:rPr>
      </w:pPr>
    </w:p>
    <w:p>
      <w:pPr>
        <w:ind w:left="1380"/>
        <w:spacing w:after="0"/>
        <w:rPr>
          <w:sz w:val="20"/>
          <w:szCs w:val="20"/>
          <w:color w:val="auto"/>
        </w:rPr>
      </w:pPr>
      <w:r>
        <w:rPr>
          <w:rFonts w:ascii="Arial" w:cs="Arial" w:eastAsia="Arial" w:hAnsi="Arial"/>
          <w:sz w:val="16"/>
          <w:szCs w:val="16"/>
          <w:color w:val="auto"/>
        </w:rPr>
        <w:t>Delaware</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spacing w:after="0"/>
        <w:rPr>
          <w:sz w:val="20"/>
          <w:szCs w:val="20"/>
          <w:color w:val="auto"/>
        </w:rPr>
      </w:pPr>
      <w:r>
        <w:rPr>
          <w:rFonts w:ascii="Arial" w:cs="Arial" w:eastAsia="Arial" w:hAnsi="Arial"/>
          <w:sz w:val="16"/>
          <w:szCs w:val="16"/>
          <w:color w:val="auto"/>
        </w:rPr>
        <w:t>13-2566064</w:t>
      </w:r>
    </w:p>
    <w:p>
      <w:pPr>
        <w:spacing w:after="0" w:line="56" w:lineRule="exact"/>
        <w:rPr>
          <w:sz w:val="24"/>
          <w:szCs w:val="24"/>
          <w:color w:val="auto"/>
        </w:rPr>
      </w:pPr>
    </w:p>
    <w:p>
      <w:pPr>
        <w:sectPr>
          <w:pgSz w:w="11900" w:h="16838" w:orient="portrait"/>
          <w:cols w:equalWidth="0" w:num="2">
            <w:col w:w="5780" w:space="720"/>
            <w:col w:w="4580"/>
          </w:cols>
          <w:pgMar w:left="320" w:top="369" w:right="499" w:bottom="1440" w:gutter="0" w:footer="0" w:header="0"/>
          <w:type w:val="continuous"/>
        </w:sectPr>
      </w:pPr>
    </w:p>
    <w:p>
      <w:pPr>
        <w:jc w:val="center"/>
        <w:ind w:right="1940"/>
        <w:spacing w:after="0"/>
        <w:rPr>
          <w:sz w:val="20"/>
          <w:szCs w:val="20"/>
          <w:color w:val="auto"/>
        </w:rPr>
      </w:pPr>
      <w:r>
        <w:rPr>
          <w:rFonts w:ascii="Arial" w:cs="Arial" w:eastAsia="Arial" w:hAnsi="Arial"/>
          <w:sz w:val="11"/>
          <w:szCs w:val="11"/>
          <w:color w:val="auto"/>
        </w:rPr>
        <w:t>(State or Other Jurisdiction</w:t>
      </w:r>
    </w:p>
    <w:p>
      <w:pPr>
        <w:jc w:val="center"/>
        <w:ind w:right="1940"/>
        <w:spacing w:after="0"/>
        <w:rPr>
          <w:sz w:val="20"/>
          <w:szCs w:val="20"/>
          <w:color w:val="auto"/>
        </w:rPr>
      </w:pPr>
      <w:r>
        <w:rPr>
          <w:rFonts w:ascii="Arial" w:cs="Arial" w:eastAsia="Arial" w:hAnsi="Arial"/>
          <w:sz w:val="9"/>
          <w:szCs w:val="9"/>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(I.R.S. Employer Identification No.)</w:t>
      </w:r>
    </w:p>
    <w:p>
      <w:pPr>
        <w:spacing w:after="0" w:line="304" w:lineRule="exact"/>
        <w:rPr>
          <w:sz w:val="24"/>
          <w:szCs w:val="24"/>
          <w:color w:val="auto"/>
        </w:rPr>
      </w:pPr>
    </w:p>
    <w:p>
      <w:pPr>
        <w:sectPr>
          <w:pgSz w:w="11900" w:h="16838" w:orient="portrait"/>
          <w:cols w:equalWidth="0" w:num="2">
            <w:col w:w="5460" w:space="720"/>
            <w:col w:w="4900"/>
          </w:cols>
          <w:pgMar w:left="320" w:top="369" w:right="499" w:bottom="1440" w:gutter="0" w:footer="0" w:header="0"/>
          <w:type w:val="continuous"/>
        </w:sectPr>
      </w:pP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14651 North Dallas Parkway, Suite 500, Dallas, Texas 75254</w:t>
      </w:r>
    </w:p>
    <w:p>
      <w:pPr>
        <w:spacing w:after="0" w:line="15" w:lineRule="exact"/>
        <w:rPr>
          <w:sz w:val="24"/>
          <w:szCs w:val="24"/>
          <w:color w:val="auto"/>
        </w:rPr>
      </w:pPr>
    </w:p>
    <w:p>
      <w:pPr>
        <w:jc w:val="center"/>
        <w:ind w:right="-179"/>
        <w:spacing w:after="0"/>
        <w:rPr>
          <w:sz w:val="20"/>
          <w:szCs w:val="20"/>
          <w:color w:val="auto"/>
        </w:rPr>
      </w:pPr>
      <w:r>
        <w:rPr>
          <w:rFonts w:ascii="Arial" w:cs="Arial" w:eastAsia="Arial" w:hAnsi="Arial"/>
          <w:sz w:val="11"/>
          <w:szCs w:val="11"/>
          <w:color w:val="auto"/>
        </w:rPr>
        <w:t>(Address of Principal Executive Offices Including Zip Code)</w:t>
      </w:r>
    </w:p>
    <w:p>
      <w:pPr>
        <w:spacing w:after="0" w:line="190"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CECO Environmental Corp. 2020 Employee Stock Purchase Plan</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1"/>
          <w:szCs w:val="11"/>
          <w:color w:val="auto"/>
        </w:rPr>
        <w:t>(Full Title of the Plan)</w:t>
      </w:r>
    </w:p>
    <w:p>
      <w:pPr>
        <w:spacing w:after="0" w:line="196"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Chasity Henry, Esq.</w:t>
      </w:r>
    </w:p>
    <w:p>
      <w:pPr>
        <w:spacing w:after="0" w:line="15"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Senior Vice President, General Counsel and Corporate Secretary</w:t>
      </w:r>
    </w:p>
    <w:p>
      <w:pPr>
        <w:jc w:val="center"/>
        <w:ind w:right="-179"/>
        <w:spacing w:after="0"/>
        <w:rPr>
          <w:sz w:val="20"/>
          <w:szCs w:val="20"/>
          <w:color w:val="auto"/>
        </w:rPr>
      </w:pPr>
      <w:r>
        <w:rPr>
          <w:rFonts w:ascii="Arial" w:cs="Arial" w:eastAsia="Arial" w:hAnsi="Arial"/>
          <w:sz w:val="20"/>
          <w:szCs w:val="20"/>
          <w:color w:val="auto"/>
        </w:rPr>
        <w:t>CECO Environmental Corp.</w:t>
      </w:r>
    </w:p>
    <w:p>
      <w:pPr>
        <w:jc w:val="center"/>
        <w:ind w:right="-179"/>
        <w:spacing w:after="0"/>
        <w:rPr>
          <w:sz w:val="20"/>
          <w:szCs w:val="20"/>
          <w:color w:val="auto"/>
        </w:rPr>
      </w:pPr>
      <w:r>
        <w:rPr>
          <w:rFonts w:ascii="Arial" w:cs="Arial" w:eastAsia="Arial" w:hAnsi="Arial"/>
          <w:sz w:val="20"/>
          <w:szCs w:val="20"/>
          <w:color w:val="auto"/>
        </w:rPr>
        <w:t>14651 North Dallas Parkway, Suite 500</w:t>
      </w:r>
    </w:p>
    <w:p>
      <w:pPr>
        <w:jc w:val="center"/>
        <w:ind w:right="-179"/>
        <w:spacing w:after="0"/>
        <w:rPr>
          <w:sz w:val="20"/>
          <w:szCs w:val="20"/>
          <w:color w:val="auto"/>
        </w:rPr>
      </w:pPr>
      <w:r>
        <w:rPr>
          <w:rFonts w:ascii="Arial" w:cs="Arial" w:eastAsia="Arial" w:hAnsi="Arial"/>
          <w:sz w:val="20"/>
          <w:szCs w:val="20"/>
          <w:color w:val="auto"/>
        </w:rPr>
        <w:t>Dallas, Texas 75254</w:t>
      </w:r>
    </w:p>
    <w:p>
      <w:pPr>
        <w:jc w:val="center"/>
        <w:ind w:right="-179"/>
        <w:spacing w:after="0" w:line="238" w:lineRule="auto"/>
        <w:rPr>
          <w:sz w:val="20"/>
          <w:szCs w:val="20"/>
          <w:color w:val="auto"/>
        </w:rPr>
      </w:pPr>
      <w:r>
        <w:rPr>
          <w:rFonts w:ascii="Arial" w:cs="Arial" w:eastAsia="Arial" w:hAnsi="Arial"/>
          <w:sz w:val="20"/>
          <w:szCs w:val="20"/>
          <w:color w:val="auto"/>
        </w:rPr>
        <w:t>(214) 357-6181</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1"/>
          <w:szCs w:val="11"/>
          <w:color w:val="auto"/>
        </w:rPr>
        <w:t>(Name, Address and Telephone Number, Including Area Code, of Agent For Service)</w:t>
      </w:r>
    </w:p>
    <w:p>
      <w:pPr>
        <w:spacing w:after="0" w:line="196" w:lineRule="exact"/>
        <w:rPr>
          <w:sz w:val="24"/>
          <w:szCs w:val="24"/>
          <w:color w:val="auto"/>
        </w:rPr>
      </w:pPr>
    </w:p>
    <w:p>
      <w:pPr>
        <w:spacing w:after="0" w:line="250" w:lineRule="auto"/>
        <w:rPr>
          <w:sz w:val="20"/>
          <w:szCs w:val="20"/>
          <w:color w:val="auto"/>
        </w:rPr>
      </w:pPr>
      <w:r>
        <w:rPr>
          <w:rFonts w:ascii="Arial" w:cs="Arial" w:eastAsia="Arial" w:hAnsi="Arial"/>
          <w:sz w:val="20"/>
          <w:szCs w:val="2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080"/>
          </w:cols>
          <w:pgMar w:left="320" w:top="369" w:right="499" w:bottom="1440" w:gutter="0" w:footer="0" w:header="0"/>
          <w:type w:val="continuous"/>
        </w:sectPr>
      </w:pPr>
    </w:p>
    <w:p>
      <w:pPr>
        <w:spacing w:after="0" w:line="54" w:lineRule="exact"/>
        <w:rPr>
          <w:sz w:val="24"/>
          <w:szCs w:val="24"/>
          <w:color w:val="auto"/>
        </w:rPr>
      </w:pPr>
    </w:p>
    <w:p>
      <w:pPr>
        <w:ind w:left="8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144" w:lineRule="exact"/>
        <w:rPr>
          <w:sz w:val="24"/>
          <w:szCs w:val="24"/>
          <w:color w:val="auto"/>
        </w:rPr>
      </w:pPr>
    </w:p>
    <w:p>
      <w:pPr>
        <w:sectPr>
          <w:pgSz w:w="11900" w:h="16838" w:orient="portrait"/>
          <w:cols w:equalWidth="0" w:num="2">
            <w:col w:w="2880" w:space="640"/>
            <w:col w:w="7560"/>
          </w:cols>
          <w:pgMar w:left="320" w:top="369" w:right="499" w:bottom="1440" w:gutter="0" w:footer="0" w:header="0"/>
          <w:type w:val="continuous"/>
        </w:sectPr>
      </w:pPr>
    </w:p>
    <w:p>
      <w:pPr>
        <w:ind w:left="88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p>
      <w:pPr>
        <w:spacing w:after="0" w:line="144" w:lineRule="exact"/>
        <w:rPr>
          <w:sz w:val="24"/>
          <w:szCs w:val="24"/>
          <w:color w:val="auto"/>
        </w:rPr>
      </w:pPr>
    </w:p>
    <w:p>
      <w:pPr>
        <w:sectPr>
          <w:pgSz w:w="11900" w:h="16838" w:orient="portrait"/>
          <w:cols w:equalWidth="0" w:num="2">
            <w:col w:w="2780" w:space="640"/>
            <w:col w:w="7660"/>
          </w:cols>
          <w:pgMar w:left="320" w:top="369" w:right="499" w:bottom="1440" w:gutter="0" w:footer="0" w:header="0"/>
          <w:type w:val="continuous"/>
        </w:sectPr>
      </w:pPr>
    </w:p>
    <w:p>
      <w:pPr>
        <w:ind w:left="880"/>
        <w:spacing w:after="0" w:line="230" w:lineRule="exact"/>
        <w:rPr>
          <w:sz w:val="20"/>
          <w:szCs w:val="20"/>
          <w:color w:val="auto"/>
        </w:rPr>
      </w:pPr>
      <w:r>
        <w:rPr>
          <w:rFonts w:ascii="Arial" w:cs="Arial" w:eastAsia="Arial" w:hAnsi="Arial"/>
          <w:sz w:val="20"/>
          <w:szCs w:val="20"/>
          <w:color w:val="auto"/>
        </w:rPr>
        <w:t xml:space="preserve">Emerging growth company </w:t>
      </w:r>
      <w:r>
        <w:rPr>
          <w:rFonts w:ascii="MS PGothic" w:cs="MS PGothic" w:eastAsia="MS PGothic" w:hAnsi="MS PGothic"/>
          <w:sz w:val="20"/>
          <w:szCs w:val="20"/>
          <w:color w:val="auto"/>
        </w:rPr>
        <w:t>☐</w:t>
      </w:r>
    </w:p>
    <w:p>
      <w:pPr>
        <w:spacing w:after="0" w:line="145" w:lineRule="exact"/>
        <w:rPr>
          <w:sz w:val="24"/>
          <w:szCs w:val="24"/>
          <w:color w:val="auto"/>
        </w:rPr>
      </w:pPr>
    </w:p>
    <w:p>
      <w:pPr>
        <w:ind w:right="20"/>
        <w:spacing w:after="0" w:line="258"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4946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320" w:top="369" w:right="499" w:bottom="1440" w:gutter="0" w:footer="0" w:header="0"/>
          <w:type w:val="continuous"/>
        </w:sectPr>
      </w:pPr>
    </w:p>
    <w:bookmarkStart w:id="1" w:name="page2"/>
    <w:bookmarkEnd w:id="1"/>
    <w:p>
      <w:pPr>
        <w:jc w:val="center"/>
        <w:ind w:right="-139"/>
        <w:spacing w:after="0"/>
        <w:rPr>
          <w:sz w:val="20"/>
          <w:szCs w:val="20"/>
          <w:color w:val="auto"/>
        </w:rPr>
      </w:pPr>
      <w:r>
        <w:rPr>
          <w:rFonts w:ascii="Arial" w:cs="Arial" w:eastAsia="Arial" w:hAnsi="Arial"/>
          <w:sz w:val="20"/>
          <w:szCs w:val="20"/>
          <w:b w:val="1"/>
          <w:bCs w:val="1"/>
          <w:color w:val="auto"/>
        </w:rPr>
        <w:t>CALCULATION OF REGISTRATION FEE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0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62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00" w:type="dxa"/>
            <w:vAlign w:val="bottom"/>
            <w:tcBorders>
              <w:right w:val="single" w:sz="8" w:color="auto"/>
            </w:tcBorders>
          </w:tcPr>
          <w:p>
            <w:pPr>
              <w:jc w:val="center"/>
              <w:ind w:right="10"/>
              <w:spacing w:after="0" w:line="106" w:lineRule="exact"/>
              <w:rPr>
                <w:sz w:val="20"/>
                <w:szCs w:val="20"/>
                <w:color w:val="auto"/>
              </w:rPr>
            </w:pPr>
            <w:r>
              <w:rPr>
                <w:rFonts w:ascii="Arial" w:cs="Arial" w:eastAsia="Arial" w:hAnsi="Arial"/>
                <w:sz w:val="12"/>
                <w:szCs w:val="12"/>
                <w:b w:val="1"/>
                <w:bCs w:val="1"/>
                <w:color w:val="auto"/>
              </w:rPr>
              <w:t>Title of</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Amount to be</w:t>
            </w:r>
          </w:p>
        </w:tc>
        <w:tc>
          <w:tcPr>
            <w:tcW w:w="18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 Maximum Offering</w:t>
            </w:r>
          </w:p>
        </w:tc>
        <w:tc>
          <w:tcPr>
            <w:tcW w:w="162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 Maximum</w:t>
            </w:r>
          </w:p>
        </w:tc>
        <w:tc>
          <w:tcPr>
            <w:tcW w:w="172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Amount of</w:t>
            </w:r>
          </w:p>
        </w:tc>
        <w:tc>
          <w:tcPr>
            <w:tcW w:w="0" w:type="dxa"/>
            <w:vAlign w:val="bottom"/>
          </w:tcPr>
          <w:p>
            <w:pPr>
              <w:spacing w:after="0"/>
              <w:rPr>
                <w:sz w:val="1"/>
                <w:szCs w:val="1"/>
                <w:color w:val="auto"/>
              </w:rPr>
            </w:pPr>
          </w:p>
        </w:tc>
      </w:tr>
      <w:tr>
        <w:trPr>
          <w:trHeight w:val="149"/>
        </w:trPr>
        <w:tc>
          <w:tcPr>
            <w:tcW w:w="2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Securities to</w:t>
            </w:r>
          </w:p>
        </w:tc>
        <w:tc>
          <w:tcPr>
            <w:tcW w:w="1840" w:type="dxa"/>
            <w:vAlign w:val="bottom"/>
            <w:tcBorders>
              <w:right w:val="single" w:sz="8" w:color="auto"/>
            </w:tcBorders>
            <w:vMerge w:val="continue"/>
          </w:tcPr>
          <w:p>
            <w:pPr>
              <w:spacing w:after="0"/>
              <w:rPr>
                <w:sz w:val="12"/>
                <w:szCs w:val="12"/>
                <w:color w:val="auto"/>
              </w:rPr>
            </w:pPr>
          </w:p>
        </w:tc>
        <w:tc>
          <w:tcPr>
            <w:tcW w:w="1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Price Per Share (3)</w:t>
            </w: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0" w:type="dxa"/>
            <w:vAlign w:val="bottom"/>
          </w:tcPr>
          <w:p>
            <w:pPr>
              <w:spacing w:after="0"/>
              <w:rPr>
                <w:sz w:val="1"/>
                <w:szCs w:val="1"/>
                <w:color w:val="auto"/>
              </w:rPr>
            </w:pPr>
          </w:p>
        </w:tc>
      </w:tr>
      <w:tr>
        <w:trPr>
          <w:trHeight w:val="171"/>
        </w:trPr>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be Registered</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Registered (1)(2)</w:t>
            </w:r>
          </w:p>
        </w:tc>
        <w:tc>
          <w:tcPr>
            <w:tcW w:w="1840" w:type="dxa"/>
            <w:vAlign w:val="bottom"/>
            <w:tcBorders>
              <w:bottom w:val="single" w:sz="8" w:color="auto"/>
              <w:right w:val="single" w:sz="8" w:color="auto"/>
            </w:tcBorders>
          </w:tcPr>
          <w:p>
            <w:pPr>
              <w:spacing w:after="0"/>
              <w:rPr>
                <w:sz w:val="14"/>
                <w:szCs w:val="14"/>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 Price (3)</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Fee</w:t>
            </w:r>
          </w:p>
        </w:tc>
        <w:tc>
          <w:tcPr>
            <w:tcW w:w="0" w:type="dxa"/>
            <w:vAlign w:val="bottom"/>
          </w:tcPr>
          <w:p>
            <w:pPr>
              <w:spacing w:after="0"/>
              <w:rPr>
                <w:sz w:val="1"/>
                <w:szCs w:val="1"/>
                <w:color w:val="auto"/>
              </w:rPr>
            </w:pPr>
          </w:p>
        </w:tc>
      </w:tr>
      <w:tr>
        <w:trPr>
          <w:trHeight w:val="123"/>
        </w:trPr>
        <w:tc>
          <w:tcPr>
            <w:tcW w:w="200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2"/>
              </w:rPr>
              <w:t>Common Stock, par value $0.01</w:t>
            </w:r>
          </w:p>
        </w:tc>
        <w:tc>
          <w:tcPr>
            <w:tcW w:w="184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3"/>
              </w:rPr>
              <w:t>1,300,000</w:t>
            </w:r>
          </w:p>
        </w:tc>
        <w:tc>
          <w:tcPr>
            <w:tcW w:w="184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$6.19</w:t>
            </w:r>
          </w:p>
        </w:tc>
        <w:tc>
          <w:tcPr>
            <w:tcW w:w="162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$8,047,000</w:t>
            </w:r>
          </w:p>
        </w:tc>
        <w:tc>
          <w:tcPr>
            <w:tcW w:w="172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3"/>
              </w:rPr>
              <w:t>$1,044.50</w:t>
            </w:r>
          </w:p>
        </w:tc>
        <w:tc>
          <w:tcPr>
            <w:tcW w:w="0" w:type="dxa"/>
            <w:vAlign w:val="bottom"/>
          </w:tcPr>
          <w:p>
            <w:pPr>
              <w:spacing w:after="0"/>
              <w:rPr>
                <w:sz w:val="1"/>
                <w:szCs w:val="1"/>
                <w:color w:val="auto"/>
              </w:rPr>
            </w:pPr>
          </w:p>
        </w:tc>
      </w:tr>
      <w:tr>
        <w:trPr>
          <w:trHeight w:val="167"/>
        </w:trPr>
        <w:tc>
          <w:tcPr>
            <w:tcW w:w="200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4"/>
                <w:szCs w:val="14"/>
                <w:color w:val="auto"/>
                <w:w w:val="87"/>
              </w:rPr>
              <w:t>per share</w:t>
            </w:r>
          </w:p>
        </w:tc>
        <w:tc>
          <w:tcPr>
            <w:tcW w:w="1840" w:type="dxa"/>
            <w:vAlign w:val="bottom"/>
            <w:tcBorders>
              <w:bottom w:val="single" w:sz="8" w:color="auto"/>
              <w:right w:val="single" w:sz="8" w:color="auto"/>
            </w:tcBorders>
          </w:tcPr>
          <w:p>
            <w:pPr>
              <w:spacing w:after="0"/>
              <w:rPr>
                <w:sz w:val="14"/>
                <w:szCs w:val="14"/>
                <w:color w:val="auto"/>
              </w:rPr>
            </w:pPr>
          </w:p>
        </w:tc>
        <w:tc>
          <w:tcPr>
            <w:tcW w:w="1840" w:type="dxa"/>
            <w:vAlign w:val="bottom"/>
            <w:tcBorders>
              <w:bottom w:val="single" w:sz="8" w:color="auto"/>
              <w:right w:val="single" w:sz="8" w:color="auto"/>
            </w:tcBorders>
          </w:tcPr>
          <w:p>
            <w:pPr>
              <w:spacing w:after="0"/>
              <w:rPr>
                <w:sz w:val="14"/>
                <w:szCs w:val="14"/>
                <w:color w:val="auto"/>
              </w:rPr>
            </w:pPr>
          </w:p>
        </w:tc>
        <w:tc>
          <w:tcPr>
            <w:tcW w:w="1620" w:type="dxa"/>
            <w:vAlign w:val="bottom"/>
            <w:tcBorders>
              <w:bottom w:val="single" w:sz="8" w:color="auto"/>
              <w:right w:val="single" w:sz="8" w:color="auto"/>
            </w:tcBorders>
          </w:tcPr>
          <w:p>
            <w:pPr>
              <w:spacing w:after="0"/>
              <w:rPr>
                <w:sz w:val="14"/>
                <w:szCs w:val="14"/>
                <w:color w:val="auto"/>
              </w:rPr>
            </w:pPr>
          </w:p>
        </w:tc>
        <w:tc>
          <w:tcPr>
            <w:tcW w:w="17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980" w:right="200" w:hanging="440"/>
        <w:spacing w:after="0" w:line="253" w:lineRule="auto"/>
        <w:tabs>
          <w:tab w:leader="none" w:pos="98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Represents the number of shares of common stock, par value $0.01 per share (“</w:t>
      </w:r>
      <w:r>
        <w:rPr>
          <w:rFonts w:ascii="Arial" w:cs="Arial" w:eastAsia="Arial" w:hAnsi="Arial"/>
          <w:sz w:val="14"/>
          <w:szCs w:val="14"/>
          <w:b w:val="1"/>
          <w:bCs w:val="1"/>
          <w:i w:val="1"/>
          <w:iCs w:val="1"/>
          <w:color w:val="auto"/>
        </w:rPr>
        <w:t>Common Stock</w:t>
      </w:r>
      <w:r>
        <w:rPr>
          <w:rFonts w:ascii="Arial" w:cs="Arial" w:eastAsia="Arial" w:hAnsi="Arial"/>
          <w:sz w:val="14"/>
          <w:szCs w:val="14"/>
          <w:color w:val="auto"/>
        </w:rPr>
        <w:t>”), of CECO Environmental Corp. (the “</w:t>
      </w:r>
      <w:r>
        <w:rPr>
          <w:rFonts w:ascii="Arial" w:cs="Arial" w:eastAsia="Arial" w:hAnsi="Arial"/>
          <w:sz w:val="14"/>
          <w:szCs w:val="14"/>
          <w:b w:val="1"/>
          <w:bCs w:val="1"/>
          <w:i w:val="1"/>
          <w:iCs w:val="1"/>
          <w:color w:val="auto"/>
        </w:rPr>
        <w:t>Registrant</w:t>
      </w:r>
      <w:r>
        <w:rPr>
          <w:rFonts w:ascii="Arial" w:cs="Arial" w:eastAsia="Arial" w:hAnsi="Arial"/>
          <w:sz w:val="14"/>
          <w:szCs w:val="14"/>
          <w:color w:val="auto"/>
        </w:rPr>
        <w:t>”), deliverable pursuant to the CECO Environmental Corp. 2020 Employee Stock Purchase Plan (the “</w:t>
      </w:r>
      <w:r>
        <w:rPr>
          <w:rFonts w:ascii="Arial" w:cs="Arial" w:eastAsia="Arial" w:hAnsi="Arial"/>
          <w:sz w:val="14"/>
          <w:szCs w:val="14"/>
          <w:b w:val="1"/>
          <w:bCs w:val="1"/>
          <w:i w:val="1"/>
          <w:iCs w:val="1"/>
          <w:color w:val="auto"/>
        </w:rPr>
        <w:t>Plan</w:t>
      </w:r>
      <w:r>
        <w:rPr>
          <w:rFonts w:ascii="Arial" w:cs="Arial" w:eastAsia="Arial" w:hAnsi="Arial"/>
          <w:sz w:val="14"/>
          <w:szCs w:val="14"/>
          <w:color w:val="auto"/>
        </w:rPr>
        <w:t>”) being registered hereon.</w:t>
      </w:r>
    </w:p>
    <w:p>
      <w:pPr>
        <w:spacing w:after="0" w:line="65" w:lineRule="exact"/>
        <w:rPr>
          <w:rFonts w:ascii="Arial" w:cs="Arial" w:eastAsia="Arial" w:hAnsi="Arial"/>
          <w:sz w:val="14"/>
          <w:szCs w:val="14"/>
          <w:color w:val="auto"/>
        </w:rPr>
      </w:pPr>
    </w:p>
    <w:p>
      <w:pPr>
        <w:ind w:left="980" w:right="320" w:hanging="440"/>
        <w:spacing w:after="0" w:line="253" w:lineRule="auto"/>
        <w:tabs>
          <w:tab w:leader="none" w:pos="98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 of the Securities Act of 1933, as amended (the “</w:t>
      </w:r>
      <w:r>
        <w:rPr>
          <w:rFonts w:ascii="Arial" w:cs="Arial" w:eastAsia="Arial" w:hAnsi="Arial"/>
          <w:sz w:val="14"/>
          <w:szCs w:val="14"/>
          <w:b w:val="1"/>
          <w:bCs w:val="1"/>
          <w:i w:val="1"/>
          <w:iCs w:val="1"/>
          <w:color w:val="auto"/>
        </w:rPr>
        <w:t>Securities Act</w:t>
      </w:r>
      <w:r>
        <w:rPr>
          <w:rFonts w:ascii="Arial" w:cs="Arial" w:eastAsia="Arial" w:hAnsi="Arial"/>
          <w:sz w:val="14"/>
          <w:szCs w:val="14"/>
          <w:color w:val="auto"/>
        </w:rPr>
        <w:t>”), this Registration Statement also covers such additional Common Stock as may become deliverable pursuant to any anti-dilution provisions of the Plan.</w:t>
      </w:r>
    </w:p>
    <w:p>
      <w:pPr>
        <w:spacing w:after="0" w:line="65" w:lineRule="exact"/>
        <w:rPr>
          <w:rFonts w:ascii="Arial" w:cs="Arial" w:eastAsia="Arial" w:hAnsi="Arial"/>
          <w:sz w:val="14"/>
          <w:szCs w:val="14"/>
          <w:color w:val="auto"/>
        </w:rPr>
      </w:pPr>
    </w:p>
    <w:p>
      <w:pPr>
        <w:ind w:left="980" w:hanging="440"/>
        <w:spacing w:after="0" w:line="290" w:lineRule="auto"/>
        <w:tabs>
          <w:tab w:leader="none" w:pos="98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calculating the amount of the registration fee, pursuant to paragraphs (c) and (h) of Rule 457 of the General Rules and Regulations under the Securities Act, on the basis of the average of the high and low sale prices of such securities on The Nasdaq Global Market on June 11, 2020, within five business days prior to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596900</wp:posOffset>
            </wp:positionV>
            <wp:extent cx="71494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320"/>
          </w:cols>
          <w:pgMar w:left="220" w:top="549"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PART II</w:t>
      </w:r>
    </w:p>
    <w:p>
      <w:pPr>
        <w:spacing w:after="0" w:line="215" w:lineRule="exact"/>
        <w:rPr>
          <w:sz w:val="20"/>
          <w:szCs w:val="20"/>
          <w:color w:val="auto"/>
        </w:rPr>
      </w:pPr>
    </w:p>
    <w:p>
      <w:pPr>
        <w:ind w:left="2560"/>
        <w:spacing w:after="0"/>
        <w:rPr>
          <w:sz w:val="20"/>
          <w:szCs w:val="20"/>
          <w:color w:val="auto"/>
        </w:rPr>
      </w:pPr>
      <w:r>
        <w:rPr>
          <w:rFonts w:ascii="Arial" w:cs="Arial" w:eastAsia="Arial" w:hAnsi="Arial"/>
          <w:sz w:val="20"/>
          <w:szCs w:val="20"/>
          <w:b w:val="1"/>
          <w:bCs w:val="1"/>
          <w:color w:val="auto"/>
        </w:rPr>
        <w:t>INFORMATION REQUIRED IN THE REGISTRATION STATEMENT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Incorporation of Documents by Reference.</w:t>
      </w:r>
    </w:p>
    <w:p>
      <w:pPr>
        <w:spacing w:after="0" w:line="222" w:lineRule="exact"/>
        <w:rPr>
          <w:sz w:val="20"/>
          <w:szCs w:val="20"/>
          <w:color w:val="auto"/>
        </w:rPr>
      </w:pPr>
    </w:p>
    <w:p>
      <w:pPr>
        <w:ind w:firstLine="864"/>
        <w:spacing w:after="0" w:line="246" w:lineRule="auto"/>
        <w:rPr>
          <w:sz w:val="20"/>
          <w:szCs w:val="20"/>
          <w:color w:val="auto"/>
        </w:rPr>
      </w:pPr>
      <w:r>
        <w:rPr>
          <w:rFonts w:ascii="Arial" w:cs="Arial" w:eastAsia="Arial" w:hAnsi="Arial"/>
          <w:sz w:val="20"/>
          <w:szCs w:val="20"/>
          <w:color w:val="auto"/>
        </w:rPr>
        <w:t>The Registrant is subject to the informational and reporting requirements of Sections 13(a), 13(c), 14 and 15(d) of the Securities Exchange Act of 1934, as amended (the “</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 and, in accordance therewith, files reports, proxy statements and other information with the Securities and Exchange Commission (the “</w:t>
      </w:r>
      <w:r>
        <w:rPr>
          <w:rFonts w:ascii="Arial" w:cs="Arial" w:eastAsia="Arial" w:hAnsi="Arial"/>
          <w:sz w:val="20"/>
          <w:szCs w:val="20"/>
          <w:b w:val="1"/>
          <w:bCs w:val="1"/>
          <w:i w:val="1"/>
          <w:iCs w:val="1"/>
          <w:color w:val="auto"/>
        </w:rPr>
        <w:t>Commission</w:t>
      </w:r>
      <w:r>
        <w:rPr>
          <w:rFonts w:ascii="Arial" w:cs="Arial" w:eastAsia="Arial" w:hAnsi="Arial"/>
          <w:sz w:val="20"/>
          <w:szCs w:val="20"/>
          <w:color w:val="auto"/>
        </w:rPr>
        <w:t>”). The following documents have been filed by the Registrant with the Commission and are incorporated herein by reference:</w:t>
      </w:r>
    </w:p>
    <w:p>
      <w:pPr>
        <w:spacing w:after="0" w:line="191" w:lineRule="exact"/>
        <w:rPr>
          <w:sz w:val="20"/>
          <w:szCs w:val="20"/>
          <w:color w:val="auto"/>
        </w:rPr>
      </w:pPr>
    </w:p>
    <w:p>
      <w:pPr>
        <w:ind w:left="1700" w:right="520" w:hanging="842"/>
        <w:spacing w:after="0" w:line="238" w:lineRule="auto"/>
        <w:tabs>
          <w:tab w:leader="none" w:pos="1700" w:val="left"/>
        </w:tabs>
        <w:numPr>
          <w:ilvl w:val="0"/>
          <w:numId w:val="2"/>
        </w:numPr>
        <w:rPr>
          <w:rFonts w:ascii="Arial" w:cs="Arial" w:eastAsia="Arial" w:hAnsi="Arial"/>
          <w:sz w:val="20"/>
          <w:szCs w:val="20"/>
          <w:color w:val="auto"/>
        </w:rPr>
      </w:pPr>
      <w:r>
        <w:rPr>
          <w:rFonts w:ascii="Arial" w:cs="Arial" w:eastAsia="Arial" w:hAnsi="Arial"/>
          <w:sz w:val="20"/>
          <w:szCs w:val="20"/>
          <w:color w:val="auto"/>
        </w:rPr>
        <w:t xml:space="preserve">The Registrant’s </w:t>
      </w:r>
      <w:hyperlink r:id="rId10">
        <w:r>
          <w:rPr>
            <w:rFonts w:ascii="Arial" w:cs="Arial" w:eastAsia="Arial" w:hAnsi="Arial"/>
            <w:sz w:val="20"/>
            <w:szCs w:val="20"/>
            <w:u w:val="single" w:color="auto"/>
            <w:color w:val="0000EE"/>
          </w:rPr>
          <w:t>Annual Report on Form 10-K for the year ended December 31, 2019</w:t>
        </w:r>
        <w:r>
          <w:rPr>
            <w:rFonts w:ascii="Arial" w:cs="Arial" w:eastAsia="Arial" w:hAnsi="Arial"/>
            <w:sz w:val="20"/>
            <w:szCs w:val="20"/>
            <w:u w:val="single" w:color="auto"/>
            <w:color w:val="auto"/>
          </w:rPr>
          <w:t xml:space="preserve"> </w:t>
        </w:r>
      </w:hyperlink>
      <w:r>
        <w:rPr>
          <w:rFonts w:ascii="Arial" w:cs="Arial" w:eastAsia="Arial" w:hAnsi="Arial"/>
          <w:sz w:val="20"/>
          <w:szCs w:val="20"/>
          <w:color w:val="auto"/>
        </w:rPr>
        <w:t>(Commission File No. 000-07099), filed March 4, 2020;</w:t>
      </w:r>
    </w:p>
    <w:p>
      <w:pPr>
        <w:spacing w:after="0" w:line="196" w:lineRule="exact"/>
        <w:rPr>
          <w:rFonts w:ascii="Arial" w:cs="Arial" w:eastAsia="Arial" w:hAnsi="Arial"/>
          <w:sz w:val="20"/>
          <w:szCs w:val="20"/>
          <w:color w:val="auto"/>
        </w:rPr>
      </w:pPr>
    </w:p>
    <w:p>
      <w:pPr>
        <w:ind w:left="1700" w:right="420" w:hanging="842"/>
        <w:spacing w:after="0" w:line="238" w:lineRule="auto"/>
        <w:tabs>
          <w:tab w:leader="none" w:pos="1700" w:val="left"/>
        </w:tabs>
        <w:numPr>
          <w:ilvl w:val="0"/>
          <w:numId w:val="2"/>
        </w:numPr>
        <w:rPr>
          <w:rFonts w:ascii="Arial" w:cs="Arial" w:eastAsia="Arial" w:hAnsi="Arial"/>
          <w:sz w:val="20"/>
          <w:szCs w:val="20"/>
          <w:color w:val="auto"/>
        </w:rPr>
      </w:pPr>
      <w:r>
        <w:rPr>
          <w:rFonts w:ascii="Arial" w:cs="Arial" w:eastAsia="Arial" w:hAnsi="Arial"/>
          <w:sz w:val="20"/>
          <w:szCs w:val="20"/>
          <w:color w:val="auto"/>
        </w:rPr>
        <w:t xml:space="preserve">The Registrant’s </w:t>
      </w:r>
      <w:hyperlink r:id="rId11">
        <w:r>
          <w:rPr>
            <w:rFonts w:ascii="Arial" w:cs="Arial" w:eastAsia="Arial" w:hAnsi="Arial"/>
            <w:sz w:val="20"/>
            <w:szCs w:val="20"/>
            <w:u w:val="single" w:color="auto"/>
            <w:color w:val="0000EE"/>
          </w:rPr>
          <w:t>Quarterly Report on Form 10-Q for the quarter ended March 31, 2020</w:t>
        </w:r>
        <w:r>
          <w:rPr>
            <w:rFonts w:ascii="Arial" w:cs="Arial" w:eastAsia="Arial" w:hAnsi="Arial"/>
            <w:sz w:val="20"/>
            <w:szCs w:val="20"/>
            <w:u w:val="single" w:color="auto"/>
            <w:color w:val="auto"/>
          </w:rPr>
          <w:t xml:space="preserve"> </w:t>
        </w:r>
      </w:hyperlink>
      <w:r>
        <w:rPr>
          <w:rFonts w:ascii="Arial" w:cs="Arial" w:eastAsia="Arial" w:hAnsi="Arial"/>
          <w:sz w:val="20"/>
          <w:szCs w:val="20"/>
          <w:color w:val="auto"/>
        </w:rPr>
        <w:t>(Commission File No. 000-07099), filed May 6, 2020;</w:t>
      </w:r>
    </w:p>
    <w:p>
      <w:pPr>
        <w:spacing w:after="0" w:line="196" w:lineRule="exact"/>
        <w:rPr>
          <w:rFonts w:ascii="Arial" w:cs="Arial" w:eastAsia="Arial" w:hAnsi="Arial"/>
          <w:sz w:val="20"/>
          <w:szCs w:val="20"/>
          <w:color w:val="auto"/>
        </w:rPr>
      </w:pPr>
    </w:p>
    <w:p>
      <w:pPr>
        <w:ind w:left="1700" w:right="480" w:hanging="842"/>
        <w:spacing w:after="0" w:line="238" w:lineRule="auto"/>
        <w:tabs>
          <w:tab w:leader="none" w:pos="1700" w:val="left"/>
        </w:tabs>
        <w:numPr>
          <w:ilvl w:val="0"/>
          <w:numId w:val="2"/>
        </w:numPr>
        <w:rPr>
          <w:rFonts w:ascii="Arial" w:cs="Arial" w:eastAsia="Arial" w:hAnsi="Arial"/>
          <w:sz w:val="20"/>
          <w:szCs w:val="20"/>
          <w:color w:val="0000EE"/>
        </w:rPr>
      </w:pPr>
      <w:hyperlink r:id="rId12">
        <w:r>
          <w:rPr>
            <w:rFonts w:ascii="Arial" w:cs="Arial" w:eastAsia="Arial" w:hAnsi="Arial"/>
            <w:sz w:val="20"/>
            <w:szCs w:val="20"/>
            <w:color w:val="auto"/>
          </w:rPr>
          <w:t xml:space="preserve">The Registrant’s Current Reports on Form 8-K (Commission File No. 000-07099) filed </w:t>
        </w:r>
        <w:r>
          <w:rPr>
            <w:rFonts w:ascii="Arial" w:cs="Arial" w:eastAsia="Arial" w:hAnsi="Arial"/>
            <w:sz w:val="20"/>
            <w:szCs w:val="20"/>
            <w:u w:val="single" w:color="auto"/>
            <w:color w:val="0000EE"/>
          </w:rPr>
          <w:t>April 7, 2020</w:t>
        </w:r>
        <w:r>
          <w:rPr>
            <w:rFonts w:ascii="Arial" w:cs="Arial" w:eastAsia="Arial" w:hAnsi="Arial"/>
            <w:sz w:val="20"/>
            <w:szCs w:val="20"/>
            <w:color w:val="auto"/>
          </w:rPr>
          <w:t xml:space="preserve"> and </w:t>
        </w:r>
        <w:r>
          <w:rPr>
            <w:rFonts w:ascii="Arial" w:cs="Arial" w:eastAsia="Arial" w:hAnsi="Arial"/>
            <w:sz w:val="20"/>
            <w:szCs w:val="20"/>
            <w:u w:val="single" w:color="auto"/>
            <w:color w:val="0000EE"/>
          </w:rPr>
          <w:t>June 16,</w:t>
        </w:r>
      </w:hyperlink>
      <w:r>
        <w:rPr>
          <w:rFonts w:ascii="Arial" w:cs="Arial" w:eastAsia="Arial" w:hAnsi="Arial"/>
          <w:sz w:val="20"/>
          <w:szCs w:val="20"/>
          <w:color w:val="auto"/>
        </w:rPr>
        <w:t xml:space="preserve"> </w:t>
      </w:r>
      <w:hyperlink r:id="rId12">
        <w:r>
          <w:rPr>
            <w:rFonts w:ascii="Arial" w:cs="Arial" w:eastAsia="Arial" w:hAnsi="Arial"/>
            <w:sz w:val="20"/>
            <w:szCs w:val="20"/>
            <w:u w:val="single" w:color="auto"/>
            <w:color w:val="0000EE"/>
          </w:rPr>
          <w:t>2020</w:t>
        </w:r>
        <w:r>
          <w:rPr>
            <w:rFonts w:ascii="Arial" w:cs="Arial" w:eastAsia="Arial" w:hAnsi="Arial"/>
            <w:sz w:val="20"/>
            <w:szCs w:val="20"/>
            <w:color w:val="000000"/>
          </w:rPr>
          <w:t>; and</w:t>
        </w:r>
      </w:hyperlink>
    </w:p>
    <w:p>
      <w:pPr>
        <w:spacing w:after="0" w:line="196" w:lineRule="exact"/>
        <w:rPr>
          <w:rFonts w:ascii="Arial" w:cs="Arial" w:eastAsia="Arial" w:hAnsi="Arial"/>
          <w:sz w:val="20"/>
          <w:szCs w:val="20"/>
          <w:color w:val="0000EE"/>
        </w:rPr>
      </w:pPr>
    </w:p>
    <w:p>
      <w:pPr>
        <w:ind w:left="1700" w:right="140" w:hanging="842"/>
        <w:spacing w:after="0" w:line="239" w:lineRule="auto"/>
        <w:tabs>
          <w:tab w:leader="none" w:pos="1700" w:val="left"/>
        </w:tabs>
        <w:numPr>
          <w:ilvl w:val="0"/>
          <w:numId w:val="2"/>
        </w:numPr>
        <w:rPr>
          <w:rFonts w:ascii="Arial" w:cs="Arial" w:eastAsia="Arial" w:hAnsi="Arial"/>
          <w:sz w:val="20"/>
          <w:szCs w:val="20"/>
          <w:color w:val="0000EE"/>
        </w:rPr>
      </w:pPr>
      <w:r>
        <w:rPr>
          <w:rFonts w:ascii="Arial" w:cs="Arial" w:eastAsia="Arial" w:hAnsi="Arial"/>
          <w:sz w:val="20"/>
          <w:szCs w:val="20"/>
          <w:color w:val="auto"/>
        </w:rPr>
        <w:t xml:space="preserve">The description of the Common Stock contained in the Registrant’s Registration Statement on Form 10 (Commission File No. 000-07099), filed December 13, 1992, as amended by the description of the Common Stock contained in </w:t>
      </w:r>
      <w:hyperlink r:id="rId13">
        <w:r>
          <w:rPr>
            <w:rFonts w:ascii="Arial" w:cs="Arial" w:eastAsia="Arial" w:hAnsi="Arial"/>
            <w:sz w:val="20"/>
            <w:szCs w:val="20"/>
            <w:u w:val="single" w:color="auto"/>
            <w:color w:val="0000EE"/>
          </w:rPr>
          <w:t>Exhibit 4.1</w:t>
        </w:r>
        <w:r>
          <w:rPr>
            <w:rFonts w:ascii="Arial" w:cs="Arial" w:eastAsia="Arial" w:hAnsi="Arial"/>
            <w:sz w:val="20"/>
            <w:szCs w:val="20"/>
            <w:color w:val="0000EE"/>
          </w:rPr>
          <w:t xml:space="preserve"> </w:t>
        </w:r>
      </w:hyperlink>
      <w:r>
        <w:rPr>
          <w:rFonts w:ascii="Arial" w:cs="Arial" w:eastAsia="Arial" w:hAnsi="Arial"/>
          <w:sz w:val="20"/>
          <w:szCs w:val="20"/>
          <w:color w:val="000000"/>
        </w:rPr>
        <w:t>to</w:t>
      </w:r>
      <w:r>
        <w:rPr>
          <w:rFonts w:ascii="Arial" w:cs="Arial" w:eastAsia="Arial" w:hAnsi="Arial"/>
          <w:sz w:val="20"/>
          <w:szCs w:val="20"/>
          <w:color w:val="0000EE"/>
        </w:rPr>
        <w:t xml:space="preserve"> </w:t>
      </w:r>
      <w:r>
        <w:rPr>
          <w:rFonts w:ascii="Arial" w:cs="Arial" w:eastAsia="Arial" w:hAnsi="Arial"/>
          <w:sz w:val="20"/>
          <w:szCs w:val="20"/>
          <w:color w:val="000000"/>
        </w:rPr>
        <w:t>the Registrant’s Annual Report on Form 10-K for the year ended December 31, 2019 (Commission File</w:t>
      </w:r>
      <w:r>
        <w:rPr>
          <w:rFonts w:ascii="Arial" w:cs="Arial" w:eastAsia="Arial" w:hAnsi="Arial"/>
          <w:sz w:val="20"/>
          <w:szCs w:val="20"/>
          <w:color w:val="0000EE"/>
        </w:rPr>
        <w:t xml:space="preserve"> </w:t>
      </w:r>
      <w:r>
        <w:rPr>
          <w:rFonts w:ascii="Arial" w:cs="Arial" w:eastAsia="Arial" w:hAnsi="Arial"/>
          <w:sz w:val="20"/>
          <w:szCs w:val="20"/>
          <w:color w:val="000000"/>
        </w:rPr>
        <w:t>No. 000-07099), filed March 4, 2020, and as amended by any subsequent amendment or report filed for the purpose of updating such description.</w:t>
      </w:r>
    </w:p>
    <w:p>
      <w:pPr>
        <w:spacing w:after="0" w:line="196" w:lineRule="exact"/>
        <w:rPr>
          <w:rFonts w:ascii="Arial" w:cs="Arial" w:eastAsia="Arial" w:hAnsi="Arial"/>
          <w:sz w:val="20"/>
          <w:szCs w:val="20"/>
          <w:color w:val="auto"/>
        </w:rPr>
      </w:pPr>
    </w:p>
    <w:p>
      <w:pPr>
        <w:ind w:right="80" w:firstLine="864"/>
        <w:spacing w:after="0" w:line="273" w:lineRule="auto"/>
        <w:rPr>
          <w:sz w:val="20"/>
          <w:szCs w:val="20"/>
          <w:color w:val="auto"/>
        </w:rPr>
      </w:pPr>
      <w:r>
        <w:rPr>
          <w:rFonts w:ascii="Arial" w:cs="Arial" w:eastAsia="Arial" w:hAnsi="Arial"/>
          <w:sz w:val="18"/>
          <w:szCs w:val="18"/>
          <w:color w:val="auto"/>
        </w:rPr>
        <w:t>All documents filed by the Registrant with the Commission pursuant to Sections 13(a), 13(c), 14 and 15(d) of the Exchange Act subsequent to the date of this Registration Statement, and prior to the filing of a post-effective amendment that indicates that all securities offered have been sold or that deregisters all securities then remaining unsold, will be deemed to be incorporated by reference in this Registration Statement and to be part hereof from the date of filing of such documents. Any statement contained in any document incorporated or deemed to be incorporated by reference herein will be deemed to be modified or superseded for purposes of this Registration Statement to the extent that a statement contained herein or in any other subsequently filed document that also is or is deemed to be incorporated by reference herein modifies or supersedes such statement. Any such statement so modified or superseded will not be deemed, except as modified or superseded, to constitute a part of this Registration Statement.</w:t>
      </w:r>
    </w:p>
    <w:p>
      <w:pPr>
        <w:spacing w:after="0" w:line="162" w:lineRule="exact"/>
        <w:rPr>
          <w:rFonts w:ascii="Arial" w:cs="Arial" w:eastAsia="Arial" w:hAnsi="Arial"/>
          <w:sz w:val="20"/>
          <w:szCs w:val="20"/>
          <w:color w:val="auto"/>
        </w:rPr>
      </w:pPr>
    </w:p>
    <w:p>
      <w:pPr>
        <w:spacing w:after="0"/>
        <w:rPr>
          <w:sz w:val="20"/>
          <w:szCs w:val="20"/>
          <w:color w:val="auto"/>
        </w:rPr>
      </w:pPr>
      <w:r>
        <w:rPr>
          <w:rFonts w:ascii="Arial" w:cs="Arial" w:eastAsia="Arial" w:hAnsi="Arial"/>
          <w:sz w:val="20"/>
          <w:szCs w:val="20"/>
          <w:b w:val="1"/>
          <w:bCs w:val="1"/>
          <w:color w:val="auto"/>
        </w:rPr>
        <w:t>Item 4. Description of Securities.</w:t>
      </w:r>
    </w:p>
    <w:p>
      <w:pPr>
        <w:spacing w:after="0" w:line="222" w:lineRule="exact"/>
        <w:rPr>
          <w:rFonts w:ascii="Arial" w:cs="Arial" w:eastAsia="Arial" w:hAnsi="Arial"/>
          <w:sz w:val="20"/>
          <w:szCs w:val="20"/>
          <w:color w:val="auto"/>
        </w:rPr>
      </w:pPr>
    </w:p>
    <w:p>
      <w:pPr>
        <w:ind w:left="880"/>
        <w:spacing w:after="0"/>
        <w:rPr>
          <w:sz w:val="20"/>
          <w:szCs w:val="20"/>
          <w:color w:val="auto"/>
        </w:rPr>
      </w:pPr>
      <w:r>
        <w:rPr>
          <w:rFonts w:ascii="Arial" w:cs="Arial" w:eastAsia="Arial" w:hAnsi="Arial"/>
          <w:sz w:val="20"/>
          <w:szCs w:val="20"/>
          <w:color w:val="auto"/>
        </w:rPr>
        <w:t>Not applicable.</w:t>
      </w:r>
    </w:p>
    <w:p>
      <w:pPr>
        <w:spacing w:after="0" w:line="210" w:lineRule="exact"/>
        <w:rPr>
          <w:rFonts w:ascii="Arial" w:cs="Arial" w:eastAsia="Arial" w:hAnsi="Arial"/>
          <w:sz w:val="20"/>
          <w:szCs w:val="20"/>
          <w:color w:val="auto"/>
        </w:rPr>
      </w:pPr>
    </w:p>
    <w:p>
      <w:pPr>
        <w:spacing w:after="0"/>
        <w:rPr>
          <w:sz w:val="20"/>
          <w:szCs w:val="20"/>
          <w:color w:val="auto"/>
        </w:rPr>
      </w:pPr>
      <w:r>
        <w:rPr>
          <w:rFonts w:ascii="Arial" w:cs="Arial" w:eastAsia="Arial" w:hAnsi="Arial"/>
          <w:sz w:val="20"/>
          <w:szCs w:val="20"/>
          <w:b w:val="1"/>
          <w:bCs w:val="1"/>
          <w:color w:val="auto"/>
        </w:rPr>
        <w:t>Item 5. Interests of Named Experts and Counsel.</w:t>
      </w:r>
    </w:p>
    <w:p>
      <w:pPr>
        <w:spacing w:after="0" w:line="222" w:lineRule="exact"/>
        <w:rPr>
          <w:rFonts w:ascii="Arial" w:cs="Arial" w:eastAsia="Arial" w:hAnsi="Arial"/>
          <w:sz w:val="20"/>
          <w:szCs w:val="20"/>
          <w:color w:val="auto"/>
        </w:rPr>
      </w:pPr>
    </w:p>
    <w:p>
      <w:pPr>
        <w:ind w:left="880"/>
        <w:spacing w:after="0"/>
        <w:rPr>
          <w:sz w:val="20"/>
          <w:szCs w:val="20"/>
          <w:color w:val="auto"/>
        </w:rPr>
      </w:pPr>
      <w:r>
        <w:rPr>
          <w:rFonts w:ascii="Arial" w:cs="Arial" w:eastAsia="Arial" w:hAnsi="Arial"/>
          <w:sz w:val="20"/>
          <w:szCs w:val="20"/>
          <w:color w:val="auto"/>
        </w:rPr>
        <w:t>Not applicable.</w:t>
      </w:r>
    </w:p>
    <w:p>
      <w:pPr>
        <w:spacing w:after="0" w:line="210" w:lineRule="exact"/>
        <w:rPr>
          <w:rFonts w:ascii="Arial" w:cs="Arial" w:eastAsia="Arial" w:hAnsi="Arial"/>
          <w:sz w:val="20"/>
          <w:szCs w:val="20"/>
          <w:color w:val="auto"/>
        </w:rPr>
      </w:pPr>
    </w:p>
    <w:p>
      <w:pPr>
        <w:spacing w:after="0"/>
        <w:rPr>
          <w:sz w:val="20"/>
          <w:szCs w:val="20"/>
          <w:color w:val="auto"/>
        </w:rPr>
      </w:pPr>
      <w:r>
        <w:rPr>
          <w:rFonts w:ascii="Arial" w:cs="Arial" w:eastAsia="Arial" w:hAnsi="Arial"/>
          <w:sz w:val="20"/>
          <w:szCs w:val="20"/>
          <w:b w:val="1"/>
          <w:bCs w:val="1"/>
          <w:color w:val="auto"/>
        </w:rPr>
        <w:t>Item 6. Indemnification of Directors and Officers.</w:t>
      </w:r>
    </w:p>
    <w:p>
      <w:pPr>
        <w:spacing w:after="0" w:line="222" w:lineRule="exact"/>
        <w:rPr>
          <w:rFonts w:ascii="Arial" w:cs="Arial" w:eastAsia="Arial" w:hAnsi="Arial"/>
          <w:sz w:val="20"/>
          <w:szCs w:val="20"/>
          <w:color w:val="auto"/>
        </w:rPr>
      </w:pPr>
    </w:p>
    <w:p>
      <w:pPr>
        <w:ind w:right="140" w:firstLine="864"/>
        <w:spacing w:after="0" w:line="250" w:lineRule="auto"/>
        <w:rPr>
          <w:sz w:val="20"/>
          <w:szCs w:val="20"/>
          <w:color w:val="auto"/>
        </w:rPr>
      </w:pPr>
      <w:r>
        <w:rPr>
          <w:rFonts w:ascii="Arial" w:cs="Arial" w:eastAsia="Arial" w:hAnsi="Arial"/>
          <w:sz w:val="20"/>
          <w:szCs w:val="20"/>
          <w:color w:val="auto"/>
        </w:rPr>
        <w:t>Pursuant to the provisions of the General Corporation Law of the State of Delaware (“</w:t>
      </w:r>
      <w:r>
        <w:rPr>
          <w:rFonts w:ascii="Arial" w:cs="Arial" w:eastAsia="Arial" w:hAnsi="Arial"/>
          <w:sz w:val="20"/>
          <w:szCs w:val="20"/>
          <w:b w:val="1"/>
          <w:bCs w:val="1"/>
          <w:i w:val="1"/>
          <w:iCs w:val="1"/>
          <w:color w:val="auto"/>
        </w:rPr>
        <w:t>DGCL</w:t>
      </w:r>
      <w:r>
        <w:rPr>
          <w:rFonts w:ascii="Arial" w:cs="Arial" w:eastAsia="Arial" w:hAnsi="Arial"/>
          <w:sz w:val="20"/>
          <w:szCs w:val="20"/>
          <w:color w:val="auto"/>
        </w:rPr>
        <w:t>”), the Registrant has adopted provisions in its certificate of incorporation and bylaws that require the Registrant to indemnify its officers and directors to the fullest extent permitted by law, and eliminate the</w:t>
      </w:r>
    </w:p>
    <w:p>
      <w:pPr>
        <w:spacing w:after="0" w:line="20" w:lineRule="exact"/>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494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line="243" w:lineRule="auto"/>
        <w:rPr>
          <w:sz w:val="20"/>
          <w:szCs w:val="20"/>
          <w:color w:val="auto"/>
        </w:rPr>
      </w:pPr>
      <w:r>
        <w:rPr>
          <w:rFonts w:ascii="Arial" w:cs="Arial" w:eastAsia="Arial" w:hAnsi="Arial"/>
          <w:sz w:val="20"/>
          <w:szCs w:val="20"/>
          <w:color w:val="auto"/>
        </w:rPr>
        <w:t>personal liability of its directors to the Registrant or its stockholders for monetary damages for breach of their duty of due care except (a) for any breach of the directors’ duty of loyalty to the corporation or its stockholders, (b) for acts or omissions not in good faith or which involve intentional misconduct or a knowing violation of law, (c) for acts relating to unlawful payment of a dividend or an unlawful stock purchase or redemption or (d) for any transaction from which the director derived an improper personal benefit. These provisions do not eliminate a director’s duty of care. Moreover, the provisions do not apply to claims against a director for violation of certain laws, including federal securities laws.</w:t>
      </w:r>
    </w:p>
    <w:p>
      <w:pPr>
        <w:spacing w:after="0" w:line="197" w:lineRule="exact"/>
        <w:rPr>
          <w:sz w:val="20"/>
          <w:szCs w:val="20"/>
          <w:color w:val="auto"/>
        </w:rPr>
      </w:pPr>
    </w:p>
    <w:p>
      <w:pPr>
        <w:ind w:right="80" w:firstLine="864"/>
        <w:spacing w:after="0" w:line="259" w:lineRule="auto"/>
        <w:rPr>
          <w:sz w:val="20"/>
          <w:szCs w:val="20"/>
          <w:color w:val="auto"/>
        </w:rPr>
      </w:pPr>
      <w:r>
        <w:rPr>
          <w:rFonts w:ascii="Arial" w:cs="Arial" w:eastAsia="Arial" w:hAnsi="Arial"/>
          <w:sz w:val="19"/>
          <w:szCs w:val="19"/>
          <w:color w:val="auto"/>
        </w:rPr>
        <w:t>The Registrant’s certificate of incorporation and bylaws provide for mandatory indemnification of officers and directors of the corporation, including a director or officer of the corporation who is serving at the request of the corporation as a director, officer, employee or agent of another corporation, partnership, joint venture, trust or other enterprise, to the fullest extent permitted under the DGCL. The Registrant may also, at its discretion, provide the same benefits of indemnification to any employee or agent of the corporation. Also, the Registrant is authorized to purchase insurance on behalf of an individual for liabilities incurred whether or not the Registrant would have the power or obligation to indemnify him or her under its bylaws.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 Exemption from Registration Claimed.</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Exhibits.</w:t>
      </w:r>
    </w:p>
    <w:p>
      <w:pPr>
        <w:spacing w:after="0" w:line="222" w:lineRule="exact"/>
        <w:rPr>
          <w:sz w:val="20"/>
          <w:szCs w:val="20"/>
          <w:color w:val="auto"/>
        </w:rPr>
      </w:pPr>
    </w:p>
    <w:p>
      <w:pPr>
        <w:spacing w:after="0"/>
        <w:tabs>
          <w:tab w:leader="none" w:pos="2580" w:val="left"/>
        </w:tabs>
        <w:rPr>
          <w:sz w:val="20"/>
          <w:szCs w:val="20"/>
          <w:color w:val="auto"/>
        </w:rPr>
      </w:pPr>
      <w:r>
        <w:rPr>
          <w:rFonts w:ascii="Arial" w:cs="Arial" w:eastAsia="Arial" w:hAnsi="Arial"/>
          <w:sz w:val="20"/>
          <w:szCs w:val="20"/>
          <w:u w:val="single" w:color="auto"/>
          <w:color w:val="auto"/>
        </w:rPr>
        <w:t>Exhibit Number</w:t>
      </w:r>
      <w:r>
        <w:rPr>
          <w:sz w:val="20"/>
          <w:szCs w:val="20"/>
          <w:color w:val="auto"/>
        </w:rPr>
        <w:tab/>
      </w:r>
      <w:r>
        <w:rPr>
          <w:rFonts w:ascii="Arial" w:cs="Arial" w:eastAsia="Arial" w:hAnsi="Arial"/>
          <w:sz w:val="18"/>
          <w:szCs w:val="18"/>
          <w:u w:val="single" w:color="auto"/>
          <w:color w:val="auto"/>
        </w:rPr>
        <w:t>Description</w:t>
      </w:r>
    </w:p>
    <w:p>
      <w:pPr>
        <w:spacing w:after="0" w:line="216" w:lineRule="exact"/>
        <w:rPr>
          <w:sz w:val="20"/>
          <w:szCs w:val="20"/>
          <w:color w:val="auto"/>
        </w:rPr>
      </w:pPr>
    </w:p>
    <w:p>
      <w:pPr>
        <w:ind w:left="2600" w:right="160"/>
        <w:spacing w:after="0" w:line="287" w:lineRule="auto"/>
        <w:rPr>
          <w:rFonts w:ascii="Arial" w:cs="Arial" w:eastAsia="Arial" w:hAnsi="Arial"/>
          <w:sz w:val="19"/>
          <w:szCs w:val="19"/>
          <w:u w:val="single" w:color="auto"/>
          <w:color w:val="0000EE"/>
        </w:rPr>
      </w:pPr>
      <w:hyperlink r:id="rId15">
        <w:r>
          <w:rPr>
            <w:rFonts w:ascii="Arial" w:cs="Arial" w:eastAsia="Arial" w:hAnsi="Arial"/>
            <w:sz w:val="19"/>
            <w:szCs w:val="19"/>
            <w:u w:val="single" w:color="auto"/>
            <w:color w:val="auto"/>
          </w:rPr>
          <w:t>4.1</w:t>
        </w:r>
        <w:r>
          <w:rPr>
            <w:rFonts w:ascii="Arial" w:cs="Arial" w:eastAsia="Arial" w:hAnsi="Arial"/>
            <w:sz w:val="19"/>
            <w:szCs w:val="19"/>
            <w:u w:val="single" w:color="auto"/>
            <w:color w:val="0000EE"/>
          </w:rPr>
          <w:t>Certificate of Incorporation (incorporated by reference to Exhibit 3(i) to the Registrant’s Annual Report</w:t>
        </w:r>
      </w:hyperlink>
      <w:r>
        <w:rPr>
          <w:rFonts w:ascii="Arial" w:cs="Arial" w:eastAsia="Arial" w:hAnsi="Arial"/>
          <w:sz w:val="19"/>
          <w:szCs w:val="19"/>
          <w:u w:val="single" w:color="auto"/>
          <w:color w:val="auto"/>
        </w:rPr>
        <w:t xml:space="preserve"> </w:t>
      </w:r>
      <w:hyperlink r:id="rId15">
        <w:r>
          <w:rPr>
            <w:rFonts w:ascii="Arial" w:cs="Arial" w:eastAsia="Arial" w:hAnsi="Arial"/>
            <w:sz w:val="19"/>
            <w:szCs w:val="19"/>
            <w:u w:val="single" w:color="auto"/>
            <w:color w:val="0000EE"/>
          </w:rPr>
          <w:t>on Form 10-K for the year ended December 31, 2001 (Commission File No. 000-07099))</w:t>
        </w:r>
      </w:hyperlink>
    </w:p>
    <w:p>
      <w:pPr>
        <w:spacing w:after="0" w:line="152" w:lineRule="exact"/>
        <w:rPr>
          <w:sz w:val="20"/>
          <w:szCs w:val="20"/>
          <w:color w:val="auto"/>
        </w:rPr>
      </w:pPr>
    </w:p>
    <w:p>
      <w:pPr>
        <w:ind w:left="2600" w:right="480"/>
        <w:spacing w:after="0" w:line="287" w:lineRule="auto"/>
        <w:rPr>
          <w:rFonts w:ascii="Arial" w:cs="Arial" w:eastAsia="Arial" w:hAnsi="Arial"/>
          <w:sz w:val="19"/>
          <w:szCs w:val="19"/>
          <w:u w:val="single" w:color="auto"/>
          <w:color w:val="0000EE"/>
        </w:rPr>
      </w:pPr>
      <w:hyperlink r:id="rId16">
        <w:r>
          <w:rPr>
            <w:rFonts w:ascii="Arial" w:cs="Arial" w:eastAsia="Arial" w:hAnsi="Arial"/>
            <w:sz w:val="19"/>
            <w:szCs w:val="19"/>
            <w:u w:val="single" w:color="auto"/>
            <w:color w:val="auto"/>
          </w:rPr>
          <w:t>4.2</w:t>
        </w:r>
        <w:r>
          <w:rPr>
            <w:rFonts w:ascii="Arial" w:cs="Arial" w:eastAsia="Arial" w:hAnsi="Arial"/>
            <w:sz w:val="19"/>
            <w:szCs w:val="19"/>
            <w:u w:val="single" w:color="auto"/>
            <w:color w:val="0000EE"/>
          </w:rPr>
          <w:t>Amended and Restated Bylaws (incorporated by reference to Exhibit 3.1 to the Registrant’s Current</w:t>
        </w:r>
      </w:hyperlink>
      <w:r>
        <w:rPr>
          <w:rFonts w:ascii="Arial" w:cs="Arial" w:eastAsia="Arial" w:hAnsi="Arial"/>
          <w:sz w:val="19"/>
          <w:szCs w:val="19"/>
          <w:u w:val="single" w:color="auto"/>
          <w:color w:val="auto"/>
        </w:rPr>
        <w:t xml:space="preserve"> </w:t>
      </w:r>
      <w:hyperlink r:id="rId16">
        <w:r>
          <w:rPr>
            <w:rFonts w:ascii="Arial" w:cs="Arial" w:eastAsia="Arial" w:hAnsi="Arial"/>
            <w:sz w:val="19"/>
            <w:szCs w:val="19"/>
            <w:u w:val="single" w:color="auto"/>
            <w:color w:val="0000EE"/>
          </w:rPr>
          <w:t>Report on Form 8-K (Commission File No. 000-07099) filed on December 13, 2017)</w:t>
        </w:r>
      </w:hyperlink>
    </w:p>
    <w:p>
      <w:pPr>
        <w:spacing w:after="0" w:line="152" w:lineRule="exact"/>
        <w:rPr>
          <w:sz w:val="20"/>
          <w:szCs w:val="20"/>
          <w:color w:val="auto"/>
        </w:rPr>
      </w:pPr>
    </w:p>
    <w:p>
      <w:pPr>
        <w:ind w:left="2600"/>
        <w:spacing w:after="0"/>
        <w:rPr>
          <w:rFonts w:ascii="Arial" w:cs="Arial" w:eastAsia="Arial" w:hAnsi="Arial"/>
          <w:sz w:val="18"/>
          <w:szCs w:val="18"/>
          <w:color w:val="auto"/>
        </w:rPr>
      </w:pPr>
      <w:hyperlink r:id="rId17">
        <w:r>
          <w:rPr>
            <w:rFonts w:ascii="Arial" w:cs="Arial" w:eastAsia="Arial" w:hAnsi="Arial"/>
            <w:sz w:val="18"/>
            <w:szCs w:val="18"/>
            <w:color w:val="auto"/>
          </w:rPr>
          <w:t>4.3</w:t>
        </w:r>
        <w:r>
          <w:rPr>
            <w:rFonts w:ascii="Arial" w:cs="Arial" w:eastAsia="Arial" w:hAnsi="Arial"/>
            <w:sz w:val="18"/>
            <w:szCs w:val="18"/>
            <w:u w:val="single" w:color="auto"/>
            <w:color w:val="0000EE"/>
          </w:rPr>
          <w:t>CECO Environmental Corp. 2020 Employee Stock Purchase Plan (incorporated by reference to Exhibit</w:t>
        </w:r>
      </w:hyperlink>
    </w:p>
    <w:p>
      <w:pPr>
        <w:spacing w:after="0" w:line="39" w:lineRule="exact"/>
        <w:rPr>
          <w:sz w:val="20"/>
          <w:szCs w:val="20"/>
          <w:color w:val="auto"/>
        </w:rPr>
      </w:pPr>
    </w:p>
    <w:p>
      <w:pPr>
        <w:ind w:left="2600"/>
        <w:spacing w:after="0"/>
        <w:rPr>
          <w:rFonts w:ascii="Arial" w:cs="Arial" w:eastAsia="Arial" w:hAnsi="Arial"/>
          <w:sz w:val="18"/>
          <w:szCs w:val="18"/>
          <w:u w:val="single" w:color="auto"/>
          <w:color w:val="0000EE"/>
        </w:rPr>
      </w:pPr>
      <w:hyperlink r:id="rId17">
        <w:r>
          <w:rPr>
            <w:rFonts w:ascii="Arial" w:cs="Arial" w:eastAsia="Arial" w:hAnsi="Arial"/>
            <w:sz w:val="18"/>
            <w:szCs w:val="18"/>
            <w:u w:val="single" w:color="auto"/>
            <w:color w:val="0000EE"/>
          </w:rPr>
          <w:t>10.1 to the Registrant’s Current Report on Form 8-K (Commission File No. 000-07099) filed on June 16,</w:t>
        </w:r>
      </w:hyperlink>
    </w:p>
    <w:p>
      <w:pPr>
        <w:spacing w:after="0" w:line="23" w:lineRule="exact"/>
        <w:rPr>
          <w:sz w:val="20"/>
          <w:szCs w:val="20"/>
          <w:color w:val="auto"/>
        </w:rPr>
      </w:pPr>
    </w:p>
    <w:p>
      <w:pPr>
        <w:ind w:left="2600"/>
        <w:spacing w:after="0"/>
        <w:rPr>
          <w:rFonts w:ascii="Arial" w:cs="Arial" w:eastAsia="Arial" w:hAnsi="Arial"/>
          <w:sz w:val="20"/>
          <w:szCs w:val="20"/>
          <w:u w:val="single" w:color="auto"/>
          <w:color w:val="0000EE"/>
        </w:rPr>
      </w:pPr>
      <w:hyperlink r:id="rId17">
        <w:r>
          <w:rPr>
            <w:rFonts w:ascii="Arial" w:cs="Arial" w:eastAsia="Arial" w:hAnsi="Arial"/>
            <w:sz w:val="20"/>
            <w:szCs w:val="20"/>
            <w:u w:val="single" w:color="auto"/>
            <w:color w:val="0000EE"/>
          </w:rPr>
          <w:t>2020)</w:t>
        </w:r>
      </w:hyperlink>
    </w:p>
    <w:p>
      <w:pPr>
        <w:spacing w:after="0" w:line="200" w:lineRule="exact"/>
        <w:rPr>
          <w:sz w:val="20"/>
          <w:szCs w:val="20"/>
          <w:color w:val="auto"/>
        </w:rPr>
      </w:pPr>
    </w:p>
    <w:p>
      <w:pPr>
        <w:ind w:left="2600"/>
        <w:spacing w:after="0"/>
        <w:rPr>
          <w:rFonts w:ascii="Arial" w:cs="Arial" w:eastAsia="Arial" w:hAnsi="Arial"/>
          <w:sz w:val="20"/>
          <w:szCs w:val="20"/>
          <w:color w:val="auto"/>
        </w:rPr>
      </w:pPr>
      <w:r>
        <w:rPr>
          <w:rFonts w:ascii="Arial" w:cs="Arial" w:eastAsia="Arial" w:hAnsi="Arial"/>
          <w:sz w:val="20"/>
          <w:szCs w:val="20"/>
          <w:color w:val="auto"/>
        </w:rPr>
        <w:t>5.1</w:t>
      </w:r>
      <w:hyperlink w:anchor="page8">
        <w:r>
          <w:rPr>
            <w:rFonts w:ascii="Arial" w:cs="Arial" w:eastAsia="Arial" w:hAnsi="Arial"/>
            <w:sz w:val="20"/>
            <w:szCs w:val="20"/>
            <w:u w:val="single" w:color="auto"/>
            <w:color w:val="0000EE"/>
          </w:rPr>
          <w:t>Opinion of Jones Day</w:t>
        </w:r>
      </w:hyperlink>
    </w:p>
    <w:p>
      <w:pPr>
        <w:spacing w:after="0" w:line="216" w:lineRule="exact"/>
        <w:rPr>
          <w:sz w:val="20"/>
          <w:szCs w:val="20"/>
          <w:color w:val="auto"/>
        </w:rPr>
      </w:pPr>
    </w:p>
    <w:p>
      <w:pPr>
        <w:ind w:left="2600"/>
        <w:spacing w:after="0"/>
        <w:rPr>
          <w:rFonts w:ascii="Arial" w:cs="Arial" w:eastAsia="Arial" w:hAnsi="Arial"/>
          <w:sz w:val="20"/>
          <w:szCs w:val="20"/>
          <w:color w:val="auto"/>
        </w:rPr>
      </w:pPr>
      <w:r>
        <w:rPr>
          <w:rFonts w:ascii="Arial" w:cs="Arial" w:eastAsia="Arial" w:hAnsi="Arial"/>
          <w:sz w:val="20"/>
          <w:szCs w:val="20"/>
          <w:color w:val="auto"/>
        </w:rPr>
        <w:t>23.1</w:t>
      </w:r>
      <w:hyperlink w:anchor="page9">
        <w:r>
          <w:rPr>
            <w:rFonts w:ascii="Arial" w:cs="Arial" w:eastAsia="Arial" w:hAnsi="Arial"/>
            <w:sz w:val="20"/>
            <w:szCs w:val="20"/>
            <w:u w:val="single" w:color="auto"/>
            <w:color w:val="0000EE"/>
          </w:rPr>
          <w:t>Consent of Independent Registered Public Accounting Firm</w:t>
        </w:r>
      </w:hyperlink>
    </w:p>
    <w:p>
      <w:pPr>
        <w:spacing w:after="0" w:line="216" w:lineRule="exact"/>
        <w:rPr>
          <w:sz w:val="20"/>
          <w:szCs w:val="20"/>
          <w:color w:val="auto"/>
        </w:rPr>
      </w:pPr>
    </w:p>
    <w:p>
      <w:pPr>
        <w:ind w:left="2600"/>
        <w:spacing w:after="0"/>
        <w:rPr>
          <w:rFonts w:ascii="Arial" w:cs="Arial" w:eastAsia="Arial" w:hAnsi="Arial"/>
          <w:sz w:val="20"/>
          <w:szCs w:val="20"/>
          <w:color w:val="auto"/>
        </w:rPr>
      </w:pPr>
      <w:r>
        <w:rPr>
          <w:rFonts w:ascii="Arial" w:cs="Arial" w:eastAsia="Arial" w:hAnsi="Arial"/>
          <w:sz w:val="20"/>
          <w:szCs w:val="20"/>
          <w:color w:val="auto"/>
        </w:rPr>
        <w:t>23.2</w:t>
      </w:r>
      <w:hyperlink w:anchor="page8">
        <w:r>
          <w:rPr>
            <w:rFonts w:ascii="Arial" w:cs="Arial" w:eastAsia="Arial" w:hAnsi="Arial"/>
            <w:sz w:val="20"/>
            <w:szCs w:val="20"/>
            <w:u w:val="single" w:color="auto"/>
            <w:color w:val="0000EE"/>
          </w:rPr>
          <w:t>Consent of Jones Day (included in Exhibit 5.1)</w:t>
        </w:r>
      </w:hyperlink>
    </w:p>
    <w:p>
      <w:pPr>
        <w:spacing w:after="0" w:line="216" w:lineRule="exact"/>
        <w:rPr>
          <w:sz w:val="20"/>
          <w:szCs w:val="20"/>
          <w:color w:val="auto"/>
        </w:rPr>
      </w:pPr>
    </w:p>
    <w:p>
      <w:pPr>
        <w:ind w:left="2600"/>
        <w:spacing w:after="0"/>
        <w:rPr>
          <w:rFonts w:ascii="Arial" w:cs="Arial" w:eastAsia="Arial" w:hAnsi="Arial"/>
          <w:sz w:val="20"/>
          <w:szCs w:val="20"/>
          <w:color w:val="auto"/>
        </w:rPr>
      </w:pPr>
      <w:r>
        <w:rPr>
          <w:rFonts w:ascii="Arial" w:cs="Arial" w:eastAsia="Arial" w:hAnsi="Arial"/>
          <w:sz w:val="20"/>
          <w:szCs w:val="20"/>
          <w:color w:val="auto"/>
        </w:rPr>
        <w:t>24.1</w:t>
      </w:r>
      <w:hyperlink w:anchor="page10">
        <w:r>
          <w:rPr>
            <w:rFonts w:ascii="Arial" w:cs="Arial" w:eastAsia="Arial" w:hAnsi="Arial"/>
            <w:sz w:val="20"/>
            <w:szCs w:val="20"/>
            <w:u w:val="single" w:color="auto"/>
            <w:color w:val="0000EE"/>
          </w:rPr>
          <w:t>Power of Attorney</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 Undertakings.</w:t>
      </w:r>
    </w:p>
    <w:p>
      <w:pPr>
        <w:spacing w:after="0" w:line="222" w:lineRule="exact"/>
        <w:rPr>
          <w:sz w:val="20"/>
          <w:szCs w:val="20"/>
          <w:color w:val="auto"/>
        </w:rPr>
      </w:pPr>
    </w:p>
    <w:p>
      <w:pPr>
        <w:ind w:left="1300" w:hanging="860"/>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undersigned Registrant hereby undertakes:</w:t>
      </w:r>
    </w:p>
    <w:p>
      <w:pPr>
        <w:spacing w:after="0" w:line="215" w:lineRule="exact"/>
        <w:rPr>
          <w:rFonts w:ascii="Arial" w:cs="Arial" w:eastAsia="Arial" w:hAnsi="Arial"/>
          <w:sz w:val="20"/>
          <w:szCs w:val="20"/>
          <w:color w:val="auto"/>
        </w:rPr>
      </w:pPr>
    </w:p>
    <w:p>
      <w:pPr>
        <w:ind w:left="2800" w:hanging="1529"/>
        <w:spacing w:after="0"/>
        <w:tabs>
          <w:tab w:leader="none" w:pos="280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w:t>
      </w:r>
    </w:p>
    <w:p>
      <w:pPr>
        <w:spacing w:after="0" w:line="38"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20"/>
          <w:szCs w:val="20"/>
          <w:color w:val="auto"/>
        </w:rPr>
        <w:t>Registration Statement:</w:t>
      </w:r>
    </w:p>
    <w:p>
      <w:pPr>
        <w:spacing w:after="0" w:line="199" w:lineRule="exact"/>
        <w:rPr>
          <w:rFonts w:ascii="Arial" w:cs="Arial" w:eastAsia="Arial" w:hAnsi="Arial"/>
          <w:sz w:val="18"/>
          <w:szCs w:val="18"/>
          <w:color w:val="auto"/>
        </w:rPr>
      </w:pPr>
    </w:p>
    <w:p>
      <w:pPr>
        <w:ind w:left="2100" w:hanging="829"/>
        <w:spacing w:after="0"/>
        <w:tabs>
          <w:tab w:leader="none" w:pos="2100" w:val="left"/>
        </w:tabs>
        <w:numPr>
          <w:ilvl w:val="1"/>
          <w:numId w:val="3"/>
        </w:numPr>
        <w:rPr>
          <w:rFonts w:ascii="Arial" w:cs="Arial" w:eastAsia="Arial" w:hAnsi="Arial"/>
          <w:sz w:val="20"/>
          <w:szCs w:val="20"/>
          <w:color w:val="auto"/>
        </w:rPr>
      </w:pPr>
      <w:r>
        <w:rPr>
          <w:rFonts w:ascii="Arial" w:cs="Arial" w:eastAsia="Arial" w:hAnsi="Arial"/>
          <w:sz w:val="20"/>
          <w:szCs w:val="20"/>
          <w:color w:val="auto"/>
        </w:rPr>
        <w:t>To include any prospectus required by Section 10(a)(3)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1494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p>
      <w:pPr>
        <w:ind w:left="440" w:right="60" w:firstLine="391"/>
        <w:spacing w:after="0" w:line="242" w:lineRule="auto"/>
        <w:tabs>
          <w:tab w:leader="none" w:pos="1729" w:val="left"/>
        </w:tabs>
        <w:numPr>
          <w:ilvl w:val="0"/>
          <w:numId w:val="4"/>
        </w:numPr>
        <w:rPr>
          <w:rFonts w:ascii="Arial" w:cs="Arial" w:eastAsia="Arial" w:hAnsi="Arial"/>
          <w:sz w:val="20"/>
          <w:szCs w:val="20"/>
          <w:color w:val="auto"/>
        </w:rPr>
      </w:pPr>
      <w:r>
        <w:rPr>
          <w:rFonts w:ascii="Arial" w:cs="Arial" w:eastAsia="Arial" w:hAnsi="Arial"/>
          <w:sz w:val="20"/>
          <w:szCs w:val="20"/>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98" w:lineRule="exact"/>
        <w:rPr>
          <w:rFonts w:ascii="Arial" w:cs="Arial" w:eastAsia="Arial" w:hAnsi="Arial"/>
          <w:sz w:val="20"/>
          <w:szCs w:val="20"/>
          <w:color w:val="auto"/>
        </w:rPr>
      </w:pPr>
    </w:p>
    <w:p>
      <w:pPr>
        <w:ind w:left="440" w:right="640" w:firstLine="391"/>
        <w:spacing w:after="0" w:line="287" w:lineRule="auto"/>
        <w:tabs>
          <w:tab w:leader="none" w:pos="1784" w:val="left"/>
        </w:tabs>
        <w:numPr>
          <w:ilvl w:val="0"/>
          <w:numId w:val="4"/>
        </w:numPr>
        <w:rPr>
          <w:rFonts w:ascii="Arial" w:cs="Arial" w:eastAsia="Arial" w:hAnsi="Arial"/>
          <w:sz w:val="19"/>
          <w:szCs w:val="19"/>
          <w:color w:val="auto"/>
        </w:rPr>
      </w:pPr>
      <w:r>
        <w:rPr>
          <w:rFonts w:ascii="Arial" w:cs="Arial" w:eastAsia="Arial" w:hAnsi="Arial"/>
          <w:sz w:val="19"/>
          <w:szCs w:val="19"/>
          <w:color w:val="auto"/>
        </w:rPr>
        <w:t>To include any material information with respect to the plan of distribution not previously disclosed in the Registration Statement or any material change to such information in the Registration Statement;</w:t>
      </w:r>
    </w:p>
    <w:p>
      <w:pPr>
        <w:spacing w:after="0" w:line="152" w:lineRule="exact"/>
        <w:rPr>
          <w:sz w:val="20"/>
          <w:szCs w:val="20"/>
          <w:color w:val="auto"/>
        </w:rPr>
      </w:pPr>
    </w:p>
    <w:p>
      <w:pPr>
        <w:jc w:val="both"/>
        <w:ind w:firstLine="416"/>
        <w:spacing w:after="0" w:line="269" w:lineRule="auto"/>
        <w:rPr>
          <w:sz w:val="20"/>
          <w:szCs w:val="20"/>
          <w:color w:val="auto"/>
        </w:rPr>
      </w:pP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paragraphs (a)(1)(i) and (a)(1)(ii) do not apply if the information required to be included in a post-effective</w:t>
      </w:r>
      <w:r>
        <w:rPr>
          <w:rFonts w:ascii="Arial" w:cs="Arial" w:eastAsia="Arial" w:hAnsi="Arial"/>
          <w:sz w:val="19"/>
          <w:szCs w:val="19"/>
          <w:i w:val="1"/>
          <w:iCs w:val="1"/>
          <w:color w:val="auto"/>
        </w:rPr>
        <w:t xml:space="preserve"> </w:t>
      </w:r>
      <w:r>
        <w:rPr>
          <w:rFonts w:ascii="Arial" w:cs="Arial" w:eastAsia="Arial" w:hAnsi="Arial"/>
          <w:sz w:val="19"/>
          <w:szCs w:val="19"/>
          <w:color w:val="auto"/>
        </w:rPr>
        <w:t>amendment by those paragraphs is contained in reports filed with or furnished to the Commission by the Registrant pursuant to Section 13 or Section 15(d) of the Exchange Act that are incorporated by reference in the Registration Statement.</w:t>
      </w:r>
    </w:p>
    <w:p>
      <w:pPr>
        <w:spacing w:after="0" w:line="170" w:lineRule="exact"/>
        <w:rPr>
          <w:sz w:val="20"/>
          <w:szCs w:val="20"/>
          <w:color w:val="auto"/>
        </w:rPr>
      </w:pPr>
    </w:p>
    <w:p>
      <w:pPr>
        <w:ind w:right="40" w:firstLine="416"/>
        <w:spacing w:after="0" w:line="250" w:lineRule="auto"/>
        <w:tabs>
          <w:tab w:leader="none" w:pos="1294" w:val="left"/>
        </w:tabs>
        <w:numPr>
          <w:ilvl w:val="1"/>
          <w:numId w:val="5"/>
        </w:numPr>
        <w:rPr>
          <w:rFonts w:ascii="Arial" w:cs="Arial" w:eastAsia="Arial" w:hAnsi="Arial"/>
          <w:sz w:val="20"/>
          <w:szCs w:val="20"/>
          <w:color w:val="auto"/>
        </w:rPr>
      </w:pPr>
      <w:r>
        <w:rPr>
          <w:rFonts w:ascii="Arial" w:cs="Arial" w:eastAsia="Arial" w:hAnsi="Arial"/>
          <w:sz w:val="20"/>
          <w:szCs w:val="20"/>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20"/>
          <w:szCs w:val="20"/>
          <w:i w:val="1"/>
          <w:iCs w:val="1"/>
          <w:color w:val="auto"/>
        </w:rPr>
        <w:t>bona fide</w:t>
      </w:r>
      <w:r>
        <w:rPr>
          <w:rFonts w:ascii="Arial" w:cs="Arial" w:eastAsia="Arial" w:hAnsi="Arial"/>
          <w:sz w:val="20"/>
          <w:szCs w:val="20"/>
          <w:color w:val="auto"/>
        </w:rPr>
        <w:t xml:space="preserve"> offering thereof.</w:t>
      </w:r>
    </w:p>
    <w:p>
      <w:pPr>
        <w:spacing w:after="0" w:line="185" w:lineRule="exact"/>
        <w:rPr>
          <w:rFonts w:ascii="Arial" w:cs="Arial" w:eastAsia="Arial" w:hAnsi="Arial"/>
          <w:sz w:val="20"/>
          <w:szCs w:val="20"/>
          <w:color w:val="auto"/>
        </w:rPr>
      </w:pPr>
    </w:p>
    <w:p>
      <w:pPr>
        <w:ind w:right="520" w:firstLine="416"/>
        <w:spacing w:after="0" w:line="260" w:lineRule="auto"/>
        <w:tabs>
          <w:tab w:leader="none" w:pos="1294" w:val="left"/>
        </w:tabs>
        <w:numPr>
          <w:ilvl w:val="1"/>
          <w:numId w:val="5"/>
        </w:numPr>
        <w:rPr>
          <w:rFonts w:ascii="Arial" w:cs="Arial" w:eastAsia="Arial" w:hAnsi="Arial"/>
          <w:sz w:val="20"/>
          <w:szCs w:val="20"/>
          <w:color w:val="auto"/>
        </w:rPr>
      </w:pPr>
      <w:r>
        <w:rPr>
          <w:rFonts w:ascii="Arial" w:cs="Arial" w:eastAsia="Arial" w:hAnsi="Arial"/>
          <w:sz w:val="20"/>
          <w:szCs w:val="20"/>
          <w:color w:val="auto"/>
        </w:rPr>
        <w:t>To remove from registration by means of a post-effective amendment any of the securities being registered which remain unsold at the termination of the offering.</w:t>
      </w:r>
    </w:p>
    <w:p>
      <w:pPr>
        <w:spacing w:after="0" w:line="176" w:lineRule="exact"/>
        <w:rPr>
          <w:rFonts w:ascii="Arial" w:cs="Arial" w:eastAsia="Arial" w:hAnsi="Arial"/>
          <w:sz w:val="20"/>
          <w:szCs w:val="20"/>
          <w:color w:val="auto"/>
        </w:rPr>
      </w:pPr>
    </w:p>
    <w:p>
      <w:pPr>
        <w:ind w:left="-440" w:right="100" w:firstLine="440"/>
        <w:spacing w:after="0" w:line="260" w:lineRule="auto"/>
        <w:tabs>
          <w:tab w:leader="none" w:pos="871" w:val="left"/>
        </w:tabs>
        <w:numPr>
          <w:ilvl w:val="0"/>
          <w:numId w:val="6"/>
        </w:numPr>
        <w:rPr>
          <w:rFonts w:ascii="Arial" w:cs="Arial" w:eastAsia="Arial" w:hAnsi="Arial"/>
          <w:sz w:val="19"/>
          <w:szCs w:val="19"/>
          <w:color w:val="auto"/>
        </w:rPr>
      </w:pPr>
      <w:r>
        <w:rPr>
          <w:rFonts w:ascii="Arial" w:cs="Arial" w:eastAsia="Arial" w:hAnsi="Arial"/>
          <w:sz w:val="19"/>
          <w:szCs w:val="19"/>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offering thereof.</w:t>
      </w:r>
    </w:p>
    <w:p>
      <w:pPr>
        <w:spacing w:after="0" w:line="180" w:lineRule="exact"/>
        <w:rPr>
          <w:rFonts w:ascii="Arial" w:cs="Arial" w:eastAsia="Arial" w:hAnsi="Arial"/>
          <w:sz w:val="19"/>
          <w:szCs w:val="19"/>
          <w:color w:val="auto"/>
        </w:rPr>
      </w:pPr>
    </w:p>
    <w:p>
      <w:pPr>
        <w:ind w:left="-440" w:right="20" w:firstLine="440"/>
        <w:spacing w:after="0" w:line="273"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648970</wp:posOffset>
            </wp:positionV>
            <wp:extent cx="71494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00"/>
          </w:cols>
          <w:pgMar w:left="760" w:top="122"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20"/>
          <w:szCs w:val="20"/>
          <w:b w:val="1"/>
          <w:bCs w:val="1"/>
          <w:color w:val="auto"/>
        </w:rPr>
        <w:t>SIGNATURES</w:t>
      </w:r>
    </w:p>
    <w:p>
      <w:pPr>
        <w:spacing w:after="0" w:line="221" w:lineRule="exact"/>
        <w:rPr>
          <w:sz w:val="20"/>
          <w:szCs w:val="20"/>
          <w:color w:val="auto"/>
        </w:rPr>
      </w:pPr>
    </w:p>
    <w:p>
      <w:pPr>
        <w:ind w:right="60" w:firstLine="864"/>
        <w:spacing w:after="0" w:line="250" w:lineRule="auto"/>
        <w:rPr>
          <w:sz w:val="20"/>
          <w:szCs w:val="20"/>
          <w:color w:val="auto"/>
        </w:rPr>
      </w:pPr>
      <w:r>
        <w:rPr>
          <w:rFonts w:ascii="Arial" w:cs="Arial" w:eastAsia="Arial" w:hAnsi="Arial"/>
          <w:sz w:val="20"/>
          <w:szCs w:val="20"/>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Dallas, State of Texas, on this 17th day of June, 2020.</w:t>
      </w:r>
    </w:p>
    <w:p>
      <w:pPr>
        <w:spacing w:after="0" w:line="288" w:lineRule="exact"/>
        <w:rPr>
          <w:sz w:val="20"/>
          <w:szCs w:val="20"/>
          <w:color w:val="auto"/>
        </w:rPr>
      </w:pPr>
    </w:p>
    <w:p>
      <w:pPr>
        <w:ind w:left="5620"/>
        <w:spacing w:after="0"/>
        <w:rPr>
          <w:sz w:val="20"/>
          <w:szCs w:val="20"/>
          <w:color w:val="auto"/>
        </w:rPr>
      </w:pPr>
      <w:r>
        <w:rPr>
          <w:rFonts w:ascii="Arial" w:cs="Arial" w:eastAsia="Arial" w:hAnsi="Arial"/>
          <w:sz w:val="20"/>
          <w:szCs w:val="20"/>
          <w:b w:val="1"/>
          <w:bCs w:val="1"/>
          <w:color w:val="auto"/>
        </w:rPr>
        <w:t>CECO ENVIRONMENTAL CORP.</w:t>
      </w:r>
    </w:p>
    <w:p>
      <w:pPr>
        <w:spacing w:after="0" w:line="200" w:lineRule="exact"/>
        <w:rPr>
          <w:sz w:val="20"/>
          <w:szCs w:val="20"/>
          <w:color w:val="auto"/>
        </w:rPr>
      </w:pPr>
    </w:p>
    <w:p>
      <w:pPr>
        <w:spacing w:after="0" w:line="238" w:lineRule="exact"/>
        <w:rPr>
          <w:sz w:val="20"/>
          <w:szCs w:val="20"/>
          <w:color w:val="auto"/>
        </w:rPr>
      </w:pPr>
    </w:p>
    <w:p>
      <w:pPr>
        <w:ind w:left="5620"/>
        <w:spacing w:after="0"/>
        <w:tabs>
          <w:tab w:leader="none" w:pos="60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Chasity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3815715</wp:posOffset>
            </wp:positionH>
            <wp:positionV relativeFrom="paragraph">
              <wp:posOffset>-14605</wp:posOffset>
            </wp:positionV>
            <wp:extent cx="24187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2418715" cy="8890"/>
                    </a:xfrm>
                    <a:prstGeom prst="rect">
                      <a:avLst/>
                    </a:prstGeom>
                    <a:noFill/>
                  </pic:spPr>
                </pic:pic>
              </a:graphicData>
            </a:graphic>
          </wp:anchor>
        </w:drawing>
      </w:r>
    </w:p>
    <w:p>
      <w:pPr>
        <w:ind w:left="6080"/>
        <w:spacing w:after="0"/>
        <w:rPr>
          <w:sz w:val="20"/>
          <w:szCs w:val="20"/>
          <w:color w:val="auto"/>
        </w:rPr>
      </w:pPr>
      <w:r>
        <w:rPr>
          <w:rFonts w:ascii="Arial" w:cs="Arial" w:eastAsia="Arial" w:hAnsi="Arial"/>
          <w:sz w:val="20"/>
          <w:szCs w:val="20"/>
          <w:color w:val="auto"/>
        </w:rPr>
        <w:t>Chasity Henry</w:t>
      </w:r>
    </w:p>
    <w:p>
      <w:pPr>
        <w:ind w:left="6080"/>
        <w:spacing w:after="0"/>
        <w:rPr>
          <w:sz w:val="20"/>
          <w:szCs w:val="20"/>
          <w:color w:val="auto"/>
        </w:rPr>
      </w:pPr>
      <w:r>
        <w:rPr>
          <w:rFonts w:ascii="Arial" w:cs="Arial" w:eastAsia="Arial" w:hAnsi="Arial"/>
          <w:sz w:val="20"/>
          <w:szCs w:val="20"/>
          <w:color w:val="auto"/>
        </w:rPr>
        <w:t>Senior Vice President, General Counsel and</w:t>
      </w:r>
    </w:p>
    <w:p>
      <w:pPr>
        <w:ind w:left="6080"/>
        <w:spacing w:after="0"/>
        <w:rPr>
          <w:sz w:val="20"/>
          <w:szCs w:val="20"/>
          <w:color w:val="auto"/>
        </w:rPr>
      </w:pPr>
      <w:r>
        <w:rPr>
          <w:rFonts w:ascii="Arial" w:cs="Arial" w:eastAsia="Arial" w:hAnsi="Arial"/>
          <w:sz w:val="20"/>
          <w:szCs w:val="20"/>
          <w:color w:val="auto"/>
        </w:rPr>
        <w:t>Corporate Secretary</w:t>
      </w:r>
    </w:p>
    <w:p>
      <w:pPr>
        <w:spacing w:after="0" w:line="200" w:lineRule="exact"/>
        <w:rPr>
          <w:sz w:val="20"/>
          <w:szCs w:val="20"/>
          <w:color w:val="auto"/>
        </w:rPr>
      </w:pPr>
    </w:p>
    <w:p>
      <w:pPr>
        <w:ind w:right="400" w:firstLine="864"/>
        <w:spacing w:after="0" w:line="260" w:lineRule="auto"/>
        <w:rPr>
          <w:sz w:val="20"/>
          <w:szCs w:val="20"/>
          <w:color w:val="auto"/>
        </w:rPr>
      </w:pPr>
      <w:r>
        <w:rPr>
          <w:rFonts w:ascii="Arial" w:cs="Arial" w:eastAsia="Arial" w:hAnsi="Arial"/>
          <w:sz w:val="20"/>
          <w:szCs w:val="20"/>
          <w:color w:val="auto"/>
        </w:rPr>
        <w:t>Pursuant to the requirements of the Securities Act, this Registration Statement has been signed by the following persons in the capacities and on the date indicated.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260" w:type="dxa"/>
            <w:vAlign w:val="bottom"/>
          </w:tcPr>
          <w:p>
            <w:pPr>
              <w:ind w:left="1180"/>
              <w:spacing w:after="0"/>
              <w:rPr>
                <w:sz w:val="20"/>
                <w:szCs w:val="20"/>
                <w:color w:val="auto"/>
              </w:rPr>
            </w:pPr>
            <w:r>
              <w:rPr>
                <w:rFonts w:ascii="Arial" w:cs="Arial" w:eastAsia="Arial" w:hAnsi="Arial"/>
                <w:sz w:val="20"/>
                <w:szCs w:val="20"/>
                <w:color w:val="auto"/>
              </w:rPr>
              <w:t>Date: June 17, 2020</w:t>
            </w:r>
          </w:p>
        </w:tc>
        <w:tc>
          <w:tcPr>
            <w:tcW w:w="3140" w:type="dxa"/>
            <w:vAlign w:val="bottom"/>
            <w:vMerge w:val="restart"/>
          </w:tcPr>
          <w:p>
            <w:pPr>
              <w:ind w:left="1080"/>
              <w:spacing w:after="0"/>
              <w:rPr>
                <w:sz w:val="20"/>
                <w:szCs w:val="20"/>
                <w:color w:val="auto"/>
              </w:rPr>
            </w:pPr>
            <w:r>
              <w:rPr>
                <w:rFonts w:ascii="Arial" w:cs="Arial" w:eastAsia="Arial" w:hAnsi="Arial"/>
                <w:sz w:val="20"/>
                <w:szCs w:val="20"/>
                <w:color w:val="auto"/>
              </w:rPr>
              <w:t>*</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314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26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20"/>
                <w:szCs w:val="20"/>
                <w:color w:val="auto"/>
              </w:rPr>
              <w:t>Dennis Sadlowski</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6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20"/>
                <w:szCs w:val="20"/>
                <w:color w:val="auto"/>
                <w:w w:val="98"/>
              </w:rPr>
              <w:t>Chief Executive Officer and Director</w:t>
            </w:r>
          </w:p>
        </w:tc>
        <w:tc>
          <w:tcPr>
            <w:tcW w:w="3860" w:type="dxa"/>
            <w:vAlign w:val="bottom"/>
            <w:gridSpan w:val="3"/>
          </w:tcPr>
          <w:p>
            <w:pPr>
              <w:ind w:left="200"/>
              <w:spacing w:after="0"/>
              <w:rPr>
                <w:sz w:val="20"/>
                <w:szCs w:val="20"/>
                <w:color w:val="auto"/>
              </w:rPr>
            </w:pPr>
            <w:r>
              <w:rPr>
                <w:rFonts w:ascii="Arial" w:cs="Arial" w:eastAsia="Arial" w:hAnsi="Arial"/>
                <w:sz w:val="20"/>
                <w:szCs w:val="20"/>
                <w:color w:val="auto"/>
              </w:rPr>
              <w:t>(Principal</w:t>
            </w:r>
          </w:p>
        </w:tc>
        <w:tc>
          <w:tcPr>
            <w:tcW w:w="0" w:type="dxa"/>
            <w:vAlign w:val="bottom"/>
          </w:tcPr>
          <w:p>
            <w:pPr>
              <w:spacing w:after="0"/>
              <w:rPr>
                <w:sz w:val="1"/>
                <w:szCs w:val="1"/>
                <w:color w:val="auto"/>
              </w:rPr>
            </w:pPr>
          </w:p>
        </w:tc>
      </w:tr>
      <w:tr>
        <w:trPr>
          <w:trHeight w:val="250"/>
        </w:trPr>
        <w:tc>
          <w:tcPr>
            <w:tcW w:w="4260" w:type="dxa"/>
            <w:vAlign w:val="bottom"/>
          </w:tcPr>
          <w:p>
            <w:pPr>
              <w:spacing w:after="0"/>
              <w:rPr>
                <w:sz w:val="21"/>
                <w:szCs w:val="21"/>
                <w:color w:val="auto"/>
              </w:rPr>
            </w:pPr>
          </w:p>
        </w:tc>
        <w:tc>
          <w:tcPr>
            <w:tcW w:w="3140" w:type="dxa"/>
            <w:vAlign w:val="bottom"/>
          </w:tcPr>
          <w:p>
            <w:pPr>
              <w:spacing w:after="0"/>
              <w:rPr>
                <w:sz w:val="20"/>
                <w:szCs w:val="20"/>
                <w:color w:val="auto"/>
              </w:rPr>
            </w:pPr>
            <w:r>
              <w:rPr>
                <w:rFonts w:ascii="Arial" w:cs="Arial" w:eastAsia="Arial" w:hAnsi="Arial"/>
                <w:sz w:val="20"/>
                <w:szCs w:val="20"/>
                <w:color w:val="auto"/>
              </w:rPr>
              <w:t>Executive Officer)</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2"/>
        </w:trPr>
        <w:tc>
          <w:tcPr>
            <w:tcW w:w="4260" w:type="dxa"/>
            <w:vAlign w:val="bottom"/>
          </w:tcPr>
          <w:p>
            <w:pPr>
              <w:ind w:left="1180"/>
              <w:spacing w:after="0"/>
              <w:rPr>
                <w:sz w:val="20"/>
                <w:szCs w:val="20"/>
                <w:color w:val="auto"/>
              </w:rPr>
            </w:pPr>
            <w:r>
              <w:rPr>
                <w:rFonts w:ascii="Arial" w:cs="Arial" w:eastAsia="Arial" w:hAnsi="Arial"/>
                <w:sz w:val="20"/>
                <w:szCs w:val="20"/>
                <w:color w:val="auto"/>
              </w:rPr>
              <w:t>Date: June 17, 2020</w:t>
            </w:r>
          </w:p>
        </w:tc>
        <w:tc>
          <w:tcPr>
            <w:tcW w:w="3140" w:type="dxa"/>
            <w:vAlign w:val="bottom"/>
            <w:vMerge w:val="restart"/>
          </w:tcPr>
          <w:p>
            <w:pPr>
              <w:ind w:left="1080"/>
              <w:spacing w:after="0"/>
              <w:rPr>
                <w:sz w:val="20"/>
                <w:szCs w:val="20"/>
                <w:color w:val="auto"/>
              </w:rPr>
            </w:pPr>
            <w:r>
              <w:rPr>
                <w:rFonts w:ascii="Arial" w:cs="Arial" w:eastAsia="Arial" w:hAnsi="Arial"/>
                <w:sz w:val="20"/>
                <w:szCs w:val="20"/>
                <w:color w:val="auto"/>
              </w:rPr>
              <w:t>*</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314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26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20"/>
                <w:szCs w:val="20"/>
                <w:color w:val="auto"/>
              </w:rPr>
              <w:t>Matthew Eckl</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6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20"/>
                <w:szCs w:val="20"/>
                <w:color w:val="auto"/>
              </w:rPr>
              <w:t>Chief Financial Officer</w:t>
            </w:r>
          </w:p>
        </w:tc>
        <w:tc>
          <w:tcPr>
            <w:tcW w:w="3860" w:type="dxa"/>
            <w:vAlign w:val="bottom"/>
            <w:gridSpan w:val="3"/>
          </w:tcPr>
          <w:p>
            <w:pPr>
              <w:ind w:left="240"/>
              <w:spacing w:after="0"/>
              <w:rPr>
                <w:sz w:val="20"/>
                <w:szCs w:val="20"/>
                <w:color w:val="auto"/>
              </w:rPr>
            </w:pPr>
            <w:r>
              <w:rPr>
                <w:rFonts w:ascii="Arial" w:cs="Arial" w:eastAsia="Arial" w:hAnsi="Arial"/>
                <w:sz w:val="20"/>
                <w:szCs w:val="20"/>
                <w:color w:val="auto"/>
              </w:rPr>
              <w:t>(Principal</w:t>
            </w:r>
          </w:p>
        </w:tc>
        <w:tc>
          <w:tcPr>
            <w:tcW w:w="0" w:type="dxa"/>
            <w:vAlign w:val="bottom"/>
          </w:tcPr>
          <w:p>
            <w:pPr>
              <w:spacing w:after="0"/>
              <w:rPr>
                <w:sz w:val="1"/>
                <w:szCs w:val="1"/>
                <w:color w:val="auto"/>
              </w:rPr>
            </w:pPr>
          </w:p>
        </w:tc>
      </w:tr>
      <w:tr>
        <w:trPr>
          <w:trHeight w:val="250"/>
        </w:trPr>
        <w:tc>
          <w:tcPr>
            <w:tcW w:w="4260" w:type="dxa"/>
            <w:vAlign w:val="bottom"/>
          </w:tcPr>
          <w:p>
            <w:pPr>
              <w:spacing w:after="0"/>
              <w:rPr>
                <w:sz w:val="21"/>
                <w:szCs w:val="21"/>
                <w:color w:val="auto"/>
              </w:rPr>
            </w:pPr>
          </w:p>
        </w:tc>
        <w:tc>
          <w:tcPr>
            <w:tcW w:w="3140" w:type="dxa"/>
            <w:vAlign w:val="bottom"/>
          </w:tcPr>
          <w:p>
            <w:pPr>
              <w:spacing w:after="0"/>
              <w:rPr>
                <w:sz w:val="20"/>
                <w:szCs w:val="20"/>
                <w:color w:val="auto"/>
              </w:rPr>
            </w:pPr>
            <w:r>
              <w:rPr>
                <w:rFonts w:ascii="Arial" w:cs="Arial" w:eastAsia="Arial" w:hAnsi="Arial"/>
                <w:sz w:val="20"/>
                <w:szCs w:val="20"/>
                <w:color w:val="auto"/>
              </w:rPr>
              <w:t>Financial Officer)</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1"/>
        </w:trPr>
        <w:tc>
          <w:tcPr>
            <w:tcW w:w="4260" w:type="dxa"/>
            <w:vAlign w:val="bottom"/>
          </w:tcPr>
          <w:p>
            <w:pPr>
              <w:ind w:left="1180"/>
              <w:spacing w:after="0"/>
              <w:rPr>
                <w:sz w:val="20"/>
                <w:szCs w:val="20"/>
                <w:color w:val="auto"/>
              </w:rPr>
            </w:pPr>
            <w:r>
              <w:rPr>
                <w:rFonts w:ascii="Arial" w:cs="Arial" w:eastAsia="Arial" w:hAnsi="Arial"/>
                <w:sz w:val="20"/>
                <w:szCs w:val="20"/>
                <w:color w:val="auto"/>
              </w:rPr>
              <w:t>Date: June 17, 2020</w:t>
            </w:r>
          </w:p>
        </w:tc>
        <w:tc>
          <w:tcPr>
            <w:tcW w:w="3140" w:type="dxa"/>
            <w:vAlign w:val="bottom"/>
            <w:vMerge w:val="restart"/>
          </w:tcPr>
          <w:p>
            <w:pPr>
              <w:ind w:left="1080"/>
              <w:spacing w:after="0"/>
              <w:rPr>
                <w:sz w:val="20"/>
                <w:szCs w:val="20"/>
                <w:color w:val="auto"/>
              </w:rPr>
            </w:pPr>
            <w:r>
              <w:rPr>
                <w:rFonts w:ascii="Arial" w:cs="Arial" w:eastAsia="Arial" w:hAnsi="Arial"/>
                <w:sz w:val="20"/>
                <w:szCs w:val="20"/>
                <w:color w:val="auto"/>
              </w:rPr>
              <w:t>*</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260" w:type="dxa"/>
            <w:vAlign w:val="bottom"/>
          </w:tcPr>
          <w:p>
            <w:pPr>
              <w:spacing w:after="0"/>
              <w:rPr>
                <w:sz w:val="14"/>
                <w:szCs w:val="14"/>
                <w:color w:val="auto"/>
              </w:rPr>
            </w:pPr>
          </w:p>
        </w:tc>
        <w:tc>
          <w:tcPr>
            <w:tcW w:w="314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26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20"/>
                <w:szCs w:val="20"/>
                <w:color w:val="auto"/>
              </w:rPr>
              <w:t>Paul Gohr</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6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20"/>
                <w:szCs w:val="20"/>
                <w:color w:val="auto"/>
              </w:rPr>
              <w:t>Chief Accounting Officer</w:t>
            </w:r>
          </w:p>
        </w:tc>
        <w:tc>
          <w:tcPr>
            <w:tcW w:w="3860" w:type="dxa"/>
            <w:vAlign w:val="bottom"/>
            <w:gridSpan w:val="3"/>
          </w:tcPr>
          <w:p>
            <w:pPr>
              <w:ind w:left="240"/>
              <w:spacing w:after="0"/>
              <w:rPr>
                <w:sz w:val="20"/>
                <w:szCs w:val="20"/>
                <w:color w:val="auto"/>
              </w:rPr>
            </w:pPr>
            <w:r>
              <w:rPr>
                <w:rFonts w:ascii="Arial" w:cs="Arial" w:eastAsia="Arial" w:hAnsi="Arial"/>
                <w:sz w:val="20"/>
                <w:szCs w:val="20"/>
                <w:color w:val="auto"/>
              </w:rPr>
              <w:t>(Principal</w:t>
            </w:r>
          </w:p>
        </w:tc>
        <w:tc>
          <w:tcPr>
            <w:tcW w:w="0" w:type="dxa"/>
            <w:vAlign w:val="bottom"/>
          </w:tcPr>
          <w:p>
            <w:pPr>
              <w:spacing w:after="0"/>
              <w:rPr>
                <w:sz w:val="1"/>
                <w:szCs w:val="1"/>
                <w:color w:val="auto"/>
              </w:rPr>
            </w:pPr>
          </w:p>
        </w:tc>
      </w:tr>
      <w:tr>
        <w:trPr>
          <w:trHeight w:val="250"/>
        </w:trPr>
        <w:tc>
          <w:tcPr>
            <w:tcW w:w="4260" w:type="dxa"/>
            <w:vAlign w:val="bottom"/>
          </w:tcPr>
          <w:p>
            <w:pPr>
              <w:spacing w:after="0"/>
              <w:rPr>
                <w:sz w:val="21"/>
                <w:szCs w:val="21"/>
                <w:color w:val="auto"/>
              </w:rPr>
            </w:pPr>
          </w:p>
        </w:tc>
        <w:tc>
          <w:tcPr>
            <w:tcW w:w="3140" w:type="dxa"/>
            <w:vAlign w:val="bottom"/>
          </w:tcPr>
          <w:p>
            <w:pPr>
              <w:spacing w:after="0"/>
              <w:rPr>
                <w:sz w:val="20"/>
                <w:szCs w:val="20"/>
                <w:color w:val="auto"/>
              </w:rPr>
            </w:pPr>
            <w:r>
              <w:rPr>
                <w:rFonts w:ascii="Arial" w:cs="Arial" w:eastAsia="Arial" w:hAnsi="Arial"/>
                <w:sz w:val="20"/>
                <w:szCs w:val="20"/>
                <w:color w:val="auto"/>
              </w:rPr>
              <w:t>Accounting Officer)</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1"/>
        </w:trPr>
        <w:tc>
          <w:tcPr>
            <w:tcW w:w="4260" w:type="dxa"/>
            <w:vAlign w:val="bottom"/>
          </w:tcPr>
          <w:p>
            <w:pPr>
              <w:ind w:left="1180"/>
              <w:spacing w:after="0"/>
              <w:rPr>
                <w:sz w:val="20"/>
                <w:szCs w:val="20"/>
                <w:color w:val="auto"/>
              </w:rPr>
            </w:pPr>
            <w:r>
              <w:rPr>
                <w:rFonts w:ascii="Arial" w:cs="Arial" w:eastAsia="Arial" w:hAnsi="Arial"/>
                <w:sz w:val="20"/>
                <w:szCs w:val="20"/>
                <w:color w:val="auto"/>
              </w:rPr>
              <w:t>Date: June 17, 2020</w:t>
            </w:r>
          </w:p>
        </w:tc>
        <w:tc>
          <w:tcPr>
            <w:tcW w:w="3140" w:type="dxa"/>
            <w:vAlign w:val="bottom"/>
            <w:tcBorders>
              <w:bottom w:val="single" w:sz="8" w:color="auto"/>
            </w:tcBorders>
          </w:tcPr>
          <w:p>
            <w:pPr>
              <w:ind w:left="1080"/>
              <w:spacing w:after="0"/>
              <w:rPr>
                <w:sz w:val="20"/>
                <w:szCs w:val="20"/>
                <w:color w:val="auto"/>
              </w:rPr>
            </w:pPr>
            <w:r>
              <w:rPr>
                <w:rFonts w:ascii="Arial" w:cs="Arial" w:eastAsia="Arial" w:hAnsi="Arial"/>
                <w:sz w:val="20"/>
                <w:szCs w:val="20"/>
                <w:color w:val="auto"/>
              </w:rPr>
              <w:t>*</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26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20"/>
                <w:szCs w:val="20"/>
                <w:color w:val="auto"/>
              </w:rPr>
              <w:t>Jason DeZwirek</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260" w:type="dxa"/>
            <w:vAlign w:val="bottom"/>
          </w:tcPr>
          <w:p>
            <w:pPr>
              <w:spacing w:after="0"/>
              <w:rPr>
                <w:sz w:val="21"/>
                <w:szCs w:val="21"/>
                <w:color w:val="auto"/>
              </w:rPr>
            </w:pPr>
          </w:p>
        </w:tc>
        <w:tc>
          <w:tcPr>
            <w:tcW w:w="3140" w:type="dxa"/>
            <w:vAlign w:val="bottom"/>
          </w:tcPr>
          <w:p>
            <w:pPr>
              <w:spacing w:after="0"/>
              <w:rPr>
                <w:sz w:val="20"/>
                <w:szCs w:val="20"/>
                <w:color w:val="auto"/>
              </w:rPr>
            </w:pPr>
            <w:r>
              <w:rPr>
                <w:rFonts w:ascii="Arial" w:cs="Arial" w:eastAsia="Arial" w:hAnsi="Arial"/>
                <w:sz w:val="20"/>
                <w:szCs w:val="20"/>
                <w:color w:val="auto"/>
                <w:w w:val="98"/>
              </w:rPr>
              <w:t>Chairman of the Board and Director</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7"/>
        </w:trPr>
        <w:tc>
          <w:tcPr>
            <w:tcW w:w="4260" w:type="dxa"/>
            <w:vAlign w:val="bottom"/>
          </w:tcPr>
          <w:p>
            <w:pPr>
              <w:ind w:left="1180"/>
              <w:spacing w:after="0"/>
              <w:rPr>
                <w:sz w:val="20"/>
                <w:szCs w:val="20"/>
                <w:color w:val="auto"/>
              </w:rPr>
            </w:pPr>
            <w:r>
              <w:rPr>
                <w:rFonts w:ascii="Arial" w:cs="Arial" w:eastAsia="Arial" w:hAnsi="Arial"/>
                <w:sz w:val="20"/>
                <w:szCs w:val="20"/>
                <w:color w:val="auto"/>
              </w:rPr>
              <w:t>Date: June 17, 2020</w:t>
            </w:r>
          </w:p>
        </w:tc>
        <w:tc>
          <w:tcPr>
            <w:tcW w:w="3140" w:type="dxa"/>
            <w:vAlign w:val="bottom"/>
            <w:tcBorders>
              <w:bottom w:val="single" w:sz="8" w:color="auto"/>
            </w:tcBorders>
          </w:tcPr>
          <w:p>
            <w:pPr>
              <w:ind w:left="1080"/>
              <w:spacing w:after="0"/>
              <w:rPr>
                <w:sz w:val="20"/>
                <w:szCs w:val="20"/>
                <w:color w:val="auto"/>
              </w:rPr>
            </w:pPr>
            <w:r>
              <w:rPr>
                <w:rFonts w:ascii="Arial" w:cs="Arial" w:eastAsia="Arial" w:hAnsi="Arial"/>
                <w:sz w:val="20"/>
                <w:szCs w:val="20"/>
                <w:color w:val="auto"/>
              </w:rPr>
              <w:t>*</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26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20"/>
                <w:szCs w:val="20"/>
                <w:color w:val="auto"/>
              </w:rPr>
              <w:t>Eric M. Goldberg</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260" w:type="dxa"/>
            <w:vAlign w:val="bottom"/>
          </w:tcPr>
          <w:p>
            <w:pPr>
              <w:spacing w:after="0"/>
              <w:rPr>
                <w:sz w:val="21"/>
                <w:szCs w:val="21"/>
                <w:color w:val="auto"/>
              </w:rPr>
            </w:pPr>
          </w:p>
        </w:tc>
        <w:tc>
          <w:tcPr>
            <w:tcW w:w="3140" w:type="dxa"/>
            <w:vAlign w:val="bottom"/>
          </w:tcPr>
          <w:p>
            <w:pPr>
              <w:spacing w:after="0"/>
              <w:rPr>
                <w:sz w:val="20"/>
                <w:szCs w:val="20"/>
                <w:color w:val="auto"/>
              </w:rPr>
            </w:pPr>
            <w:r>
              <w:rPr>
                <w:rFonts w:ascii="Arial" w:cs="Arial" w:eastAsia="Arial" w:hAnsi="Arial"/>
                <w:sz w:val="20"/>
                <w:szCs w:val="20"/>
                <w:color w:val="auto"/>
              </w:rPr>
              <w:t>Director</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26"/>
        </w:trPr>
        <w:tc>
          <w:tcPr>
            <w:tcW w:w="426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6" w:name="page7"/>
    <w:bookmarkEnd w:id="6"/>
    <w:p>
      <w:pPr>
        <w:ind w:left="1180"/>
        <w:spacing w:after="0"/>
        <w:rPr>
          <w:sz w:val="20"/>
          <w:szCs w:val="20"/>
          <w:color w:val="auto"/>
        </w:rPr>
      </w:pPr>
      <w:r>
        <w:rPr>
          <w:rFonts w:ascii="Arial" w:cs="Arial" w:eastAsia="Arial" w:hAnsi="Arial"/>
          <w:sz w:val="16"/>
          <w:szCs w:val="16"/>
          <w:color w:val="auto"/>
        </w:rPr>
        <w:t>Date: June 17,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Date: June 17,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Date: June 17,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Date: June 17,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Date: June 17, 2020</w:t>
      </w:r>
    </w:p>
    <w:p>
      <w:pPr>
        <w:spacing w:after="0" w:line="20" w:lineRule="exact"/>
        <w:rPr>
          <w:sz w:val="20"/>
          <w:szCs w:val="20"/>
          <w:color w:val="auto"/>
        </w:rPr>
      </w:pPr>
      <w:r>
        <w:rPr>
          <w:sz w:val="20"/>
          <w:szCs w:val="20"/>
          <w:color w:val="auto"/>
        </w:rPr>
        <w:br w:type="column"/>
      </w:r>
    </w:p>
    <w:p>
      <w:pPr>
        <w:ind w:left="108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2929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229298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David B. Liner</w:t>
      </w:r>
    </w:p>
    <w:p>
      <w:pPr>
        <w:spacing w:after="0"/>
        <w:rPr>
          <w:sz w:val="20"/>
          <w:szCs w:val="20"/>
          <w:color w:val="auto"/>
        </w:rPr>
      </w:pPr>
      <w:r>
        <w:rPr>
          <w:rFonts w:ascii="Arial" w:cs="Arial" w:eastAsia="Arial" w:hAnsi="Arial"/>
          <w:sz w:val="20"/>
          <w:szCs w:val="20"/>
          <w:color w:val="auto"/>
        </w:rPr>
        <w:t>Director</w:t>
      </w:r>
    </w:p>
    <w:p>
      <w:pPr>
        <w:spacing w:after="0" w:line="200" w:lineRule="exact"/>
        <w:rPr>
          <w:sz w:val="20"/>
          <w:szCs w:val="20"/>
          <w:color w:val="auto"/>
        </w:rPr>
      </w:pPr>
    </w:p>
    <w:p>
      <w:pPr>
        <w:spacing w:after="0" w:line="216"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3558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235585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Claudio A. Mannarino</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Director</w:t>
      </w:r>
    </w:p>
    <w:p>
      <w:pPr>
        <w:spacing w:after="0" w:line="200" w:lineRule="exact"/>
        <w:rPr>
          <w:sz w:val="20"/>
          <w:szCs w:val="20"/>
          <w:color w:val="auto"/>
        </w:rPr>
      </w:pPr>
    </w:p>
    <w:p>
      <w:pPr>
        <w:spacing w:after="0" w:line="216"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3558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235585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Munish Nanda</w:t>
      </w:r>
    </w:p>
    <w:p>
      <w:pPr>
        <w:spacing w:after="0"/>
        <w:rPr>
          <w:sz w:val="20"/>
          <w:szCs w:val="20"/>
          <w:color w:val="auto"/>
        </w:rPr>
      </w:pPr>
      <w:r>
        <w:rPr>
          <w:rFonts w:ascii="Arial" w:cs="Arial" w:eastAsia="Arial" w:hAnsi="Arial"/>
          <w:sz w:val="20"/>
          <w:szCs w:val="20"/>
          <w:color w:val="auto"/>
        </w:rPr>
        <w:t>Director</w:t>
      </w:r>
    </w:p>
    <w:p>
      <w:pPr>
        <w:spacing w:after="0" w:line="200" w:lineRule="exact"/>
        <w:rPr>
          <w:sz w:val="20"/>
          <w:szCs w:val="20"/>
          <w:color w:val="auto"/>
        </w:rPr>
      </w:pPr>
    </w:p>
    <w:p>
      <w:pPr>
        <w:spacing w:after="0" w:line="216"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3558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235585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Jonathan Pollack</w:t>
      </w:r>
    </w:p>
    <w:p>
      <w:pPr>
        <w:spacing w:after="0"/>
        <w:rPr>
          <w:sz w:val="20"/>
          <w:szCs w:val="20"/>
          <w:color w:val="auto"/>
        </w:rPr>
      </w:pPr>
      <w:r>
        <w:rPr>
          <w:rFonts w:ascii="Arial" w:cs="Arial" w:eastAsia="Arial" w:hAnsi="Arial"/>
          <w:sz w:val="20"/>
          <w:szCs w:val="20"/>
          <w:color w:val="auto"/>
        </w:rPr>
        <w:t>Director</w:t>
      </w:r>
    </w:p>
    <w:p>
      <w:pPr>
        <w:spacing w:after="0" w:line="200" w:lineRule="exact"/>
        <w:rPr>
          <w:sz w:val="20"/>
          <w:szCs w:val="20"/>
          <w:color w:val="auto"/>
        </w:rPr>
      </w:pPr>
    </w:p>
    <w:p>
      <w:pPr>
        <w:spacing w:after="0" w:line="216"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3558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235585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Valerie Gentile Sachs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Director</w:t>
      </w:r>
    </w:p>
    <w:p>
      <w:pPr>
        <w:spacing w:after="0" w:line="200" w:lineRule="exact"/>
        <w:rPr>
          <w:sz w:val="20"/>
          <w:szCs w:val="20"/>
          <w:color w:val="auto"/>
        </w:rPr>
      </w:pPr>
    </w:p>
    <w:p>
      <w:pPr>
        <w:sectPr>
          <w:pgSz w:w="11900" w:h="16838" w:orient="portrait"/>
          <w:cols w:equalWidth="0" w:num="2">
            <w:col w:w="3540" w:space="720"/>
            <w:col w:w="6960"/>
          </w:cols>
          <w:pgMar w:left="320" w:top="339" w:right="359" w:bottom="1440" w:gutter="0" w:footer="0" w:header="0"/>
        </w:sectPr>
      </w:pPr>
    </w:p>
    <w:p>
      <w:pPr>
        <w:spacing w:after="0" w:line="324" w:lineRule="exact"/>
        <w:rPr>
          <w:sz w:val="20"/>
          <w:szCs w:val="20"/>
          <w:color w:val="auto"/>
        </w:rPr>
      </w:pPr>
    </w:p>
    <w:p>
      <w:pPr>
        <w:ind w:firstLine="8"/>
        <w:spacing w:after="0" w:line="260" w:lineRule="auto"/>
        <w:tabs>
          <w:tab w:leader="none" w:pos="194" w:val="left"/>
        </w:tabs>
        <w:numPr>
          <w:ilvl w:val="0"/>
          <w:numId w:val="7"/>
        </w:numPr>
        <w:rPr>
          <w:rFonts w:ascii="Arial" w:cs="Arial" w:eastAsia="Arial" w:hAnsi="Arial"/>
          <w:sz w:val="20"/>
          <w:szCs w:val="20"/>
          <w:color w:val="auto"/>
        </w:rPr>
      </w:pPr>
      <w:r>
        <w:rPr>
          <w:rFonts w:ascii="Arial" w:cs="Arial" w:eastAsia="Arial" w:hAnsi="Arial"/>
          <w:sz w:val="20"/>
          <w:szCs w:val="20"/>
          <w:color w:val="auto"/>
        </w:rPr>
        <w:t>This Registration Statement has been signed on behalf of the above officers and directors by Chasity Henry, as attorney-in-fact, pursuant to a power of attorney filed as Exhibit 24.1 to this Registration Statement.</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20"/>
                <w:szCs w:val="20"/>
                <w:color w:val="auto"/>
              </w:rPr>
              <w:t>Dated:  June 17, 2020</w:t>
            </w:r>
          </w:p>
        </w:tc>
        <w:tc>
          <w:tcPr>
            <w:tcW w:w="6120" w:type="dxa"/>
            <w:vAlign w:val="bottom"/>
            <w:gridSpan w:val="2"/>
          </w:tcPr>
          <w:p>
            <w:pPr>
              <w:ind w:left="1920"/>
              <w:spacing w:after="0"/>
              <w:rPr>
                <w:sz w:val="20"/>
                <w:szCs w:val="20"/>
                <w:color w:val="auto"/>
              </w:rPr>
            </w:pPr>
            <w:r>
              <w:rPr>
                <w:rFonts w:ascii="Arial" w:cs="Arial" w:eastAsia="Arial" w:hAnsi="Arial"/>
                <w:sz w:val="20"/>
                <w:szCs w:val="20"/>
                <w:color w:val="auto"/>
              </w:rPr>
              <w:t>By:  /s/ Chasity Henry</w:t>
            </w:r>
          </w:p>
        </w:tc>
      </w:tr>
      <w:tr>
        <w:trPr>
          <w:trHeight w:val="20"/>
        </w:trPr>
        <w:tc>
          <w:tcPr>
            <w:tcW w:w="37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20" w:type="dxa"/>
            <w:vAlign w:val="bottom"/>
            <w:shd w:val="clear" w:color="auto" w:fill="000000"/>
          </w:tcPr>
          <w:p>
            <w:pPr>
              <w:spacing w:after="0" w:line="20" w:lineRule="exact"/>
              <w:rPr>
                <w:sz w:val="1"/>
                <w:szCs w:val="1"/>
                <w:color w:val="auto"/>
              </w:rPr>
            </w:pPr>
          </w:p>
        </w:tc>
      </w:tr>
      <w:tr>
        <w:trPr>
          <w:trHeight w:val="233"/>
        </w:trPr>
        <w:tc>
          <w:tcPr>
            <w:tcW w:w="3700" w:type="dxa"/>
            <w:vAlign w:val="bottom"/>
          </w:tcPr>
          <w:p>
            <w:pPr>
              <w:spacing w:after="0"/>
              <w:rPr>
                <w:sz w:val="20"/>
                <w:szCs w:val="20"/>
                <w:color w:val="auto"/>
              </w:rPr>
            </w:pPr>
          </w:p>
        </w:tc>
        <w:tc>
          <w:tcPr>
            <w:tcW w:w="6120" w:type="dxa"/>
            <w:vAlign w:val="bottom"/>
            <w:gridSpan w:val="2"/>
          </w:tcPr>
          <w:p>
            <w:pPr>
              <w:ind w:left="2220"/>
              <w:spacing w:after="0"/>
              <w:rPr>
                <w:sz w:val="20"/>
                <w:szCs w:val="20"/>
                <w:color w:val="auto"/>
              </w:rPr>
            </w:pPr>
            <w:r>
              <w:rPr>
                <w:rFonts w:ascii="Arial" w:cs="Arial" w:eastAsia="Arial" w:hAnsi="Arial"/>
                <w:sz w:val="20"/>
                <w:szCs w:val="20"/>
                <w:color w:val="auto"/>
              </w:rPr>
              <w:t>Chasity Henry</w:t>
            </w:r>
          </w:p>
        </w:tc>
      </w:tr>
      <w:tr>
        <w:trPr>
          <w:trHeight w:val="250"/>
        </w:trPr>
        <w:tc>
          <w:tcPr>
            <w:tcW w:w="3700" w:type="dxa"/>
            <w:vAlign w:val="bottom"/>
          </w:tcPr>
          <w:p>
            <w:pPr>
              <w:spacing w:after="0"/>
              <w:rPr>
                <w:sz w:val="21"/>
                <w:szCs w:val="21"/>
                <w:color w:val="auto"/>
              </w:rPr>
            </w:pPr>
          </w:p>
        </w:tc>
        <w:tc>
          <w:tcPr>
            <w:tcW w:w="6120" w:type="dxa"/>
            <w:vAlign w:val="bottom"/>
            <w:gridSpan w:val="2"/>
          </w:tcPr>
          <w:p>
            <w:pPr>
              <w:ind w:left="2200"/>
              <w:spacing w:after="0"/>
              <w:rPr>
                <w:sz w:val="20"/>
                <w:szCs w:val="20"/>
                <w:color w:val="auto"/>
              </w:rPr>
            </w:pPr>
            <w:r>
              <w:rPr>
                <w:rFonts w:ascii="Arial" w:cs="Arial" w:eastAsia="Arial" w:hAnsi="Arial"/>
                <w:sz w:val="20"/>
                <w:szCs w:val="20"/>
                <w:color w:val="auto"/>
              </w:rPr>
              <w:t>Attorney-in-Fact</w:t>
            </w:r>
          </w:p>
        </w:tc>
      </w:tr>
    </w:tbl>
    <w:p>
      <w:pPr>
        <w:sectPr>
          <w:pgSz w:w="11900" w:h="16838" w:orient="portrait"/>
          <w:cols w:equalWidth="0" w:num="1">
            <w:col w:w="11220"/>
          </w:cols>
          <w:pgMar w:left="320" w:top="339" w:right="359" w:bottom="1440" w:gutter="0" w:footer="0" w:header="0"/>
          <w:type w:val="continuous"/>
        </w:sectPr>
      </w:pPr>
    </w:p>
    <w:bookmarkStart w:id="7" w:name="page8"/>
    <w:bookmarkEnd w:id="7"/>
    <w:p>
      <w:pPr>
        <w:jc w:val="center"/>
        <w:ind w:right="20"/>
        <w:spacing w:after="0"/>
        <w:tabs>
          <w:tab w:leader="none" w:pos="100" w:val="left"/>
          <w:tab w:leader="none" w:pos="100" w:val="left"/>
          <w:tab w:leader="none" w:pos="80" w:val="left"/>
          <w:tab w:leader="none" w:pos="100" w:val="left"/>
          <w:tab w:leader="none" w:pos="100" w:val="left"/>
        </w:tabs>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3148330</wp:posOffset>
            </wp:positionH>
            <wp:positionV relativeFrom="page">
              <wp:posOffset>88900</wp:posOffset>
            </wp:positionV>
            <wp:extent cx="1251585"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251585" cy="205740"/>
                    </a:xfrm>
                    <a:prstGeom prst="rect">
                      <a:avLst/>
                    </a:prstGeom>
                    <a:noFill/>
                  </pic:spPr>
                </pic:pic>
              </a:graphicData>
            </a:graphic>
          </wp:anchor>
        </w:drawing>
        <w:t>NORTH POINT</w:t>
        <w:tab/>
        <w:t>•</w:t>
        <w:tab/>
        <w:t>901 LAKESIDE AVENUE</w:t>
        <w:tab/>
        <w:t>•</w:t>
        <w:tab/>
        <w:t>CLEVELAND, OHIO</w:t>
        <w:tab/>
        <w:t>44114.1190</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TELEPHONE: +1.216.586.3939 • FACSIMILE: +1.216.579.0212</w:t>
      </w: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EXHIBIT 5.1</w:t>
      </w:r>
    </w:p>
    <w:p>
      <w:pPr>
        <w:spacing w:after="0" w:line="347" w:lineRule="exact"/>
        <w:rPr>
          <w:sz w:val="20"/>
          <w:szCs w:val="20"/>
          <w:color w:val="auto"/>
        </w:rPr>
      </w:pPr>
    </w:p>
    <w:p>
      <w:pPr>
        <w:ind w:left="3540"/>
        <w:spacing w:after="0"/>
        <w:rPr>
          <w:sz w:val="20"/>
          <w:szCs w:val="20"/>
          <w:color w:val="auto"/>
        </w:rPr>
      </w:pPr>
      <w:r>
        <w:rPr>
          <w:rFonts w:ascii="Arial" w:cs="Arial" w:eastAsia="Arial" w:hAnsi="Arial"/>
          <w:sz w:val="22"/>
          <w:szCs w:val="22"/>
          <w:color w:val="auto"/>
        </w:rPr>
        <w:t>June 17, 2020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CECO Environmental Corp.</w:t>
      </w:r>
    </w:p>
    <w:p>
      <w:pPr>
        <w:spacing w:after="0" w:line="238" w:lineRule="auto"/>
        <w:rPr>
          <w:sz w:val="20"/>
          <w:szCs w:val="20"/>
          <w:color w:val="auto"/>
        </w:rPr>
      </w:pPr>
      <w:r>
        <w:rPr>
          <w:rFonts w:ascii="Arial" w:cs="Arial" w:eastAsia="Arial" w:hAnsi="Arial"/>
          <w:sz w:val="22"/>
          <w:szCs w:val="22"/>
          <w:color w:val="auto"/>
        </w:rPr>
        <w:t>14651 North Dallas Parkway, Suite 500</w:t>
      </w:r>
    </w:p>
    <w:p>
      <w:pPr>
        <w:spacing w:after="0"/>
        <w:rPr>
          <w:sz w:val="20"/>
          <w:szCs w:val="20"/>
          <w:color w:val="auto"/>
        </w:rPr>
      </w:pPr>
      <w:r>
        <w:rPr>
          <w:rFonts w:ascii="Arial" w:cs="Arial" w:eastAsia="Arial" w:hAnsi="Arial"/>
          <w:sz w:val="22"/>
          <w:szCs w:val="22"/>
          <w:color w:val="auto"/>
        </w:rPr>
        <w:t>Dallas, Texas 75254</w:t>
      </w:r>
    </w:p>
    <w:p>
      <w:pPr>
        <w:spacing w:after="0" w:line="188" w:lineRule="exact"/>
        <w:rPr>
          <w:sz w:val="20"/>
          <w:szCs w:val="20"/>
          <w:color w:val="auto"/>
        </w:rPr>
      </w:pPr>
    </w:p>
    <w:p>
      <w:pPr>
        <w:ind w:left="1080"/>
        <w:spacing w:after="0"/>
        <w:tabs>
          <w:tab w:leader="none" w:pos="192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u w:val="single" w:color="auto"/>
          <w:color w:val="auto"/>
        </w:rPr>
        <w:t>Registration Statement on Form S-8 Filed by CECO Environmental Corp.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ind w:right="100" w:firstLine="864"/>
        <w:spacing w:after="0" w:line="246" w:lineRule="auto"/>
        <w:rPr>
          <w:sz w:val="20"/>
          <w:szCs w:val="20"/>
          <w:color w:val="auto"/>
        </w:rPr>
      </w:pPr>
      <w:r>
        <w:rPr>
          <w:rFonts w:ascii="Arial" w:cs="Arial" w:eastAsia="Arial" w:hAnsi="Arial"/>
          <w:sz w:val="21"/>
          <w:szCs w:val="21"/>
          <w:color w:val="auto"/>
        </w:rPr>
        <w:t>We have acted as counsel for CECO Environmental Corp., a Delaware corporation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in connection with the CECO Environmental Corp. 2020 Employee Stock Purchase Plan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 In connection with the opinion expressed herein, we have examined such documents, records and matters of law as we have deemed relevant or necessary for purposes of such opinion. Based on the foregoing, and subject to the further limitations, qualifications and assumptions set forth herein, we are of the opinion that the 1,300,000 shares (the “</w:t>
      </w:r>
      <w:r>
        <w:rPr>
          <w:rFonts w:ascii="Arial" w:cs="Arial" w:eastAsia="Arial" w:hAnsi="Arial"/>
          <w:sz w:val="21"/>
          <w:szCs w:val="21"/>
          <w:b w:val="1"/>
          <w:bCs w:val="1"/>
          <w:i w:val="1"/>
          <w:iCs w:val="1"/>
          <w:color w:val="auto"/>
        </w:rPr>
        <w:t>Shares</w:t>
      </w:r>
      <w:r>
        <w:rPr>
          <w:rFonts w:ascii="Arial" w:cs="Arial" w:eastAsia="Arial" w:hAnsi="Arial"/>
          <w:sz w:val="21"/>
          <w:szCs w:val="21"/>
          <w:color w:val="auto"/>
        </w:rPr>
        <w:t>”) of common stock, par value $0.01 per share, of the Company that may be issued or delivered and sold pursuant to the Plan will be, when issued or delivered and sold in accordance with the Plan, validly issued, fully paid and nonassessable, provided that the consideration for the Shares is at least equal to the stated par value thereof.</w:t>
      </w:r>
    </w:p>
    <w:p>
      <w:pPr>
        <w:spacing w:after="0" w:line="180" w:lineRule="exact"/>
        <w:rPr>
          <w:sz w:val="20"/>
          <w:szCs w:val="20"/>
          <w:color w:val="auto"/>
        </w:rPr>
      </w:pPr>
    </w:p>
    <w:p>
      <w:pPr>
        <w:ind w:right="40" w:firstLine="864"/>
        <w:spacing w:after="0" w:line="236" w:lineRule="auto"/>
        <w:rPr>
          <w:sz w:val="20"/>
          <w:szCs w:val="20"/>
          <w:color w:val="auto"/>
        </w:rPr>
      </w:pPr>
      <w:r>
        <w:rPr>
          <w:rFonts w:ascii="Arial" w:cs="Arial" w:eastAsia="Arial" w:hAnsi="Arial"/>
          <w:sz w:val="22"/>
          <w:szCs w:val="22"/>
          <w:color w:val="auto"/>
        </w:rPr>
        <w:t>The opinion expressed herein is limited to the General Corporation Law of the State of Delaware, as currently in effect, and we express no opinion as to the effect of the laws of any other jurisdiction on the opinion expressed herein. In addition, we have assumed that the resolutions authorizing the Company to issue or deliver and sell the Shares pursuant to the Plan will be in full force and effect at all times at which the Shares are issued or delivered or sold by the Company, and that the Company will take no action inconsistent with such resolutions.</w:t>
      </w:r>
    </w:p>
    <w:p>
      <w:pPr>
        <w:spacing w:after="0" w:line="187" w:lineRule="exact"/>
        <w:rPr>
          <w:sz w:val="20"/>
          <w:szCs w:val="20"/>
          <w:color w:val="auto"/>
        </w:rPr>
      </w:pPr>
    </w:p>
    <w:p>
      <w:pPr>
        <w:ind w:right="160" w:firstLine="864"/>
        <w:spacing w:after="0" w:line="252" w:lineRule="auto"/>
        <w:rPr>
          <w:sz w:val="20"/>
          <w:szCs w:val="20"/>
          <w:color w:val="auto"/>
        </w:rPr>
      </w:pPr>
      <w:r>
        <w:rPr>
          <w:rFonts w:ascii="Arial" w:cs="Arial" w:eastAsia="Arial" w:hAnsi="Arial"/>
          <w:sz w:val="21"/>
          <w:szCs w:val="21"/>
          <w:color w:val="auto"/>
        </w:rPr>
        <w:t>We hereby consent to the filing of this opinion as Exhibit 5.1 to the Registration Statement on Form S-8 filed by the Company to effect the registration of the Shares under the Securities Act of 1933 (the “</w:t>
      </w:r>
      <w:r>
        <w:rPr>
          <w:rFonts w:ascii="Arial" w:cs="Arial" w:eastAsia="Arial" w:hAnsi="Arial"/>
          <w:sz w:val="21"/>
          <w:szCs w:val="21"/>
          <w:b w:val="1"/>
          <w:bCs w:val="1"/>
          <w:i w:val="1"/>
          <w:iCs w:val="1"/>
          <w:color w:val="auto"/>
        </w:rPr>
        <w:t>Act</w:t>
      </w:r>
      <w:r>
        <w:rPr>
          <w:rFonts w:ascii="Arial" w:cs="Arial" w:eastAsia="Arial" w:hAnsi="Arial"/>
          <w:sz w:val="21"/>
          <w:szCs w:val="21"/>
          <w:color w:val="auto"/>
        </w:rPr>
        <w:t>”). In giving such consent, we do not thereby admit that we are included in the category of persons whose consent is required under Section 7 of the Act or the rules and regulations of the Securities and Exchange Commission promulgated thereunder.</w:t>
      </w:r>
    </w:p>
    <w:p>
      <w:pPr>
        <w:spacing w:after="0" w:line="174"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Very truly yours,</w:t>
      </w:r>
    </w:p>
    <w:p>
      <w:pPr>
        <w:spacing w:after="0" w:line="206"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/s/ Jones Day</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2760"/>
        <w:spacing w:after="0" w:line="450" w:lineRule="auto"/>
        <w:rPr>
          <w:sz w:val="20"/>
          <w:szCs w:val="20"/>
          <w:color w:val="auto"/>
        </w:rPr>
      </w:pPr>
      <w:r>
        <w:rPr>
          <w:rFonts w:ascii="Arial" w:cs="Arial" w:eastAsia="Arial" w:hAnsi="Arial"/>
          <w:sz w:val="10"/>
          <w:szCs w:val="10"/>
          <w:color w:val="auto"/>
        </w:rPr>
        <w:t>AMSTERDAM • ATLANTA • BEIJING • BOSTON • BRISBANE • BRUSSELS • CHICAGO • CLEVELAND • COLUMBUS • DALLAS • DETROIT DUBAI • DÜSSELDORF • FRANKFURT • HONG KONG • HOUSTON • IRVINE • LONDON • LOS ANGELES • MADRID • MELBOURNE</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MEXICO CITY • MIAMI • MILAN • MINNEAPOLIS • MOSCOW • MUNICH • NEW YORK • PARIS • PERTH • PITTSBURGH • SAN DIEGO</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SAN FRANCISCO • SÃO PAULO • SAUDI ARABIA • SHANGHAI • SILICON VALLEY • SINGAPORE • SYDNEY • TAIPEI • TOKYO • WASHINGTON</w:t>
      </w:r>
    </w:p>
    <w:p>
      <w:pPr>
        <w:sectPr>
          <w:pgSz w:w="11900" w:h="16838" w:orient="portrait"/>
          <w:cols w:equalWidth="0" w:num="1">
            <w:col w:w="11240"/>
          </w:cols>
          <w:pgMar w:left="320" w:top="656"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u w:val="single" w:color="auto"/>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720"/>
        <w:spacing w:after="0"/>
        <w:rPr>
          <w:sz w:val="20"/>
          <w:szCs w:val="20"/>
          <w:color w:val="auto"/>
        </w:rPr>
      </w:pPr>
      <w:r>
        <w:rPr>
          <w:rFonts w:ascii="Arial" w:cs="Arial" w:eastAsia="Arial" w:hAnsi="Arial"/>
          <w:sz w:val="22"/>
          <w:szCs w:val="22"/>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CECO Environmental Corp. and Subsidiaries</w:t>
      </w:r>
    </w:p>
    <w:p>
      <w:pPr>
        <w:spacing w:after="0" w:line="8"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Cincinnati, Ohio</w:t>
      </w:r>
    </w:p>
    <w:p>
      <w:pPr>
        <w:spacing w:after="0" w:line="188" w:lineRule="exact"/>
        <w:rPr>
          <w:sz w:val="20"/>
          <w:szCs w:val="20"/>
          <w:color w:val="auto"/>
        </w:rPr>
      </w:pPr>
    </w:p>
    <w:p>
      <w:pPr>
        <w:jc w:val="both"/>
        <w:ind w:firstLine="1382"/>
        <w:spacing w:after="0" w:line="238" w:lineRule="auto"/>
        <w:rPr>
          <w:sz w:val="20"/>
          <w:szCs w:val="20"/>
          <w:color w:val="auto"/>
        </w:rPr>
      </w:pPr>
      <w:r>
        <w:rPr>
          <w:rFonts w:ascii="Arial" w:cs="Arial" w:eastAsia="Arial" w:hAnsi="Arial"/>
          <w:sz w:val="22"/>
          <w:szCs w:val="22"/>
          <w:color w:val="auto"/>
        </w:rPr>
        <w:t>We hereby consent to the incorporation by reference in this Registration Statement on Form S-8 of our reports dated March 4, 2020, relating to the consolidated financial statements, and the effectiveness of CECO Environmental Corp. and Subsidiaries’ internal control over financial reporting, appearing in the Company’s Annual Report on Form 10-K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/s/ BDO USA, LLP</w:t>
      </w:r>
    </w:p>
    <w:p>
      <w:pPr>
        <w:spacing w:after="0" w:line="206"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June 17, 2020</w:t>
      </w:r>
    </w:p>
    <w:p>
      <w:pPr>
        <w:sectPr>
          <w:pgSz w:w="11900" w:h="16838" w:orient="portrait"/>
          <w:cols w:equalWidth="0" w:num="1">
            <w:col w:w="11240"/>
          </w:cols>
          <w:pgMar w:left="320" w:top="111"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22"/>
          <w:szCs w:val="22"/>
          <w:b w:val="1"/>
          <w:bCs w:val="1"/>
          <w:u w:val="single" w:color="auto"/>
          <w:color w:val="auto"/>
        </w:rPr>
        <w:t>EXHIBIT 24.1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0" w:firstLine="864"/>
        <w:spacing w:after="0" w:line="269" w:lineRule="auto"/>
        <w:rPr>
          <w:sz w:val="20"/>
          <w:szCs w:val="20"/>
          <w:color w:val="auto"/>
        </w:rPr>
      </w:pPr>
      <w:r>
        <w:rPr>
          <w:rFonts w:ascii="Arial" w:cs="Arial" w:eastAsia="Arial" w:hAnsi="Arial"/>
          <w:sz w:val="17"/>
          <w:szCs w:val="17"/>
          <w:color w:val="auto"/>
        </w:rPr>
        <w:t>KNOW ALL PERSONS BY THESE PRESENTS, that each of the undersigned officers and directors of CECO Environmental Corp., a Delaware corporation (the “</w:t>
      </w:r>
      <w:r>
        <w:rPr>
          <w:rFonts w:ascii="Arial" w:cs="Arial" w:eastAsia="Arial" w:hAnsi="Arial"/>
          <w:sz w:val="17"/>
          <w:szCs w:val="17"/>
          <w:b w:val="1"/>
          <w:bCs w:val="1"/>
          <w:i w:val="1"/>
          <w:iCs w:val="1"/>
          <w:color w:val="auto"/>
        </w:rPr>
        <w:t>Registrant</w:t>
      </w:r>
      <w:r>
        <w:rPr>
          <w:rFonts w:ascii="Arial" w:cs="Arial" w:eastAsia="Arial" w:hAnsi="Arial"/>
          <w:sz w:val="17"/>
          <w:szCs w:val="17"/>
          <w:color w:val="auto"/>
        </w:rPr>
        <w:t>”), hereby constitutes and appoints Dennis Sadlowski, Matthew Eckl, Paul Gohr and Chasity Henry, or any of them, each acting alone, as the true and lawful attorney-in-fact or agent, or attorneys-in-fact or agents, for each of the undersigned, with full power of substitution and resubstitution, and in the name, place and stead of each of the undersigned, to execute and file (1) one or more Registration Statements on Form S-8 (the “</w:t>
      </w:r>
      <w:r>
        <w:rPr>
          <w:rFonts w:ascii="Arial" w:cs="Arial" w:eastAsia="Arial" w:hAnsi="Arial"/>
          <w:sz w:val="17"/>
          <w:szCs w:val="17"/>
          <w:b w:val="1"/>
          <w:bCs w:val="1"/>
          <w:i w:val="1"/>
          <w:iCs w:val="1"/>
          <w:color w:val="auto"/>
        </w:rPr>
        <w:t>Form S-8 Registration Statement</w:t>
      </w:r>
      <w:r>
        <w:rPr>
          <w:rFonts w:ascii="Arial" w:cs="Arial" w:eastAsia="Arial" w:hAnsi="Arial"/>
          <w:sz w:val="17"/>
          <w:szCs w:val="17"/>
          <w:color w:val="auto"/>
        </w:rPr>
        <w:t>”) with respect to the registration under the Securities Act of 1933, as amended, of common stock, $0.01 par value per share, of the Registrant issuable in connection with the Registrant’s Employee Stock Purchase Plan, (2) any and all amendments, including post-effective amendments, supplements and exhibits to the Form S-8 Registration Statement and (3) any and all applications or other documents to be filed with the Securities and Exchange Commission or any state securities commission or other regulatory authority or exchange with respect to the securities covered by the Form S-8 Registration Statement, granting unto said attorneys-in-fact and agents, and each of them, full power and authority to do and perform each and every act and thing necessary, appropriate or desirable to be done in and about the premises in order to effectuate the same as fully to all intents and purposes as he or she might or could do if personally present, hereby ratifying and confirming all that said attorneys-in-fact and agents, and each of them, may lawfully do or cause to be done by virtue hereof.</w:t>
      </w:r>
    </w:p>
    <w:p>
      <w:pPr>
        <w:spacing w:after="0" w:line="152" w:lineRule="exact"/>
        <w:rPr>
          <w:sz w:val="20"/>
          <w:szCs w:val="20"/>
          <w:color w:val="auto"/>
        </w:rPr>
      </w:pPr>
    </w:p>
    <w:p>
      <w:pPr>
        <w:ind w:right="640" w:firstLine="864"/>
        <w:spacing w:after="0" w:line="277" w:lineRule="auto"/>
        <w:rPr>
          <w:sz w:val="20"/>
          <w:szCs w:val="20"/>
          <w:color w:val="auto"/>
        </w:rPr>
      </w:pPr>
      <w:r>
        <w:rPr>
          <w:rFonts w:ascii="Arial" w:cs="Arial" w:eastAsia="Arial" w:hAnsi="Arial"/>
          <w:sz w:val="18"/>
          <w:szCs w:val="18"/>
          <w:color w:val="auto"/>
        </w:rPr>
        <w:t>This Power of Attorney may be executed in multiple counterparts, each of which shall be deemed an original with respect to the person executing it.</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WITNESS WHEREOF, the undersigned have hereunto set their hands as of the 16th day of June 2020:</w:t>
      </w:r>
    </w:p>
    <w:p>
      <w:pPr>
        <w:sectPr>
          <w:pgSz w:w="11900" w:h="16838" w:orient="portrait"/>
          <w:cols w:equalWidth="0" w:num="1">
            <w:col w:w="11240"/>
          </w:cols>
          <w:pgMar w:left="320" w:top="787"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Dennis Sadlowski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4218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2421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15995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59956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Dennis Sadlowski</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and Director</w:t>
      </w:r>
    </w:p>
    <w:p>
      <w:pPr>
        <w:spacing w:after="0" w:line="23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Paul Gohr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4022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24022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15995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59956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Paul Gohr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Eric M.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4003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24003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15995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59956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Eric M. Goldberg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Claudio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32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7232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Mannarino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3007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Claudio A. Mannarino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Jonathan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6286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Pollack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370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337058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Jonathan Pollack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24085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24085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126365</wp:posOffset>
            </wp:positionV>
            <wp:extent cx="15995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59956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Matthew Eckl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Jason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4762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DeZwirek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35477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354774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Jason DeZwirek</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 and Director</w:t>
      </w:r>
    </w:p>
    <w:p>
      <w:pPr>
        <w:spacing w:after="0" w:line="23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David B. Liner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23958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23958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126365</wp:posOffset>
            </wp:positionV>
            <wp:extent cx="15995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59956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David B. Liner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Munish Nanda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23831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23831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126365</wp:posOffset>
            </wp:positionV>
            <wp:extent cx="15995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59956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Munish Nanda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Valerie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9105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9105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Sachs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30657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306578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Valerie Gentile Sachs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sectPr>
      <w:pgSz w:w="11900" w:h="16838" w:orient="portrait"/>
      <w:cols w:equalWidth="0" w:num="2">
        <w:col w:w="4600" w:space="720"/>
        <w:col w:w="5920"/>
      </w:cols>
      <w:pgMar w:left="320" w:top="78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lvl w:ilvl="1">
      <w:lvlJc w:val="left"/>
      <w:lvlText w:val="(%2)"/>
      <w:numFmt w:val="lowerRoman"/>
    </w:lvl>
    <w:lvl w:ilvl="2">
      <w:lvlJc w:val="left"/>
      <w:lvlText w:val="(%3)"/>
      <w:numFmt w:val="decimal"/>
      <w:start w:val="1"/>
    </w:lvl>
  </w:abstractNum>
  <w:abstractNum w:abstractNumId="3">
    <w:nsid w:val="3D1B58BA"/>
    <w:multiLevelType w:val="hybridMultilevel"/>
    <w:lvl w:ilvl="0">
      <w:lvlJc w:val="left"/>
      <w:lvlText w:val="(%1)"/>
      <w:numFmt w:val="lowerRoman"/>
      <w:start w:val="2"/>
    </w:lvl>
  </w:abstractNum>
  <w:abstractNum w:abstractNumId="4">
    <w:nsid w:val="507ED7AB"/>
    <w:multiLevelType w:val="hybridMultilevel"/>
    <w:lvl w:ilvl="0">
      <w:lvlJc w:val="left"/>
      <w:lvlText w:val="%1"/>
      <w:numFmt w:val="lowerLetter"/>
      <w:start w:val="1"/>
    </w:lvl>
    <w:lvl w:ilvl="1">
      <w:lvlJc w:val="left"/>
      <w:lvlText w:val="(%2)"/>
      <w:numFmt w:val="decimal"/>
      <w:start w:val="2"/>
    </w:lvl>
  </w:abstractNum>
  <w:abstractNum w:abstractNumId="5">
    <w:nsid w:val="2EB141F2"/>
    <w:multiLevelType w:val="hybridMultilevel"/>
    <w:lvl w:ilvl="0">
      <w:lvlJc w:val="left"/>
      <w:lvlText w:val="(%1)"/>
      <w:numFmt w:val="lowerLetter"/>
      <w:start w:val="2"/>
    </w:lvl>
    <w:lvl w:ilvl="1">
      <w:lvlJc w:val="left"/>
      <w:lvlText w:val="%2"/>
      <w:numFmt w:val="decimal"/>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4"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jpe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10" Type="http://schemas.openxmlformats.org/officeDocument/2006/relationships/hyperlink" Target="http://www.sec.gov/Archives/edgar/data/3197/000156459020008551/cece-10k_20191231.htm" TargetMode="External"/><Relationship Id="rId11" Type="http://schemas.openxmlformats.org/officeDocument/2006/relationships/hyperlink" Target="http://www.sec.gov/Archives/edgar/data/3197/000156459020021542/cece-10q_20200331.htm" TargetMode="External"/><Relationship Id="rId12" Type="http://schemas.openxmlformats.org/officeDocument/2006/relationships/hyperlink" Target="http://www.sec.gov/Archives/edgar/data/3197/000156459020029431/cece-8k_20200611.htm" TargetMode="External"/><Relationship Id="rId13" Type="http://schemas.openxmlformats.org/officeDocument/2006/relationships/hyperlink" Target="http://www.sec.gov/Archives/edgar/data/3197/000156459020008551/cece-ex41_99.htm" TargetMode="External"/><Relationship Id="rId15" Type="http://schemas.openxmlformats.org/officeDocument/2006/relationships/hyperlink" Target="http://www.sec.gov/Archives/edgar/data/0000003197/000095013102001241/dex3i.txt" TargetMode="External"/><Relationship Id="rId16" Type="http://schemas.openxmlformats.org/officeDocument/2006/relationships/hyperlink" Target="http://www.sec.gov/Archives/edgar/data/0000003197/000119312517368365/d477604dex31.htm" TargetMode="External"/><Relationship Id="rId17" Type="http://schemas.openxmlformats.org/officeDocument/2006/relationships/hyperlink" Target="http://www.sec.gov/Archives/edgar/data/3197/000156459020029431/cece-ex101_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2020-06-17T08:58:48Z</dcterms:created>
  <dcterms:modified xsi:type="dcterms:W3CDTF">2020-06-17T08:58:48Z</dcterms:modified>
</cp:coreProperties>
</file>