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June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139700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3600" w:type="dxa"/>
            <w:vAlign w:val="bottom"/>
          </w:tcPr>
          <w:p>
            <w:pPr>
              <w:jc w:val="center"/>
              <w:ind w:right="1878"/>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jc w:val="center"/>
              <w:ind w:right="362"/>
              <w:spacing w:after="0"/>
              <w:rPr>
                <w:sz w:val="20"/>
                <w:szCs w:val="20"/>
                <w:color w:val="auto"/>
              </w:rPr>
            </w:pPr>
            <w:r>
              <w:rPr>
                <w:rFonts w:ascii="Arial" w:cs="Arial" w:eastAsia="Arial" w:hAnsi="Arial"/>
                <w:sz w:val="18"/>
                <w:szCs w:val="18"/>
                <w:b w:val="1"/>
                <w:bCs w:val="1"/>
                <w:color w:val="auto"/>
                <w:w w:val="89"/>
              </w:rPr>
              <w:t>000-7099</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13-2566064</w:t>
            </w:r>
          </w:p>
        </w:tc>
      </w:tr>
      <w:tr>
        <w:trPr>
          <w:trHeight w:val="153"/>
        </w:trPr>
        <w:tc>
          <w:tcPr>
            <w:tcW w:w="3600" w:type="dxa"/>
            <w:vAlign w:val="bottom"/>
          </w:tcPr>
          <w:p>
            <w:pPr>
              <w:jc w:val="center"/>
              <w:ind w:right="1878"/>
              <w:spacing w:after="0" w:line="153"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jc w:val="center"/>
              <w:ind w:right="362"/>
              <w:spacing w:after="0" w:line="153" w:lineRule="exact"/>
              <w:rPr>
                <w:sz w:val="20"/>
                <w:szCs w:val="20"/>
                <w:color w:val="auto"/>
              </w:rPr>
            </w:pPr>
            <w:r>
              <w:rPr>
                <w:rFonts w:ascii="Arial" w:cs="Arial" w:eastAsia="Arial" w:hAnsi="Arial"/>
                <w:sz w:val="14"/>
                <w:szCs w:val="14"/>
                <w:b w:val="1"/>
                <w:bCs w:val="1"/>
                <w:color w:val="auto"/>
                <w:w w:val="90"/>
              </w:rPr>
              <w:t>(Commission</w:t>
            </w:r>
          </w:p>
        </w:tc>
        <w:tc>
          <w:tcPr>
            <w:tcW w:w="2920" w:type="dxa"/>
            <w:vAlign w:val="bottom"/>
          </w:tcPr>
          <w:p>
            <w:pPr>
              <w:jc w:val="center"/>
              <w:ind w:left="170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00" w:type="dxa"/>
            <w:vAlign w:val="bottom"/>
          </w:tcPr>
          <w:p>
            <w:pPr>
              <w:jc w:val="center"/>
              <w:ind w:right="1878"/>
              <w:spacing w:after="0"/>
              <w:rPr>
                <w:sz w:val="20"/>
                <w:szCs w:val="20"/>
                <w:color w:val="auto"/>
              </w:rPr>
            </w:pPr>
            <w:r>
              <w:rPr>
                <w:rFonts w:ascii="Arial" w:cs="Arial" w:eastAsia="Arial" w:hAnsi="Arial"/>
                <w:sz w:val="14"/>
                <w:szCs w:val="14"/>
                <w:b w:val="1"/>
                <w:bCs w:val="1"/>
                <w:color w:val="auto"/>
                <w:w w:val="92"/>
              </w:rPr>
              <w:t>of incorporation)</w:t>
            </w:r>
          </w:p>
        </w:tc>
        <w:tc>
          <w:tcPr>
            <w:tcW w:w="2520" w:type="dxa"/>
            <w:vAlign w:val="bottom"/>
          </w:tcPr>
          <w:p>
            <w:pPr>
              <w:jc w:val="center"/>
              <w:ind w:right="342"/>
              <w:spacing w:after="0"/>
              <w:rPr>
                <w:sz w:val="20"/>
                <w:szCs w:val="20"/>
                <w:color w:val="auto"/>
              </w:rPr>
            </w:pPr>
            <w:r>
              <w:rPr>
                <w:rFonts w:ascii="Arial" w:cs="Arial" w:eastAsia="Arial" w:hAnsi="Arial"/>
                <w:sz w:val="14"/>
                <w:szCs w:val="14"/>
                <w:b w:val="1"/>
                <w:bCs w:val="1"/>
                <w:color w:val="auto"/>
                <w:w w:val="95"/>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53"/>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14651 North Dallas Parkway</w:t>
            </w:r>
          </w:p>
        </w:tc>
        <w:tc>
          <w:tcPr>
            <w:tcW w:w="25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Suite 500</w:t>
            </w:r>
          </w:p>
        </w:tc>
        <w:tc>
          <w:tcPr>
            <w:tcW w:w="25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61"/>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Dallas, TX</w:t>
            </w:r>
          </w:p>
        </w:tc>
        <w:tc>
          <w:tcPr>
            <w:tcW w:w="2520" w:type="dxa"/>
            <w:vAlign w:val="bottom"/>
          </w:tcPr>
          <w:p>
            <w:pPr>
              <w:spacing w:after="0"/>
              <w:rPr>
                <w:sz w:val="22"/>
                <w:szCs w:val="22"/>
                <w:color w:val="auto"/>
              </w:rPr>
            </w:pPr>
          </w:p>
        </w:tc>
        <w:tc>
          <w:tcPr>
            <w:tcW w:w="2920" w:type="dxa"/>
            <w:vAlign w:val="bottom"/>
          </w:tcPr>
          <w:p>
            <w:pPr>
              <w:jc w:val="right"/>
              <w:ind w:right="1221"/>
              <w:spacing w:after="0"/>
              <w:rPr>
                <w:sz w:val="20"/>
                <w:szCs w:val="20"/>
                <w:color w:val="auto"/>
              </w:rPr>
            </w:pPr>
            <w:r>
              <w:rPr>
                <w:rFonts w:ascii="Arial" w:cs="Arial" w:eastAsia="Arial" w:hAnsi="Arial"/>
                <w:sz w:val="18"/>
                <w:szCs w:val="18"/>
                <w:b w:val="1"/>
                <w:bCs w:val="1"/>
                <w:color w:val="auto"/>
              </w:rPr>
              <w:t>75254</w:t>
            </w:r>
          </w:p>
        </w:tc>
      </w:tr>
      <w:tr>
        <w:trPr>
          <w:trHeight w:val="190"/>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92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180" w:hanging="3552"/>
        <w:spacing w:after="0" w:line="447" w:lineRule="auto"/>
        <w:tabs>
          <w:tab w:leader="none" w:pos="88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47"/>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5.07 Submission of Matters to a Vote of Security Holders.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June 5, 2023, CECO Environmental Corp. (the "Company") held its 2023 annual meeting of stockholders (the "Annual Meeting"). At the Annual Meeting, the Company's stockholders: (1) elected each of the seven director nominees listed below to serve as a director of the Company for a term that will continue until the next annual meeting of stockholders and until his or her successor is elected and duly qualified; (2) approved, on an advisory basis, the Company’s named executive officer compensation; and (3) ratified the appointment of BDO USA, LLP as the Company’s independent registered public accounting firm for fiscal 2023. The voting results at the Annual Meeting with respect to each of the matters described above were as follows:</w:t>
      </w:r>
    </w:p>
    <w:p>
      <w:pPr>
        <w:spacing w:after="0" w:line="161"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seven director nominees named in the proxy statement and standing for election were elected based upon the following votes: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 NOMINEE</w:t>
            </w:r>
          </w:p>
        </w:tc>
        <w:tc>
          <w:tcPr>
            <w:tcW w:w="360" w:type="dxa"/>
            <w:vAlign w:val="bottom"/>
          </w:tcPr>
          <w:p>
            <w:pPr>
              <w:spacing w:after="0"/>
              <w:rPr>
                <w:sz w:val="16"/>
                <w:szCs w:val="16"/>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FOR</w:t>
            </w:r>
          </w:p>
        </w:tc>
        <w:tc>
          <w:tcPr>
            <w:tcW w:w="480" w:type="dxa"/>
            <w:vAlign w:val="bottom"/>
          </w:tcPr>
          <w:p>
            <w:pPr>
              <w:spacing w:after="0"/>
              <w:rPr>
                <w:sz w:val="16"/>
                <w:szCs w:val="16"/>
                <w:color w:val="auto"/>
              </w:rPr>
            </w:pPr>
          </w:p>
        </w:tc>
        <w:tc>
          <w:tcPr>
            <w:tcW w:w="17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AGAINST</w:t>
            </w:r>
          </w:p>
        </w:tc>
        <w:tc>
          <w:tcPr>
            <w:tcW w:w="480" w:type="dxa"/>
            <w:vAlign w:val="bottom"/>
          </w:tcPr>
          <w:p>
            <w:pPr>
              <w:spacing w:after="0"/>
              <w:rPr>
                <w:sz w:val="16"/>
                <w:szCs w:val="16"/>
                <w:color w:val="auto"/>
              </w:rPr>
            </w:pP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ABSTAIN</w:t>
            </w:r>
          </w:p>
        </w:tc>
        <w:tc>
          <w:tcPr>
            <w:tcW w:w="500" w:type="dxa"/>
            <w:vAlign w:val="bottom"/>
          </w:tcPr>
          <w:p>
            <w:pPr>
              <w:spacing w:after="0"/>
              <w:rPr>
                <w:sz w:val="16"/>
                <w:szCs w:val="16"/>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BROKER NON-VOTES</w:t>
            </w:r>
          </w:p>
        </w:tc>
        <w:tc>
          <w:tcPr>
            <w:tcW w:w="140" w:type="dxa"/>
            <w:vAlign w:val="bottom"/>
          </w:tcPr>
          <w:p>
            <w:pPr>
              <w:spacing w:after="0"/>
              <w:rPr>
                <w:sz w:val="16"/>
                <w:szCs w:val="16"/>
                <w:color w:val="auto"/>
              </w:rPr>
            </w:pPr>
          </w:p>
        </w:tc>
      </w:tr>
      <w:tr>
        <w:trPr>
          <w:trHeight w:val="237"/>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Jason DeZwirek</w:t>
            </w:r>
          </w:p>
        </w:tc>
        <w:tc>
          <w:tcPr>
            <w:tcW w:w="36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23,361,539</w:t>
            </w:r>
          </w:p>
        </w:tc>
        <w:tc>
          <w:tcPr>
            <w:tcW w:w="48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358,922</w:t>
            </w:r>
          </w:p>
        </w:tc>
        <w:tc>
          <w:tcPr>
            <w:tcW w:w="48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28,583</w:t>
            </w:r>
          </w:p>
        </w:tc>
        <w:tc>
          <w:tcPr>
            <w:tcW w:w="50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4,393,458</w:t>
            </w:r>
          </w:p>
        </w:tc>
        <w:tc>
          <w:tcPr>
            <w:tcW w:w="140" w:type="dxa"/>
            <w:vAlign w:val="bottom"/>
            <w:shd w:val="clear" w:color="auto" w:fill="CFF0FC"/>
          </w:tcPr>
          <w:p>
            <w:pPr>
              <w:spacing w:after="0"/>
              <w:rPr>
                <w:sz w:val="20"/>
                <w:szCs w:val="20"/>
                <w:color w:val="auto"/>
              </w:rPr>
            </w:pPr>
          </w:p>
        </w:tc>
      </w:tr>
      <w:tr>
        <w:trPr>
          <w:trHeight w:val="237"/>
        </w:trPr>
        <w:tc>
          <w:tcPr>
            <w:tcW w:w="2440" w:type="dxa"/>
            <w:vAlign w:val="bottom"/>
          </w:tcPr>
          <w:p>
            <w:pPr>
              <w:ind w:left="20"/>
              <w:spacing w:after="0"/>
              <w:rPr>
                <w:sz w:val="20"/>
                <w:szCs w:val="20"/>
                <w:color w:val="auto"/>
              </w:rPr>
            </w:pPr>
            <w:r>
              <w:rPr>
                <w:rFonts w:ascii="Arial" w:cs="Arial" w:eastAsia="Arial" w:hAnsi="Arial"/>
                <w:sz w:val="18"/>
                <w:szCs w:val="18"/>
                <w:color w:val="auto"/>
              </w:rPr>
              <w:t>Todd Gleason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23,469,440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261,519</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18,085</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4,393,458</w:t>
            </w:r>
          </w:p>
        </w:tc>
        <w:tc>
          <w:tcPr>
            <w:tcW w:w="140" w:type="dxa"/>
            <w:vAlign w:val="bottom"/>
          </w:tcPr>
          <w:p>
            <w:pPr>
              <w:spacing w:after="0"/>
              <w:rPr>
                <w:sz w:val="20"/>
                <w:szCs w:val="20"/>
                <w:color w:val="auto"/>
              </w:rPr>
            </w:pP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Robert E. Knowling, Jr.</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23,614,935</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115,851</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4,393,458</w:t>
            </w:r>
          </w:p>
        </w:tc>
        <w:tc>
          <w:tcPr>
            <w:tcW w:w="140" w:type="dxa"/>
            <w:vAlign w:val="bottom"/>
            <w:shd w:val="clear" w:color="auto" w:fill="CFF0FC"/>
          </w:tcPr>
          <w:p>
            <w:pPr>
              <w:spacing w:after="0"/>
              <w:rPr>
                <w:sz w:val="21"/>
                <w:szCs w:val="21"/>
                <w:color w:val="auto"/>
              </w:rPr>
            </w:pPr>
          </w:p>
        </w:tc>
      </w:tr>
      <w:tr>
        <w:trPr>
          <w:trHeight w:val="237"/>
        </w:trPr>
        <w:tc>
          <w:tcPr>
            <w:tcW w:w="2440" w:type="dxa"/>
            <w:vAlign w:val="bottom"/>
          </w:tcPr>
          <w:p>
            <w:pPr>
              <w:ind w:left="20"/>
              <w:spacing w:after="0"/>
              <w:rPr>
                <w:sz w:val="20"/>
                <w:szCs w:val="20"/>
                <w:color w:val="auto"/>
              </w:rPr>
            </w:pPr>
            <w:r>
              <w:rPr>
                <w:rFonts w:ascii="Arial" w:cs="Arial" w:eastAsia="Arial" w:hAnsi="Arial"/>
                <w:sz w:val="18"/>
                <w:szCs w:val="18"/>
                <w:color w:val="auto"/>
              </w:rPr>
              <w:t>Claudio A. Mannarino</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22,106,554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1,621,065</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21,425</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4,393,458</w:t>
            </w:r>
          </w:p>
        </w:tc>
        <w:tc>
          <w:tcPr>
            <w:tcW w:w="140" w:type="dxa"/>
            <w:vAlign w:val="bottom"/>
          </w:tcPr>
          <w:p>
            <w:pPr>
              <w:spacing w:after="0"/>
              <w:rPr>
                <w:sz w:val="20"/>
                <w:szCs w:val="20"/>
                <w:color w:val="auto"/>
              </w:rPr>
            </w:pP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Munish Nanda</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23,542,091</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188,051</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18,902</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4,393,458</w:t>
            </w:r>
          </w:p>
        </w:tc>
        <w:tc>
          <w:tcPr>
            <w:tcW w:w="140" w:type="dxa"/>
            <w:vAlign w:val="bottom"/>
            <w:shd w:val="clear" w:color="auto" w:fill="CFF0FC"/>
          </w:tcPr>
          <w:p>
            <w:pPr>
              <w:spacing w:after="0"/>
              <w:rPr>
                <w:sz w:val="21"/>
                <w:szCs w:val="21"/>
                <w:color w:val="auto"/>
              </w:rPr>
            </w:pPr>
          </w:p>
        </w:tc>
      </w:tr>
      <w:tr>
        <w:trPr>
          <w:trHeight w:val="237"/>
        </w:trPr>
        <w:tc>
          <w:tcPr>
            <w:tcW w:w="2440" w:type="dxa"/>
            <w:vAlign w:val="bottom"/>
          </w:tcPr>
          <w:p>
            <w:pPr>
              <w:ind w:left="20"/>
              <w:spacing w:after="0"/>
              <w:rPr>
                <w:sz w:val="20"/>
                <w:szCs w:val="20"/>
                <w:color w:val="auto"/>
              </w:rPr>
            </w:pPr>
            <w:r>
              <w:rPr>
                <w:rFonts w:ascii="Arial" w:cs="Arial" w:eastAsia="Arial" w:hAnsi="Arial"/>
                <w:sz w:val="18"/>
                <w:szCs w:val="18"/>
                <w:color w:val="auto"/>
              </w:rPr>
              <w:t>Valerie Gentile Sachs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23,338,253</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390,244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20,547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4,393,458</w:t>
            </w:r>
          </w:p>
        </w:tc>
        <w:tc>
          <w:tcPr>
            <w:tcW w:w="140" w:type="dxa"/>
            <w:vAlign w:val="bottom"/>
          </w:tcPr>
          <w:p>
            <w:pPr>
              <w:spacing w:after="0"/>
              <w:rPr>
                <w:sz w:val="20"/>
                <w:szCs w:val="20"/>
                <w:color w:val="auto"/>
              </w:rPr>
            </w:pPr>
          </w:p>
        </w:tc>
      </w:tr>
      <w:tr>
        <w:trPr>
          <w:trHeight w:val="249"/>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Richard F. Wallman</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23,358,594</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371,324</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19,126</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4,393,458</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named executive officer compensation was approved on an advisory basis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FOR</w:t>
            </w:r>
          </w:p>
        </w:tc>
        <w:tc>
          <w:tcPr>
            <w:tcW w:w="620" w:type="dxa"/>
            <w:vAlign w:val="bottom"/>
          </w:tcPr>
          <w:p>
            <w:pPr>
              <w:spacing w:after="0"/>
              <w:rPr>
                <w:sz w:val="16"/>
                <w:szCs w:val="16"/>
                <w:color w:val="auto"/>
              </w:rPr>
            </w:pPr>
          </w:p>
        </w:tc>
        <w:tc>
          <w:tcPr>
            <w:tcW w:w="23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spacing w:after="0"/>
              <w:rPr>
                <w:sz w:val="16"/>
                <w:szCs w:val="16"/>
                <w:color w:val="auto"/>
              </w:rPr>
            </w:pPr>
          </w:p>
        </w:tc>
        <w:tc>
          <w:tcPr>
            <w:tcW w:w="23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ABSTAIN</w:t>
            </w:r>
          </w:p>
        </w:tc>
        <w:tc>
          <w:tcPr>
            <w:tcW w:w="620" w:type="dxa"/>
            <w:vAlign w:val="bottom"/>
          </w:tcPr>
          <w:p>
            <w:pPr>
              <w:spacing w:after="0"/>
              <w:rPr>
                <w:sz w:val="16"/>
                <w:szCs w:val="16"/>
                <w:color w:val="auto"/>
              </w:rPr>
            </w:pPr>
          </w:p>
        </w:tc>
        <w:tc>
          <w:tcPr>
            <w:tcW w:w="23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BROKER NON-VOTES</w:t>
            </w:r>
          </w:p>
        </w:tc>
        <w:tc>
          <w:tcPr>
            <w:tcW w:w="140" w:type="dxa"/>
            <w:vAlign w:val="bottom"/>
          </w:tcPr>
          <w:p>
            <w:pPr>
              <w:spacing w:after="0"/>
              <w:rPr>
                <w:sz w:val="16"/>
                <w:szCs w:val="16"/>
                <w:color w:val="auto"/>
              </w:rPr>
            </w:pPr>
          </w:p>
        </w:tc>
      </w:tr>
      <w:tr>
        <w:trPr>
          <w:trHeight w:val="237"/>
        </w:trPr>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23,365,770</w:t>
            </w:r>
          </w:p>
        </w:tc>
        <w:tc>
          <w:tcPr>
            <w:tcW w:w="620" w:type="dxa"/>
            <w:vAlign w:val="bottom"/>
            <w:shd w:val="clear" w:color="auto" w:fill="CFF0FC"/>
          </w:tcPr>
          <w:p>
            <w:pPr>
              <w:spacing w:after="0"/>
              <w:rPr>
                <w:sz w:val="20"/>
                <w:szCs w:val="20"/>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306,260</w:t>
            </w:r>
          </w:p>
        </w:tc>
        <w:tc>
          <w:tcPr>
            <w:tcW w:w="620" w:type="dxa"/>
            <w:vAlign w:val="bottom"/>
            <w:shd w:val="clear" w:color="auto" w:fill="CFF0FC"/>
          </w:tcPr>
          <w:p>
            <w:pPr>
              <w:spacing w:after="0"/>
              <w:rPr>
                <w:sz w:val="20"/>
                <w:szCs w:val="20"/>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77,014</w:t>
            </w:r>
          </w:p>
        </w:tc>
        <w:tc>
          <w:tcPr>
            <w:tcW w:w="620" w:type="dxa"/>
            <w:vAlign w:val="bottom"/>
            <w:shd w:val="clear" w:color="auto" w:fill="CFF0FC"/>
          </w:tcPr>
          <w:p>
            <w:pPr>
              <w:spacing w:after="0"/>
              <w:rPr>
                <w:sz w:val="20"/>
                <w:szCs w:val="20"/>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4,393,458</w:t>
            </w:r>
          </w:p>
        </w:tc>
        <w:tc>
          <w:tcPr>
            <w:tcW w:w="14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appointment of BDO USA, LLP as the Company’s independent registered public accounting firm for fiscal 2023 was ratified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w:t>
            </w:r>
          </w:p>
        </w:tc>
        <w:tc>
          <w:tcPr>
            <w:tcW w:w="700" w:type="dxa"/>
            <w:vAlign w:val="bottom"/>
          </w:tcPr>
          <w:p>
            <w:pPr>
              <w:spacing w:after="0"/>
              <w:rPr>
                <w:sz w:val="16"/>
                <w:szCs w:val="16"/>
                <w:color w:val="auto"/>
              </w:rPr>
            </w:pPr>
          </w:p>
        </w:tc>
        <w:tc>
          <w:tcPr>
            <w:tcW w:w="3940" w:type="dxa"/>
            <w:vAlign w:val="bottom"/>
            <w:gridSpan w:val="2"/>
          </w:tcPr>
          <w:p>
            <w:pPr>
              <w:ind w:left="1280"/>
              <w:spacing w:after="0"/>
              <w:rPr>
                <w:sz w:val="20"/>
                <w:szCs w:val="20"/>
                <w:color w:val="auto"/>
              </w:rPr>
            </w:pPr>
            <w:r>
              <w:rPr>
                <w:rFonts w:ascii="Arial" w:cs="Arial" w:eastAsia="Arial" w:hAnsi="Arial"/>
                <w:sz w:val="14"/>
                <w:szCs w:val="14"/>
                <w:b w:val="1"/>
                <w:bCs w:val="1"/>
                <w:color w:val="auto"/>
              </w:rPr>
              <w:t>AGAINST</w:t>
            </w:r>
          </w:p>
        </w:tc>
        <w:tc>
          <w:tcPr>
            <w:tcW w:w="3260" w:type="dxa"/>
            <w:vAlign w:val="bottom"/>
          </w:tcPr>
          <w:p>
            <w:pPr>
              <w:jc w:val="right"/>
              <w:ind w:right="1259"/>
              <w:spacing w:after="0"/>
              <w:rPr>
                <w:sz w:val="20"/>
                <w:szCs w:val="20"/>
                <w:color w:val="auto"/>
              </w:rPr>
            </w:pPr>
            <w:r>
              <w:rPr>
                <w:rFonts w:ascii="Arial" w:cs="Arial" w:eastAsia="Arial" w:hAnsi="Arial"/>
                <w:sz w:val="14"/>
                <w:szCs w:val="14"/>
                <w:b w:val="1"/>
                <w:bCs w:val="1"/>
                <w:color w:val="auto"/>
              </w:rPr>
              <w:t>ABSTAIN</w:t>
            </w:r>
          </w:p>
        </w:tc>
        <w:tc>
          <w:tcPr>
            <w:tcW w:w="100" w:type="dxa"/>
            <w:vAlign w:val="bottom"/>
          </w:tcPr>
          <w:p>
            <w:pPr>
              <w:spacing w:after="0"/>
              <w:rPr>
                <w:sz w:val="16"/>
                <w:szCs w:val="16"/>
                <w:color w:val="auto"/>
              </w:rPr>
            </w:pPr>
          </w:p>
        </w:tc>
      </w:tr>
      <w:tr>
        <w:trPr>
          <w:trHeight w:val="236"/>
        </w:trPr>
        <w:tc>
          <w:tcPr>
            <w:tcW w:w="10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27,944,482</w:t>
            </w:r>
          </w:p>
        </w:tc>
        <w:tc>
          <w:tcPr>
            <w:tcW w:w="700" w:type="dxa"/>
            <w:vAlign w:val="bottom"/>
            <w:shd w:val="clear" w:color="auto" w:fill="CFF0FC"/>
          </w:tcPr>
          <w:p>
            <w:pPr>
              <w:spacing w:after="0"/>
              <w:rPr>
                <w:sz w:val="20"/>
                <w:szCs w:val="20"/>
                <w:color w:val="auto"/>
              </w:rPr>
            </w:pPr>
          </w:p>
        </w:tc>
        <w:tc>
          <w:tcPr>
            <w:tcW w:w="3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147,440</w:t>
            </w:r>
          </w:p>
        </w:tc>
        <w:tc>
          <w:tcPr>
            <w:tcW w:w="720" w:type="dxa"/>
            <w:vAlign w:val="bottom"/>
            <w:shd w:val="clear" w:color="auto" w:fill="CFF0FC"/>
          </w:tcPr>
          <w:p>
            <w:pPr>
              <w:spacing w:after="0"/>
              <w:rPr>
                <w:sz w:val="20"/>
                <w:szCs w:val="20"/>
                <w:color w:val="auto"/>
              </w:rPr>
            </w:pPr>
          </w:p>
        </w:tc>
        <w:tc>
          <w:tcPr>
            <w:tcW w:w="32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50,580</w:t>
            </w:r>
          </w:p>
        </w:tc>
        <w:tc>
          <w:tcPr>
            <w:tcW w:w="100" w:type="dxa"/>
            <w:vAlign w:val="bottom"/>
            <w:shd w:val="clear" w:color="auto" w:fill="CFF0FC"/>
          </w:tcPr>
          <w:p>
            <w:pPr>
              <w:spacing w:after="0"/>
              <w:rPr>
                <w:sz w:val="20"/>
                <w:szCs w:val="20"/>
                <w:color w:val="auto"/>
              </w:rPr>
            </w:pPr>
          </w:p>
        </w:tc>
      </w:tr>
      <w:tr>
        <w:trPr>
          <w:trHeight w:val="648"/>
        </w:trPr>
        <w:tc>
          <w:tcPr>
            <w:tcW w:w="3240" w:type="dxa"/>
            <w:vAlign w:val="bottom"/>
            <w:gridSpan w:val="4"/>
          </w:tcPr>
          <w:p>
            <w:pPr>
              <w:spacing w:after="0"/>
              <w:rPr>
                <w:sz w:val="20"/>
                <w:szCs w:val="20"/>
                <w:color w:val="auto"/>
              </w:rPr>
            </w:pPr>
            <w:r>
              <w:rPr>
                <w:rFonts w:ascii="Arial" w:cs="Arial" w:eastAsia="Arial" w:hAnsi="Arial"/>
                <w:sz w:val="18"/>
                <w:szCs w:val="18"/>
                <w:b w:val="1"/>
                <w:bCs w:val="1"/>
                <w:color w:val="auto"/>
                <w:w w:val="94"/>
              </w:rPr>
              <w:t>9.01. Financial Statements and Exhibits.</w:t>
            </w: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Description</w:t>
            </w: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gridSpan w:val="4"/>
            <w:shd w:val="clear" w:color="auto" w:fill="000000"/>
          </w:tcPr>
          <w:p>
            <w:pPr>
              <w:spacing w:after="0" w:line="20" w:lineRule="exact"/>
              <w:rPr>
                <w:sz w:val="1"/>
                <w:szCs w:val="1"/>
                <w:color w:val="auto"/>
              </w:rPr>
            </w:pPr>
          </w:p>
        </w:tc>
        <w:tc>
          <w:tcPr>
            <w:tcW w:w="3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6"/>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6540" w:type="dxa"/>
            <w:vAlign w:val="bottom"/>
            <w:gridSpan w:val="5"/>
          </w:tcPr>
          <w:p>
            <w:pPr>
              <w:ind w:left="20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76"/>
        </w:trPr>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6"/>
          <w:szCs w:val="16"/>
          <w:color w:val="auto"/>
        </w:rPr>
        <w:t>CECO Environmental Corp.</w:t>
      </w:r>
    </w:p>
    <w:p>
      <w:pPr>
        <w:spacing w:after="0" w:line="279" w:lineRule="exact"/>
        <w:rPr>
          <w:sz w:val="20"/>
          <w:szCs w:val="20"/>
          <w:color w:val="auto"/>
        </w:rPr>
      </w:pPr>
    </w:p>
    <w:p>
      <w:pPr>
        <w:ind w:left="6740"/>
        <w:spacing w:after="0"/>
        <w:tabs>
          <w:tab w:leader="none" w:pos="7220" w:val="left"/>
        </w:tabs>
        <w:rPr>
          <w:sz w:val="20"/>
          <w:szCs w:val="20"/>
          <w:color w:val="auto"/>
        </w:rPr>
      </w:pPr>
      <w:r>
        <w:rPr>
          <w:rFonts w:ascii="Arial" w:cs="Arial" w:eastAsia="Arial" w:hAnsi="Arial"/>
          <w:sz w:val="18"/>
          <w:szCs w:val="18"/>
          <w:color w:val="auto"/>
        </w:rPr>
        <w:t>By:</w:t>
        <w:tab/>
        <w:t>/s/ Paul M.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23495</wp:posOffset>
            </wp:positionV>
            <wp:extent cx="2546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M. Gohr</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2023-06-07T14:03:54Z</dcterms:created>
  <dcterms:modified xsi:type="dcterms:W3CDTF">2023-06-07T14:03:54Z</dcterms:modified>
</cp:coreProperties>
</file>