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CECO ENVIRONMENTAL CORP.</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3120 Forrer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Cincinnati, Ohio 45209</w:t>
      </w:r>
    </w:p>
    <w:p>
      <w:pPr>
        <w:spacing w:after="0" w:line="151"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April 19, 2005</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Mr. Rufus Decker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CECO Environmental Corp. Item 4.02 Form 8-K</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February 8, 2005</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0-7099</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Dear Mr. Decker</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have received your letter dated April 12, 2005.</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following responses to the comments you provided are keyed to your letter dated April 12, 2005:</w:t>
      </w:r>
    </w:p>
    <w:p>
      <w:pPr>
        <w:spacing w:after="0" w:line="77" w:lineRule="exact"/>
        <w:rPr>
          <w:sz w:val="24"/>
          <w:szCs w:val="24"/>
          <w:color w:val="auto"/>
        </w:rPr>
      </w:pPr>
    </w:p>
    <w:p>
      <w:pPr>
        <w:ind w:left="460" w:right="80" w:hanging="452"/>
        <w:spacing w:after="0" w:line="34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Comment: </w:t>
      </w:r>
      <w:r>
        <w:rPr>
          <w:rFonts w:ascii="Arial" w:cs="Arial" w:eastAsia="Arial" w:hAnsi="Arial"/>
          <w:sz w:val="15"/>
          <w:szCs w:val="15"/>
          <w:color w:val="auto"/>
        </w:rPr>
        <w:t>You have disclosed that you intend to file restated financial statements. However, you have not indicated how or when you intend to do 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Please tell us how and when you intend to file restated financial statements. We may have further comments after you file the restated financial statements.</w:t>
      </w:r>
    </w:p>
    <w:p>
      <w:pPr>
        <w:ind w:left="460"/>
        <w:spacing w:after="0" w:line="256" w:lineRule="auto"/>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CECO Environmental Corp. (the “Company”) filed restated financial statements in a Form 10-K/A for the fiscal year ended 2003, a Form 10-Q/A for the quarter ended March 31, 2004, a Form 10-Q/A for the quarter ended June 30, 2004, and a Form 10-Q/A for the quarter ended September 30, 2004. These amendments were filed on EDGAR on April 15, 2005, immediately preceding the filing of the Company’s Form 10-K for the fiscal year ended December 31, 2004.</w:t>
      </w:r>
    </w:p>
    <w:p>
      <w:pPr>
        <w:spacing w:after="0" w:line="48" w:lineRule="exact"/>
        <w:rPr>
          <w:rFonts w:ascii="Arial" w:cs="Arial" w:eastAsia="Arial" w:hAnsi="Arial"/>
          <w:sz w:val="15"/>
          <w:szCs w:val="15"/>
          <w:color w:val="auto"/>
        </w:rPr>
      </w:pPr>
    </w:p>
    <w:p>
      <w:pPr>
        <w:ind w:left="460" w:right="60" w:hanging="452"/>
        <w:spacing w:after="0" w:line="25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Comment: </w:t>
      </w:r>
      <w:r>
        <w:rPr>
          <w:rFonts w:ascii="Arial" w:cs="Arial" w:eastAsia="Arial" w:hAnsi="Arial"/>
          <w:sz w:val="18"/>
          <w:szCs w:val="18"/>
          <w:color w:val="auto"/>
        </w:rPr>
        <w:t>Please tell us if your certifying officers have reconsidered the effect on the adequacy of your disclosure controls and procedures as of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covered by your Form 10-K for the period ended December 31, 2003 and your Forms 10-Q for the periods ended March 31, 2004, June 30, 2004, and September 30, 2004 in light of the material error you have disclosed. Additionally, tell us what affect the error had on your current evaluation of disclosure controls and procedures as of the year ended December 31, 2004.</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40"/>
        <w:spacing w:after="0" w:line="332" w:lineRule="auto"/>
        <w:rPr>
          <w:sz w:val="20"/>
          <w:szCs w:val="20"/>
          <w:color w:val="auto"/>
        </w:rPr>
      </w:pPr>
      <w:r>
        <w:rPr>
          <w:rFonts w:ascii="Arial" w:cs="Arial" w:eastAsia="Arial" w:hAnsi="Arial"/>
          <w:sz w:val="16"/>
          <w:szCs w:val="16"/>
          <w:b w:val="1"/>
          <w:bCs w:val="1"/>
          <w:i w:val="1"/>
          <w:iCs w:val="1"/>
          <w:color w:val="auto"/>
        </w:rPr>
        <w:t xml:space="preserve">Response: </w:t>
      </w:r>
      <w:r>
        <w:rPr>
          <w:rFonts w:ascii="Arial" w:cs="Arial" w:eastAsia="Arial" w:hAnsi="Arial"/>
          <w:sz w:val="16"/>
          <w:szCs w:val="16"/>
          <w:color w:val="auto"/>
        </w:rPr>
        <w:t>The Company’s certifying officers reconsidered the effect on the adequacy of the Company’s disclosure controls for the time periods covered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reports. The following was disclosed in Item 9A of the 10-K/A for the fiscal year ended December 31, 2003: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58" w:lineRule="exact"/>
        <w:rPr>
          <w:sz w:val="20"/>
          <w:szCs w:val="20"/>
          <w:color w:val="auto"/>
        </w:rPr>
      </w:pPr>
    </w:p>
    <w:p>
      <w:pPr>
        <w:ind w:left="900" w:right="120" w:firstLine="420"/>
        <w:spacing w:after="0" w:line="289"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December 31, 2003. The Company’s 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that evaluation, the Chief Executive Officer and Chief Financial Officer concluded that the Company’s disclosure controls and procedures were not effective as of December 31, 2003 for the reasons described below.</w:t>
      </w:r>
    </w:p>
    <w:p>
      <w:pPr>
        <w:spacing w:after="0" w:line="24" w:lineRule="exact"/>
        <w:rPr>
          <w:sz w:val="20"/>
          <w:szCs w:val="20"/>
          <w:color w:val="auto"/>
        </w:rPr>
      </w:pPr>
    </w:p>
    <w:p>
      <w:pPr>
        <w:ind w:left="900" w:right="100" w:firstLine="420"/>
        <w:spacing w:after="0" w:line="289" w:lineRule="auto"/>
        <w:rPr>
          <w:sz w:val="20"/>
          <w:szCs w:val="20"/>
          <w:color w:val="auto"/>
        </w:rPr>
      </w:pPr>
      <w:r>
        <w:rPr>
          <w:rFonts w:ascii="Arial" w:cs="Arial" w:eastAsia="Arial" w:hAnsi="Arial"/>
          <w:sz w:val="16"/>
          <w:szCs w:val="16"/>
          <w:color w:val="auto"/>
        </w:rPr>
        <w:t>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is reflected in this Annual Report on Form 10-K/A for the year ended December 31, 2003, and for the three quarters of 2004, which are reflected in Quarterly Reports on Form 10-Q/A for the relevant periods.</w:t>
      </w:r>
    </w:p>
    <w:p>
      <w:pPr>
        <w:spacing w:after="0" w:line="24" w:lineRule="exact"/>
        <w:rPr>
          <w:sz w:val="20"/>
          <w:szCs w:val="20"/>
          <w:color w:val="auto"/>
        </w:rPr>
      </w:pPr>
    </w:p>
    <w:p>
      <w:pPr>
        <w:ind w:left="900" w:right="40" w:firstLine="420"/>
        <w:spacing w:after="0" w:line="268" w:lineRule="auto"/>
        <w:rPr>
          <w:sz w:val="20"/>
          <w:szCs w:val="20"/>
          <w:color w:val="auto"/>
        </w:rPr>
      </w:pPr>
      <w:r>
        <w:rPr>
          <w:rFonts w:ascii="Arial" w:cs="Arial" w:eastAsia="Arial" w:hAnsi="Arial"/>
          <w:sz w:val="18"/>
          <w:szCs w:val="18"/>
          <w:color w:val="auto"/>
        </w:rPr>
        <w:t>After evaluating the nature of the deficiency and the resulting restatement, the Company’s Chief Executive Officer and Chief Financial Officer concluded</w:t>
      </w:r>
    </w:p>
    <w:p>
      <w:pPr>
        <w:sectPr>
          <w:pgSz w:w="11900" w:h="16838" w:orient="portrait"/>
          <w:cols w:equalWidth="0" w:num="1">
            <w:col w:w="11380"/>
          </w:cols>
          <w:pgMar w:left="26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that a material weakness existed in the Company’s internal control over financial reporting at December 31, 2003.</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58" w:lineRule="exact"/>
        <w:rPr>
          <w:sz w:val="20"/>
          <w:szCs w:val="20"/>
          <w:color w:val="auto"/>
        </w:rPr>
      </w:pPr>
    </w:p>
    <w:p>
      <w:pPr>
        <w:ind w:left="900" w:right="380" w:firstLine="420"/>
        <w:spacing w:after="0" w:line="268" w:lineRule="auto"/>
        <w:rPr>
          <w:sz w:val="20"/>
          <w:szCs w:val="20"/>
          <w:color w:val="auto"/>
        </w:rPr>
      </w:pPr>
      <w:r>
        <w:rPr>
          <w:rFonts w:ascii="Arial" w:cs="Arial" w:eastAsia="Arial" w:hAnsi="Arial"/>
          <w:sz w:val="18"/>
          <w:szCs w:val="18"/>
          <w:color w:val="auto"/>
        </w:rPr>
        <w:t>During the fourth quarter of fiscal 2003, there were no significant changes in the Company’s internal control over financial reporting that materially affected or were reasonably likely to materially affect internal control over financial reporting.</w:t>
      </w:r>
    </w:p>
    <w:p>
      <w:pPr>
        <w:spacing w:after="0" w:line="37" w:lineRule="exact"/>
        <w:rPr>
          <w:sz w:val="20"/>
          <w:szCs w:val="20"/>
          <w:color w:val="auto"/>
        </w:rPr>
      </w:pPr>
    </w:p>
    <w:p>
      <w:pPr>
        <w:ind w:left="900" w:firstLine="420"/>
        <w:spacing w:after="0" w:line="291" w:lineRule="auto"/>
        <w:rPr>
          <w:sz w:val="20"/>
          <w:szCs w:val="20"/>
          <w:color w:val="auto"/>
        </w:rPr>
      </w:pPr>
      <w:r>
        <w:rPr>
          <w:rFonts w:ascii="Arial" w:cs="Arial" w:eastAsia="Arial" w:hAnsi="Arial"/>
          <w:sz w:val="16"/>
          <w:szCs w:val="16"/>
          <w:color w:val="auto"/>
        </w:rPr>
        <w:t>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This individual’s responsibilities included performing certain monitoring activities which detected the material misstatement.</w:t>
      </w:r>
    </w:p>
    <w:p>
      <w:pPr>
        <w:spacing w:after="0" w:line="26" w:lineRule="exact"/>
        <w:rPr>
          <w:sz w:val="20"/>
          <w:szCs w:val="20"/>
          <w:color w:val="auto"/>
        </w:rPr>
      </w:pPr>
    </w:p>
    <w:p>
      <w:pPr>
        <w:jc w:val="both"/>
        <w:ind w:left="900" w:right="120" w:firstLine="420"/>
        <w:spacing w:after="0" w:line="306" w:lineRule="auto"/>
        <w:rPr>
          <w:sz w:val="20"/>
          <w:szCs w:val="20"/>
          <w:color w:val="auto"/>
        </w:rPr>
      </w:pPr>
      <w:r>
        <w:rPr>
          <w:rFonts w:ascii="Arial" w:cs="Arial" w:eastAsia="Arial" w:hAnsi="Arial"/>
          <w:sz w:val="16"/>
          <w:szCs w:val="16"/>
          <w:color w:val="auto"/>
        </w:rPr>
        <w:t>Management has evaluated this matter relative to its current and prior internal control environment and disclosure controls and procedures. It has concluded that the material weakness that led to this error not being detected timely has been mitigated as of December 31, 2004 as a result of the additional monitoring controls that were in place as of that date, which enabled the Company to detect this error.</w:t>
      </w:r>
    </w:p>
    <w:p>
      <w:pPr>
        <w:spacing w:after="0" w:line="12" w:lineRule="exact"/>
        <w:rPr>
          <w:sz w:val="20"/>
          <w:szCs w:val="20"/>
          <w:color w:val="auto"/>
        </w:rPr>
      </w:pPr>
    </w:p>
    <w:p>
      <w:pPr>
        <w:ind w:left="440" w:right="660" w:firstLine="438"/>
        <w:spacing w:after="0" w:line="268" w:lineRule="auto"/>
        <w:rPr>
          <w:sz w:val="20"/>
          <w:szCs w:val="20"/>
          <w:color w:val="auto"/>
        </w:rPr>
      </w:pPr>
      <w:r>
        <w:rPr>
          <w:rFonts w:ascii="Arial" w:cs="Arial" w:eastAsia="Arial" w:hAnsi="Arial"/>
          <w:sz w:val="18"/>
          <w:szCs w:val="18"/>
          <w:color w:val="auto"/>
        </w:rPr>
        <w:t>Similar disclosures were made in Item 4 of the 10-Q/As for the periods ended March 31, 2004, June 30, 2004 and September 30, 2004. The following was disclosed in the 10-Q/A for the period ended September 30, 2004: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58" w:lineRule="exact"/>
        <w:rPr>
          <w:sz w:val="20"/>
          <w:szCs w:val="20"/>
          <w:color w:val="auto"/>
        </w:rPr>
      </w:pPr>
    </w:p>
    <w:p>
      <w:pPr>
        <w:ind w:left="900" w:right="80" w:firstLine="420"/>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September 30, 2004.</w:t>
      </w:r>
    </w:p>
    <w:p>
      <w:pPr>
        <w:spacing w:after="0" w:line="46" w:lineRule="exact"/>
        <w:rPr>
          <w:sz w:val="20"/>
          <w:szCs w:val="20"/>
          <w:color w:val="auto"/>
        </w:rPr>
      </w:pPr>
    </w:p>
    <w:p>
      <w:pPr>
        <w:ind w:left="900" w:right="280" w:firstLine="420"/>
        <w:spacing w:after="0" w:line="268" w:lineRule="auto"/>
        <w:rPr>
          <w:sz w:val="20"/>
          <w:szCs w:val="20"/>
          <w:color w:val="auto"/>
        </w:rPr>
      </w:pPr>
      <w:r>
        <w:rPr>
          <w:rFonts w:ascii="Arial" w:cs="Arial" w:eastAsia="Arial" w:hAnsi="Arial"/>
          <w:sz w:val="18"/>
          <w:szCs w:val="18"/>
          <w:color w:val="auto"/>
        </w:rPr>
        <w:t>The Company’s disclosure controls and procedures are designed to ensure that information required to be disclosed by the Company in the reports it files or</w:t>
      </w:r>
    </w:p>
    <w:p>
      <w:pPr>
        <w:sectPr>
          <w:pgSz w:w="11900" w:h="16838" w:orient="portrait"/>
          <w:cols w:equalWidth="0" w:num="1">
            <w:col w:w="11340"/>
          </w:cols>
          <w:pgMar w:left="260" w:top="28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900" w:right="220"/>
        <w:spacing w:after="0" w:line="298" w:lineRule="auto"/>
        <w:rPr>
          <w:sz w:val="20"/>
          <w:szCs w:val="20"/>
          <w:color w:val="auto"/>
        </w:rPr>
      </w:pPr>
      <w:r>
        <w:rPr>
          <w:rFonts w:ascii="Arial" w:cs="Arial" w:eastAsia="Arial" w:hAnsi="Arial"/>
          <w:sz w:val="16"/>
          <w:szCs w:val="16"/>
          <w:color w:val="auto"/>
        </w:rPr>
        <w:t>submits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on that evaluation, the Chief Executive Officer and Chief Financial Officer concluded that the Company’s disclosure controls and procedures were not effective as of September 30, 2004 for the reasons described below.</w:t>
      </w:r>
    </w:p>
    <w:p>
      <w:pPr>
        <w:spacing w:after="0" w:line="18" w:lineRule="exact"/>
        <w:rPr>
          <w:sz w:val="20"/>
          <w:szCs w:val="20"/>
          <w:color w:val="auto"/>
        </w:rPr>
      </w:pPr>
    </w:p>
    <w:p>
      <w:pPr>
        <w:ind w:left="900" w:right="60" w:firstLine="420"/>
        <w:spacing w:after="0" w:line="289" w:lineRule="auto"/>
        <w:rPr>
          <w:sz w:val="20"/>
          <w:szCs w:val="20"/>
          <w:color w:val="auto"/>
        </w:rPr>
      </w:pPr>
      <w:r>
        <w:rPr>
          <w:rFonts w:ascii="Arial" w:cs="Arial" w:eastAsia="Arial" w:hAnsi="Arial"/>
          <w:sz w:val="16"/>
          <w:szCs w:val="16"/>
          <w:color w:val="auto"/>
        </w:rPr>
        <w:t>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is reflected in the Annual Report on Form 10-K/A for the year ended December 31, 2003, and for the three quarters of 2004, which are reflected in Quarterly Reports on Form 10-Q/A for the relevant periods.</w:t>
      </w:r>
    </w:p>
    <w:p>
      <w:pPr>
        <w:spacing w:after="0" w:line="24" w:lineRule="exact"/>
        <w:rPr>
          <w:sz w:val="20"/>
          <w:szCs w:val="20"/>
          <w:color w:val="auto"/>
        </w:rPr>
      </w:pPr>
    </w:p>
    <w:p>
      <w:pPr>
        <w:ind w:left="900" w:firstLine="420"/>
        <w:spacing w:after="0" w:line="332" w:lineRule="auto"/>
        <w:rPr>
          <w:sz w:val="20"/>
          <w:szCs w:val="20"/>
          <w:color w:val="auto"/>
        </w:rPr>
      </w:pPr>
      <w:r>
        <w:rPr>
          <w:rFonts w:ascii="Arial" w:cs="Arial" w:eastAsia="Arial" w:hAnsi="Arial"/>
          <w:sz w:val="16"/>
          <w:szCs w:val="16"/>
          <w:color w:val="auto"/>
        </w:rPr>
        <w:t>After evaluating the nature of the deficiency and the resulting restatement, the Company’s Chief Executive Officer and Chief Financial Officer concluded that a material weakness existed in the Company’s internal control over financial reporting at September 30, 2004.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58" w:lineRule="exact"/>
        <w:rPr>
          <w:sz w:val="20"/>
          <w:szCs w:val="20"/>
          <w:color w:val="auto"/>
        </w:rPr>
      </w:pPr>
    </w:p>
    <w:p>
      <w:pPr>
        <w:ind w:left="900" w:right="480" w:firstLine="420"/>
        <w:spacing w:after="0" w:line="268" w:lineRule="auto"/>
        <w:rPr>
          <w:sz w:val="20"/>
          <w:szCs w:val="20"/>
          <w:color w:val="auto"/>
        </w:rPr>
      </w:pPr>
      <w:r>
        <w:rPr>
          <w:rFonts w:ascii="Arial" w:cs="Arial" w:eastAsia="Arial" w:hAnsi="Arial"/>
          <w:sz w:val="18"/>
          <w:szCs w:val="18"/>
          <w:color w:val="auto"/>
        </w:rPr>
        <w:t>During the third quarter of fiscal 2004, there were no significant changes in the Company’s internal control over financial reporting that materially affected or were reasonably likely to materially affect internal control over financial reporting.</w:t>
      </w:r>
    </w:p>
    <w:p>
      <w:pPr>
        <w:spacing w:after="0" w:line="37" w:lineRule="exact"/>
        <w:rPr>
          <w:sz w:val="20"/>
          <w:szCs w:val="20"/>
          <w:color w:val="auto"/>
        </w:rPr>
      </w:pPr>
    </w:p>
    <w:p>
      <w:pPr>
        <w:ind w:left="900" w:right="180" w:firstLine="420"/>
        <w:spacing w:after="0" w:line="256" w:lineRule="auto"/>
        <w:rPr>
          <w:sz w:val="20"/>
          <w:szCs w:val="20"/>
          <w:color w:val="auto"/>
        </w:rPr>
      </w:pPr>
      <w:r>
        <w:rPr>
          <w:rFonts w:ascii="Arial" w:cs="Arial" w:eastAsia="Arial" w:hAnsi="Arial"/>
          <w:sz w:val="18"/>
          <w:szCs w:val="18"/>
          <w:color w:val="auto"/>
        </w:rPr>
        <w:t>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w:t>
      </w:r>
    </w:p>
    <w:p>
      <w:pPr>
        <w:sectPr>
          <w:pgSz w:w="11900" w:h="16838" w:orient="portrait"/>
          <w:cols w:equalWidth="0" w:num="1">
            <w:col w:w="11340"/>
          </w:cols>
          <w:pgMar w:left="260" w:top="28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Rufus Decker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900" w:right="280"/>
        <w:spacing w:after="0" w:line="259" w:lineRule="auto"/>
        <w:rPr>
          <w:sz w:val="20"/>
          <w:szCs w:val="20"/>
          <w:color w:val="auto"/>
        </w:rPr>
      </w:pPr>
      <w:r>
        <w:rPr>
          <w:rFonts w:ascii="Arial" w:cs="Arial" w:eastAsia="Arial" w:hAnsi="Arial"/>
          <w:sz w:val="18"/>
          <w:szCs w:val="18"/>
          <w:color w:val="auto"/>
        </w:rPr>
        <w:t>standards of Section 404 of the Sarbanes-Oxley Act of 2002. This person was hired in August 2004 to initiate the Company’s documentation and testing of its internal controls. This individual’s responsibilities included performing certain monitoring activities which detected the material misstatement.</w:t>
      </w:r>
    </w:p>
    <w:p>
      <w:pPr>
        <w:spacing w:after="0" w:line="46" w:lineRule="exact"/>
        <w:rPr>
          <w:sz w:val="20"/>
          <w:szCs w:val="20"/>
          <w:color w:val="auto"/>
        </w:rPr>
      </w:pPr>
    </w:p>
    <w:p>
      <w:pPr>
        <w:jc w:val="both"/>
        <w:ind w:left="900" w:right="140" w:firstLine="420"/>
        <w:spacing w:after="0" w:line="306" w:lineRule="auto"/>
        <w:rPr>
          <w:sz w:val="20"/>
          <w:szCs w:val="20"/>
          <w:color w:val="auto"/>
        </w:rPr>
      </w:pPr>
      <w:r>
        <w:rPr>
          <w:rFonts w:ascii="Arial" w:cs="Arial" w:eastAsia="Arial" w:hAnsi="Arial"/>
          <w:sz w:val="16"/>
          <w:szCs w:val="16"/>
          <w:color w:val="auto"/>
        </w:rPr>
        <w:t>Management has evaluated this matter relative to its current and prior internal control environment and disclosure controls and procedures. It has concluded that the material weakness that led to this error not being detected timely has been mitigated as of December 31, 2004 as a result of the additional monitoring controls that were in place as of that date, which enabled the Company to detect this error.</w:t>
      </w:r>
    </w:p>
    <w:p>
      <w:pPr>
        <w:spacing w:after="0" w:line="12" w:lineRule="exact"/>
        <w:rPr>
          <w:sz w:val="20"/>
          <w:szCs w:val="20"/>
          <w:color w:val="auto"/>
        </w:rPr>
      </w:pPr>
    </w:p>
    <w:p>
      <w:pPr>
        <w:ind w:left="440" w:right="20" w:firstLine="438"/>
        <w:spacing w:after="0" w:line="256" w:lineRule="auto"/>
        <w:rPr>
          <w:sz w:val="20"/>
          <w:szCs w:val="20"/>
          <w:color w:val="auto"/>
        </w:rPr>
      </w:pPr>
      <w:r>
        <w:rPr>
          <w:rFonts w:ascii="Arial" w:cs="Arial" w:eastAsia="Arial" w:hAnsi="Arial"/>
          <w:sz w:val="18"/>
          <w:szCs w:val="18"/>
          <w:color w:val="auto"/>
        </w:rPr>
        <w:t>As discussed above, based on management’s evaluation of the effectiveness of the Company’s disclosure controls and procedures and the additional monitoring controls that were in place as of December 31, 2004, which enabled the Company to detect the error, the Chief Executive Officer and Chief Financial Officer concluded that the material weakness that led to the error not being detected timely has been mitigated as of December 31, 2004, and that our disclosure controls and procedures were effective as of December 31, 2004.</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Comment: </w:t>
      </w:r>
      <w:r>
        <w:rPr>
          <w:rFonts w:ascii="Arial" w:cs="Arial" w:eastAsia="Arial" w:hAnsi="Arial"/>
          <w:sz w:val="18"/>
          <w:szCs w:val="18"/>
          <w:color w:val="auto"/>
        </w:rPr>
        <w:t>We remind you that when you file your restated Form 10-K you should appropriately address the following:</w:t>
      </w:r>
    </w:p>
    <w:p>
      <w:pPr>
        <w:spacing w:after="0" w:line="77" w:lineRule="exact"/>
        <w:rPr>
          <w:sz w:val="20"/>
          <w:szCs w:val="20"/>
          <w:color w:val="auto"/>
        </w:rPr>
      </w:pPr>
    </w:p>
    <w:p>
      <w:pPr>
        <w:ind w:left="880" w:hanging="446"/>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explanatory paragraph in the reissued audit opinion,</w:t>
      </w:r>
    </w:p>
    <w:p>
      <w:pPr>
        <w:spacing w:after="0" w:line="103" w:lineRule="exact"/>
        <w:rPr>
          <w:rFonts w:ascii="Arial" w:cs="Arial" w:eastAsia="Arial" w:hAnsi="Arial"/>
          <w:sz w:val="18"/>
          <w:szCs w:val="18"/>
          <w:color w:val="auto"/>
        </w:rPr>
      </w:pPr>
    </w:p>
    <w:p>
      <w:pPr>
        <w:ind w:left="880" w:hanging="446"/>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compliance with APB 20, paragraphs 36 and 37</w:t>
      </w:r>
    </w:p>
    <w:p>
      <w:pPr>
        <w:spacing w:after="0" w:line="103" w:lineRule="exact"/>
        <w:rPr>
          <w:rFonts w:ascii="Arial" w:cs="Arial" w:eastAsia="Arial" w:hAnsi="Arial"/>
          <w:sz w:val="18"/>
          <w:szCs w:val="18"/>
          <w:color w:val="auto"/>
        </w:rPr>
      </w:pPr>
    </w:p>
    <w:p>
      <w:pPr>
        <w:ind w:left="880" w:hanging="446"/>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fully update all affected portions of the document, including MD&amp;A, selected financial data, and quarterly financial date,</w:t>
      </w:r>
    </w:p>
    <w:p>
      <w:pPr>
        <w:spacing w:after="0" w:line="103" w:lineRule="exact"/>
        <w:rPr>
          <w:rFonts w:ascii="Arial" w:cs="Arial" w:eastAsia="Arial" w:hAnsi="Arial"/>
          <w:sz w:val="18"/>
          <w:szCs w:val="18"/>
          <w:color w:val="auto"/>
        </w:rPr>
      </w:pPr>
    </w:p>
    <w:p>
      <w:pPr>
        <w:ind w:left="880" w:hanging="446"/>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updated Item 9A disclosures should include the following:</w:t>
      </w:r>
    </w:p>
    <w:p>
      <w:pPr>
        <w:spacing w:after="0" w:line="103" w:lineRule="exact"/>
        <w:rPr>
          <w:rFonts w:ascii="Arial" w:cs="Arial" w:eastAsia="Arial" w:hAnsi="Arial"/>
          <w:sz w:val="18"/>
          <w:szCs w:val="18"/>
          <w:color w:val="auto"/>
        </w:rPr>
      </w:pPr>
    </w:p>
    <w:p>
      <w:pPr>
        <w:ind w:left="1340" w:hanging="555"/>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discussion of the restatement and the facts and circumstances surrounding it,</w:t>
      </w:r>
    </w:p>
    <w:p>
      <w:pPr>
        <w:spacing w:after="0" w:line="103" w:lineRule="exact"/>
        <w:rPr>
          <w:rFonts w:ascii="Arial" w:cs="Arial" w:eastAsia="Arial" w:hAnsi="Arial"/>
          <w:sz w:val="18"/>
          <w:szCs w:val="18"/>
          <w:color w:val="auto"/>
        </w:rPr>
      </w:pPr>
    </w:p>
    <w:p>
      <w:pPr>
        <w:ind w:left="1340" w:hanging="555"/>
        <w:spacing w:after="0"/>
        <w:tabs>
          <w:tab w:leader="none" w:pos="1340" w:val="left"/>
        </w:tabs>
        <w:numPr>
          <w:ilvl w:val="1"/>
          <w:numId w:val="2"/>
        </w:numPr>
        <w:rPr>
          <w:rFonts w:ascii="Arial" w:cs="Arial" w:eastAsia="Arial" w:hAnsi="Arial"/>
          <w:sz w:val="15"/>
          <w:szCs w:val="15"/>
          <w:color w:val="auto"/>
        </w:rPr>
      </w:pPr>
      <w:r>
        <w:rPr>
          <w:rFonts w:ascii="Arial" w:cs="Arial" w:eastAsia="Arial" w:hAnsi="Arial"/>
          <w:sz w:val="15"/>
          <w:szCs w:val="15"/>
          <w:color w:val="auto"/>
        </w:rPr>
        <w:t>how the restatement impacted the CEO and CFO’s original conclusions regarding the effectiveness of their disclosure controls and procedures,</w:t>
      </w:r>
    </w:p>
    <w:p>
      <w:pPr>
        <w:spacing w:after="0" w:line="138" w:lineRule="exact"/>
        <w:rPr>
          <w:rFonts w:ascii="Arial" w:cs="Arial" w:eastAsia="Arial" w:hAnsi="Arial"/>
          <w:sz w:val="15"/>
          <w:szCs w:val="15"/>
          <w:color w:val="auto"/>
        </w:rPr>
      </w:pPr>
    </w:p>
    <w:p>
      <w:pPr>
        <w:ind w:left="1340" w:hanging="555"/>
        <w:spacing w:after="0"/>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to internal controls over financial reporting, and</w:t>
      </w:r>
    </w:p>
    <w:p>
      <w:pPr>
        <w:spacing w:after="0" w:line="103" w:lineRule="exact"/>
        <w:rPr>
          <w:rFonts w:ascii="Arial" w:cs="Arial" w:eastAsia="Arial" w:hAnsi="Arial"/>
          <w:sz w:val="18"/>
          <w:szCs w:val="18"/>
          <w:color w:val="auto"/>
        </w:rPr>
      </w:pPr>
    </w:p>
    <w:p>
      <w:pPr>
        <w:ind w:left="1340" w:right="40" w:hanging="555"/>
        <w:spacing w:after="0" w:line="268" w:lineRule="auto"/>
        <w:tabs>
          <w:tab w:leader="none" w:pos="1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anticipated changes to disclosure controls and procedures and/or internal controls over financial reporting to prevent future misstatements of a similar nature</w:t>
      </w:r>
    </w:p>
    <w:p>
      <w:pPr>
        <w:spacing w:after="0" w:line="3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Refer to Items 307 and 308(c) of Regulation S-K.</w:t>
      </w:r>
    </w:p>
    <w:p>
      <w:pPr>
        <w:spacing w:after="0" w:line="77" w:lineRule="exact"/>
        <w:rPr>
          <w:sz w:val="20"/>
          <w:szCs w:val="20"/>
          <w:color w:val="auto"/>
        </w:rPr>
      </w:pPr>
    </w:p>
    <w:p>
      <w:pPr>
        <w:ind w:left="880" w:hanging="44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 all updated certifications</w:t>
      </w:r>
    </w:p>
    <w:p>
      <w:pPr>
        <w:sectPr>
          <w:pgSz w:w="11900" w:h="16838" w:orient="portrait"/>
          <w:cols w:equalWidth="0" w:num="1">
            <w:col w:w="11360"/>
          </w:cols>
          <w:pgMar w:left="260" w:top="280" w:right="279" w:bottom="1440" w:gutter="0" w:footer="0" w:header="0"/>
        </w:sectPr>
      </w:pPr>
    </w:p>
    <w:bookmarkStart w:id="5" w:name="page6"/>
    <w:bookmarkEnd w:id="5"/>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Rufus Decker</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ind w:left="12"/>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452"/>
        <w:spacing w:after="0"/>
        <w:rPr>
          <w:sz w:val="20"/>
          <w:szCs w:val="20"/>
          <w:color w:val="auto"/>
        </w:rPr>
      </w:pPr>
      <w:r>
        <w:rPr>
          <w:rFonts w:ascii="Arial" w:cs="Arial" w:eastAsia="Arial" w:hAnsi="Arial"/>
          <w:sz w:val="16"/>
          <w:szCs w:val="16"/>
          <w:b w:val="1"/>
          <w:bCs w:val="1"/>
          <w:i w:val="1"/>
          <w:iCs w:val="1"/>
          <w:color w:val="auto"/>
        </w:rPr>
        <w:t xml:space="preserve">Response: </w:t>
      </w:r>
      <w:r>
        <w:rPr>
          <w:rFonts w:ascii="Arial" w:cs="Arial" w:eastAsia="Arial" w:hAnsi="Arial"/>
          <w:sz w:val="16"/>
          <w:szCs w:val="16"/>
          <w:color w:val="auto"/>
        </w:rPr>
        <w:t>The Company addressed the above in its Form 10-K/A for the fiscal year ended 2003, including the inclusion of all updated certifications.</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Company acknowledges that:</w:t>
      </w:r>
    </w:p>
    <w:p>
      <w:pPr>
        <w:spacing w:after="0" w:line="77" w:lineRule="exact"/>
        <w:rPr>
          <w:sz w:val="20"/>
          <w:szCs w:val="20"/>
          <w:color w:val="auto"/>
        </w:rPr>
      </w:pPr>
    </w:p>
    <w:p>
      <w:pPr>
        <w:ind w:left="892" w:hanging="446"/>
        <w:spacing w:after="0"/>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its filings;</w:t>
      </w:r>
    </w:p>
    <w:p>
      <w:pPr>
        <w:spacing w:after="0" w:line="103" w:lineRule="exact"/>
        <w:rPr>
          <w:rFonts w:ascii="Arial" w:cs="Arial" w:eastAsia="Arial" w:hAnsi="Arial"/>
          <w:sz w:val="18"/>
          <w:szCs w:val="18"/>
          <w:color w:val="auto"/>
        </w:rPr>
      </w:pPr>
    </w:p>
    <w:p>
      <w:pPr>
        <w:ind w:left="892" w:hanging="446"/>
        <w:spacing w:after="0" w:line="268" w:lineRule="auto"/>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37" w:lineRule="exact"/>
        <w:rPr>
          <w:rFonts w:ascii="Arial" w:cs="Arial" w:eastAsia="Arial" w:hAnsi="Arial"/>
          <w:sz w:val="18"/>
          <w:szCs w:val="18"/>
          <w:color w:val="auto"/>
        </w:rPr>
      </w:pPr>
    </w:p>
    <w:p>
      <w:pPr>
        <w:ind w:left="892" w:hanging="446"/>
        <w:spacing w:after="0" w:line="268" w:lineRule="auto"/>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1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8112"/>
        <w:spacing w:after="0"/>
        <w:tabs>
          <w:tab w:leader="none" w:pos="8432" w:val="left"/>
        </w:tabs>
        <w:rPr>
          <w:sz w:val="20"/>
          <w:szCs w:val="20"/>
          <w:color w:val="auto"/>
        </w:rPr>
      </w:pPr>
      <w:r>
        <w:rPr>
          <w:rFonts w:ascii="Arial" w:cs="Arial" w:eastAsia="Arial" w:hAnsi="Arial"/>
          <w:sz w:val="18"/>
          <w:szCs w:val="18"/>
          <w:color w:val="auto"/>
        </w:rPr>
        <w:t>/s/</w:t>
        <w:tab/>
        <w:t>P</w:t>
      </w:r>
      <w:r>
        <w:rPr>
          <w:rFonts w:ascii="Arial" w:cs="Arial" w:eastAsia="Arial" w:hAnsi="Arial"/>
          <w:sz w:val="14"/>
          <w:szCs w:val="14"/>
          <w:color w:val="auto"/>
        </w:rPr>
        <w:t>HILLIP</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Z</w:t>
      </w:r>
      <w:r>
        <w:rPr>
          <w:rFonts w:ascii="Arial" w:cs="Arial" w:eastAsia="Arial" w:hAnsi="Arial"/>
          <w:sz w:val="14"/>
          <w:szCs w:val="14"/>
          <w:color w:val="auto"/>
        </w:rPr>
        <w:t>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10795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Phillip DeZwirek</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pacing w:after="0" w:line="195" w:lineRule="exact"/>
        <w:rPr>
          <w:sz w:val="20"/>
          <w:szCs w:val="20"/>
          <w:color w:val="auto"/>
        </w:rPr>
      </w:pPr>
    </w:p>
    <w:p>
      <w:pPr>
        <w:ind w:left="8212"/>
        <w:spacing w:after="0"/>
        <w:tabs>
          <w:tab w:leader="none" w:pos="8532"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ENNIS</w:t>
      </w:r>
      <w:r>
        <w:rPr>
          <w:rFonts w:ascii="Arial" w:cs="Arial" w:eastAsia="Arial" w:hAnsi="Arial"/>
          <w:sz w:val="18"/>
          <w:szCs w:val="18"/>
          <w:color w:val="auto"/>
        </w:rPr>
        <w:t xml:space="preserve"> B</w:t>
      </w:r>
      <w:r>
        <w:rPr>
          <w:rFonts w:ascii="Arial" w:cs="Arial" w:eastAsia="Arial" w:hAnsi="Arial"/>
          <w:sz w:val="14"/>
          <w:szCs w:val="14"/>
          <w:color w:val="auto"/>
        </w:rPr>
        <w:t>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10795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Dennis Blazer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27" w:lineRule="exact"/>
        <w:rPr>
          <w:sz w:val="20"/>
          <w:szCs w:val="20"/>
          <w:color w:val="auto"/>
        </w:rPr>
      </w:pPr>
    </w:p>
    <w:p>
      <w:pPr>
        <w:ind w:left="452" w:right="5460" w:hanging="452"/>
        <w:spacing w:after="0" w:line="253" w:lineRule="auto"/>
        <w:tabs>
          <w:tab w:leader="none" w:pos="441" w:val="left"/>
        </w:tabs>
        <w:numPr>
          <w:ilvl w:val="0"/>
          <w:numId w:val="5"/>
        </w:numPr>
        <w:rPr>
          <w:rFonts w:ascii="Arial" w:cs="Arial" w:eastAsia="Arial" w:hAnsi="Arial"/>
          <w:sz w:val="18"/>
          <w:szCs w:val="18"/>
          <w:color w:val="auto"/>
        </w:rPr>
      </w:pPr>
      <w:r>
        <w:rPr>
          <w:rFonts w:ascii="Arial" w:cs="Arial" w:eastAsia="Arial" w:hAnsi="Arial"/>
          <w:sz w:val="18"/>
          <w:szCs w:val="18"/>
          <w:color w:val="auto"/>
        </w:rPr>
        <w:t>Meagan Caldwell, Staff Accountant, Securities and Exchange Commission Melvin F. Lazar, Chairman, Audit Committee of the Board of Directors Deloitte &amp; Touche LLP</w:t>
      </w:r>
    </w:p>
    <w:p>
      <w:pPr>
        <w:ind w:left="452"/>
        <w:spacing w:after="0"/>
        <w:rPr>
          <w:rFonts w:ascii="Arial" w:cs="Arial" w:eastAsia="Arial" w:hAnsi="Arial"/>
          <w:sz w:val="18"/>
          <w:szCs w:val="18"/>
          <w:color w:val="auto"/>
        </w:rPr>
      </w:pPr>
      <w:r>
        <w:rPr>
          <w:rFonts w:ascii="Arial" w:cs="Arial" w:eastAsia="Arial" w:hAnsi="Arial"/>
          <w:sz w:val="18"/>
          <w:szCs w:val="18"/>
          <w:color w:val="auto"/>
        </w:rPr>
        <w:t>Sugar, Friedberg &amp; Felsenthal LLP</w:t>
      </w:r>
    </w:p>
    <w:sectPr>
      <w:pgSz w:w="11900" w:h="16838" w:orient="portrait"/>
      <w:cols w:equalWidth="0" w:num="1">
        <w:col w:w="11172"/>
      </w:cols>
      <w:pgMar w:left="248"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2020-02-10T12:00:46Z</dcterms:created>
  <dcterms:modified xsi:type="dcterms:W3CDTF">2020-02-10T12:00:46Z</dcterms:modified>
</cp:coreProperties>
</file>