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CURRENT REPORT </w:t>
      </w:r>
    </w:p>
    <w:p>
      <w:pPr>
        <w:pStyle w:val="TextBody"/>
        <w:spacing w:before="180" w:after="0"/>
        <w:jc w:val="center"/>
        <w:rPr>
          <w:rFonts w:ascii="Times New Roman" w:hAnsi="Times New Roman"/>
          <w:b/>
          <w:sz w:val="20"/>
        </w:rPr>
      </w:pPr>
      <w:r>
        <w:rPr>
          <w:rFonts w:ascii="Times New Roman" w:hAnsi="Times New Roman"/>
          <w:b/>
          <w:sz w:val="20"/>
        </w:rPr>
        <w:t xml:space="preserve">Pursuant to Section 13 or 15(d) of the Securities Exchange Act of 1934 </w:t>
      </w:r>
    </w:p>
    <w:p>
      <w:pPr>
        <w:pStyle w:val="TextBody"/>
        <w:spacing w:before="0" w:after="0"/>
        <w:jc w:val="center"/>
        <w:rPr>
          <w:rFonts w:ascii="Times New Roman" w:hAnsi="Times New Roman"/>
          <w:b/>
          <w:sz w:val="20"/>
        </w:rPr>
      </w:pPr>
      <w:r>
        <w:rPr>
          <w:rFonts w:ascii="Times New Roman" w:hAnsi="Times New Roman"/>
          <w:b/>
          <w:sz w:val="20"/>
        </w:rPr>
        <w:t xml:space="preserve">Date of Report (Date of earliest event reported): August 7, 2008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2"/>
        <w:gridCol w:w="4901"/>
      </w:tblGrid>
      <w:tr>
        <w:trPr/>
        <w:tc>
          <w:tcPr>
            <w:tcW w:w="51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901"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 Cincinnati, OH</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(513) 458-2600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August 7, 2008, CECO Environmental Corp. (the Company) issued a press release announcing its financial results for the three and six months ended June 30, 2008. A copy of the press release is furnished as Exhibit 99.1. to this report and is incorporated herein by reference. </w:t>
      </w:r>
    </w:p>
    <w:p>
      <w:pPr>
        <w:pStyle w:val="TextBody"/>
        <w:spacing w:before="180" w:after="0"/>
        <w:rPr>
          <w:rFonts w:ascii="Times New Roman" w:hAnsi="Times New Roman"/>
          <w:sz w:val="20"/>
        </w:rPr>
      </w:pPr>
      <w:r>
        <w:rPr>
          <w:rFonts w:ascii="Times New Roman" w:hAnsi="Times New Roman"/>
          <w:sz w:val="20"/>
        </w:rPr>
        <w:t xml:space="preserve">The information in this Item 2.02, including the exhibits,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1"/>
        <w:gridCol w:w="536"/>
        <w:gridCol w:w="9158"/>
      </w:tblGrid>
      <w:tr>
        <w:trPr/>
        <w:tc>
          <w:tcPr>
            <w:tcW w:w="511"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bottom"/>
          </w:tcPr>
          <w:p>
            <w:pPr>
              <w:pStyle w:val="TableContents"/>
              <w:spacing w:before="0" w:after="283"/>
              <w:rPr>
                <w:sz w:val="4"/>
                <w:szCs w:val="4"/>
              </w:rPr>
            </w:pPr>
            <w:r>
              <w:rPr>
                <w:sz w:val="4"/>
                <w:szCs w:val="4"/>
              </w:rPr>
            </w:r>
          </w:p>
        </w:tc>
        <w:tc>
          <w:tcPr>
            <w:tcW w:w="9158" w:type="dxa"/>
            <w:tcBorders/>
            <w:shd w:fill="auto" w:val="clear"/>
            <w:vAlign w:val="center"/>
          </w:tcPr>
          <w:p>
            <w:pPr>
              <w:pStyle w:val="TableContents"/>
              <w:spacing w:before="0" w:after="283"/>
              <w:rPr>
                <w:sz w:val="4"/>
                <w:szCs w:val="4"/>
              </w:rPr>
            </w:pPr>
            <w:r>
              <w:rPr>
                <w:sz w:val="4"/>
                <w:szCs w:val="4"/>
              </w:rPr>
            </w:r>
          </w:p>
        </w:tc>
      </w:tr>
      <w:tr>
        <w:trPr/>
        <w:tc>
          <w:tcPr>
            <w:tcW w:w="511"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536" w:type="dxa"/>
            <w:tcBorders/>
            <w:shd w:fill="auto" w:val="clear"/>
            <w:vAlign w:val="bottom"/>
          </w:tcPr>
          <w:p>
            <w:pPr>
              <w:pStyle w:val="TableContents"/>
              <w:spacing w:before="0" w:after="283"/>
              <w:rPr/>
            </w:pPr>
            <w:r>
              <w:rPr/>
              <w:t>  </w:t>
            </w:r>
          </w:p>
        </w:tc>
        <w:tc>
          <w:tcPr>
            <w:tcW w:w="9158"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Exhibit Title</w:t>
            </w:r>
          </w:p>
        </w:tc>
      </w:tr>
      <w:tr>
        <w:trPr/>
        <w:tc>
          <w:tcPr>
            <w:tcW w:w="511"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36" w:type="dxa"/>
            <w:tcBorders/>
            <w:shd w:fill="auto" w:val="clear"/>
            <w:vAlign w:val="bottom"/>
          </w:tcPr>
          <w:p>
            <w:pPr>
              <w:pStyle w:val="TableContents"/>
              <w:spacing w:before="0" w:after="283"/>
              <w:rPr/>
            </w:pPr>
            <w:r>
              <w:rPr/>
              <w:t>  </w:t>
            </w:r>
          </w:p>
        </w:tc>
        <w:tc>
          <w:tcPr>
            <w:tcW w:w="91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Press Release dated August 7, 2008.</w:t>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Signatures </w:t>
      </w:r>
    </w:p>
    <w:p>
      <w:pPr>
        <w:pStyle w:val="TextBody"/>
        <w:spacing w:before="9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56"/>
        <w:gridCol w:w="111"/>
        <w:gridCol w:w="260"/>
        <w:gridCol w:w="111"/>
        <w:gridCol w:w="4967"/>
      </w:tblGrid>
      <w:tr>
        <w:trPr/>
        <w:tc>
          <w:tcPr>
            <w:tcW w:w="475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967"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tcPr>
          <w:p>
            <w:pPr>
              <w:pStyle w:val="TableContents"/>
              <w:spacing w:before="0" w:after="283"/>
              <w:rPr>
                <w:rFonts w:ascii="Times New Roman" w:hAnsi="Times New Roman"/>
                <w:sz w:val="20"/>
              </w:rPr>
            </w:pPr>
            <w:r>
              <w:rPr>
                <w:rFonts w:ascii="Times New Roman" w:hAnsi="Times New Roman"/>
                <w:sz w:val="20"/>
              </w:rPr>
              <w:t>Date: August 7, 2008</w:t>
            </w:r>
          </w:p>
        </w:tc>
        <w:tc>
          <w:tcPr>
            <w:tcW w:w="111" w:type="dxa"/>
            <w:tcBorders/>
            <w:shd w:fill="auto" w:val="clear"/>
            <w:vAlign w:val="bottom"/>
          </w:tcPr>
          <w:p>
            <w:pPr>
              <w:pStyle w:val="TableContents"/>
              <w:spacing w:before="0" w:after="283"/>
              <w:rPr/>
            </w:pPr>
            <w:r>
              <w:rPr/>
              <w:t> </w:t>
            </w:r>
          </w:p>
        </w:tc>
        <w:tc>
          <w:tcPr>
            <w:tcW w:w="5338"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756" w:type="dxa"/>
            <w:tcBorders/>
            <w:shd w:fill="auto" w:val="clear"/>
            <w:vAlign w:val="center"/>
          </w:tcPr>
          <w:p>
            <w:pPr>
              <w:pStyle w:val="TableContents"/>
              <w:spacing w:before="0" w:after="283"/>
              <w:rPr>
                <w:sz w:val="4"/>
                <w:szCs w:val="4"/>
              </w:rPr>
            </w:pPr>
            <w:r>
              <w:rPr>
                <w:sz w:val="4"/>
                <w:szCs w:val="4"/>
              </w:rPr>
            </w:r>
          </w:p>
        </w:tc>
        <w:tc>
          <w:tcPr>
            <w:tcW w:w="371" w:type="dxa"/>
            <w:gridSpan w:val="2"/>
            <w:tcBorders/>
            <w:shd w:fill="auto" w:val="clear"/>
            <w:vAlign w:val="center"/>
          </w:tcPr>
          <w:p>
            <w:pPr>
              <w:pStyle w:val="TableContents"/>
              <w:spacing w:before="0" w:after="283"/>
              <w:rPr>
                <w:sz w:val="4"/>
                <w:szCs w:val="4"/>
              </w:rPr>
            </w:pPr>
            <w:r>
              <w:rPr>
                <w:sz w:val="4"/>
                <w:szCs w:val="4"/>
              </w:rPr>
            </w:r>
          </w:p>
        </w:tc>
        <w:tc>
          <w:tcPr>
            <w:tcW w:w="5078" w:type="dxa"/>
            <w:gridSpan w:val="2"/>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756"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756"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Vice PresidentFinance and Administration</w:t>
            </w:r>
          </w:p>
          <w:p>
            <w:pPr>
              <w:pStyle w:val="TableContents"/>
              <w:spacing w:before="0" w:after="15"/>
              <w:rPr>
                <w:rFonts w:ascii="Times New Roman" w:hAnsi="Times New Roman"/>
                <w:sz w:val="20"/>
              </w:rPr>
            </w:pPr>
            <w:r>
              <w:rPr>
                <w:rFonts w:ascii="Times New Roman" w:hAnsi="Times New Roman"/>
                <w:sz w:val="20"/>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991.htm"/>
      <w:bookmarkStart w:id="3" w:name="ksdex991"/>
      <w:bookmarkEnd w:id="2"/>
      <w:bookmarkEnd w:id="3"/>
      <w:r>
        <w:rPr>
          <w:rFonts w:ascii="Times New Roman" w:hAnsi="Times New Roman"/>
          <w:b/>
          <w:sz w:val="20"/>
        </w:rPr>
        <w:t xml:space="preserve">EXHIBIT 99.1 </w:t>
      </w:r>
    </w:p>
    <w:p>
      <w:pPr>
        <w:pStyle w:val="TextBody"/>
        <w:spacing w:before="180" w:after="0"/>
        <w:jc w:val="center"/>
        <w:rPr/>
      </w:pPr>
      <w:r>
        <w:rPr/>
        <w:drawing>
          <wp:inline distT="0" distB="0" distL="0" distR="0">
            <wp:extent cx="131445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14450" cy="400050"/>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b/>
                <w:sz w:val="20"/>
              </w:rPr>
            </w:pPr>
            <w:r>
              <w:rPr>
                <w:rFonts w:ascii="Times New Roman" w:hAnsi="Times New Roman"/>
                <w:b/>
                <w:sz w:val="20"/>
              </w:rPr>
              <w:t>NASDAQ:CECE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NEWS RELEASE</w:t>
            </w:r>
          </w:p>
        </w:tc>
      </w:tr>
    </w:tbl>
    <w:p>
      <w:pPr>
        <w:pStyle w:val="TextBody"/>
        <w:spacing w:before="180" w:after="0"/>
        <w:jc w:val="center"/>
        <w:rPr>
          <w:rFonts w:ascii="Times New Roman" w:hAnsi="Times New Roman"/>
          <w:b/>
          <w:sz w:val="20"/>
        </w:rPr>
      </w:pPr>
      <w:r>
        <w:rPr>
          <w:rFonts w:ascii="Times New Roman" w:hAnsi="Times New Roman"/>
          <w:b/>
          <w:sz w:val="20"/>
        </w:rPr>
        <w:t xml:space="preserve">CECO ENVIRONMENTAL REPORTS </w:t>
      </w:r>
    </w:p>
    <w:p>
      <w:pPr>
        <w:pStyle w:val="TextBody"/>
        <w:spacing w:before="0" w:after="0"/>
        <w:jc w:val="center"/>
        <w:rPr>
          <w:rFonts w:ascii="Times New Roman" w:hAnsi="Times New Roman"/>
          <w:b/>
          <w:sz w:val="20"/>
        </w:rPr>
      </w:pPr>
      <w:r>
        <w:rPr>
          <w:rFonts w:ascii="Times New Roman" w:hAnsi="Times New Roman"/>
          <w:b/>
          <w:sz w:val="20"/>
        </w:rPr>
        <w:t xml:space="preserve">SECOND QUARTER AND SIX MONTH 2008 RESULTS </w:t>
      </w:r>
    </w:p>
    <w:p>
      <w:pPr>
        <w:pStyle w:val="TextBody"/>
        <w:spacing w:before="180" w:after="0"/>
        <w:rPr>
          <w:rFonts w:ascii="Times New Roman" w:hAnsi="Times New Roman"/>
          <w:sz w:val="20"/>
        </w:rPr>
      </w:pPr>
      <w:r>
        <w:rPr>
          <w:rFonts w:ascii="Times New Roman" w:hAnsi="Times New Roman"/>
          <w:b/>
          <w:sz w:val="20"/>
        </w:rPr>
        <w:t xml:space="preserve">CINCINNATI, OHIO, AUGUST 7, 2008CECO Environmental Corp. </w:t>
      </w:r>
      <w:r>
        <w:rPr>
          <w:rFonts w:ascii="Times New Roman" w:hAnsi="Times New Roman"/>
          <w:sz w:val="20"/>
        </w:rPr>
        <w:t xml:space="preserve">(NASDAQ:CECE), a leading provider of industrial ventilation and pollution control systems, today announced second quarter results for the period ended June 30, 2008. </w:t>
      </w:r>
    </w:p>
    <w:p>
      <w:pPr>
        <w:pStyle w:val="TextBody"/>
        <w:spacing w:before="270" w:after="0"/>
        <w:rPr>
          <w:rFonts w:ascii="Times New Roman" w:hAnsi="Times New Roman"/>
          <w:b/>
          <w:sz w:val="20"/>
        </w:rPr>
      </w:pPr>
      <w:r>
        <w:rPr>
          <w:rFonts w:ascii="Times New Roman" w:hAnsi="Times New Roman"/>
          <w:b/>
          <w:sz w:val="20"/>
        </w:rPr>
        <w:t xml:space="preserve">Financial highlights for the second quarter of 2008 compared to the second quarter of 2007 include: </w:t>
      </w:r>
    </w:p>
    <w:p>
      <w:pPr>
        <w:pStyle w:val="TextBody"/>
        <w:spacing w:before="90" w:after="0"/>
        <w:rPr>
          <w:rFonts w:ascii="Times New Roman" w:hAnsi="Times New Roman"/>
          <w:sz w:val="20"/>
        </w:rPr>
      </w:pPr>
      <w:r>
        <w:rPr>
          <w:rFonts w:ascii="Times New Roman" w:hAnsi="Times New Roman"/>
          <w:sz w:val="20"/>
        </w:rPr>
        <w:t xml:space="preserve">Net sales decreased from $59.2 million to $57.4 million </w:t>
      </w:r>
    </w:p>
    <w:p>
      <w:pPr>
        <w:pStyle w:val="TextBody"/>
        <w:spacing w:before="180" w:after="0"/>
        <w:rPr>
          <w:rFonts w:ascii="Times New Roman" w:hAnsi="Times New Roman"/>
          <w:sz w:val="20"/>
        </w:rPr>
      </w:pPr>
      <w:r>
        <w:rPr>
          <w:rFonts w:ascii="Times New Roman" w:hAnsi="Times New Roman"/>
          <w:sz w:val="20"/>
        </w:rPr>
        <w:t xml:space="preserve">Gross profit increased from $9.9 million to $10.8 million </w:t>
      </w:r>
    </w:p>
    <w:p>
      <w:pPr>
        <w:pStyle w:val="TextBody"/>
        <w:spacing w:before="180" w:after="0"/>
        <w:rPr>
          <w:rFonts w:ascii="Times New Roman" w:hAnsi="Times New Roman"/>
          <w:sz w:val="20"/>
        </w:rPr>
      </w:pPr>
      <w:r>
        <w:rPr>
          <w:rFonts w:ascii="Times New Roman" w:hAnsi="Times New Roman"/>
          <w:sz w:val="20"/>
        </w:rPr>
        <w:t xml:space="preserve">Gross profit as a percentage of sales increased by 2.1 percentage points from 16.7% to 18.8% </w:t>
      </w:r>
    </w:p>
    <w:p>
      <w:pPr>
        <w:pStyle w:val="TextBody"/>
        <w:spacing w:before="180" w:after="0"/>
        <w:rPr>
          <w:rFonts w:ascii="Times New Roman" w:hAnsi="Times New Roman"/>
          <w:sz w:val="20"/>
        </w:rPr>
      </w:pPr>
      <w:r>
        <w:rPr>
          <w:rFonts w:ascii="Times New Roman" w:hAnsi="Times New Roman"/>
          <w:sz w:val="20"/>
        </w:rPr>
        <w:t xml:space="preserve">Selling and administrative costs increased $1.8 million to $8.0 million </w:t>
      </w:r>
    </w:p>
    <w:p>
      <w:pPr>
        <w:pStyle w:val="TextBody"/>
        <w:spacing w:before="180" w:after="0"/>
        <w:rPr>
          <w:rFonts w:ascii="Times New Roman" w:hAnsi="Times New Roman"/>
          <w:sz w:val="20"/>
        </w:rPr>
      </w:pPr>
      <w:r>
        <w:rPr>
          <w:rFonts w:ascii="Times New Roman" w:hAnsi="Times New Roman"/>
          <w:sz w:val="20"/>
        </w:rPr>
        <w:t xml:space="preserve">Operating income decreased from $3.3 million to $2.1 million </w:t>
      </w:r>
    </w:p>
    <w:p>
      <w:pPr>
        <w:pStyle w:val="TextBody"/>
        <w:spacing w:before="180" w:after="0"/>
        <w:rPr>
          <w:rFonts w:ascii="Times New Roman" w:hAnsi="Times New Roman"/>
          <w:sz w:val="20"/>
        </w:rPr>
      </w:pPr>
      <w:r>
        <w:rPr>
          <w:rFonts w:ascii="Times New Roman" w:hAnsi="Times New Roman"/>
          <w:sz w:val="20"/>
        </w:rPr>
        <w:t xml:space="preserve">Net income was $1.0 million compared to $1.1 million in 2007 </w:t>
      </w:r>
    </w:p>
    <w:p>
      <w:pPr>
        <w:pStyle w:val="TextBody"/>
        <w:spacing w:before="180" w:after="0"/>
        <w:rPr>
          <w:rFonts w:ascii="Times New Roman" w:hAnsi="Times New Roman"/>
          <w:sz w:val="20"/>
        </w:rPr>
      </w:pPr>
      <w:r>
        <w:rPr>
          <w:rFonts w:ascii="Times New Roman" w:hAnsi="Times New Roman"/>
          <w:sz w:val="20"/>
        </w:rPr>
        <w:t xml:space="preserve">Earnings per diluted share were $0.07 compared to $0.08 in 2007 </w:t>
      </w:r>
    </w:p>
    <w:p>
      <w:pPr>
        <w:pStyle w:val="TextBody"/>
        <w:spacing w:before="270" w:after="0"/>
        <w:rPr>
          <w:rFonts w:ascii="Times New Roman" w:hAnsi="Times New Roman"/>
          <w:b/>
          <w:sz w:val="20"/>
        </w:rPr>
      </w:pPr>
      <w:r>
        <w:rPr>
          <w:rFonts w:ascii="Times New Roman" w:hAnsi="Times New Roman"/>
          <w:b/>
          <w:sz w:val="20"/>
        </w:rPr>
        <w:t xml:space="preserve">Financial highlights for the six months ended June 30, 2008 compared to six months ended June 30, 2007 include: </w:t>
      </w:r>
    </w:p>
    <w:p>
      <w:pPr>
        <w:pStyle w:val="TextBody"/>
        <w:spacing w:before="90" w:after="0"/>
        <w:rPr>
          <w:rFonts w:ascii="Times New Roman" w:hAnsi="Times New Roman"/>
          <w:sz w:val="20"/>
        </w:rPr>
      </w:pPr>
      <w:r>
        <w:rPr>
          <w:rFonts w:ascii="Times New Roman" w:hAnsi="Times New Roman"/>
          <w:sz w:val="20"/>
        </w:rPr>
        <w:t xml:space="preserve">Net sales increased from $102.7 million to $104.3 million </w:t>
      </w:r>
    </w:p>
    <w:p>
      <w:pPr>
        <w:pStyle w:val="TextBody"/>
        <w:spacing w:before="180" w:after="0"/>
        <w:rPr>
          <w:rFonts w:ascii="Times New Roman" w:hAnsi="Times New Roman"/>
          <w:sz w:val="20"/>
        </w:rPr>
      </w:pPr>
      <w:r>
        <w:rPr>
          <w:rFonts w:ascii="Times New Roman" w:hAnsi="Times New Roman"/>
          <w:sz w:val="20"/>
        </w:rPr>
        <w:t xml:space="preserve">Gross profit decreased from $17.7 million to $17.5 million </w:t>
      </w:r>
    </w:p>
    <w:p>
      <w:pPr>
        <w:pStyle w:val="TextBody"/>
        <w:spacing w:before="180" w:after="0"/>
        <w:rPr>
          <w:rFonts w:ascii="Times New Roman" w:hAnsi="Times New Roman"/>
          <w:sz w:val="20"/>
        </w:rPr>
      </w:pPr>
      <w:r>
        <w:rPr>
          <w:rFonts w:ascii="Times New Roman" w:hAnsi="Times New Roman"/>
          <w:sz w:val="20"/>
        </w:rPr>
        <w:t xml:space="preserve">Gross profit as a percentage of sales decreased by .4 percentage points from 17.2% to 16.8% </w:t>
      </w:r>
    </w:p>
    <w:p>
      <w:pPr>
        <w:pStyle w:val="TextBody"/>
        <w:spacing w:before="180" w:after="0"/>
        <w:rPr>
          <w:rFonts w:ascii="Times New Roman" w:hAnsi="Times New Roman"/>
          <w:sz w:val="20"/>
        </w:rPr>
      </w:pPr>
      <w:r>
        <w:rPr>
          <w:rFonts w:ascii="Times New Roman" w:hAnsi="Times New Roman"/>
          <w:sz w:val="20"/>
        </w:rPr>
        <w:t xml:space="preserve">Selling and administrative costs increased $3.6 million to $14.8 million </w:t>
      </w:r>
    </w:p>
    <w:p>
      <w:pPr>
        <w:pStyle w:val="TextBody"/>
        <w:spacing w:before="180" w:after="0"/>
        <w:rPr>
          <w:rFonts w:ascii="Times New Roman" w:hAnsi="Times New Roman"/>
          <w:sz w:val="20"/>
        </w:rPr>
      </w:pPr>
      <w:r>
        <w:rPr>
          <w:rFonts w:ascii="Times New Roman" w:hAnsi="Times New Roman"/>
          <w:sz w:val="20"/>
        </w:rPr>
        <w:t xml:space="preserve">Operating income decreased from $5.8 million to $1.3 million </w:t>
      </w:r>
    </w:p>
    <w:p>
      <w:pPr>
        <w:pStyle w:val="TextBody"/>
        <w:spacing w:before="180" w:after="0"/>
        <w:rPr>
          <w:rFonts w:ascii="Times New Roman" w:hAnsi="Times New Roman"/>
          <w:sz w:val="20"/>
        </w:rPr>
      </w:pPr>
      <w:r>
        <w:rPr>
          <w:rFonts w:ascii="Times New Roman" w:hAnsi="Times New Roman"/>
          <w:sz w:val="20"/>
        </w:rPr>
        <w:t xml:space="preserve">Net income was $.5 million compared to $2.3 million in 2007 </w:t>
      </w:r>
    </w:p>
    <w:p>
      <w:pPr>
        <w:pStyle w:val="TextBody"/>
        <w:spacing w:before="180" w:after="0"/>
        <w:rPr>
          <w:rFonts w:ascii="Times New Roman" w:hAnsi="Times New Roman"/>
          <w:sz w:val="20"/>
        </w:rPr>
      </w:pPr>
      <w:r>
        <w:rPr>
          <w:rFonts w:ascii="Times New Roman" w:hAnsi="Times New Roman"/>
          <w:sz w:val="20"/>
        </w:rPr>
        <w:t xml:space="preserve">Earnings per diluted share were $0.03 compared to $0.18 </w:t>
      </w:r>
    </w:p>
    <w:p>
      <w:pPr>
        <w:pStyle w:val="TextBody"/>
        <w:spacing w:before="180" w:after="0"/>
        <w:rPr>
          <w:rFonts w:ascii="Times New Roman" w:hAnsi="Times New Roman"/>
          <w:sz w:val="20"/>
        </w:rPr>
      </w:pPr>
      <w:r>
        <w:rPr>
          <w:rFonts w:ascii="Times New Roman" w:hAnsi="Times New Roman"/>
          <w:sz w:val="20"/>
        </w:rPr>
        <w:t xml:space="preserve">Although sales for the second quarter were down slightly, sales for the six month period are $1.6 million ahead of last year. Gross profit as a percentage of sales for the second quarter increased by 2.1 percentage points which reflects the ongoing shift in our product mix to higher margin products. It is important to note that this second quarter gross profit percentage increase was negatively impacted by one full percentage point due to additional costs incurred on one large project. Costs on this project as previously discussed were incurred due to scope changes and other customer related site issues and these costs have now been formally submitted to the customer as a claim for reimbursement. We anticipate that this claim will be settled in the third quarter and at that time additional revenues will be recorded against these already recorded costs.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The increase in selling and administrative expenses for the six month period is due to several factors. The primary factor for this increase is the addition of selling and administrative expenses from our string of recent acquisitions. The six months ended June 30, 2008 expenses include six months of selling and administrative expense for Effox, Inc. compared to four months of expense for the same period in 2007 plus six months of expense for GMD Environmental compared to none in 2007 as well as four months of expense for Fisher-Klosterman, Inc. (FKI) compared to none in 2007. </w:t>
      </w:r>
    </w:p>
    <w:p>
      <w:pPr>
        <w:pStyle w:val="TextBody"/>
        <w:spacing w:before="180" w:after="0"/>
        <w:rPr>
          <w:rFonts w:ascii="Times New Roman" w:hAnsi="Times New Roman"/>
          <w:sz w:val="20"/>
        </w:rPr>
      </w:pPr>
      <w:r>
        <w:rPr>
          <w:rFonts w:ascii="Times New Roman" w:hAnsi="Times New Roman"/>
          <w:sz w:val="20"/>
        </w:rPr>
        <w:t xml:space="preserve">Additional costs have also been incurred for expenses related to Sarbanes-Oxley compliance which includes hiring additional financial staff, utilizing outside consultants and paying additional audit fees for the required independent audit report on our internal controls. As part of the remediation process to comply with these regulations, we are also in the process of implementing a new information technology system. </w:t>
      </w:r>
    </w:p>
    <w:p>
      <w:pPr>
        <w:pStyle w:val="TextBody"/>
        <w:spacing w:before="180" w:after="0"/>
        <w:rPr>
          <w:rFonts w:ascii="Times New Roman" w:hAnsi="Times New Roman"/>
          <w:sz w:val="20"/>
        </w:rPr>
      </w:pPr>
      <w:r>
        <w:rPr>
          <w:rFonts w:ascii="Times New Roman" w:hAnsi="Times New Roman"/>
          <w:sz w:val="20"/>
        </w:rPr>
        <w:t xml:space="preserve">Management is highly focused on reducing these costs and we will do so by integrating these new acquisitions into the CECO system while at the same time addressing the need for compliance with the increasingly stringent regulations affecting public companies. </w:t>
      </w:r>
    </w:p>
    <w:p>
      <w:pPr>
        <w:pStyle w:val="TextBody"/>
        <w:spacing w:before="180" w:after="0"/>
        <w:rPr>
          <w:rFonts w:ascii="Times New Roman" w:hAnsi="Times New Roman"/>
          <w:sz w:val="20"/>
        </w:rPr>
      </w:pPr>
      <w:r>
        <w:rPr>
          <w:rFonts w:ascii="Times New Roman" w:hAnsi="Times New Roman"/>
          <w:sz w:val="20"/>
        </w:rPr>
        <w:t xml:space="preserve">Lastly, CECOs reported results for the second quarter and six months ended June 30, 2007 included a non-cash interest charge of $740,000 related to the unamortized discount on subordinated debt which was expensed due to retirement of the debt using proceeds from a secondary stock offering. </w:t>
      </w:r>
    </w:p>
    <w:p>
      <w:pPr>
        <w:pStyle w:val="TextBody"/>
        <w:spacing w:before="180" w:after="0"/>
        <w:rPr>
          <w:rFonts w:ascii="Times New Roman" w:hAnsi="Times New Roman"/>
          <w:sz w:val="20"/>
        </w:rPr>
      </w:pPr>
      <w:r>
        <w:rPr>
          <w:rFonts w:ascii="Times New Roman" w:hAnsi="Times New Roman"/>
          <w:sz w:val="20"/>
        </w:rPr>
        <w:t xml:space="preserve">Backlog as of June 30, 2008 was $88.1 million compared to $85.5 million as of December 31, 2007. </w:t>
      </w:r>
    </w:p>
    <w:p>
      <w:pPr>
        <w:pStyle w:val="TextBody"/>
        <w:spacing w:before="180" w:after="0"/>
        <w:rPr>
          <w:rFonts w:ascii="Times New Roman" w:hAnsi="Times New Roman"/>
          <w:sz w:val="20"/>
        </w:rPr>
      </w:pPr>
      <w:r>
        <w:rPr>
          <w:rFonts w:ascii="Times New Roman" w:hAnsi="Times New Roman"/>
          <w:sz w:val="20"/>
        </w:rPr>
        <w:t xml:space="preserve">Chairman and CEO, Phillip DeZwirek, stated, We continue to be optimistic about our 2008 fiscal year. Earlier this week we announced the acquisitions of Flextor, Inc. and A.V.C. Specialists, Inc. We expect that both of these acquisitions will be accretive to both CECOs revenues and earnings. The acquisition of Flextor fits in well with our goal of expanding our international business and the acquisition of AVC increases our traditionally high margin parts business. We anticipate immediate ongoing contributions from these newly acquired entities as well as from our recent acquisitions of FKI, Inc. and GMD Environmental Technologies and we will continue to pursue our strategy of vertical and horizontal integration. </w:t>
      </w:r>
    </w:p>
    <w:p>
      <w:pPr>
        <w:pStyle w:val="TextBody"/>
        <w:spacing w:before="180" w:after="0"/>
        <w:rPr>
          <w:rFonts w:ascii="Times New Roman" w:hAnsi="Times New Roman"/>
          <w:sz w:val="20"/>
        </w:rPr>
      </w:pPr>
      <w:r>
        <w:rPr>
          <w:rFonts w:ascii="Times New Roman" w:hAnsi="Times New Roman"/>
          <w:sz w:val="20"/>
        </w:rPr>
        <w:t xml:space="preserve">President and Chief Operating Officer, Richard Blum, stated, Our quarter and six month results continue to be impacted by the unsettled claim for expenses related to our large 2007 contracting project which we now anticipate will be resolved by the end of the third quarter. Looking ahead, we are delighted to see many bright spots in our results. Revenues in our equipment group have increased significantly for the quarter and six month periods and reflect a shift in our sales mix to higher margin products. These increased revenues have come from our Effox subsidiary, which was acquired in March of 2007, and our FKI subsidiary which was acquired in March of this year. All of our recent acquisitions have provided us access to new robust markets such as the power industry and refining industry as well as expansion into more diverse international markets. </w:t>
      </w:r>
    </w:p>
    <w:p>
      <w:pPr>
        <w:pStyle w:val="TextBody"/>
        <w:spacing w:before="180" w:after="0"/>
        <w:rPr>
          <w:rFonts w:ascii="Times New Roman" w:hAnsi="Times New Roman"/>
          <w:sz w:val="20"/>
        </w:rPr>
      </w:pPr>
      <w:r>
        <w:rPr>
          <w:rFonts w:ascii="Times New Roman" w:hAnsi="Times New Roman"/>
          <w:sz w:val="20"/>
        </w:rPr>
        <w:t xml:space="preserve">CECO will host a conference call on Thursday, August 7, 2008 at 10:30 a.m. EDT to review its financial results for the quarter. Conferencing details are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335"/>
        <w:gridCol w:w="115"/>
        <w:gridCol w:w="7755"/>
      </w:tblGrid>
      <w:tr>
        <w:trPr/>
        <w:tc>
          <w:tcPr>
            <w:tcW w:w="23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7755" w:type="dxa"/>
            <w:tcBorders/>
            <w:shd w:fill="auto" w:val="clear"/>
            <w:vAlign w:val="center"/>
          </w:tcPr>
          <w:p>
            <w:pPr>
              <w:pStyle w:val="TableContents"/>
              <w:spacing w:before="0" w:after="283"/>
              <w:rPr>
                <w:sz w:val="4"/>
                <w:szCs w:val="4"/>
              </w:rPr>
            </w:pPr>
            <w:r>
              <w:rPr>
                <w:sz w:val="4"/>
                <w:szCs w:val="4"/>
              </w:rPr>
            </w:r>
          </w:p>
        </w:tc>
      </w:tr>
      <w:tr>
        <w:trPr/>
        <w:tc>
          <w:tcPr>
            <w:tcW w:w="2335" w:type="dxa"/>
            <w:tcBorders/>
            <w:shd w:fill="auto" w:val="clear"/>
          </w:tcPr>
          <w:p>
            <w:pPr>
              <w:pStyle w:val="TableContents"/>
              <w:spacing w:before="0" w:after="283"/>
              <w:rPr>
                <w:rFonts w:ascii="Times New Roman" w:hAnsi="Times New Roman"/>
                <w:sz w:val="20"/>
              </w:rPr>
            </w:pPr>
            <w:r>
              <w:rPr>
                <w:rFonts w:ascii="Times New Roman" w:hAnsi="Times New Roman"/>
                <w:sz w:val="20"/>
              </w:rPr>
              <w:t>Dial in number:</w:t>
            </w:r>
          </w:p>
        </w:tc>
        <w:tc>
          <w:tcPr>
            <w:tcW w:w="115" w:type="dxa"/>
            <w:tcBorders/>
            <w:shd w:fill="auto" w:val="clear"/>
            <w:vAlign w:val="bottom"/>
          </w:tcPr>
          <w:p>
            <w:pPr>
              <w:pStyle w:val="TableContents"/>
              <w:spacing w:before="0" w:after="283"/>
              <w:rPr/>
            </w:pPr>
            <w:r>
              <w:rPr/>
              <w:t> </w:t>
            </w:r>
          </w:p>
        </w:tc>
        <w:tc>
          <w:tcPr>
            <w:tcW w:w="77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866-203-3436</w:t>
            </w:r>
          </w:p>
        </w:tc>
      </w:tr>
      <w:tr>
        <w:trPr/>
        <w:tc>
          <w:tcPr>
            <w:tcW w:w="2335" w:type="dxa"/>
            <w:tcBorders/>
            <w:shd w:fill="auto" w:val="clear"/>
          </w:tcPr>
          <w:p>
            <w:pPr>
              <w:pStyle w:val="TableContents"/>
              <w:spacing w:before="0" w:after="283"/>
              <w:rPr>
                <w:rFonts w:ascii="Times New Roman" w:hAnsi="Times New Roman"/>
                <w:sz w:val="20"/>
              </w:rPr>
            </w:pPr>
            <w:r>
              <w:rPr>
                <w:rFonts w:ascii="Times New Roman" w:hAnsi="Times New Roman"/>
                <w:sz w:val="20"/>
              </w:rPr>
              <w:t>International dial in number:</w:t>
            </w:r>
          </w:p>
        </w:tc>
        <w:tc>
          <w:tcPr>
            <w:tcW w:w="115" w:type="dxa"/>
            <w:tcBorders/>
            <w:shd w:fill="auto" w:val="clear"/>
            <w:vAlign w:val="bottom"/>
          </w:tcPr>
          <w:p>
            <w:pPr>
              <w:pStyle w:val="TableContents"/>
              <w:spacing w:before="0" w:after="283"/>
              <w:rPr/>
            </w:pPr>
            <w:r>
              <w:rPr/>
              <w:t> </w:t>
            </w:r>
          </w:p>
        </w:tc>
        <w:tc>
          <w:tcPr>
            <w:tcW w:w="77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617-213-8849</w:t>
            </w:r>
          </w:p>
        </w:tc>
      </w:tr>
      <w:tr>
        <w:trPr/>
        <w:tc>
          <w:tcPr>
            <w:tcW w:w="2335" w:type="dxa"/>
            <w:tcBorders/>
            <w:shd w:fill="auto" w:val="clear"/>
          </w:tcPr>
          <w:p>
            <w:pPr>
              <w:pStyle w:val="TableContents"/>
              <w:spacing w:before="0" w:after="283"/>
              <w:rPr>
                <w:rFonts w:ascii="Times New Roman" w:hAnsi="Times New Roman"/>
                <w:sz w:val="20"/>
              </w:rPr>
            </w:pPr>
            <w:r>
              <w:rPr>
                <w:rFonts w:ascii="Times New Roman" w:hAnsi="Times New Roman"/>
                <w:sz w:val="20"/>
              </w:rPr>
              <w:t>Participant pass code:</w:t>
            </w:r>
          </w:p>
        </w:tc>
        <w:tc>
          <w:tcPr>
            <w:tcW w:w="115" w:type="dxa"/>
            <w:tcBorders/>
            <w:shd w:fill="auto" w:val="clear"/>
            <w:vAlign w:val="bottom"/>
          </w:tcPr>
          <w:p>
            <w:pPr>
              <w:pStyle w:val="TableContents"/>
              <w:spacing w:before="0" w:after="283"/>
              <w:rPr/>
            </w:pPr>
            <w:r>
              <w:rPr/>
              <w:t> </w:t>
            </w:r>
          </w:p>
        </w:tc>
        <w:tc>
          <w:tcPr>
            <w:tcW w:w="77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56465149</w:t>
            </w:r>
          </w:p>
        </w:tc>
      </w:tr>
      <w:tr>
        <w:trPr/>
        <w:tc>
          <w:tcPr>
            <w:tcW w:w="2335" w:type="dxa"/>
            <w:tcBorders/>
            <w:shd w:fill="auto" w:val="clear"/>
          </w:tcPr>
          <w:p>
            <w:pPr>
              <w:pStyle w:val="TableContents"/>
              <w:spacing w:before="0" w:after="283"/>
              <w:rPr>
                <w:rFonts w:ascii="Times New Roman" w:hAnsi="Times New Roman"/>
                <w:sz w:val="20"/>
              </w:rPr>
            </w:pPr>
            <w:r>
              <w:rPr>
                <w:rFonts w:ascii="Times New Roman" w:hAnsi="Times New Roman"/>
                <w:sz w:val="20"/>
              </w:rPr>
              <w:t>Replay:</w:t>
            </w:r>
          </w:p>
        </w:tc>
        <w:tc>
          <w:tcPr>
            <w:tcW w:w="115" w:type="dxa"/>
            <w:tcBorders/>
            <w:shd w:fill="auto" w:val="clear"/>
            <w:vAlign w:val="bottom"/>
          </w:tcPr>
          <w:p>
            <w:pPr>
              <w:pStyle w:val="TableContents"/>
              <w:spacing w:before="0" w:after="283"/>
              <w:rPr/>
            </w:pPr>
            <w:r>
              <w:rPr/>
              <w:t> </w:t>
            </w:r>
          </w:p>
        </w:tc>
        <w:tc>
          <w:tcPr>
            <w:tcW w:w="77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888-286-8010</w:t>
            </w:r>
          </w:p>
        </w:tc>
      </w:tr>
      <w:tr>
        <w:trPr/>
        <w:tc>
          <w:tcPr>
            <w:tcW w:w="2335" w:type="dxa"/>
            <w:tcBorders/>
            <w:shd w:fill="auto" w:val="clear"/>
          </w:tcPr>
          <w:p>
            <w:pPr>
              <w:pStyle w:val="TableContents"/>
              <w:spacing w:before="0" w:after="283"/>
              <w:rPr>
                <w:rFonts w:ascii="Times New Roman" w:hAnsi="Times New Roman"/>
                <w:sz w:val="20"/>
              </w:rPr>
            </w:pPr>
            <w:r>
              <w:rPr>
                <w:rFonts w:ascii="Times New Roman" w:hAnsi="Times New Roman"/>
                <w:sz w:val="20"/>
              </w:rPr>
              <w:t>Pass code:</w:t>
            </w:r>
          </w:p>
        </w:tc>
        <w:tc>
          <w:tcPr>
            <w:tcW w:w="115" w:type="dxa"/>
            <w:tcBorders/>
            <w:shd w:fill="auto" w:val="clear"/>
            <w:vAlign w:val="bottom"/>
          </w:tcPr>
          <w:p>
            <w:pPr>
              <w:pStyle w:val="TableContents"/>
              <w:spacing w:before="0" w:after="283"/>
              <w:rPr/>
            </w:pPr>
            <w:r>
              <w:rPr/>
              <w:t> </w:t>
            </w:r>
          </w:p>
        </w:tc>
        <w:tc>
          <w:tcPr>
            <w:tcW w:w="775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63601365</w:t>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Corp. is North Americas largest independent air pollution control company. Through its subsidiaries  Busch, CECOaire, CECO Filters, CECO Abatement Systems, kbd/Technic, Kirk &amp; Blum, H. M. White, Inc., Effox, GMD, FKI, Flextor and AVC Specialists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 </w:t>
      </w:r>
    </w:p>
    <w:p>
      <w:pPr>
        <w:pStyle w:val="TextBody"/>
        <w:spacing w:before="180" w:after="0"/>
        <w:rPr>
          <w:rFonts w:ascii="Times New Roman" w:hAnsi="Times New Roman"/>
          <w:sz w:val="20"/>
        </w:rPr>
      </w:pPr>
      <w:r>
        <w:rPr>
          <w:rFonts w:ascii="Times New Roman" w:hAnsi="Times New Roman"/>
          <w:sz w:val="20"/>
        </w:rPr>
        <w:t xml:space="preserve">For more information on CECO Environmental please visit the Companys website at http://www.cecoenviro.com/ </w:t>
      </w:r>
    </w:p>
    <w:p>
      <w:pPr>
        <w:pStyle w:val="TextBody"/>
        <w:spacing w:before="180" w:after="0"/>
        <w:rPr>
          <w:rFonts w:ascii="Times New Roman" w:hAnsi="Times New Roman"/>
          <w:sz w:val="20"/>
        </w:rPr>
      </w:pPr>
      <w:r>
        <w:rPr>
          <w:rFonts w:ascii="Times New Roman" w:hAnsi="Times New Roman"/>
          <w:sz w:val="20"/>
        </w:rPr>
        <w:t xml:space="preserve">Contact: </w:t>
      </w:r>
    </w:p>
    <w:p>
      <w:pPr>
        <w:pStyle w:val="TextBody"/>
        <w:spacing w:before="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Phillip DeZwirek, CECO Environmental Corp. </w:t>
      </w:r>
    </w:p>
    <w:p>
      <w:pPr>
        <w:pStyle w:val="TextBody"/>
        <w:spacing w:before="0" w:after="0"/>
        <w:rPr>
          <w:rFonts w:ascii="Times New Roman" w:hAnsi="Times New Roman"/>
          <w:sz w:val="20"/>
        </w:rPr>
      </w:pPr>
      <w:r>
        <w:rPr>
          <w:rFonts w:ascii="Times New Roman" w:hAnsi="Times New Roman"/>
          <w:sz w:val="20"/>
        </w:rPr>
        <w:t xml:space="preserve">Email: investors@cecoenviro.com </w:t>
      </w:r>
    </w:p>
    <w:p>
      <w:pPr>
        <w:pStyle w:val="TextBody"/>
        <w:spacing w:before="0" w:after="0"/>
        <w:rPr>
          <w:rFonts w:ascii="Times New Roman" w:hAnsi="Times New Roman"/>
          <w:sz w:val="20"/>
        </w:rPr>
      </w:pPr>
      <w:r>
        <w:rPr>
          <w:rFonts w:ascii="Times New Roman" w:hAnsi="Times New Roman"/>
          <w:sz w:val="20"/>
        </w:rPr>
        <w:t xml:space="preserve">1-800-606-CECO (2326) </w:t>
      </w:r>
    </w:p>
    <w:p>
      <w:pPr>
        <w:pStyle w:val="TextBody"/>
        <w:spacing w:before="180" w:after="0"/>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Such forward-looking statements may be identified by words such as believe, anticipate, intend, expect, may, could, would, will, should, plan, or similar statements. All forward-looking statements are based largely on current expectations, beliefs and assumptions concerning future events that are subject to certain substantial risks and uncertainties. These risks and uncertainties, which are more fully described in CECOs Annual and Quarterly Reports filed with the Securities and Exchange Commission, include changes in economic conditions and changes in market conditions in the industries in which the Company operates. Should one or more of these risks or uncertainties materialize, or should the assumptions prove incorrect, actual results may vary in material aspects from those currently anticipated. </w:t>
      </w:r>
      <w:r>
        <w:br w:type="page"/>
      </w:r>
    </w:p>
    <w:p>
      <w:pPr>
        <w:pStyle w:val="HorizontalLine"/>
        <w:pBdr>
          <w:bottom w:val="double" w:sz="6" w:space="0" w:color="999999"/>
        </w:pBdr>
        <w:rPr/>
      </w:pPr>
      <w:r>
        <w:rPr/>
      </w:r>
    </w:p>
    <w:p>
      <w:pPr>
        <w:pStyle w:val="TextBody"/>
        <w:spacing w:before="0" w:after="0"/>
        <w:jc w:val="center"/>
        <w:rPr>
          <w:rFonts w:ascii="Times New Roman" w:hAnsi="Times New Roman"/>
          <w:sz w:val="20"/>
          <w:u w:val="single"/>
        </w:rPr>
      </w:pPr>
      <w:r>
        <w:rPr>
          <w:rFonts w:ascii="Times New Roman" w:hAnsi="Times New Roman"/>
          <w:sz w:val="20"/>
          <w:u w:val="single"/>
        </w:rPr>
        <w:t xml:space="preserve">CECO ENVIRONMENTAL CORP. </w:t>
      </w:r>
    </w:p>
    <w:p>
      <w:pPr>
        <w:pStyle w:val="TextBody"/>
        <w:spacing w:before="180" w:after="0"/>
        <w:jc w:val="center"/>
        <w:rPr>
          <w:rFonts w:ascii="Times New Roman" w:hAnsi="Times New Roman"/>
          <w:sz w:val="20"/>
        </w:rPr>
      </w:pPr>
      <w:r>
        <w:rPr>
          <w:rFonts w:ascii="Times New Roman" w:hAnsi="Times New Roman"/>
          <w:sz w:val="20"/>
        </w:rPr>
        <w:t xml:space="preserve">CONSOLIDATED STATEMENTS OF OPERATIONS </w:t>
      </w:r>
    </w:p>
    <w:p>
      <w:pPr>
        <w:pStyle w:val="TextBody"/>
        <w:spacing w:before="0" w:after="0"/>
        <w:jc w:val="center"/>
        <w:rPr>
          <w:rFonts w:ascii="Times New Roman" w:hAnsi="Times New Roman"/>
          <w:sz w:val="20"/>
        </w:rPr>
      </w:pPr>
      <w:r>
        <w:rPr>
          <w:rFonts w:ascii="Times New Roman" w:hAnsi="Times New Roman"/>
          <w:sz w:val="20"/>
        </w:rPr>
        <w:t xml:space="preserve">(unaudited)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Dollars in thousands, except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423"/>
        <w:gridCol w:w="318"/>
        <w:gridCol w:w="125"/>
        <w:gridCol w:w="956"/>
        <w:gridCol w:w="80"/>
        <w:gridCol w:w="272"/>
        <w:gridCol w:w="125"/>
        <w:gridCol w:w="956"/>
        <w:gridCol w:w="80"/>
        <w:gridCol w:w="272"/>
        <w:gridCol w:w="125"/>
        <w:gridCol w:w="955"/>
        <w:gridCol w:w="80"/>
        <w:gridCol w:w="272"/>
        <w:gridCol w:w="125"/>
        <w:gridCol w:w="956"/>
        <w:gridCol w:w="85"/>
      </w:tblGrid>
      <w:tr>
        <w:trPr/>
        <w:tc>
          <w:tcPr>
            <w:tcW w:w="4423"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442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51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JUNE 30,</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2513" w:type="dxa"/>
            <w:gridSpan w:val="6"/>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SIX MONTHS ENDED</w:t>
            </w:r>
            <w:r>
              <w:rPr/>
              <w:br/>
            </w:r>
            <w:r>
              <w:rPr>
                <w:rFonts w:ascii="Times New Roman" w:hAnsi="Times New Roman"/>
                <w:b/>
                <w:sz w:val="14"/>
              </w:rPr>
              <w:t>JUNE 30,</w:t>
            </w:r>
          </w:p>
        </w:tc>
        <w:tc>
          <w:tcPr>
            <w:tcW w:w="85" w:type="dxa"/>
            <w:tcBorders/>
            <w:shd w:fill="auto"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2008</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0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2007</w:t>
            </w:r>
          </w:p>
        </w:tc>
        <w:tc>
          <w:tcPr>
            <w:tcW w:w="85" w:type="dxa"/>
            <w:tcBorders/>
            <w:shd w:fill="auto" w:val="clear"/>
            <w:vAlign w:val="bottom"/>
          </w:tcPr>
          <w:p>
            <w:pPr>
              <w:pStyle w:val="TableContents"/>
              <w:spacing w:before="0" w:after="283"/>
              <w:rPr/>
            </w:pPr>
            <w:r>
              <w:rPr/>
              <w:t> </w:t>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57,446</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59,247</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104,308</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102,710</w:t>
            </w:r>
          </w:p>
        </w:tc>
        <w:tc>
          <w:tcPr>
            <w:tcW w:w="85" w:type="dxa"/>
            <w:tcBorders/>
            <w:shd w:fill="CCEEFF"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46,616</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49,336</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86,836</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84,962</w:t>
            </w:r>
          </w:p>
        </w:tc>
        <w:tc>
          <w:tcPr>
            <w:tcW w:w="85" w:type="dxa"/>
            <w:tcBorders/>
            <w:shd w:fill="CCEEFF" w:val="clear"/>
            <w:vAlign w:val="bottom"/>
          </w:tcPr>
          <w:p>
            <w:pPr>
              <w:pStyle w:val="TableContents"/>
              <w:spacing w:before="0" w:after="283"/>
              <w:rPr/>
            </w:pPr>
            <w:r>
              <w:rPr/>
              <w:t> </w:t>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7,977</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6,204</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14,763</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11,221</w:t>
            </w:r>
          </w:p>
        </w:tc>
        <w:tc>
          <w:tcPr>
            <w:tcW w:w="85" w:type="dxa"/>
            <w:tcBorders/>
            <w:shd w:fill="auto" w:val="clear"/>
            <w:vAlign w:val="bottom"/>
          </w:tcPr>
          <w:p>
            <w:pPr>
              <w:pStyle w:val="TableContents"/>
              <w:spacing w:before="0" w:after="283"/>
              <w:rPr/>
            </w:pPr>
            <w:r>
              <w:rPr/>
              <w:t> </w:t>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1,386</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726</w:t>
            </w:r>
          </w:p>
        </w:tc>
        <w:tc>
          <w:tcPr>
            <w:tcW w:w="85" w:type="dxa"/>
            <w:tcBorders/>
            <w:shd w:fill="CCEEFF"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55,388</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55,940</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102,985</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96,909</w:t>
            </w:r>
          </w:p>
        </w:tc>
        <w:tc>
          <w:tcPr>
            <w:tcW w:w="85" w:type="dxa"/>
            <w:tcBorders/>
            <w:shd w:fill="auto"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2,058</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3,307</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1,323</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5,801</w:t>
            </w:r>
          </w:p>
        </w:tc>
        <w:tc>
          <w:tcPr>
            <w:tcW w:w="85" w:type="dxa"/>
            <w:tcBorders/>
            <w:shd w:fill="CCEEFF" w:val="clear"/>
            <w:vAlign w:val="bottom"/>
          </w:tcPr>
          <w:p>
            <w:pPr>
              <w:pStyle w:val="TableContents"/>
              <w:spacing w:before="0" w:after="283"/>
              <w:rPr/>
            </w:pPr>
            <w:r>
              <w:rPr/>
              <w:t> </w:t>
            </w:r>
          </w:p>
        </w:tc>
      </w:tr>
      <w:tr>
        <w:trPr>
          <w:trHeight w:val="120" w:hRule="atLeast"/>
        </w:trPr>
        <w:tc>
          <w:tcPr>
            <w:tcW w:w="4423" w:type="dxa"/>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438" w:type="dxa"/>
            <w:gridSpan w:val="4"/>
            <w:tcBorders/>
            <w:shd w:fill="auto" w:val="clear"/>
            <w:vAlign w:val="center"/>
          </w:tcPr>
          <w:p>
            <w:pPr>
              <w:pStyle w:val="TableContents"/>
              <w:spacing w:before="0" w:after="283"/>
              <w:rPr>
                <w:sz w:val="4"/>
                <w:szCs w:val="4"/>
              </w:rPr>
            </w:pPr>
            <w:r>
              <w:rPr>
                <w:sz w:val="4"/>
                <w:szCs w:val="4"/>
              </w:rPr>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Other income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85" w:type="dxa"/>
            <w:tcBorders/>
            <w:shd w:fill="auto" w:val="clear"/>
            <w:vAlign w:val="bottom"/>
          </w:tcPr>
          <w:p>
            <w:pPr>
              <w:pStyle w:val="TableContents"/>
              <w:spacing w:before="0" w:after="283"/>
              <w:rPr/>
            </w:pPr>
            <w:r>
              <w:rPr/>
              <w:t> </w:t>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(including related party interest of $0 and $864, and $0 and $1,101, respectively)</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(1,718</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continuing operations before income taxes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1,688</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2,153</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744</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4,092</w:t>
            </w:r>
          </w:p>
        </w:tc>
        <w:tc>
          <w:tcPr>
            <w:tcW w:w="85" w:type="dxa"/>
            <w:tcBorders/>
            <w:shd w:fill="auto" w:val="clear"/>
            <w:vAlign w:val="bottom"/>
          </w:tcPr>
          <w:p>
            <w:pPr>
              <w:pStyle w:val="TableContents"/>
              <w:spacing w:before="0" w:after="283"/>
              <w:rPr/>
            </w:pPr>
            <w:r>
              <w:rPr/>
              <w:t> </w:t>
            </w:r>
          </w:p>
        </w:tc>
      </w:tr>
      <w:tr>
        <w:trPr>
          <w:trHeight w:val="120" w:hRule="atLeast"/>
        </w:trPr>
        <w:tc>
          <w:tcPr>
            <w:tcW w:w="4423" w:type="dxa"/>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438" w:type="dxa"/>
            <w:gridSpan w:val="4"/>
            <w:tcBorders/>
            <w:shd w:fill="auto" w:val="clear"/>
            <w:vAlign w:val="center"/>
          </w:tcPr>
          <w:p>
            <w:pPr>
              <w:pStyle w:val="TableContents"/>
              <w:spacing w:before="0" w:after="283"/>
              <w:rPr>
                <w:sz w:val="4"/>
                <w:szCs w:val="4"/>
              </w:rPr>
            </w:pPr>
            <w:r>
              <w:rPr>
                <w:sz w:val="4"/>
                <w:szCs w:val="4"/>
              </w:rPr>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provision</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659</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1,006</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1,801</w:t>
            </w:r>
          </w:p>
        </w:tc>
        <w:tc>
          <w:tcPr>
            <w:tcW w:w="85" w:type="dxa"/>
            <w:tcBorders/>
            <w:shd w:fill="CCEEFF"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6"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1,029</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454</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2,291</w:t>
            </w:r>
          </w:p>
        </w:tc>
        <w:tc>
          <w:tcPr>
            <w:tcW w:w="85" w:type="dxa"/>
            <w:tcBorders/>
            <w:shd w:fill="auto"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5"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6"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income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85" w:type="dxa"/>
            <w:tcBorders/>
            <w:shd w:fill="auto"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income</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0.08</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85" w:type="dxa"/>
            <w:tcBorders/>
            <w:shd w:fill="CCEEFF"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6"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4423" w:type="dxa"/>
            <w:tcBorders/>
            <w:shd w:fill="auto" w:val="clear"/>
            <w:vAlign w:val="center"/>
          </w:tcPr>
          <w:p>
            <w:pPr>
              <w:pStyle w:val="TableContents"/>
              <w:spacing w:before="0" w:after="283"/>
              <w:rPr>
                <w:sz w:val="4"/>
                <w:szCs w:val="4"/>
              </w:rPr>
            </w:pPr>
            <w:r>
              <w:rPr>
                <w:sz w:val="4"/>
                <w:szCs w:val="4"/>
              </w:rPr>
            </w:r>
          </w:p>
        </w:tc>
        <w:tc>
          <w:tcPr>
            <w:tcW w:w="1479" w:type="dxa"/>
            <w:gridSpan w:val="4"/>
            <w:tcBorders/>
            <w:shd w:fill="auto" w:val="clear"/>
            <w:vAlign w:val="center"/>
          </w:tcPr>
          <w:p>
            <w:pPr>
              <w:pStyle w:val="TableContents"/>
              <w:spacing w:before="0" w:after="283"/>
              <w:rPr>
                <w:sz w:val="4"/>
                <w:szCs w:val="4"/>
              </w:rPr>
            </w:pPr>
            <w:r>
              <w:rPr>
                <w:sz w:val="4"/>
                <w:szCs w:val="4"/>
              </w:rPr>
            </w:r>
          </w:p>
        </w:tc>
        <w:tc>
          <w:tcPr>
            <w:tcW w:w="1433" w:type="dxa"/>
            <w:gridSpan w:val="4"/>
            <w:tcBorders/>
            <w:shd w:fill="auto" w:val="clear"/>
            <w:vAlign w:val="center"/>
          </w:tcPr>
          <w:p>
            <w:pPr>
              <w:pStyle w:val="TableContents"/>
              <w:spacing w:before="0" w:after="283"/>
              <w:rPr>
                <w:sz w:val="4"/>
                <w:szCs w:val="4"/>
              </w:rPr>
            </w:pPr>
            <w:r>
              <w:rPr>
                <w:sz w:val="4"/>
                <w:szCs w:val="4"/>
              </w:rPr>
            </w:r>
          </w:p>
        </w:tc>
        <w:tc>
          <w:tcPr>
            <w:tcW w:w="1432" w:type="dxa"/>
            <w:gridSpan w:val="4"/>
            <w:tcBorders/>
            <w:shd w:fill="auto" w:val="clear"/>
            <w:vAlign w:val="center"/>
          </w:tcPr>
          <w:p>
            <w:pPr>
              <w:pStyle w:val="TableContents"/>
              <w:spacing w:before="0" w:after="283"/>
              <w:rPr>
                <w:sz w:val="4"/>
                <w:szCs w:val="4"/>
              </w:rPr>
            </w:pPr>
            <w:r>
              <w:rPr>
                <w:sz w:val="4"/>
                <w:szCs w:val="4"/>
              </w:rPr>
            </w:r>
          </w:p>
        </w:tc>
        <w:tc>
          <w:tcPr>
            <w:tcW w:w="1438" w:type="dxa"/>
            <w:gridSpan w:val="4"/>
            <w:tcBorders/>
            <w:shd w:fill="auto" w:val="clear"/>
            <w:vAlign w:val="center"/>
          </w:tcPr>
          <w:p>
            <w:pPr>
              <w:pStyle w:val="TableContents"/>
              <w:spacing w:before="0" w:after="283"/>
              <w:rPr>
                <w:sz w:val="4"/>
                <w:szCs w:val="4"/>
              </w:rPr>
            </w:pPr>
            <w:r>
              <w:rPr>
                <w:sz w:val="4"/>
                <w:szCs w:val="4"/>
              </w:rPr>
            </w:r>
          </w:p>
        </w:tc>
      </w:tr>
      <w:tr>
        <w:trPr/>
        <w:tc>
          <w:tcPr>
            <w:tcW w:w="4423" w:type="dxa"/>
            <w:tcBorders/>
            <w:shd w:fill="CCEEFF" w:val="clear"/>
          </w:tcPr>
          <w:p>
            <w:pPr>
              <w:pStyle w:val="TableContents"/>
              <w:spacing w:before="0" w:after="283"/>
              <w:rPr>
                <w:rFonts w:ascii="Times New Roman" w:hAnsi="Times New Roman"/>
                <w:sz w:val="20"/>
              </w:rPr>
            </w:pPr>
            <w:r>
              <w:rPr>
                <w:rFonts w:ascii="Times New Roman" w:hAnsi="Times New Roman"/>
                <w:sz w:val="20"/>
              </w:rPr>
              <w:t>Basic</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14,780,369</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13,000,124</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14,735,290</w:t>
            </w:r>
          </w:p>
        </w:tc>
        <w:tc>
          <w:tcPr>
            <w:tcW w:w="80"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12,251,694</w:t>
            </w:r>
          </w:p>
        </w:tc>
        <w:tc>
          <w:tcPr>
            <w:tcW w:w="85" w:type="dxa"/>
            <w:tcBorders/>
            <w:shd w:fill="CCEEFF"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423" w:type="dxa"/>
            <w:tcBorders/>
            <w:shd w:fill="auto" w:val="clear"/>
          </w:tcPr>
          <w:p>
            <w:pPr>
              <w:pStyle w:val="TableContents"/>
              <w:spacing w:before="0" w:after="283"/>
              <w:rPr>
                <w:rFonts w:ascii="Times New Roman" w:hAnsi="Times New Roman"/>
                <w:sz w:val="20"/>
              </w:rPr>
            </w:pPr>
            <w:r>
              <w:rPr>
                <w:rFonts w:ascii="Times New Roman" w:hAnsi="Times New Roman"/>
                <w:sz w:val="20"/>
              </w:rPr>
              <w:t>Diluted</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15,207,924</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13,577,836</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15,186,105</w:t>
            </w:r>
          </w:p>
        </w:tc>
        <w:tc>
          <w:tcPr>
            <w:tcW w:w="80"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12,848,505</w:t>
            </w:r>
          </w:p>
        </w:tc>
        <w:tc>
          <w:tcPr>
            <w:tcW w:w="85" w:type="dxa"/>
            <w:tcBorders/>
            <w:shd w:fill="auto" w:val="clear"/>
            <w:vAlign w:val="bottom"/>
          </w:tcPr>
          <w:p>
            <w:pPr>
              <w:pStyle w:val="TableContents"/>
              <w:spacing w:before="0" w:after="283"/>
              <w:rPr/>
            </w:pPr>
            <w:r>
              <w:rPr/>
              <w:t> </w:t>
            </w:r>
          </w:p>
        </w:tc>
      </w:tr>
      <w:tr>
        <w:trPr/>
        <w:tc>
          <w:tcPr>
            <w:tcW w:w="4423"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6"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1787</Words>
  <CharactersWithSpaces>11638</CharactersWithSpaces>
  <Paragraphs>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 dated August 7, 2008.</dc:title>
</cp:coreProperties>
</file>