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149225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13-2566064</w:t>
      </w:r>
    </w:p>
    <w:p>
      <w:pPr>
        <w:spacing w:after="0" w:line="15" w:lineRule="exact"/>
        <w:rPr>
          <w:sz w:val="24"/>
          <w:szCs w:val="24"/>
          <w:color w:val="auto"/>
        </w:rPr>
      </w:pPr>
    </w:p>
    <w:p>
      <w:pPr>
        <w:sectPr>
          <w:pgSz w:w="11900" w:h="16838" w:orient="portrait"/>
          <w:cols w:equalWidth="0" w:num="3">
            <w:col w:w="4600" w:space="720"/>
            <w:col w:w="3020" w:space="720"/>
            <w:col w:w="2140"/>
          </w:cols>
          <w:pgMar w:left="320" w:top="1019" w:right="37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4" w:lineRule="exact"/>
        <w:rPr>
          <w:sz w:val="24"/>
          <w:szCs w:val="24"/>
          <w:color w:val="auto"/>
        </w:rPr>
      </w:pPr>
    </w:p>
    <w:p>
      <w:pPr>
        <w:sectPr>
          <w:pgSz w:w="11900" w:h="16838" w:orient="portrait"/>
          <w:cols w:equalWidth="0" w:num="3">
            <w:col w:w="4500" w:space="720"/>
            <w:col w:w="2940" w:space="720"/>
            <w:col w:w="2320"/>
          </w:cols>
          <w:pgMar w:left="320" w:top="1019" w:right="37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6"/>
          <w:szCs w:val="16"/>
          <w:b w:val="1"/>
          <w:bCs w:val="1"/>
          <w:color w:val="auto"/>
        </w:rPr>
        <w:t>5080 Spectrum Drive</w:t>
      </w:r>
    </w:p>
    <w:p>
      <w:pPr>
        <w:spacing w:after="0" w:line="28"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East Tower, Suite 800E</w:t>
      </w:r>
    </w:p>
    <w:p>
      <w:pPr>
        <w:spacing w:after="0" w:line="19"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Addison</w:t>
      </w:r>
      <w:r>
        <w:rPr>
          <w:rFonts w:ascii="Times New Roman" w:cs="Times New Roman" w:eastAsia="Times New Roman" w:hAnsi="Times New Roman"/>
          <w:sz w:val="16"/>
          <w:szCs w:val="16"/>
          <w:b w:val="1"/>
          <w:bCs w:val="1"/>
          <w:color w:val="auto"/>
        </w:rPr>
        <w:t>, Texas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75001</w:t>
      </w:r>
    </w:p>
    <w:p>
      <w:pPr>
        <w:spacing w:after="0" w:line="38" w:lineRule="exact"/>
        <w:rPr>
          <w:sz w:val="24"/>
          <w:szCs w:val="24"/>
          <w:color w:val="auto"/>
        </w:rPr>
      </w:pPr>
    </w:p>
    <w:p>
      <w:pPr>
        <w:sectPr>
          <w:pgSz w:w="11900" w:h="16838" w:orient="portrait"/>
          <w:cols w:equalWidth="0" w:num="2">
            <w:col w:w="7580" w:space="720"/>
            <w:col w:w="2900"/>
          </w:cols>
          <w:pgMar w:left="320" w:top="1019" w:right="3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3" w:lineRule="exact"/>
        <w:rPr>
          <w:sz w:val="24"/>
          <w:szCs w:val="24"/>
          <w:color w:val="auto"/>
        </w:rPr>
      </w:pPr>
    </w:p>
    <w:p>
      <w:pPr>
        <w:sectPr>
          <w:pgSz w:w="11900" w:h="16838" w:orient="portrait"/>
          <w:cols w:equalWidth="0" w:num="2">
            <w:col w:w="7440" w:space="720"/>
            <w:col w:w="304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1100" w:type="dxa"/>
        <w:tblCellMar>
          <w:top w:w="0" w:type="dxa"/>
          <w:left w:w="0" w:type="dxa"/>
          <w:bottom w:w="0" w:type="dxa"/>
          <w:right w:w="0" w:type="dxa"/>
        </w:tblCellMar>
      </w:tblPr>
      <w:tr>
        <w:trPr>
          <w:trHeight w:val="188"/>
        </w:trPr>
        <w:tc>
          <w:tcPr>
            <w:tcW w:w="310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24, 2026, CECO Environmental Corp. (the “Company”) issued a press release announcing its financial results for the fourth quarter and year ended December 31, 2025. A copy of the press release is furnished as Exhibit 99.1 to this report and is incorporated herein by reference.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10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2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CECO Environmental Reports Fourth Quarter and Full Year 2025 Results</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6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64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6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10553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05535" cy="514350"/>
                    </a:xfrm>
                    <a:prstGeom prst="rect">
                      <a:avLst/>
                    </a:prstGeom>
                    <a:noFill/>
                  </pic:spPr>
                </pic:pic>
              </a:graphicData>
            </a:graphic>
          </wp:anchor>
        </w:drawing>
      </w:r>
    </w:p>
    <w:p>
      <w:pPr>
        <w:spacing w:after="0" w:line="206" w:lineRule="exact"/>
        <w:rPr>
          <w:sz w:val="20"/>
          <w:szCs w:val="20"/>
          <w:color w:val="auto"/>
        </w:rPr>
      </w:pPr>
    </w:p>
    <w:p>
      <w:pPr>
        <w:jc w:val="center"/>
        <w:ind w:right="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CECO ENVIRONMENTAL REPORTS FOURTH QUARTER AND FULL YEAR 2025 RESULTS </w:t>
      </w:r>
      <w:r>
        <w:rPr>
          <w:rFonts w:ascii="Times New Roman" w:cs="Times New Roman" w:eastAsia="Times New Roman" w:hAnsi="Times New Roman"/>
          <w:sz w:val="18"/>
          <w:szCs w:val="18"/>
          <w:i w:val="1"/>
          <w:iCs w:val="1"/>
          <w:color w:val="auto"/>
        </w:rPr>
        <w:t xml:space="preserve">Delivered Multiple Financial Records Including Full Year Orders Greater Than $1 Billion Finished 2025 Strong with Q4 Gross Profit Margins of 35% Announces Strategic Transaction Combining CECO with Thermon Group Raises 2026 Full Year Outlook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Non-Inclusive of Thermon</w:t>
      </w: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ADDISON, TX (February 24, 2026) -- CECO Environmental Corp. (Nasdaq: CECO) ("CECO")</w:t>
      </w:r>
      <w:r>
        <w:rPr>
          <w:rFonts w:ascii="Times New Roman" w:cs="Times New Roman" w:eastAsia="Times New Roman" w:hAnsi="Times New Roman"/>
          <w:sz w:val="18"/>
          <w:szCs w:val="18"/>
          <w:color w:val="auto"/>
        </w:rPr>
        <w:t>, a leading environmentally focused, diversified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industrial company whose solutions protect people, the environment, and industrial equipment, today reported its financial results for the fourth quarter and full year of 2025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well as the separately announced proposed merger transaction with Thermon Group Holdings, Inc. ("Thermon").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Quarter</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$329.3 million, up 50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of $793.1 million, up 47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$214.7 million, up 35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$75.4 million, up 33 percent; Gross margin of 35.1 percent, down 70 basis 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$3.1 million, down 37 percent; non-GAAP net income of $11.1 million, up 12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$29.8 million, up 57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$8.7 million, up $13.1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Year</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$1,064.3 million, up 59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$774.4 million, up 39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$269.2 million, up 37 percent; Gross margin of 34.8 percent, down 40 basis 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$50.1 million, up 285 percent; non-GAAP net income of $32.6 million, up 22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$90.3 million, up 44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$9.6 million, up 30 percent</w:t>
      </w:r>
    </w:p>
    <w:p>
      <w:pPr>
        <w:spacing w:after="0" w:line="30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Todd Gleason, CECO's Chief Executive Officer commented, “We closed the year with our strongest quarter to date, highlighted by order bookings in excess of $300 million, the first time in company history. This performance was primarily driven by a large domestic gas-fired power generation project of approximately $135 million, also a company record in project value. This marks our fifth consecutive quarter with orders above $200 million, underscoring the continued momentum in our core markets as we enter 2026. Revenue of approximately $215 million reflects strong execution against our record and growing backlog, with gross profit margin improving sequentially to 35 percent as we recovered from the seasonal headwinds experienced in the third quarter. Adjusted EBITDA margin of 13.9 percent represents a quarterly record and provides a strong finish to the year. I am also excited to share that today we announced, in a separate press release, a transaction to combine CECO with Thermon – a diversified industrial technology company and a global leader in industrial process heating solutions.”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Fourth quarter operating income was $16.5 million, up $5.2 million or 46 percent when compared to $11.3 million in the fourth quarter 2024. On an adjusted basis, non-GAAP operating income was $24.0 million, up $8.4 million or 54 percent when compared to $15.6 million in the fourth quarter of 2024. Net income was $3.1 million in the quarter, down $1.8 million or 37 percent when compared to $4.9 million in the fourth quarter of 2024. Non-GAAP net income was $11.1 million, up $1.1 million or 12 percent when compared to $9.9 million in the fourth quarter of 2024. Adjusted EBITDA of $29.8 million, reflecting a margin of 13.9 percent, was up 57 percent compared to $19.0 million in the fourth quarter of 2024. Free cash flow in the quarter was $8.7 million, up $13.1 million compared to $(4.4) million in the fourth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Full year operating income - including the impact of the sale of our Global Pump Solutions business in March 2025 - was $105.9 million, up $70.5 million in the year, compared to $35.4 million in 2024. On an adjusted basis, non-GAAP operating income was $68.5 million, up $19.1 million in the year, compared to $49.4 million in 2024. Net income was $50.1 million in the year, compared to $13.0 million in 2024. Non-GAAP net income was $32.6 million, compared to $26.7 million in 2024. Adjusted EBITDA of $90.3 million, reflecting a margin of 11.7 pe</w:t>
      </w:r>
      <w:r>
        <w:rPr>
          <w:rFonts w:ascii="Times New Roman" w:cs="Times New Roman" w:eastAsia="Times New Roman" w:hAnsi="Times New Roman"/>
          <w:sz w:val="18"/>
          <w:szCs w:val="18"/>
          <w:color w:val="0D0D0D"/>
        </w:rPr>
        <w:t>rcent</w:t>
      </w:r>
      <w:r>
        <w:rPr>
          <w:rFonts w:ascii="Times New Roman" w:cs="Times New Roman" w:eastAsia="Times New Roman" w:hAnsi="Times New Roman"/>
          <w:sz w:val="18"/>
          <w:szCs w:val="18"/>
          <w:color w:val="auto"/>
        </w:rPr>
        <w:t>, was up 44 percent compared to $62.8 million in 2024, reflecting a margin of 11.3 pe</w:t>
      </w:r>
      <w:r>
        <w:rPr>
          <w:rFonts w:ascii="Times New Roman" w:cs="Times New Roman" w:eastAsia="Times New Roman" w:hAnsi="Times New Roman"/>
          <w:sz w:val="18"/>
          <w:szCs w:val="18"/>
          <w:color w:val="0D0D0D"/>
        </w:rPr>
        <w:t>rcent</w:t>
      </w:r>
      <w:r>
        <w:rPr>
          <w:rFonts w:ascii="Times New Roman" w:cs="Times New Roman" w:eastAsia="Times New Roman" w:hAnsi="Times New Roman"/>
          <w:sz w:val="18"/>
          <w:szCs w:val="18"/>
          <w:color w:val="auto"/>
        </w:rPr>
        <w:t>. Free cash flow was $9.6 million, up $2.2 million compared to $7.4 million in 2024.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delivered another year of outstanding growth with multiple financial records, highlighted by order bookings of approximately $1.1 billion, up 59% year over year. This performance demonstrates the strength of our opportunity pipeline, which now totals approximately $6.5 billion, an increase of 45 percent from year-end 2024,” added Gleason. “Throughout 2025 and as we enter 2026, we delivered on our leadership position in Power Generation markets, which remain robust. We also drove outstanding results across our diversified industrial air and water businesses, which serve attractive end markets such as data centers, semiconductor, and reshoring activities. The sustainability of our organic and inorganic growth and operating model is solidified by the multiple financial records we achieved over the past few years.”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Raises 2026 Full Year Guidance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raises its 2026 full year outlook to reflect revenue between $925 and $975 million, up approximately 25 percent at the midpoint of the range, and Adjusted EBITDA between $115 and $135 million, up approximately 40 percent at the midpoint of the range. The updated outlook compares with the previous guidance of revenues between $850 and $950 million, and Adjusted EBITDA between $110 and $130 million. The Company reiterates its full year free cash flow of at least 50% of Adjusted EBITDA. The current update to the Company’s 2026 outlook excludes the impact of the proposed merger transaction with Thermon.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entered 2026 with a record sales pipeline, our largest ever backlog and tremendous bookings momentum. We expect our largest markets will remain strong and we have confidence in our proven operating model that we will execute at a high level. With these inputs, we are increasing our full year outlook – which does not include the positive financial impact of our recently announced proposed merger transaction with Thermon, which we expect will close mid-2026. I want to continue to thank our dedicated employees and partners as we deliver for our global customers while we protect people, the environment and industrial equipment,” concluded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fourth quarter and full year 2025 financial results. Please visit the Investor Relations portion of the website (https://investors.cecoenviro.com) to listen to the call via webcast. The conference call may also be accessed by visiting https://edge.media-server.com/mmc/p/esi9fzv8/.</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for a period of one year. The replay may also be accessed by visiting https://edge.media-server.com/mmc/p/esi9fzv8/.</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Addison, Texas. For more information, please visit www.cecoenviro.com.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Marcio Pinto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 Financial Planning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merger transaction (the “Proposed Transaction”) involving Thermon and CECO, among other things. The issuance of shares of CECO common stock in connection with the Proposed Transaction will be submitted to the stockholders of CECO for their consideration, and the Proposed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 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documents filed with the SEC by Thermon will be available free of charge on Thermon’s website at https://ir.thermon.com. The information included on, or accessible through, CECO’s or Thermon’s website is not incorporated by reference into this communication.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CECO, Thermon and certain of their respective directors and executive officers may be deemed to be participants in the solicitation of proxies in respect of the Proposed Transaction.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https://www.sec.gov/ix?doc=/Archives/edgar/data/3197/000155837025004649/ceco-20250520xdef14a.htm), (ii) a Form 8-K filed by CECO on July 24, 2025 (and which is available at https://www.sec.gov/ix?doc=/Archives/edgar/data/0000003197/000095017025098303/ceco-20250718.htm), (iii) a Form 8-K filed by CECO on September 16, 2025 (and which is available at https://www.sec.gov/ix? doc=/Archives/edgar/data/0000003197/000119312525204657/ceco-20250912.htm) and (iv) to the extent holdings of CECO’s securities by the directors or executive officers of CECO have changed since the 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w:t>
      </w:r>
      <w:r>
        <w:rPr>
          <w:rFonts w:ascii="Times New Roman" w:cs="Times New Roman" w:eastAsia="Times New Roman" w:hAnsi="Times New Roman"/>
          <w:sz w:val="18"/>
          <w:szCs w:val="18"/>
          <w:u w:val="single" w:color="auto"/>
          <w:color w:val="467886"/>
        </w:rPr>
        <w:t>https://www.sec.gov/cgi-bin/own-disp?action=getissuer&amp;CIK=0000003197</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https://www.sec.gov/Archives/edgar/data/1489096/000148909625000097/thr-20250618.htm), (ii) a Form 8-K filed by Thermon on</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July 1, 2025 (as amended July 15, 2025) (and which is available at https://www.sec.gov/ix? doc=/Archives/edgar/data/0001489096/000148909625000115/thr-20250701.htm)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w:t>
      </w:r>
      <w:r>
        <w:rPr>
          <w:rFonts w:ascii="Times New Roman" w:cs="Times New Roman" w:eastAsia="Times New Roman" w:hAnsi="Times New Roman"/>
          <w:sz w:val="18"/>
          <w:szCs w:val="18"/>
          <w:u w:val="single" w:color="auto"/>
          <w:color w:val="467886"/>
        </w:rPr>
        <w:t>https://www.sec.gov/cgi-bin/own-disp?action=getissuer&amp;CIK=0001489096</w:t>
      </w:r>
      <w:r>
        <w:rPr>
          <w:rFonts w:ascii="Times New Roman" w:cs="Times New Roman" w:eastAsia="Times New Roman" w:hAnsi="Times New Roman"/>
          <w:sz w:val="18"/>
          <w:szCs w:val="18"/>
          <w:color w:val="000000"/>
        </w:rPr>
        <w:t>.</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communication, but are not limited to, statements regarding the Proposed Transaction,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actual results to differ materially from the forward-looking statements included in this communication.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than expected to achieve those synergies and other important factors that could cause actual results to differ materially from those projected. All such factors are difficult to predict and are beyond CECO’s or Thermon’s control, including those detailed in CECO’s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w:t>
      </w:r>
      <w:r>
        <w:rPr>
          <w:rFonts w:ascii="Times New Roman" w:cs="Times New Roman" w:eastAsia="Times New Roman" w:hAnsi="Times New Roman"/>
          <w:sz w:val="18"/>
          <w:szCs w:val="18"/>
          <w:u w:val="single" w:color="auto"/>
          <w:color w:val="467886"/>
        </w:rPr>
        <w:t>https://www.sec.gov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communication speak as of the date of this communication.</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1269365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7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33,144</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$9,866 and $8,863</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172,909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53,996</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7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410,182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47,808</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288,163</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7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893,769</w:t>
            </w:r>
          </w:p>
        </w:tc>
        <w:tc>
          <w:tcPr>
            <w:tcW w:w="28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debt</w:t>
            </w: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305,830</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210,559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22,961</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570,587</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 shares authorized, none issued</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35,644,537 and</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34,978,009 shares issued and outstanding at December 31, 2025</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2024, respectively</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269,453</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(8,901)</w:t>
            </w:r>
          </w:p>
        </w:tc>
        <w:tc>
          <w:tcPr>
            <w:tcW w:w="5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(14,441)</w:t>
            </w:r>
          </w:p>
        </w:tc>
        <w:tc>
          <w:tcPr>
            <w:tcW w:w="0" w:type="dxa"/>
            <w:vAlign w:val="bottom"/>
          </w:tcPr>
          <w:p>
            <w:pPr>
              <w:spacing w:after="0"/>
              <w:rPr>
                <w:sz w:val="1"/>
                <w:szCs w:val="1"/>
                <w:color w:val="auto"/>
              </w:rPr>
            </w:pPr>
          </w:p>
        </w:tc>
      </w:tr>
      <w:tr>
        <w:trPr>
          <w:trHeight w:val="209"/>
        </w:trPr>
        <w:tc>
          <w:tcPr>
            <w:tcW w:w="66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7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317,528</w:t>
            </w:r>
          </w:p>
        </w:tc>
        <w:tc>
          <w:tcPr>
            <w:tcW w:w="28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Noncontrolling interest</w:t>
            </w: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323,182</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893,769</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03"/>
        </w:trPr>
        <w:tc>
          <w:tcPr>
            <w:tcW w:w="6620" w:type="dxa"/>
            <w:vAlign w:val="bottom"/>
            <w:tcBorders>
              <w:top w:val="single" w:sz="8" w:color="CFF0FC"/>
              <w:bottom w:val="single" w:sz="8" w:color="9A9A9A"/>
            </w:tcBorders>
          </w:tcPr>
          <w:p>
            <w:pPr>
              <w:spacing w:after="0"/>
              <w:rPr>
                <w:sz w:val="24"/>
                <w:szCs w:val="24"/>
                <w:color w:val="auto"/>
              </w:rPr>
            </w:pPr>
          </w:p>
        </w:tc>
        <w:tc>
          <w:tcPr>
            <w:tcW w:w="70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140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-5845810</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-5845810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-4739640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-4739640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-2776855</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-1388110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-814070</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-796290</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20" w:type="dxa"/>
            <w:vAlign w:val="bottom"/>
          </w:tcPr>
          <w:p>
            <w:pPr>
              <w:spacing w:after="0"/>
              <w:rPr>
                <w:sz w:val="20"/>
                <w:szCs w:val="20"/>
                <w:color w:val="auto"/>
              </w:rPr>
            </w:pPr>
          </w:p>
        </w:tc>
        <w:tc>
          <w:tcPr>
            <w:tcW w:w="31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0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416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214,693</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158,566</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774,381</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139,317</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101,865</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75,376</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56,701</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269,226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(63,701)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105,859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Net income attributable to CECO Environmental</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50,051</w:t>
            </w:r>
          </w:p>
        </w:tc>
        <w:tc>
          <w:tcPr>
            <w:tcW w:w="160" w:type="dxa"/>
            <w:vAlign w:val="bottom"/>
          </w:tcPr>
          <w:p>
            <w:pPr>
              <w:spacing w:after="0"/>
              <w:rPr>
                <w:sz w:val="16"/>
                <w:szCs w:val="16"/>
                <w:color w:val="auto"/>
              </w:rPr>
            </w:pPr>
          </w:p>
        </w:tc>
        <w:tc>
          <w:tcPr>
            <w:tcW w:w="4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Corp.</w:t>
            </w:r>
          </w:p>
        </w:tc>
        <w:tc>
          <w:tcPr>
            <w:tcW w:w="2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Income per share:</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35,643,762</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34,978,382</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35,331,105</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34,927,313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36,764,996</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36,559,198</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36,603,956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36,381,910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-2493645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-2493645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-2493645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-2211070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-2211070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-2211070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-1928495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-1928495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-1928495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-822325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-805180</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-822325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-805180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-822325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-805180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gridSpan w:val="5"/>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6"/>
        </w:trPr>
        <w:tc>
          <w:tcPr>
            <w:tcW w:w="7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53,107</w:t>
            </w:r>
          </w:p>
        </w:tc>
        <w:tc>
          <w:tcPr>
            <w:tcW w:w="28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14,421</w:t>
            </w:r>
          </w:p>
        </w:tc>
        <w:tc>
          <w:tcPr>
            <w:tcW w:w="280" w:type="dxa"/>
            <w:vAlign w:val="bottom"/>
          </w:tcPr>
          <w:p>
            <w:pPr>
              <w:spacing w:after="0"/>
              <w:rPr>
                <w:sz w:val="18"/>
                <w:szCs w:val="18"/>
                <w:color w:val="auto"/>
              </w:rPr>
            </w:pPr>
          </w:p>
        </w:tc>
      </w:tr>
      <w:tr>
        <w:trPr>
          <w:trHeight w:val="21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13"/>
        </w:trPr>
        <w:tc>
          <w:tcPr>
            <w:tcW w:w="7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14,523</w:t>
            </w:r>
          </w:p>
        </w:tc>
        <w:tc>
          <w:tcPr>
            <w:tcW w:w="280" w:type="dxa"/>
            <w:vAlign w:val="bottom"/>
          </w:tcPr>
          <w:p>
            <w:pPr>
              <w:spacing w:after="0"/>
              <w:rPr>
                <w:sz w:val="18"/>
                <w:szCs w:val="18"/>
                <w:color w:val="auto"/>
              </w:rPr>
            </w:pPr>
          </w:p>
        </w:tc>
      </w:tr>
      <w:tr>
        <w:trPr>
          <w:trHeight w:val="219"/>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(2,057)</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280" w:type="dxa"/>
            <w:vAlign w:val="bottom"/>
            <w:shd w:val="clear" w:color="auto" w:fill="CFF0FC"/>
          </w:tcPr>
          <w:p>
            <w:pPr>
              <w:spacing w:after="0"/>
              <w:rPr>
                <w:sz w:val="19"/>
                <w:szCs w:val="19"/>
                <w:color w:val="auto"/>
              </w:rPr>
            </w:pPr>
          </w:p>
        </w:tc>
      </w:tr>
      <w:tr>
        <w:trPr>
          <w:trHeight w:val="213"/>
        </w:trPr>
        <w:tc>
          <w:tcPr>
            <w:tcW w:w="7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3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(63,701)</w:t>
            </w:r>
          </w:p>
        </w:tc>
        <w:tc>
          <w:tcPr>
            <w:tcW w:w="3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Loss realized with transfer of pension plan with sale of Global Pump Solutions business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Fair value adjustments to earnout liabilities</w:t>
            </w:r>
          </w:p>
        </w:tc>
        <w:tc>
          <w:tcPr>
            <w:tcW w:w="3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(7,403)</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80" w:type="dxa"/>
            <w:vAlign w:val="bottom"/>
          </w:tcPr>
          <w:p>
            <w:pPr>
              <w:spacing w:after="0"/>
              <w:rPr>
                <w:sz w:val="18"/>
                <w:szCs w:val="18"/>
                <w:color w:val="auto"/>
              </w:rPr>
            </w:pPr>
          </w:p>
        </w:tc>
      </w:tr>
      <w:tr>
        <w:trPr>
          <w:trHeight w:val="219"/>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Loss on sale of property and equipment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80" w:type="dxa"/>
            <w:vAlign w:val="bottom"/>
            <w:shd w:val="clear" w:color="auto" w:fill="CFF0FC"/>
          </w:tcPr>
          <w:p>
            <w:pPr>
              <w:spacing w:after="0"/>
              <w:rPr>
                <w:sz w:val="19"/>
                <w:szCs w:val="19"/>
                <w:color w:val="auto"/>
              </w:rPr>
            </w:pPr>
          </w:p>
        </w:tc>
      </w:tr>
      <w:tr>
        <w:trPr>
          <w:trHeight w:val="213"/>
        </w:trPr>
        <w:tc>
          <w:tcPr>
            <w:tcW w:w="7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80" w:type="dxa"/>
            <w:vAlign w:val="bottom"/>
          </w:tcPr>
          <w:p>
            <w:pPr>
              <w:spacing w:after="0"/>
              <w:rPr>
                <w:sz w:val="18"/>
                <w:szCs w:val="18"/>
                <w:color w:val="auto"/>
              </w:rPr>
            </w:pPr>
          </w:p>
        </w:tc>
      </w:tr>
      <w:tr>
        <w:trPr>
          <w:trHeight w:val="219"/>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13,105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7,514</w:t>
            </w:r>
          </w:p>
        </w:tc>
        <w:tc>
          <w:tcPr>
            <w:tcW w:w="280" w:type="dxa"/>
            <w:vAlign w:val="bottom"/>
            <w:shd w:val="clear" w:color="auto" w:fill="CFF0FC"/>
          </w:tcPr>
          <w:p>
            <w:pPr>
              <w:spacing w:after="0"/>
              <w:rPr>
                <w:sz w:val="19"/>
                <w:szCs w:val="19"/>
                <w:color w:val="auto"/>
              </w:rPr>
            </w:pPr>
          </w:p>
        </w:tc>
      </w:tr>
      <w:tr>
        <w:trPr>
          <w:trHeight w:val="213"/>
        </w:trPr>
        <w:tc>
          <w:tcPr>
            <w:tcW w:w="7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credit (recovery) loss</w:t>
            </w:r>
          </w:p>
        </w:tc>
        <w:tc>
          <w:tcPr>
            <w:tcW w:w="3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(988)</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80" w:type="dxa"/>
            <w:vAlign w:val="bottom"/>
          </w:tcPr>
          <w:p>
            <w:pPr>
              <w:spacing w:after="0"/>
              <w:rPr>
                <w:sz w:val="18"/>
                <w:szCs w:val="18"/>
                <w:color w:val="auto"/>
              </w:rPr>
            </w:pPr>
          </w:p>
        </w:tc>
      </w:tr>
      <w:tr>
        <w:trPr>
          <w:trHeight w:val="219"/>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Inventory obsolescence expense</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(354)</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280" w:type="dxa"/>
            <w:vAlign w:val="bottom"/>
            <w:shd w:val="clear" w:color="auto" w:fill="CFF0FC"/>
          </w:tcPr>
          <w:p>
            <w:pPr>
              <w:spacing w:after="0"/>
              <w:rPr>
                <w:sz w:val="19"/>
                <w:szCs w:val="19"/>
                <w:color w:val="auto"/>
              </w:rPr>
            </w:pPr>
          </w:p>
        </w:tc>
      </w:tr>
      <w:tr>
        <w:trPr>
          <w:trHeight w:val="213"/>
        </w:trPr>
        <w:tc>
          <w:tcPr>
            <w:tcW w:w="7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(3,606)</w:t>
            </w:r>
          </w:p>
        </w:tc>
      </w:tr>
      <w:tr>
        <w:trPr>
          <w:trHeight w:val="21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(6,772)</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(52,355)</w:t>
            </w:r>
          </w:p>
        </w:tc>
      </w:tr>
      <w:tr>
        <w:trPr>
          <w:trHeight w:val="21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Cost and estimated earnings of billings on uncompleted contracts</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(44,833)</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(4,149)</w:t>
            </w: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(3,176)</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(9,814)</w:t>
            </w:r>
          </w:p>
        </w:tc>
      </w:tr>
      <w:tr>
        <w:trPr>
          <w:trHeight w:val="21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(16,831)</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(8,347)</w:t>
            </w: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(12,736)</w:t>
            </w:r>
          </w:p>
        </w:tc>
      </w:tr>
      <w:tr>
        <w:trPr>
          <w:trHeight w:val="21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36,181</w:t>
            </w:r>
          </w:p>
        </w:tc>
        <w:tc>
          <w:tcPr>
            <w:tcW w:w="280" w:type="dxa"/>
            <w:vAlign w:val="bottom"/>
            <w:shd w:val="clear" w:color="auto" w:fill="CFF0FC"/>
          </w:tcPr>
          <w:p>
            <w:pPr>
              <w:spacing w:after="0"/>
              <w:rPr>
                <w:sz w:val="19"/>
                <w:szCs w:val="19"/>
                <w:color w:val="auto"/>
              </w:rPr>
            </w:pP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w:t>
            </w:r>
          </w:p>
        </w:tc>
        <w:tc>
          <w:tcPr>
            <w:tcW w:w="280" w:type="dxa"/>
            <w:vAlign w:val="bottom"/>
          </w:tcPr>
          <w:p>
            <w:pPr>
              <w:spacing w:after="0"/>
              <w:rPr>
                <w:sz w:val="18"/>
                <w:szCs w:val="18"/>
                <w:color w:val="auto"/>
              </w:rPr>
            </w:pPr>
          </w:p>
        </w:tc>
      </w:tr>
      <w:tr>
        <w:trPr>
          <w:trHeight w:val="21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37,903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24,923</w:t>
            </w:r>
          </w:p>
        </w:tc>
        <w:tc>
          <w:tcPr>
            <w:tcW w:w="280" w:type="dxa"/>
            <w:vAlign w:val="bottom"/>
            <w:shd w:val="clear" w:color="auto" w:fill="CFF0FC"/>
          </w:tcPr>
          <w:p>
            <w:pPr>
              <w:spacing w:after="0"/>
              <w:rPr>
                <w:sz w:val="19"/>
                <w:szCs w:val="19"/>
                <w:color w:val="auto"/>
              </w:rPr>
            </w:pP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80" w:type="dxa"/>
            <w:vAlign w:val="bottom"/>
          </w:tcPr>
          <w:p>
            <w:pPr>
              <w:spacing w:after="0"/>
              <w:rPr>
                <w:sz w:val="18"/>
                <w:szCs w:val="18"/>
                <w:color w:val="auto"/>
              </w:rPr>
            </w:pPr>
          </w:p>
        </w:tc>
      </w:tr>
      <w:tr>
        <w:trPr>
          <w:trHeight w:val="205"/>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(9,233)</w:t>
            </w: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280" w:type="dxa"/>
            <w:vAlign w:val="bottom"/>
            <w:shd w:val="clear" w:color="auto" w:fill="CFF0FC"/>
          </w:tcPr>
          <w:p>
            <w:pPr>
              <w:spacing w:after="0"/>
              <w:rPr>
                <w:sz w:val="17"/>
                <w:szCs w:val="17"/>
                <w:color w:val="auto"/>
              </w:rPr>
            </w:pPr>
          </w:p>
        </w:tc>
      </w:tr>
      <w:tr>
        <w:trPr>
          <w:trHeight w:val="196"/>
        </w:trPr>
        <w:tc>
          <w:tcPr>
            <w:tcW w:w="76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5,861</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24,828</w:t>
            </w:r>
          </w:p>
        </w:tc>
        <w:tc>
          <w:tcPr>
            <w:tcW w:w="280" w:type="dxa"/>
            <w:vAlign w:val="bottom"/>
            <w:tcBorders>
              <w:top w:val="single" w:sz="8" w:color="CFF0FC"/>
            </w:tcBorders>
          </w:tcPr>
          <w:p>
            <w:pPr>
              <w:spacing w:after="0"/>
              <w:rPr>
                <w:sz w:val="17"/>
                <w:szCs w:val="17"/>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3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(11,343)</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(17,368)</w:t>
            </w:r>
          </w:p>
        </w:tc>
      </w:tr>
      <w:tr>
        <w:trPr>
          <w:trHeight w:val="21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proceeds for sale of Global Pump Solutions business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107,808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8"/>
                <w:szCs w:val="18"/>
                <w:color w:val="auto"/>
              </w:rPr>
            </w:pPr>
          </w:p>
        </w:tc>
      </w:tr>
      <w:tr>
        <w:trPr>
          <w:trHeight w:val="205"/>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(97,615)</w:t>
            </w:r>
          </w:p>
        </w:tc>
        <w:tc>
          <w:tcPr>
            <w:tcW w:w="3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(87,948)</w:t>
            </w:r>
          </w:p>
        </w:tc>
      </w:tr>
      <w:tr>
        <w:trPr>
          <w:trHeight w:val="20"/>
        </w:trPr>
        <w:tc>
          <w:tcPr>
            <w:tcW w:w="76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7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(1,076)</w:t>
            </w:r>
          </w:p>
        </w:tc>
        <w:tc>
          <w:tcPr>
            <w:tcW w:w="3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(105,312)</w:t>
            </w: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309,300</w:t>
            </w:r>
          </w:p>
        </w:tc>
        <w:tc>
          <w:tcPr>
            <w:tcW w:w="280" w:type="dxa"/>
            <w:vAlign w:val="bottom"/>
          </w:tcPr>
          <w:p>
            <w:pPr>
              <w:spacing w:after="0"/>
              <w:rPr>
                <w:sz w:val="18"/>
                <w:szCs w:val="18"/>
                <w:color w:val="auto"/>
              </w:rPr>
            </w:pPr>
          </w:p>
        </w:tc>
      </w:tr>
      <w:tr>
        <w:trPr>
          <w:trHeight w:val="21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(238,900)</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(112,400)</w:t>
            </w: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(2,203)</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(113,982)</w:t>
            </w: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3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(1,924)</w:t>
            </w:r>
          </w:p>
        </w:tc>
      </w:tr>
      <w:tr>
        <w:trPr>
          <w:trHeight w:val="21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(2,787)</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(2,050)</w:t>
            </w: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financing leases</w:t>
            </w:r>
          </w:p>
        </w:tc>
        <w:tc>
          <w:tcPr>
            <w:tcW w:w="3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(234)</w:t>
            </w: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(925)</w:t>
            </w:r>
          </w:p>
        </w:tc>
      </w:tr>
      <w:tr>
        <w:trPr>
          <w:trHeight w:val="21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Earnout payments</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(2,831)</w:t>
            </w:r>
          </w:p>
        </w:tc>
      </w:tr>
      <w:tr>
        <w:trPr>
          <w:trHeight w:val="189"/>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awards surrendered by employees for tax liability, net of proceeds from employee stock purchase plan</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exercise of stock options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(2,169)</w:t>
            </w:r>
          </w:p>
        </w:tc>
      </w:tr>
      <w:tr>
        <w:trPr>
          <w:trHeight w:val="21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(1,606)</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(2,109)</w:t>
            </w: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(5,000)</w:t>
            </w:r>
          </w:p>
        </w:tc>
      </w:tr>
      <w:tr>
        <w:trPr>
          <w:trHeight w:val="20"/>
        </w:trPr>
        <w:tc>
          <w:tcPr>
            <w:tcW w:w="7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(11,558)</w:t>
            </w: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65,910</w:t>
            </w:r>
          </w:p>
        </w:tc>
        <w:tc>
          <w:tcPr>
            <w:tcW w:w="280" w:type="dxa"/>
            <w:vAlign w:val="bottom"/>
            <w:shd w:val="clear" w:color="auto" w:fill="CFF0FC"/>
          </w:tcPr>
          <w:p>
            <w:pPr>
              <w:spacing w:after="0"/>
              <w:rPr>
                <w:sz w:val="17"/>
                <w:szCs w:val="17"/>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(2,673)</w:t>
            </w:r>
          </w:p>
        </w:tc>
      </w:tr>
      <w:tr>
        <w:trPr>
          <w:trHeight w:val="20"/>
        </w:trPr>
        <w:tc>
          <w:tcPr>
            <w:tcW w:w="7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(4,974)</w:t>
            </w:r>
          </w:p>
        </w:tc>
        <w:tc>
          <w:tcPr>
            <w:tcW w:w="3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(17,247)</w:t>
            </w: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28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33,227</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280" w:type="dxa"/>
            <w:vAlign w:val="bottom"/>
            <w:tcBorders>
              <w:bottom w:val="single" w:sz="8" w:color="CFF0FC"/>
            </w:tcBorders>
            <w:shd w:val="clear" w:color="auto" w:fill="CFF0FC"/>
          </w:tcPr>
          <w:p>
            <w:pPr>
              <w:spacing w:after="0"/>
              <w:rPr>
                <w:sz w:val="20"/>
                <w:szCs w:val="20"/>
                <w:color w:val="auto"/>
              </w:rPr>
            </w:pPr>
          </w:p>
        </w:tc>
      </w:tr>
      <w:tr>
        <w:trPr>
          <w:trHeight w:val="194"/>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45"/>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20,408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13,335</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18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24,731</w:t>
            </w:r>
          </w:p>
        </w:tc>
        <w:tc>
          <w:tcPr>
            <w:tcW w:w="280" w:type="dxa"/>
            <w:vAlign w:val="bottom"/>
          </w:tcPr>
          <w:p>
            <w:pPr>
              <w:spacing w:after="0"/>
              <w:rPr>
                <w:sz w:val="15"/>
                <w:szCs w:val="15"/>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9,550</w:t>
            </w:r>
          </w:p>
        </w:tc>
        <w:tc>
          <w:tcPr>
            <w:tcW w:w="280" w:type="dxa"/>
            <w:vAlign w:val="bottom"/>
          </w:tcPr>
          <w:p>
            <w:pPr>
              <w:spacing w:after="0"/>
              <w:rPr>
                <w:sz w:val="15"/>
                <w:szCs w:val="15"/>
                <w:color w:val="auto"/>
              </w:rPr>
            </w:pPr>
          </w:p>
        </w:tc>
      </w:tr>
      <w:tr>
        <w:trPr>
          <w:trHeight w:val="20"/>
        </w:trPr>
        <w:tc>
          <w:tcPr>
            <w:tcW w:w="7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960"/>
        </w:trPr>
        <w:tc>
          <w:tcPr>
            <w:tcW w:w="7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-4516755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-4516755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-3693795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-3693795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-1653540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-1653540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-1104900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-1087755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-1104900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-1087755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-814070</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-796290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-814070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-796290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 except share data)</w:t>
            </w:r>
          </w:p>
        </w:tc>
        <w:tc>
          <w:tcPr>
            <w:tcW w:w="11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as reported in accordance with GAAP</w:t>
            </w:r>
          </w:p>
        </w:tc>
        <w:tc>
          <w:tcPr>
            <w:tcW w:w="1140" w:type="dxa"/>
            <w:vAlign w:val="bottom"/>
            <w:shd w:val="clear" w:color="auto" w:fill="CFF0FC"/>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expenses</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1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(63.7)</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(expense) benefit of adjustments</w:t>
            </w:r>
          </w:p>
        </w:tc>
        <w:tc>
          <w:tcPr>
            <w:tcW w:w="11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39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14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8"/>
                <w:szCs w:val="18"/>
                <w:color w:val="auto"/>
              </w:rPr>
            </w:pPr>
          </w:p>
        </w:tc>
        <w:tc>
          <w:tcPr>
            <w:tcW w:w="13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1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140" w:type="dxa"/>
            <w:vAlign w:val="bottom"/>
            <w:shd w:val="clear" w:color="auto" w:fill="CFF0FC"/>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-1113790</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-1113790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-1113790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40" w:type="dxa"/>
            <w:vAlign w:val="bottom"/>
          </w:tcPr>
          <w:p>
            <w:pPr>
              <w:spacing w:after="0"/>
              <w:rPr>
                <w:sz w:val="20"/>
                <w:szCs w:val="20"/>
                <w:color w:val="auto"/>
              </w:rPr>
            </w:pPr>
          </w:p>
        </w:tc>
        <w:tc>
          <w:tcPr>
            <w:tcW w:w="336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Tax payments for the sale of the Global Pump</w:t>
            </w:r>
          </w:p>
        </w:tc>
        <w:tc>
          <w:tcPr>
            <w:tcW w:w="24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Solutions business</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CFF0FC"/>
            </w:tcBorders>
            <w:vMerge w:val="continue"/>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1"/>
        </w:trPr>
        <w:tc>
          <w:tcPr>
            <w:tcW w:w="3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-779145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-779145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-779145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-779145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CECO is providing certain non-GAAP historical financial measures as presented above as we believe that these figures are useful to investors and management in evaluating the Company's ongoing financial performance, and we believe that they provide greater transparency to investors as supplemental information to its GAAP results. A "non-GAAP financial measure" is a numerical measure of a company's historical financial performance that excludes amounts that are included in the most directly comparable measure calculated and presented in accordance with GAAP.</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as presented in the financial data included in this press release, have been adjusted to exclude the effects of acquisition and integration expenses; divestiture gains and expenses; amortization expenses for acquisition-related intangible assets; earn-out expenses (income); restructuring expenses; executive transition expenses; asbestos and other legal matter expenses; foreign currency remeasurement; and the associated tax benefit or cost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acquisition and integration expenses; divestiture gains and expenses; amortization expenses for acquisition-related intangible assets; earn-out expenses (income); restructuring expenses; executive transition expenses; asbestos and other legal matter expenses; foreign currency remeasurement; and the associated tax benefit or cost of these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2025 and may be included in subsequently filed Quarterly Reports on Form 10-Q, and include, but are not limited to: risks related to the proposed transaction with Thermon (the “proposed transaction”), including the expected timing and likelihood of completion of the proposed transaction; the timing, receipt and terms and conditions of any required governmental and regulatory approvals, including the expiration or termination of the applicable waiting period under the Hart-Scott-Rodino Antitrust Improvements Act of 1976, as amended, that could reduce anticipated benefits or cause the parties to abandon the proposed transaction;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the risk that any announcements relating to the proposed transaction could have adverse effects on the market price of CECO common stock or Thermon common stock; the risk that the proposed transaction and its announcement could have an adverse effect on the ability of CECO and Thermon to retain customers and retain and hire key personnel and maintain relationships with their suppliers, distributors and customers and on their operating results and businesses generally; the risk that the proposed transaction could distract management of both entities and that they may incur substantial costs; the risk that problems may arise in successfully integrating the businesses of the companies, which may result in the combined company not operating as effectively and efficiently as expected; the risk that the combined company may be unable to achieve expected synergies or other anticipated benefits or it may take longer than expected to achieve those synergies or benefits; and the risk that the combined company's indebtedness may be higher than expected; the effect of other recent acquisitions and the divestiture of our fluid handling business (together with the proposed transaction, the “transactions”) on business relationships, operating results, and business generally; the amount of the costs, fees, expenses and other charges related to such transactions; our ability to successfully integrate acquired businesses and realize the anticipated benefits and synergies from such transactions; the sensitivity of our business to economic and financial market conditions, including changes in interest rates, inflation, geopolitical events, trade policy, tariffs, supply chain disruptions and commodity prices;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or other customer-driven project delays;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including with respect to tax policy; our ability to repurchase shares of our common stock and the amounts and timing of repurchases, if any; our ability to successfully realize the expected benefits of our restructuring program; our ability to optimize our business portfolio by identifying acquisition targets, executing upon any strategic acquisitions or divestitures, integrating acquired businesses and realizing the synergies from strategic transactions; unpredictability and severity of catastrophic events, including cybersecurity threats, acts of terrorism or outbreak of war or hostilities or public health crises, as well as management's response to any of the aforementioned factors; and our ability to remediate our material weaknesses, or any other material weakness that we may identify in the future, that could result in material misstatements in our financial statements. 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2026-02-24T05:37:04Z</dcterms:created>
  <dcterms:modified xsi:type="dcterms:W3CDTF">2026-02-24T05:37:04Z</dcterms:modified>
</cp:coreProperties>
</file>