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6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-125095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3" w:lineRule="exact"/>
        <w:rPr>
          <w:sz w:val="24"/>
          <w:szCs w:val="24"/>
          <w:color w:val="auto"/>
        </w:rPr>
      </w:pPr>
    </w:p>
    <w:p>
      <w:pPr>
        <w:ind w:left="3320"/>
        <w:spacing w:after="0"/>
        <w:tabs>
          <w:tab w:leader="none" w:pos="66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3591560</wp:posOffset>
            </wp:positionH>
            <wp:positionV relativeFrom="paragraph">
              <wp:posOffset>-5080</wp:posOffset>
            </wp:positionV>
            <wp:extent cx="6286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8650"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114300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191135</wp:posOffset>
            </wp:positionV>
            <wp:extent cx="711200"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200"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CECO ENVIRONMENTAL CORP.</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5" w:lineRule="exact"/>
        <w:rPr>
          <w:sz w:val="24"/>
          <w:szCs w:val="24"/>
          <w:color w:val="auto"/>
        </w:rPr>
      </w:pPr>
    </w:p>
    <w:tbl>
      <w:tblPr>
        <w:tblLayout w:type="fixed"/>
        <w:tblInd w:w="790" w:type="dxa"/>
        <w:tblCellMar>
          <w:top w:w="0" w:type="dxa"/>
          <w:left w:w="0" w:type="dxa"/>
          <w:bottom w:w="0" w:type="dxa"/>
          <w:right w:w="0" w:type="dxa"/>
        </w:tblCellMar>
      </w:tblPr>
      <w:tr>
        <w:trPr>
          <w:trHeight w:val="214"/>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40" w:type="dxa"/>
            <w:vAlign w:val="bottom"/>
          </w:tcPr>
          <w:p>
            <w:pPr>
              <w:jc w:val="right"/>
              <w:ind w:right="1780"/>
              <w:spacing w:after="0"/>
              <w:rPr>
                <w:sz w:val="20"/>
                <w:szCs w:val="20"/>
                <w:color w:val="auto"/>
              </w:rPr>
            </w:pPr>
            <w:r>
              <w:rPr>
                <w:rFonts w:ascii="Times New Roman" w:cs="Times New Roman" w:eastAsia="Times New Roman" w:hAnsi="Times New Roman"/>
                <w:sz w:val="18"/>
                <w:szCs w:val="18"/>
                <w:b w:val="1"/>
                <w:bCs w:val="1"/>
                <w:color w:val="auto"/>
              </w:rPr>
              <w:t>13-2566064</w:t>
            </w:r>
          </w:p>
        </w:tc>
      </w:tr>
      <w:tr>
        <w:trPr>
          <w:trHeight w:val="148"/>
        </w:trPr>
        <w:tc>
          <w:tcPr>
            <w:tcW w:w="3200" w:type="dxa"/>
            <w:vAlign w:val="bottom"/>
          </w:tcPr>
          <w:p>
            <w:pPr>
              <w:jc w:val="center"/>
              <w:ind w:left="67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3640" w:type="dxa"/>
            <w:vAlign w:val="bottom"/>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40" w:type="dxa"/>
            <w:vAlign w:val="bottom"/>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rPr>
              <w:t>5080 Spectrum Drive</w:t>
            </w:r>
          </w:p>
        </w:tc>
        <w:tc>
          <w:tcPr>
            <w:tcW w:w="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16"/>
        </w:trPr>
        <w:tc>
          <w:tcPr>
            <w:tcW w:w="3200" w:type="dxa"/>
            <w:vAlign w:val="bottom"/>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rPr>
              <w:t>Suite 800E</w:t>
            </w: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40" w:type="dxa"/>
            <w:vAlign w:val="bottom"/>
          </w:tcPr>
          <w:p>
            <w:pPr>
              <w:spacing w:after="0"/>
              <w:rPr>
                <w:sz w:val="18"/>
                <w:szCs w:val="18"/>
                <w:color w:val="auto"/>
              </w:rPr>
            </w:pPr>
          </w:p>
        </w:tc>
      </w:tr>
      <w:tr>
        <w:trPr>
          <w:trHeight w:val="214"/>
        </w:trPr>
        <w:tc>
          <w:tcPr>
            <w:tcW w:w="3200" w:type="dxa"/>
            <w:vAlign w:val="bottom"/>
          </w:tcPr>
          <w:p>
            <w:pPr>
              <w:jc w:val="center"/>
              <w:ind w:left="737"/>
              <w:spacing w:after="0"/>
              <w:rPr>
                <w:sz w:val="20"/>
                <w:szCs w:val="20"/>
                <w:color w:val="auto"/>
              </w:rPr>
            </w:pPr>
            <w:r>
              <w:rPr>
                <w:rFonts w:ascii="Times New Roman" w:cs="Times New Roman" w:eastAsia="Times New Roman" w:hAnsi="Times New Roman"/>
                <w:sz w:val="18"/>
                <w:szCs w:val="18"/>
                <w:b w:val="1"/>
                <w:bCs w:val="1"/>
                <w:color w:val="auto"/>
                <w:w w:val="99"/>
              </w:rPr>
              <w:t>Addison, Texas</w:t>
            </w:r>
          </w:p>
        </w:tc>
        <w:tc>
          <w:tcPr>
            <w:tcW w:w="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640" w:type="dxa"/>
            <w:vAlign w:val="bottom"/>
          </w:tcPr>
          <w:p>
            <w:pPr>
              <w:jc w:val="right"/>
              <w:ind w:right="1980"/>
              <w:spacing w:after="0"/>
              <w:rPr>
                <w:sz w:val="20"/>
                <w:szCs w:val="20"/>
                <w:color w:val="auto"/>
              </w:rPr>
            </w:pPr>
            <w:r>
              <w:rPr>
                <w:rFonts w:ascii="Times New Roman" w:cs="Times New Roman" w:eastAsia="Times New Roman" w:hAnsi="Times New Roman"/>
                <w:sz w:val="18"/>
                <w:szCs w:val="18"/>
                <w:b w:val="1"/>
                <w:bCs w:val="1"/>
                <w:color w:val="auto"/>
              </w:rPr>
              <w:t>75001</w:t>
            </w:r>
          </w:p>
        </w:tc>
      </w:tr>
      <w:tr>
        <w:trPr>
          <w:trHeight w:val="190"/>
        </w:trPr>
        <w:tc>
          <w:tcPr>
            <w:tcW w:w="3200" w:type="dxa"/>
            <w:vAlign w:val="bottom"/>
          </w:tcPr>
          <w:p>
            <w:pPr>
              <w:jc w:val="center"/>
              <w:ind w:left="6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3640" w:type="dxa"/>
            <w:vAlign w:val="bottom"/>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0"/>
        </w:trPr>
        <w:tc>
          <w:tcPr>
            <w:tcW w:w="10000" w:type="dxa"/>
            <w:vAlign w:val="bottom"/>
            <w:gridSpan w:val="4"/>
          </w:tcPr>
          <w:p>
            <w:pPr>
              <w:ind w:left="22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tc>
      </w:tr>
      <w:tr>
        <w:trPr>
          <w:trHeight w:val="326"/>
        </w:trPr>
        <w:tc>
          <w:tcPr>
            <w:tcW w:w="320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92"/>
        </w:trPr>
        <w:tc>
          <w:tcPr>
            <w:tcW w:w="3200" w:type="dxa"/>
            <w:vAlign w:val="bottom"/>
            <w:tcBorders>
              <w:left w:val="single" w:sz="8" w:color="auto"/>
            </w:tcBorders>
          </w:tcPr>
          <w:p>
            <w:pPr>
              <w:jc w:val="center"/>
              <w:ind w:left="257"/>
              <w:spacing w:after="0"/>
              <w:rPr>
                <w:sz w:val="20"/>
                <w:szCs w:val="20"/>
                <w:color w:val="auto"/>
              </w:rPr>
            </w:pPr>
            <w:r>
              <w:rPr>
                <w:rFonts w:ascii="Times New Roman" w:cs="Times New Roman" w:eastAsia="Times New Roman" w:hAnsi="Times New Roman"/>
                <w:sz w:val="16"/>
                <w:szCs w:val="16"/>
                <w:color w:val="auto"/>
              </w:rPr>
              <w:t>Title of each class</w:t>
            </w:r>
          </w:p>
        </w:tc>
        <w:tc>
          <w:tcPr>
            <w:tcW w:w="36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60"/>
        </w:trPr>
        <w:tc>
          <w:tcPr>
            <w:tcW w:w="3200" w:type="dxa"/>
            <w:vAlign w:val="bottom"/>
            <w:tcBorders>
              <w:left w:val="single" w:sz="8" w:color="auto"/>
              <w:bottom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2800" w:type="dxa"/>
            <w:vAlign w:val="bottom"/>
            <w:tcBorders>
              <w:bottom w:val="single" w:sz="8" w:color="auto"/>
              <w:right w:val="single" w:sz="8" w:color="auto"/>
            </w:tcBorders>
          </w:tcPr>
          <w:p>
            <w:pPr>
              <w:spacing w:after="0"/>
              <w:rPr>
                <w:sz w:val="5"/>
                <w:szCs w:val="5"/>
                <w:color w:val="auto"/>
              </w:rPr>
            </w:pPr>
          </w:p>
        </w:tc>
        <w:tc>
          <w:tcPr>
            <w:tcW w:w="3640" w:type="dxa"/>
            <w:vAlign w:val="bottom"/>
            <w:tcBorders>
              <w:bottom w:val="single" w:sz="8" w:color="auto"/>
              <w:right w:val="single" w:sz="8" w:color="auto"/>
            </w:tcBorders>
          </w:tcPr>
          <w:p>
            <w:pPr>
              <w:spacing w:after="0"/>
              <w:rPr>
                <w:sz w:val="5"/>
                <w:szCs w:val="5"/>
                <w:color w:val="auto"/>
              </w:rPr>
            </w:pPr>
          </w:p>
        </w:tc>
      </w:tr>
      <w:tr>
        <w:trPr>
          <w:trHeight w:val="190"/>
        </w:trPr>
        <w:tc>
          <w:tcPr>
            <w:tcW w:w="3200" w:type="dxa"/>
            <w:vAlign w:val="bottom"/>
            <w:tcBorders>
              <w:left w:val="single" w:sz="8" w:color="auto"/>
            </w:tcBorders>
          </w:tcPr>
          <w:p>
            <w:pPr>
              <w:jc w:val="center"/>
              <w:ind w:left="257"/>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360" w:type="dxa"/>
            <w:vAlign w:val="bottom"/>
            <w:tcBorders>
              <w:right w:val="single" w:sz="8" w:color="auto"/>
            </w:tcBorders>
          </w:tcPr>
          <w:p>
            <w:pPr>
              <w:spacing w:after="0"/>
              <w:rPr>
                <w:sz w:val="16"/>
                <w:szCs w:val="16"/>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CECO</w:t>
            </w:r>
          </w:p>
        </w:tc>
        <w:tc>
          <w:tcPr>
            <w:tcW w:w="3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9"/>
        </w:trPr>
        <w:tc>
          <w:tcPr>
            <w:tcW w:w="3200" w:type="dxa"/>
            <w:vAlign w:val="bottom"/>
            <w:tcBorders>
              <w:left w:val="single" w:sz="8" w:color="auto"/>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r>
    </w:tbl>
    <w:p>
      <w:pPr>
        <w:spacing w:after="0" w:line="90" w:lineRule="exact"/>
        <w:rPr>
          <w:sz w:val="24"/>
          <w:szCs w:val="24"/>
          <w:color w:val="auto"/>
        </w:rPr>
      </w:pPr>
    </w:p>
    <w:p>
      <w:pPr>
        <w:ind w:right="60" w:firstLine="26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right="100" w:firstLine="26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firstLine="26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30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97" w:lineRule="exact"/>
        <w:rPr>
          <w:sz w:val="24"/>
          <w:szCs w:val="24"/>
          <w:color w:val="auto"/>
        </w:rPr>
      </w:pPr>
    </w:p>
    <w:p>
      <w:pPr>
        <w:ind w:right="220" w:firstLine="26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280"/>
        <w:spacing w:after="0" w:line="207" w:lineRule="exact"/>
        <w:tabs>
          <w:tab w:leader="none" w:pos="928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70" w:lineRule="exact"/>
        <w:rPr>
          <w:sz w:val="24"/>
          <w:szCs w:val="24"/>
          <w:color w:val="auto"/>
        </w:rPr>
      </w:pPr>
    </w:p>
    <w:p>
      <w:pPr>
        <w:ind w:firstLine="269"/>
        <w:spacing w:after="0" w:line="258" w:lineRule="auto"/>
        <w:rPr>
          <w:sz w:val="20"/>
          <w:szCs w:val="20"/>
          <w:color w:val="auto"/>
        </w:rPr>
      </w:pPr>
      <w:r>
        <w:rPr>
          <w:rFonts w:ascii="Times New Roman" w:cs="Times New Roman" w:eastAsia="Times New Roman" w:hAnsi="Times New Roman"/>
          <w:sz w:val="18"/>
          <w:szCs w:val="18"/>
          <w:color w:val="auto"/>
        </w:rPr>
        <w:t>The number of shares outstanding of each of the issuer’s classes of common equity, as of the latest practical date: 35,641,031 shares of common stock, par value $0.01 per share, as of October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423545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0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 ended September 30, 2025</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 –</w:t>
            </w:r>
          </w:p>
        </w:tc>
        <w:tc>
          <w:tcPr>
            <w:tcW w:w="1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bottom w:val="single" w:sz="8" w:color="0000EE"/>
            </w:tcBorders>
          </w:tcPr>
          <w:p>
            <w:pPr>
              <w:spacing w:after="0"/>
              <w:rPr>
                <w:sz w:val="17"/>
                <w:szCs w:val="17"/>
                <w:color w:val="auto"/>
              </w:rPr>
            </w:pPr>
          </w:p>
        </w:tc>
        <w:tc>
          <w:tcPr>
            <w:tcW w:w="7580" w:type="dxa"/>
            <w:vAlign w:val="bottom"/>
            <w:gridSpan w:val="13"/>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1.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2025 and December 31,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and nine months ended September 30, 2025 and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nine months ended September 30, 2025</w:t>
            </w:r>
          </w:p>
        </w:tc>
        <w:tc>
          <w:tcPr>
            <w:tcW w:w="68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520" w:type="dxa"/>
            <w:vAlign w:val="bottom"/>
            <w:tcBorders>
              <w:top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and 2024</w:t>
            </w: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nine months ended September 30, 2025 and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2025 and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7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2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2160" w:type="dxa"/>
            <w:vAlign w:val="bottom"/>
            <w:gridSpan w:val="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6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432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 II –</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20" w:type="dxa"/>
            <w:vAlign w:val="bottom"/>
            <w:tcBorders>
              <w:top w:val="single" w:sz="8" w:color="0000FF"/>
              <w:bottom w:val="single" w:sz="8" w:color="0000EE"/>
            </w:tcBorders>
          </w:tcPr>
          <w:p>
            <w:pPr>
              <w:spacing w:after="0"/>
              <w:rPr>
                <w:sz w:val="24"/>
                <w:szCs w:val="24"/>
                <w:color w:val="auto"/>
              </w:rPr>
            </w:pPr>
          </w:p>
        </w:tc>
        <w:tc>
          <w:tcPr>
            <w:tcW w:w="980" w:type="dxa"/>
            <w:vAlign w:val="bottom"/>
            <w:tcBorders>
              <w:top w:val="single" w:sz="8" w:color="0000FF"/>
            </w:tcBorders>
            <w:gridSpan w:val="6"/>
          </w:tcPr>
          <w:p>
            <w:pPr>
              <w:spacing w:after="0"/>
              <w:rPr>
                <w:sz w:val="24"/>
                <w:szCs w:val="24"/>
                <w:color w:val="auto"/>
              </w:rPr>
            </w:pPr>
          </w:p>
        </w:tc>
        <w:tc>
          <w:tcPr>
            <w:tcW w:w="686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280" w:type="dxa"/>
            <w:vAlign w:val="bottom"/>
            <w:gridSpan w:val="11"/>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7580" w:type="dxa"/>
            <w:vAlign w:val="bottom"/>
            <w:gridSpan w:val="13"/>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0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4280" w:type="dxa"/>
            <w:vAlign w:val="bottom"/>
            <w:gridSpan w:val="5"/>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8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6300" w:type="dxa"/>
            <w:vAlign w:val="bottom"/>
            <w:gridSpan w:val="8"/>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440" w:type="dxa"/>
            <w:vAlign w:val="bottom"/>
            <w:tcBorders>
              <w:top w:val="single" w:sz="8" w:color="0000FF"/>
            </w:tcBorders>
            <w:gridSpan w:val="3"/>
          </w:tcPr>
          <w:p>
            <w:pPr>
              <w:spacing w:after="0"/>
              <w:rPr>
                <w:sz w:val="24"/>
                <w:szCs w:val="24"/>
                <w:color w:val="auto"/>
              </w:rPr>
            </w:pPr>
          </w:p>
        </w:tc>
        <w:tc>
          <w:tcPr>
            <w:tcW w:w="6860" w:type="dxa"/>
            <w:vAlign w:val="bottom"/>
            <w:gridSpan w:val="9"/>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318"/>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318"/>
        </w:trPr>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60"/>
          </w:cols>
          <w:pgMar w:left="560" w:top="981" w:right="57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CECO ENVIRONMENTAL CORP.</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 FINANCIAL INFORMATION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60" w:type="dxa"/>
            <w:vAlign w:val="bottom"/>
          </w:tcPr>
          <w:p>
            <w:pPr>
              <w:spacing w:after="0"/>
              <w:rPr>
                <w:sz w:val="15"/>
                <w:szCs w:val="15"/>
                <w:color w:val="auto"/>
              </w:rPr>
            </w:pPr>
          </w:p>
        </w:tc>
        <w:tc>
          <w:tcPr>
            <w:tcW w:w="18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80" w:type="dxa"/>
            <w:vAlign w:val="bottom"/>
          </w:tcPr>
          <w:p>
            <w:pPr>
              <w:spacing w:after="0"/>
              <w:rPr>
                <w:sz w:val="15"/>
                <w:szCs w:val="15"/>
                <w:color w:val="auto"/>
              </w:rPr>
            </w:pP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37,832</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allowances of $8,496 and $8,863</w:t>
            </w: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159,615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159,572</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109,826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69,889</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57,712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42,624</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w:t>
            </w:r>
          </w:p>
        </w:tc>
        <w:tc>
          <w:tcPr>
            <w:tcW w:w="100" w:type="dxa"/>
            <w:vAlign w:val="bottom"/>
          </w:tcPr>
          <w:p>
            <w:pPr>
              <w:spacing w:after="0"/>
              <w:rPr>
                <w:sz w:val="18"/>
                <w:szCs w:val="18"/>
                <w:color w:val="auto"/>
              </w:rPr>
            </w:pPr>
          </w:p>
        </w:tc>
      </w:tr>
      <w:tr>
        <w:trPr>
          <w:trHeight w:val="216"/>
        </w:trPr>
        <w:tc>
          <w:tcPr>
            <w:tcW w:w="7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income taxes</w:t>
            </w: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395,480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330,971</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48,037</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33,810</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25,102</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292,262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269,747</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100,986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74,050</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Pr>
          <w:p>
            <w:pPr>
              <w:spacing w:after="0"/>
              <w:rPr>
                <w:sz w:val="18"/>
                <w:szCs w:val="18"/>
                <w:color w:val="auto"/>
              </w:rPr>
            </w:pPr>
          </w:p>
        </w:tc>
      </w:tr>
      <w:tr>
        <w:trPr>
          <w:trHeight w:val="216"/>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16,563</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891,884</w:t>
            </w:r>
          </w:p>
        </w:tc>
        <w:tc>
          <w:tcPr>
            <w:tcW w:w="2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759,699</w:t>
            </w:r>
          </w:p>
        </w:tc>
        <w:tc>
          <w:tcPr>
            <w:tcW w:w="10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debt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127,576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109,671</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60,632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47,528</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81,501</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Notes payable</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Pr>
          <w:p>
            <w:pPr>
              <w:spacing w:after="0"/>
              <w:rPr>
                <w:sz w:val="18"/>
                <w:szCs w:val="18"/>
                <w:color w:val="auto"/>
              </w:rPr>
            </w:pPr>
          </w:p>
        </w:tc>
      </w:tr>
      <w:tr>
        <w:trPr>
          <w:trHeight w:val="209"/>
        </w:trPr>
        <w:tc>
          <w:tcPr>
            <w:tcW w:w="74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298,290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244,662</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less current portion</w:t>
            </w: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218,980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100" w:type="dxa"/>
            <w:vAlign w:val="bottom"/>
          </w:tcPr>
          <w:p>
            <w:pPr>
              <w:spacing w:after="0"/>
              <w:rPr>
                <w:sz w:val="18"/>
                <w:szCs w:val="18"/>
                <w:color w:val="auto"/>
              </w:rPr>
            </w:pPr>
          </w:p>
        </w:tc>
      </w:tr>
      <w:tr>
        <w:trPr>
          <w:trHeight w:val="216"/>
        </w:trPr>
        <w:tc>
          <w:tcPr>
            <w:tcW w:w="7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23,282</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578,317</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507,806</w:t>
            </w:r>
          </w:p>
        </w:tc>
        <w:tc>
          <w:tcPr>
            <w:tcW w:w="100" w:type="dxa"/>
            <w:vAlign w:val="bottom"/>
          </w:tcPr>
          <w:p>
            <w:pPr>
              <w:spacing w:after="0"/>
              <w:rPr>
                <w:sz w:val="18"/>
                <w:szCs w:val="18"/>
                <w:color w:val="auto"/>
              </w:rPr>
            </w:pPr>
          </w:p>
        </w:tc>
      </w:tr>
      <w:tr>
        <w:trPr>
          <w:trHeight w:val="210"/>
        </w:trPr>
        <w:tc>
          <w:tcPr>
            <w:tcW w:w="7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(See Note 14)</w:t>
            </w: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 shares authorized, none issued</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100,000,000 shares authorized, 35,641,031 and</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34,978,009 shares issued and outstanding at September 30, 2025 and December 31, 2024,</w:t>
            </w: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0"/>
                <w:szCs w:val="20"/>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6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265,786</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255,211</w:t>
            </w:r>
          </w:p>
        </w:tc>
        <w:tc>
          <w:tcPr>
            <w:tcW w:w="100" w:type="dxa"/>
            <w:vAlign w:val="bottom"/>
            <w:shd w:val="clear" w:color="auto" w:fill="CFF0FC"/>
          </w:tcPr>
          <w:p>
            <w:pPr>
              <w:spacing w:after="0"/>
              <w:rPr>
                <w:sz w:val="18"/>
                <w:szCs w:val="18"/>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100" w:type="dxa"/>
            <w:vAlign w:val="bottom"/>
          </w:tcPr>
          <w:p>
            <w:pPr>
              <w:spacing w:after="0"/>
              <w:rPr>
                <w:sz w:val="18"/>
                <w:szCs w:val="18"/>
                <w:color w:val="auto"/>
              </w:rPr>
            </w:pPr>
          </w:p>
        </w:tc>
      </w:tr>
      <w:tr>
        <w:trPr>
          <w:trHeight w:val="216"/>
        </w:trPr>
        <w:tc>
          <w:tcPr>
            <w:tcW w:w="7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(10,498)</w:t>
            </w:r>
          </w:p>
        </w:tc>
        <w:tc>
          <w:tcPr>
            <w:tcW w:w="18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(14,441)</w:t>
            </w:r>
          </w:p>
        </w:tc>
      </w:tr>
      <w:tr>
        <w:trPr>
          <w:trHeight w:val="210"/>
        </w:trPr>
        <w:tc>
          <w:tcPr>
            <w:tcW w:w="74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309,206</w:t>
            </w:r>
          </w:p>
        </w:tc>
        <w:tc>
          <w:tcPr>
            <w:tcW w:w="26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247,689</w:t>
            </w:r>
          </w:p>
        </w:tc>
        <w:tc>
          <w:tcPr>
            <w:tcW w:w="100" w:type="dxa"/>
            <w:vAlign w:val="bottom"/>
            <w:tcBorders>
              <w:top w:val="single" w:sz="8" w:color="CFF0FC"/>
            </w:tcBorders>
          </w:tcPr>
          <w:p>
            <w:pPr>
              <w:spacing w:after="0"/>
              <w:rPr>
                <w:sz w:val="18"/>
                <w:szCs w:val="18"/>
                <w:color w:val="auto"/>
              </w:rPr>
            </w:pPr>
          </w:p>
        </w:tc>
      </w:tr>
      <w:tr>
        <w:trPr>
          <w:trHeight w:val="216"/>
        </w:trPr>
        <w:tc>
          <w:tcPr>
            <w:tcW w:w="74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313,567</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251,893</w:t>
            </w:r>
          </w:p>
        </w:tc>
        <w:tc>
          <w:tcPr>
            <w:tcW w:w="100" w:type="dxa"/>
            <w:vAlign w:val="bottom"/>
          </w:tcPr>
          <w:p>
            <w:pPr>
              <w:spacing w:after="0"/>
              <w:rPr>
                <w:sz w:val="18"/>
                <w:szCs w:val="18"/>
                <w:color w:val="auto"/>
              </w:rPr>
            </w:pPr>
          </w:p>
        </w:tc>
      </w:tr>
      <w:tr>
        <w:trPr>
          <w:trHeight w:val="249"/>
        </w:trPr>
        <w:tc>
          <w:tcPr>
            <w:tcW w:w="744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891,884</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759,699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-5057140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-5057140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-3950970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-1988185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-599440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-316865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40" w:type="dxa"/>
            <w:vAlign w:val="bottom"/>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8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8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197,599</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559,687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399,367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6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133,020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90,247</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365,838</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45,266</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193,849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139,446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149,393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expenses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12,177</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(gain) on sale of Global Pump Solutions business</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(63,701)</w:t>
            </w: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(1,778)</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from operations</w:t>
            </w:r>
          </w:p>
        </w:tc>
        <w:tc>
          <w:tcPr>
            <w:tcW w:w="6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89,331</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16,169</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23,610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6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46,993</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6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40" w:type="dxa"/>
            <w:vAlign w:val="bottom"/>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48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0.06</w:t>
            </w:r>
          </w:p>
        </w:tc>
        <w:tc>
          <w:tcPr>
            <w:tcW w:w="42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6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35,359,969</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34,966,625</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35,225,740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34,910,165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36,396,693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36,488,788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36,549,130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36,322,690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-1605280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-1605280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-1605280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-1605280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-1322705</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-1322705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-1322705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-1322705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-1039495</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-1039495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-1039495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-1039495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-448310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-431165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-448310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-431165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-448310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-431165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-448310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-431165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264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48,356</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gain</w:t>
            </w: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2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52,299</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-453390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-453390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-453390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-170815</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-170815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7"/>
            <w:vMerge w:val="restart"/>
          </w:tcPr>
          <w:p>
            <w:pPr>
              <w:jc w:val="right"/>
              <w:ind w:right="493"/>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Non-</w:t>
            </w:r>
          </w:p>
        </w:tc>
        <w:tc>
          <w:tcPr>
            <w:tcW w:w="260" w:type="dxa"/>
            <w:vAlign w:val="bottom"/>
          </w:tcPr>
          <w:p>
            <w:pPr>
              <w:spacing w:after="0"/>
              <w:rPr>
                <w:sz w:val="12"/>
                <w:szCs w:val="12"/>
                <w:color w:val="auto"/>
              </w:rPr>
            </w:pPr>
          </w:p>
        </w:tc>
        <w:tc>
          <w:tcPr>
            <w:tcW w:w="76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7"/>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33"/>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900" w:type="dxa"/>
            <w:vAlign w:val="bottom"/>
            <w:gridSpan w:val="3"/>
          </w:tcPr>
          <w:p>
            <w:pPr>
              <w:jc w:val="right"/>
              <w:ind w:right="193"/>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jc w:val="right"/>
              <w:ind w:right="133"/>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3"/>
          </w:tcPr>
          <w:p>
            <w:pPr>
              <w:jc w:val="right"/>
              <w:ind w:right="133"/>
              <w:spacing w:after="0" w:line="129"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3"/>
          </w:tcPr>
          <w:p>
            <w:pPr>
              <w:jc w:val="center"/>
              <w:ind w:right="62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460"/>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60" w:type="dxa"/>
            <w:vAlign w:val="bottom"/>
          </w:tcPr>
          <w:p>
            <w:pPr>
              <w:spacing w:after="0"/>
              <w:rPr>
                <w:sz w:val="11"/>
                <w:szCs w:val="11"/>
                <w:color w:val="auto"/>
              </w:rPr>
            </w:pPr>
          </w:p>
        </w:tc>
        <w:tc>
          <w:tcPr>
            <w:tcW w:w="760" w:type="dxa"/>
            <w:vAlign w:val="bottom"/>
            <w:gridSpan w:val="3"/>
          </w:tcPr>
          <w:p>
            <w:pPr>
              <w:jc w:val="center"/>
              <w:ind w:right="38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December 31, 2024</w:t>
            </w:r>
          </w:p>
        </w:tc>
        <w:tc>
          <w:tcPr>
            <w:tcW w:w="2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34,978</w:t>
            </w:r>
          </w:p>
        </w:tc>
        <w:tc>
          <w:tcPr>
            <w:tcW w:w="360" w:type="dxa"/>
            <w:vAlign w:val="bottom"/>
            <w:gridSpan w:val="2"/>
            <w:shd w:val="clear" w:color="auto" w:fill="CFF0FC"/>
          </w:tcPr>
          <w:p>
            <w:pPr>
              <w:jc w:val="right"/>
              <w:ind w:right="4"/>
              <w:spacing w:after="0" w:line="142"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w:t>
            </w:r>
          </w:p>
        </w:tc>
        <w:tc>
          <w:tcPr>
            <w:tcW w:w="3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255,211</w:t>
            </w:r>
          </w:p>
        </w:tc>
        <w:tc>
          <w:tcPr>
            <w:tcW w:w="12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6,570</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4"/>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(14,441)</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4,204</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251,893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income for the three months ended March 31, 2025</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35,984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458</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36,442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2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(3,045)</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(3,042)</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3,641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3,641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Translation gain</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1,519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1,519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(402)</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(402)</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March 31, 2025</w:t>
            </w:r>
          </w:p>
        </w:tc>
        <w:tc>
          <w:tcPr>
            <w:tcW w:w="9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35,250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352</w:t>
            </w:r>
          </w:p>
        </w:tc>
        <w:tc>
          <w:tcPr>
            <w:tcW w:w="3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255,807</w:t>
            </w: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42,554</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4"/>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(12,922)</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4,260</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290,051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1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Net income for the three months ended June 30, 2025</w:t>
            </w:r>
          </w:p>
        </w:tc>
        <w:tc>
          <w:tcPr>
            <w:tcW w:w="2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color w:val="auto"/>
              </w:rPr>
              <w:t>9,510</w:t>
            </w: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color w:val="auto"/>
              </w:rPr>
              <w:t>595</w:t>
            </w:r>
          </w:p>
        </w:tc>
        <w:tc>
          <w:tcPr>
            <w:tcW w:w="2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10,105</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(224)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(224)</w:t>
            </w: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2,878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2,878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Translation gain</w:t>
            </w:r>
          </w:p>
        </w:tc>
        <w:tc>
          <w:tcPr>
            <w:tcW w:w="2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June 30, 2025</w:t>
            </w:r>
          </w:p>
        </w:tc>
        <w:tc>
          <w:tcPr>
            <w:tcW w:w="9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35,308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352</w:t>
            </w:r>
          </w:p>
        </w:tc>
        <w:tc>
          <w:tcPr>
            <w:tcW w:w="3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258,466</w:t>
            </w:r>
          </w:p>
        </w:tc>
        <w:tc>
          <w:tcPr>
            <w:tcW w:w="1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52,064</w:t>
            </w:r>
          </w:p>
        </w:tc>
        <w:tc>
          <w:tcPr>
            <w:tcW w:w="32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4"/>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(12,518)</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4,855</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303,219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160" w:type="dxa"/>
            <w:vAlign w:val="bottom"/>
            <w:tcBorders>
              <w:top w:val="single" w:sz="8" w:color="CFF0FC"/>
            </w:tcBorders>
          </w:tcPr>
          <w:p>
            <w:pPr>
              <w:spacing w:after="0" w:line="116" w:lineRule="exact"/>
              <w:rPr>
                <w:sz w:val="20"/>
                <w:szCs w:val="20"/>
                <w:color w:val="auto"/>
              </w:rPr>
            </w:pPr>
            <w:r>
              <w:rPr>
                <w:rFonts w:ascii="Times New Roman" w:cs="Times New Roman" w:eastAsia="Times New Roman" w:hAnsi="Times New Roman"/>
                <w:sz w:val="13"/>
                <w:szCs w:val="13"/>
                <w:color w:val="auto"/>
              </w:rPr>
              <w:t>Net income for the three months ended September 30,</w:t>
            </w:r>
          </w:p>
        </w:tc>
        <w:tc>
          <w:tcPr>
            <w:tcW w:w="2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jc w:val="right"/>
              <w:spacing w:after="0" w:line="116" w:lineRule="exact"/>
              <w:rPr>
                <w:sz w:val="20"/>
                <w:szCs w:val="20"/>
                <w:color w:val="auto"/>
              </w:rPr>
            </w:pPr>
            <w:r>
              <w:rPr>
                <w:rFonts w:ascii="Times New Roman" w:cs="Times New Roman" w:eastAsia="Times New Roman" w:hAnsi="Times New Roman"/>
                <w:sz w:val="13"/>
                <w:szCs w:val="13"/>
                <w:color w:val="auto"/>
              </w:rPr>
              <w:t>1,499</w:t>
            </w:r>
          </w:p>
        </w:tc>
        <w:tc>
          <w:tcPr>
            <w:tcW w:w="2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jc w:val="right"/>
              <w:spacing w:after="0" w:line="116" w:lineRule="exact"/>
              <w:rPr>
                <w:sz w:val="20"/>
                <w:szCs w:val="20"/>
                <w:color w:val="auto"/>
              </w:rPr>
            </w:pPr>
            <w:r>
              <w:rPr>
                <w:rFonts w:ascii="Times New Roman" w:cs="Times New Roman" w:eastAsia="Times New Roman" w:hAnsi="Times New Roman"/>
                <w:sz w:val="13"/>
                <w:szCs w:val="13"/>
                <w:color w:val="auto"/>
              </w:rPr>
              <w:t>308</w:t>
            </w:r>
          </w:p>
        </w:tc>
        <w:tc>
          <w:tcPr>
            <w:tcW w:w="2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20"/>
              <w:spacing w:after="0" w:line="116" w:lineRule="exact"/>
              <w:rPr>
                <w:sz w:val="20"/>
                <w:szCs w:val="20"/>
                <w:color w:val="auto"/>
              </w:rPr>
            </w:pPr>
            <w:r>
              <w:rPr>
                <w:rFonts w:ascii="Times New Roman" w:cs="Times New Roman" w:eastAsia="Times New Roman" w:hAnsi="Times New Roman"/>
                <w:sz w:val="13"/>
                <w:szCs w:val="13"/>
                <w:color w:val="auto"/>
              </w:rPr>
              <w:t>1,807</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2025</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3,814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3,817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(253)</w:t>
            </w: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3,759</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3,759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Translation gain</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(802)</w:t>
            </w:r>
          </w:p>
        </w:tc>
        <w:tc>
          <w:tcPr>
            <w:tcW w:w="26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(802)</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Balance September 30, 2025</w:t>
            </w:r>
          </w:p>
        </w:tc>
        <w:tc>
          <w:tcPr>
            <w:tcW w:w="9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35,641</w:t>
            </w:r>
          </w:p>
        </w:tc>
        <w:tc>
          <w:tcPr>
            <w:tcW w:w="24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355</w:t>
            </w:r>
          </w:p>
        </w:tc>
        <w:tc>
          <w:tcPr>
            <w:tcW w:w="3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265,786</w:t>
            </w:r>
          </w:p>
        </w:tc>
        <w:tc>
          <w:tcPr>
            <w:tcW w:w="120" w:type="dxa"/>
            <w:vAlign w:val="bottom"/>
          </w:tcPr>
          <w:p>
            <w:pPr>
              <w:spacing w:after="0"/>
              <w:rPr>
                <w:sz w:val="12"/>
                <w:szCs w:val="12"/>
                <w:color w:val="auto"/>
              </w:rPr>
            </w:pPr>
          </w:p>
        </w:tc>
        <w:tc>
          <w:tcPr>
            <w:tcW w:w="2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53,563</w:t>
            </w:r>
          </w:p>
        </w:tc>
        <w:tc>
          <w:tcPr>
            <w:tcW w:w="32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gridSpan w:val="4"/>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(10,498)</w:t>
            </w:r>
          </w:p>
        </w:tc>
        <w:tc>
          <w:tcPr>
            <w:tcW w:w="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4,361</w:t>
            </w:r>
          </w:p>
        </w:tc>
        <w:tc>
          <w:tcPr>
            <w:tcW w:w="220" w:type="dxa"/>
            <w:vAlign w:val="bottom"/>
          </w:tcPr>
          <w:p>
            <w:pPr>
              <w:spacing w:after="0"/>
              <w:rPr>
                <w:sz w:val="12"/>
                <w:szCs w:val="12"/>
                <w:color w:val="auto"/>
              </w:rPr>
            </w:pPr>
          </w:p>
        </w:tc>
        <w:tc>
          <w:tcPr>
            <w:tcW w:w="260" w:type="dxa"/>
            <w:vAlign w:val="bottom"/>
          </w:tcPr>
          <w:p>
            <w:pPr>
              <w:jc w:val="right"/>
              <w:ind w:right="142"/>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313,567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-1414145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-1397000</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-1414145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-1397000</wp:posOffset>
            </wp:positionV>
            <wp:extent cx="7683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-1414145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-1397000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-1414145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-1397000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-1414145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-1397000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-1414145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-1397000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-1397000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-814070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-796925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-814070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-796925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-814070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-796925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-814070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-796925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-814070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-796925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-814070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-796925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-128270</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-128270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-128270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-128270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-128270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-128270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80" w:type="dxa"/>
            <w:vAlign w:val="bottom"/>
            <w:gridSpan w:val="8"/>
            <w:vMerge w:val="restart"/>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460"/>
              <w:spacing w:after="0"/>
              <w:rPr>
                <w:sz w:val="20"/>
                <w:szCs w:val="20"/>
                <w:color w:val="auto"/>
              </w:rPr>
            </w:pPr>
            <w:r>
              <w:rPr>
                <w:rFonts w:ascii="Times New Roman" w:cs="Times New Roman" w:eastAsia="Times New Roman" w:hAnsi="Times New Roman"/>
                <w:sz w:val="13"/>
                <w:szCs w:val="13"/>
                <w:b w:val="1"/>
                <w:bCs w:val="1"/>
                <w:color w:val="auto"/>
              </w:rPr>
              <w:t>Non-</w:t>
            </w:r>
          </w:p>
        </w:tc>
        <w:tc>
          <w:tcPr>
            <w:tcW w:w="260" w:type="dxa"/>
            <w:vAlign w:val="bottom"/>
          </w:tcPr>
          <w:p>
            <w:pPr>
              <w:spacing w:after="0"/>
              <w:rPr>
                <w:sz w:val="12"/>
                <w:szCs w:val="12"/>
                <w:color w:val="auto"/>
              </w:rPr>
            </w:pPr>
          </w:p>
        </w:tc>
        <w:tc>
          <w:tcPr>
            <w:tcW w:w="76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80" w:type="dxa"/>
            <w:vAlign w:val="bottom"/>
            <w:gridSpan w:val="8"/>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excess of</w:t>
            </w:r>
          </w:p>
        </w:tc>
        <w:tc>
          <w:tcPr>
            <w:tcW w:w="80" w:type="dxa"/>
            <w:vAlign w:val="bottom"/>
          </w:tcPr>
          <w:p>
            <w:pPr>
              <w:spacing w:after="0"/>
              <w:rPr>
                <w:sz w:val="13"/>
                <w:szCs w:val="13"/>
                <w:color w:val="auto"/>
              </w:rPr>
            </w:pPr>
          </w:p>
        </w:tc>
        <w:tc>
          <w:tcPr>
            <w:tcW w:w="1120" w:type="dxa"/>
            <w:vAlign w:val="bottom"/>
            <w:gridSpan w:val="5"/>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3"/>
                <w:szCs w:val="13"/>
                <w:color w:val="auto"/>
              </w:rPr>
            </w:pP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controlling</w:t>
            </w:r>
          </w:p>
        </w:tc>
        <w:tc>
          <w:tcPr>
            <w:tcW w:w="1020" w:type="dxa"/>
            <w:vAlign w:val="bottom"/>
            <w:gridSpan w:val="4"/>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28"/>
        </w:trPr>
        <w:tc>
          <w:tcPr>
            <w:tcW w:w="3160" w:type="dxa"/>
            <w:vAlign w:val="bottom"/>
          </w:tcPr>
          <w:p>
            <w:pPr>
              <w:spacing w:after="0"/>
              <w:rPr>
                <w:sz w:val="11"/>
                <w:szCs w:val="11"/>
                <w:color w:val="auto"/>
              </w:rPr>
            </w:pPr>
          </w:p>
        </w:tc>
        <w:tc>
          <w:tcPr>
            <w:tcW w:w="1140" w:type="dxa"/>
            <w:vAlign w:val="bottom"/>
            <w:tcBorders>
              <w:top w:val="single" w:sz="8" w:color="auto"/>
            </w:tcBorders>
            <w:gridSpan w:val="4"/>
          </w:tcPr>
          <w:p>
            <w:pPr>
              <w:jc w:val="right"/>
              <w:ind w:right="50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right"/>
              <w:ind w:right="133"/>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4"/>
          </w:tcPr>
          <w:p>
            <w:pPr>
              <w:jc w:val="center"/>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par value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jc w:val="right"/>
              <w:ind w:right="54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gridSpan w:val="3"/>
          </w:tcPr>
          <w:p>
            <w:pPr>
              <w:jc w:val="center"/>
              <w:ind w:right="620"/>
              <w:spacing w:after="0" w:line="129" w:lineRule="exact"/>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jc w:val="center"/>
              <w:ind w:right="460"/>
              <w:spacing w:after="0" w:line="129" w:lineRule="exact"/>
              <w:rPr>
                <w:sz w:val="20"/>
                <w:szCs w:val="20"/>
                <w:color w:val="auto"/>
              </w:rPr>
            </w:pPr>
            <w:r>
              <w:rPr>
                <w:rFonts w:ascii="Times New Roman" w:cs="Times New Roman" w:eastAsia="Times New Roman" w:hAnsi="Times New Roman"/>
                <w:sz w:val="13"/>
                <w:szCs w:val="13"/>
                <w:b w:val="1"/>
                <w:bCs w:val="1"/>
                <w:color w:val="auto"/>
              </w:rPr>
              <w:t>interest</w:t>
            </w:r>
          </w:p>
        </w:tc>
        <w:tc>
          <w:tcPr>
            <w:tcW w:w="260" w:type="dxa"/>
            <w:vAlign w:val="bottom"/>
          </w:tcPr>
          <w:p>
            <w:pPr>
              <w:spacing w:after="0"/>
              <w:rPr>
                <w:sz w:val="11"/>
                <w:szCs w:val="11"/>
                <w:color w:val="auto"/>
              </w:rPr>
            </w:pPr>
          </w:p>
        </w:tc>
        <w:tc>
          <w:tcPr>
            <w:tcW w:w="760" w:type="dxa"/>
            <w:vAlign w:val="bottom"/>
            <w:gridSpan w:val="3"/>
          </w:tcPr>
          <w:p>
            <w:pPr>
              <w:jc w:val="center"/>
              <w:ind w:right="380"/>
              <w:spacing w:after="0" w:line="129"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December 31, 2023</w:t>
            </w:r>
          </w:p>
        </w:tc>
        <w:tc>
          <w:tcPr>
            <w:tcW w:w="2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34,835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348</w:t>
            </w:r>
          </w:p>
        </w:tc>
        <w:tc>
          <w:tcPr>
            <w:tcW w:w="14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254,956</w:t>
            </w:r>
          </w:p>
        </w:tc>
        <w:tc>
          <w:tcPr>
            <w:tcW w:w="12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4"/>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(6,387)</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4"/>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(16,274)</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4,848</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237,491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Net income for the three months ended March 31, 2024</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1,508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585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2,093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(2,204)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(2,202)</w:t>
            </w: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1,808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repurchase and retirement</w:t>
            </w: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(144)</w:t>
            </w:r>
          </w:p>
        </w:tc>
        <w:tc>
          <w:tcPr>
            <w:tcW w:w="120" w:type="dxa"/>
            <w:vAlign w:val="bottom"/>
          </w:tcPr>
          <w:p>
            <w:pPr>
              <w:spacing w:after="0"/>
              <w:rPr>
                <w:sz w:val="12"/>
                <w:szCs w:val="12"/>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(3,000)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(3,001)</w:t>
            </w: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Translation gain</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1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654</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654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(804)</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(804)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March 31, 2024</w:t>
            </w:r>
          </w:p>
        </w:tc>
        <w:tc>
          <w:tcPr>
            <w:tcW w:w="9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34,908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251,673</w:t>
            </w:r>
          </w:p>
        </w:tc>
        <w:tc>
          <w:tcPr>
            <w:tcW w:w="1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4"/>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(4,879)</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4"/>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(15,620)</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4,629</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236,152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16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3"/>
                <w:szCs w:val="13"/>
                <w:color w:val="auto"/>
              </w:rPr>
              <w:t>Net income for the three months ended June 30, 2024</w:t>
            </w:r>
          </w:p>
        </w:tc>
        <w:tc>
          <w:tcPr>
            <w:tcW w:w="2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color w:val="auto"/>
              </w:rPr>
              <w:t>4,485</w:t>
            </w:r>
          </w:p>
        </w:tc>
        <w:tc>
          <w:tcPr>
            <w:tcW w:w="20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color w:val="auto"/>
              </w:rPr>
              <w:t>445</w:t>
            </w:r>
          </w:p>
        </w:tc>
        <w:tc>
          <w:tcPr>
            <w:tcW w:w="2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4,930</w:t>
            </w: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(466)</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(465)</w:t>
            </w: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2,191</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2,191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repurchase and retirement</w:t>
            </w:r>
          </w:p>
        </w:tc>
        <w:tc>
          <w:tcPr>
            <w:tcW w:w="1140" w:type="dxa"/>
            <w:vAlign w:val="bottom"/>
            <w:gridSpan w:val="4"/>
          </w:tcPr>
          <w:p>
            <w:pPr>
              <w:jc w:val="right"/>
              <w:ind w:right="200"/>
              <w:spacing w:after="0"/>
              <w:rPr>
                <w:sz w:val="20"/>
                <w:szCs w:val="20"/>
                <w:color w:val="auto"/>
              </w:rPr>
            </w:pPr>
            <w:r>
              <w:rPr>
                <w:rFonts w:ascii="Times New Roman" w:cs="Times New Roman" w:eastAsia="Times New Roman" w:hAnsi="Times New Roman"/>
                <w:sz w:val="13"/>
                <w:szCs w:val="13"/>
                <w:color w:val="auto"/>
              </w:rPr>
              <w:t>(86)</w:t>
            </w:r>
          </w:p>
        </w:tc>
        <w:tc>
          <w:tcPr>
            <w:tcW w:w="120" w:type="dxa"/>
            <w:vAlign w:val="bottom"/>
          </w:tcPr>
          <w:p>
            <w:pPr>
              <w:spacing w:after="0"/>
              <w:rPr>
                <w:sz w:val="12"/>
                <w:szCs w:val="12"/>
                <w:color w:val="auto"/>
              </w:rPr>
            </w:pPr>
          </w:p>
        </w:tc>
        <w:tc>
          <w:tcPr>
            <w:tcW w:w="88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(1,999)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(2,000)</w:t>
            </w:r>
          </w:p>
        </w:tc>
        <w:tc>
          <w:tcPr>
            <w:tcW w:w="0" w:type="dxa"/>
            <w:vAlign w:val="bottom"/>
          </w:tcPr>
          <w:p>
            <w:pPr>
              <w:spacing w:after="0"/>
              <w:rPr>
                <w:sz w:val="1"/>
                <w:szCs w:val="1"/>
                <w:color w:val="auto"/>
              </w:rPr>
            </w:pPr>
          </w:p>
        </w:tc>
      </w:tr>
      <w:tr>
        <w:trPr>
          <w:trHeight w:val="14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Translation loss</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24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(856)</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(856)</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3"/>
                <w:szCs w:val="13"/>
                <w:color w:val="auto"/>
              </w:rPr>
              <w:t>(301)</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(301)</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3"/>
                <w:szCs w:val="13"/>
                <w:color w:val="auto"/>
              </w:rPr>
              <w:t>Balance June 30, 2024</w:t>
            </w:r>
          </w:p>
        </w:tc>
        <w:tc>
          <w:tcPr>
            <w:tcW w:w="9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34,924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349</w:t>
            </w:r>
          </w:p>
        </w:tc>
        <w:tc>
          <w:tcPr>
            <w:tcW w:w="14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251,560</w:t>
            </w:r>
          </w:p>
        </w:tc>
        <w:tc>
          <w:tcPr>
            <w:tcW w:w="1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4"/>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3"/>
                <w:szCs w:val="13"/>
                <w:color w:val="auto"/>
              </w:rPr>
              <w:t>(394)</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4"/>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(16,476)</w:t>
            </w:r>
          </w:p>
        </w:tc>
        <w:tc>
          <w:tcPr>
            <w:tcW w:w="20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4,773</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42"/>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239,812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3160" w:type="dxa"/>
            <w:vAlign w:val="bottom"/>
            <w:tcBorders>
              <w:top w:val="single" w:sz="8" w:color="CFF0FC"/>
            </w:tcBorders>
          </w:tcPr>
          <w:p>
            <w:pPr>
              <w:spacing w:after="0" w:line="116" w:lineRule="exact"/>
              <w:rPr>
                <w:sz w:val="20"/>
                <w:szCs w:val="20"/>
                <w:color w:val="auto"/>
              </w:rPr>
            </w:pPr>
            <w:r>
              <w:rPr>
                <w:rFonts w:ascii="Times New Roman" w:cs="Times New Roman" w:eastAsia="Times New Roman" w:hAnsi="Times New Roman"/>
                <w:sz w:val="13"/>
                <w:szCs w:val="13"/>
                <w:color w:val="auto"/>
              </w:rPr>
              <w:t>Net income for the three months ended September 30,</w:t>
            </w:r>
          </w:p>
        </w:tc>
        <w:tc>
          <w:tcPr>
            <w:tcW w:w="2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3"/>
          </w:tcPr>
          <w:p>
            <w:pPr>
              <w:jc w:val="right"/>
              <w:spacing w:after="0" w:line="116" w:lineRule="exact"/>
              <w:rPr>
                <w:sz w:val="20"/>
                <w:szCs w:val="20"/>
                <w:color w:val="auto"/>
              </w:rPr>
            </w:pPr>
            <w:r>
              <w:rPr>
                <w:rFonts w:ascii="Times New Roman" w:cs="Times New Roman" w:eastAsia="Times New Roman" w:hAnsi="Times New Roman"/>
                <w:sz w:val="13"/>
                <w:szCs w:val="13"/>
                <w:color w:val="auto"/>
              </w:rPr>
              <w:t>2,086</w:t>
            </w:r>
          </w:p>
        </w:tc>
        <w:tc>
          <w:tcPr>
            <w:tcW w:w="20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jc w:val="right"/>
              <w:spacing w:after="0" w:line="116" w:lineRule="exact"/>
              <w:rPr>
                <w:sz w:val="20"/>
                <w:szCs w:val="20"/>
                <w:color w:val="auto"/>
              </w:rPr>
            </w:pPr>
            <w:r>
              <w:rPr>
                <w:rFonts w:ascii="Times New Roman" w:cs="Times New Roman" w:eastAsia="Times New Roman" w:hAnsi="Times New Roman"/>
                <w:sz w:val="13"/>
                <w:szCs w:val="13"/>
                <w:color w:val="auto"/>
              </w:rPr>
              <w:t>453</w:t>
            </w:r>
          </w:p>
        </w:tc>
        <w:tc>
          <w:tcPr>
            <w:tcW w:w="22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ind w:right="20"/>
              <w:spacing w:after="0" w:line="116" w:lineRule="exact"/>
              <w:rPr>
                <w:sz w:val="20"/>
                <w:szCs w:val="20"/>
                <w:color w:val="auto"/>
              </w:rPr>
            </w:pPr>
            <w:r>
              <w:rPr>
                <w:rFonts w:ascii="Times New Roman" w:cs="Times New Roman" w:eastAsia="Times New Roman" w:hAnsi="Times New Roman"/>
                <w:sz w:val="13"/>
                <w:szCs w:val="13"/>
                <w:color w:val="auto"/>
              </w:rPr>
              <w:t>2,539</w:t>
            </w: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2024</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Exercise of stock options</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Restricted stock units issued</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(340)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(340)</w:t>
            </w:r>
          </w:p>
        </w:tc>
        <w:tc>
          <w:tcPr>
            <w:tcW w:w="0" w:type="dxa"/>
            <w:vAlign w:val="bottom"/>
          </w:tcPr>
          <w:p>
            <w:pPr>
              <w:spacing w:after="0"/>
              <w:rPr>
                <w:sz w:val="1"/>
                <w:szCs w:val="1"/>
                <w:color w:val="auto"/>
              </w:rPr>
            </w:pPr>
          </w:p>
        </w:tc>
      </w:tr>
      <w:tr>
        <w:trPr>
          <w:trHeight w:val="14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 based compensation earned</w:t>
            </w:r>
          </w:p>
        </w:tc>
        <w:tc>
          <w:tcPr>
            <w:tcW w:w="9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2,276</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2,276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Translation gain</w:t>
            </w: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2"/>
                <w:szCs w:val="12"/>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2,102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2"/>
                <w:szCs w:val="12"/>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Noncontrolling interest distributions</w:t>
            </w:r>
          </w:p>
        </w:tc>
        <w:tc>
          <w:tcPr>
            <w:tcW w:w="26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(602)</w:t>
            </w:r>
          </w:p>
        </w:tc>
        <w:tc>
          <w:tcPr>
            <w:tcW w:w="26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(602)</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16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Balance September 30, 2024</w:t>
            </w:r>
          </w:p>
        </w:tc>
        <w:tc>
          <w:tcPr>
            <w:tcW w:w="9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34,979</w:t>
            </w:r>
          </w:p>
        </w:tc>
        <w:tc>
          <w:tcPr>
            <w:tcW w:w="24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349</w:t>
            </w:r>
          </w:p>
        </w:tc>
        <w:tc>
          <w:tcPr>
            <w:tcW w:w="140" w:type="dxa"/>
            <w:vAlign w:val="bottom"/>
          </w:tcPr>
          <w:p>
            <w:pPr>
              <w:spacing w:after="0"/>
              <w:rPr>
                <w:sz w:val="12"/>
                <w:szCs w:val="12"/>
                <w:color w:val="auto"/>
              </w:rPr>
            </w:pPr>
          </w:p>
        </w:tc>
        <w:tc>
          <w:tcPr>
            <w:tcW w:w="2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253,590</w:t>
            </w:r>
          </w:p>
        </w:tc>
        <w:tc>
          <w:tcPr>
            <w:tcW w:w="120" w:type="dxa"/>
            <w:vAlign w:val="bottom"/>
          </w:tcPr>
          <w:p>
            <w:pPr>
              <w:spacing w:after="0"/>
              <w:rPr>
                <w:sz w:val="12"/>
                <w:szCs w:val="12"/>
                <w:color w:val="auto"/>
              </w:rPr>
            </w:pPr>
          </w:p>
        </w:tc>
        <w:tc>
          <w:tcPr>
            <w:tcW w:w="280" w:type="dxa"/>
            <w:vAlign w:val="bottom"/>
            <w:gridSpan w:val="2"/>
          </w:tcPr>
          <w:p>
            <w:pPr>
              <w:jc w:val="right"/>
              <w:ind w:right="53"/>
              <w:spacing w:after="0" w:line="142"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1,692</w:t>
            </w:r>
          </w:p>
        </w:tc>
        <w:tc>
          <w:tcPr>
            <w:tcW w:w="20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40" w:type="dxa"/>
            <w:vAlign w:val="bottom"/>
            <w:gridSpan w:val="4"/>
          </w:tcPr>
          <w:p>
            <w:pPr>
              <w:jc w:val="right"/>
              <w:ind w:right="80"/>
              <w:spacing w:after="0" w:line="142" w:lineRule="exact"/>
              <w:rPr>
                <w:sz w:val="20"/>
                <w:szCs w:val="20"/>
                <w:color w:val="auto"/>
              </w:rPr>
            </w:pPr>
            <w:r>
              <w:rPr>
                <w:rFonts w:ascii="Times New Roman" w:cs="Times New Roman" w:eastAsia="Times New Roman" w:hAnsi="Times New Roman"/>
                <w:sz w:val="13"/>
                <w:szCs w:val="13"/>
                <w:color w:val="auto"/>
              </w:rPr>
              <w:t>(14,374)</w:t>
            </w:r>
          </w:p>
        </w:tc>
        <w:tc>
          <w:tcPr>
            <w:tcW w:w="20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3"/>
                <w:szCs w:val="13"/>
                <w:color w:val="auto"/>
              </w:rPr>
              <w:t>4,624</w:t>
            </w:r>
          </w:p>
        </w:tc>
        <w:tc>
          <w:tcPr>
            <w:tcW w:w="220" w:type="dxa"/>
            <w:vAlign w:val="bottom"/>
          </w:tcPr>
          <w:p>
            <w:pPr>
              <w:spacing w:after="0"/>
              <w:rPr>
                <w:sz w:val="12"/>
                <w:szCs w:val="12"/>
                <w:color w:val="auto"/>
              </w:rPr>
            </w:pPr>
          </w:p>
        </w:tc>
        <w:tc>
          <w:tcPr>
            <w:tcW w:w="260" w:type="dxa"/>
            <w:vAlign w:val="bottom"/>
          </w:tcPr>
          <w:p>
            <w:pPr>
              <w:jc w:val="right"/>
              <w:ind w:right="142"/>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3"/>
                <w:szCs w:val="13"/>
                <w:color w:val="auto"/>
              </w:rPr>
              <w:t>245,881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-1602105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-1585595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-1602105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-1585595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-1602105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-1585595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-1602105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-1585595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-1602105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-1585595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-1602105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-1585595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-1585595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-814070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-796290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-814070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-796290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-814070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-796290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-814070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-796290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-814070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-796290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-814070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-796290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-128270</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-128270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-128270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-128270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-128270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-128270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32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40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6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9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48,356</w:t>
            </w:r>
          </w:p>
        </w:tc>
        <w:tc>
          <w:tcPr>
            <w:tcW w:w="160" w:type="dxa"/>
            <w:vAlign w:val="bottom"/>
          </w:tcPr>
          <w:p>
            <w:pPr>
              <w:spacing w:after="0"/>
              <w:rPr>
                <w:sz w:val="17"/>
                <w:szCs w:val="17"/>
                <w:color w:val="auto"/>
              </w:rPr>
            </w:pPr>
          </w:p>
        </w:tc>
        <w:tc>
          <w:tcPr>
            <w:tcW w:w="5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9,561</w:t>
            </w:r>
          </w:p>
        </w:tc>
        <w:tc>
          <w:tcPr>
            <w:tcW w:w="100" w:type="dxa"/>
            <w:vAlign w:val="bottom"/>
          </w:tcPr>
          <w:p>
            <w:pPr>
              <w:spacing w:after="0"/>
              <w:rPr>
                <w:sz w:val="17"/>
                <w:szCs w:val="17"/>
                <w:color w:val="auto"/>
              </w:rPr>
            </w:pPr>
          </w:p>
        </w:tc>
      </w:tr>
      <w:tr>
        <w:trPr>
          <w:trHeight w:val="202"/>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to net cash (used in) provided by operating activities: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10,536</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Unrealized foreign currency (gain) loss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(2,219)</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Gain on sale of Global Pump Solutions business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(63,701)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Fair value adjustment to earnout liabilities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(7,403)</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Loss on sale of property and equipment</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Debt discount amortization</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5,790</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Provision for credit loss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Deferred income tax expense</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 and divestiture:</w:t>
            </w:r>
          </w:p>
        </w:tc>
        <w:tc>
          <w:tcPr>
            <w:tcW w:w="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5,822</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9,653</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Costs and estimated earnings in excess of billings on uncompleted contracts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(38,605)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(1,498)</w:t>
            </w: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(6,477)</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(4,305)</w:t>
            </w: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 and other current assets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(15,302)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(18,059)</w:t>
            </w: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(5,597)</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(2,755)</w:t>
            </w: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15,834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15,387</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4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15,970</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(550)</w:t>
            </w: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7,286</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taxes payable</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(4,142)</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(1,140)</w:t>
            </w: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liabilities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(3,139)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(9,330)</w:t>
            </w:r>
          </w:p>
        </w:tc>
      </w:tr>
      <w:tr>
        <w:trPr>
          <w:trHeight w:val="20"/>
        </w:trPr>
        <w:tc>
          <w:tcPr>
            <w:tcW w:w="7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(4,100)</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00" w:type="dxa"/>
            <w:vAlign w:val="bottom"/>
            <w:shd w:val="clear" w:color="auto" w:fill="CFF0FC"/>
          </w:tcPr>
          <w:p>
            <w:pPr>
              <w:spacing w:after="0"/>
              <w:rPr>
                <w:sz w:val="17"/>
                <w:szCs w:val="17"/>
                <w:color w:val="auto"/>
              </w:rPr>
            </w:pPr>
          </w:p>
        </w:tc>
      </w:tr>
      <w:tr>
        <w:trPr>
          <w:trHeight w:val="196"/>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4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(8,673)</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(11,237)</w:t>
            </w: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proceeds for sale of Global Pump Solutions business</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107,808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Net cash paid for acquisitions, net of cash acquired</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(97,615)</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(14,954)</w:t>
            </w:r>
          </w:p>
        </w:tc>
      </w:tr>
      <w:tr>
        <w:trPr>
          <w:trHeight w:val="20"/>
        </w:trPr>
        <w:tc>
          <w:tcPr>
            <w:tcW w:w="73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3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(26,191)</w:t>
            </w:r>
          </w:p>
        </w:tc>
      </w:tr>
      <w:tr>
        <w:trPr>
          <w:trHeight w:val="19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4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185,800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58,400</w:t>
            </w:r>
          </w:p>
        </w:tc>
        <w:tc>
          <w:tcPr>
            <w:tcW w:w="100" w:type="dxa"/>
            <w:vAlign w:val="bottom"/>
          </w:tcPr>
          <w:p>
            <w:pPr>
              <w:spacing w:after="0"/>
              <w:rPr>
                <w:sz w:val="17"/>
                <w:szCs w:val="17"/>
                <w:color w:val="auto"/>
              </w:rPr>
            </w:pPr>
          </w:p>
        </w:tc>
      </w:tr>
      <w:tr>
        <w:trPr>
          <w:trHeight w:val="202"/>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(183,700)</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(54,800)</w:t>
            </w: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(1,230)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(7,843)</w:t>
            </w: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Payments on finance leases and financing liability</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(643)</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(692)</w:t>
            </w: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consideration paid for acquisitions</w:t>
            </w:r>
          </w:p>
        </w:tc>
        <w:tc>
          <w:tcPr>
            <w:tcW w:w="400" w:type="dxa"/>
            <w:vAlign w:val="bottom"/>
          </w:tcPr>
          <w:p>
            <w:pPr>
              <w:spacing w:after="0"/>
              <w:rPr>
                <w:sz w:val="17"/>
                <w:szCs w:val="17"/>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(2,787)</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(2,050)</w:t>
            </w:r>
          </w:p>
        </w:tc>
      </w:tr>
      <w:tr>
        <w:trPr>
          <w:trHeight w:val="203"/>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Earnout payments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(1,672)</w:t>
            </w:r>
          </w:p>
        </w:tc>
      </w:tr>
      <w:tr>
        <w:trPr>
          <w:trHeight w:val="189"/>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Equity awards surrendered by employees for tax liability, net of proceeds from employee stock purchase</w:t>
            </w: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plan and exercise of stock options</w:t>
            </w:r>
          </w:p>
        </w:tc>
        <w:tc>
          <w:tcPr>
            <w:tcW w:w="4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100" w:type="dxa"/>
            <w:vAlign w:val="bottom"/>
          </w:tcPr>
          <w:p>
            <w:pPr>
              <w:spacing w:after="0"/>
              <w:rPr>
                <w:sz w:val="18"/>
                <w:szCs w:val="18"/>
                <w:color w:val="auto"/>
              </w:rPr>
            </w:pPr>
          </w:p>
        </w:tc>
      </w:tr>
      <w:tr>
        <w:trPr>
          <w:trHeight w:val="205"/>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Noncontrolling interest distributions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(1,204)</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(1,707)</w:t>
            </w:r>
          </w:p>
        </w:tc>
      </w:tr>
      <w:tr>
        <w:trPr>
          <w:trHeight w:val="20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 repurchased</w:t>
            </w:r>
          </w:p>
        </w:tc>
        <w:tc>
          <w:tcPr>
            <w:tcW w:w="4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(5,000)</w:t>
            </w:r>
          </w:p>
        </w:tc>
      </w:tr>
      <w:tr>
        <w:trPr>
          <w:trHeight w:val="20"/>
        </w:trPr>
        <w:tc>
          <w:tcPr>
            <w:tcW w:w="7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(2,834)</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(14,518)</w:t>
            </w:r>
          </w:p>
        </w:tc>
      </w:tr>
      <w:tr>
        <w:trPr>
          <w:trHeight w:val="196"/>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4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6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1,187</w:t>
            </w:r>
          </w:p>
        </w:tc>
        <w:tc>
          <w:tcPr>
            <w:tcW w:w="100" w:type="dxa"/>
            <w:vAlign w:val="bottom"/>
            <w:tcBorders>
              <w:top w:val="single" w:sz="8" w:color="CFF0FC"/>
            </w:tcBorders>
          </w:tcPr>
          <w:p>
            <w:pPr>
              <w:spacing w:after="0"/>
              <w:rPr>
                <w:sz w:val="17"/>
                <w:szCs w:val="17"/>
                <w:color w:val="auto"/>
              </w:rPr>
            </w:pPr>
          </w:p>
        </w:tc>
      </w:tr>
      <w:tr>
        <w:trPr>
          <w:trHeight w:val="19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40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(5,328)</w:t>
            </w: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(16,522)</w:t>
            </w:r>
          </w:p>
        </w:tc>
      </w:tr>
      <w:tr>
        <w:trPr>
          <w:trHeight w:val="203"/>
        </w:trPr>
        <w:tc>
          <w:tcPr>
            <w:tcW w:w="73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4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100" w:type="dxa"/>
            <w:vAlign w:val="bottom"/>
          </w:tcPr>
          <w:p>
            <w:pPr>
              <w:spacing w:after="0"/>
              <w:rPr>
                <w:sz w:val="17"/>
                <w:szCs w:val="17"/>
                <w:color w:val="auto"/>
              </w:rPr>
            </w:pPr>
          </w:p>
        </w:tc>
      </w:tr>
      <w:tr>
        <w:trPr>
          <w:trHeight w:val="23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32,873</w:t>
            </w:r>
          </w:p>
        </w:tc>
        <w:tc>
          <w:tcPr>
            <w:tcW w:w="160" w:type="dxa"/>
            <w:vAlign w:val="bottom"/>
            <w:shd w:val="clear" w:color="auto" w:fill="CFF0FC"/>
          </w:tcPr>
          <w:p>
            <w:pPr>
              <w:spacing w:after="0"/>
              <w:rPr>
                <w:sz w:val="20"/>
                <w:szCs w:val="20"/>
                <w:color w:val="auto"/>
              </w:rPr>
            </w:pPr>
          </w:p>
        </w:tc>
        <w:tc>
          <w:tcPr>
            <w:tcW w:w="520" w:type="dxa"/>
            <w:vAlign w:val="bottom"/>
            <w:gridSpan w:val="2"/>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38,926</w:t>
            </w:r>
          </w:p>
        </w:tc>
        <w:tc>
          <w:tcPr>
            <w:tcW w:w="100" w:type="dxa"/>
            <w:vAlign w:val="bottom"/>
            <w:shd w:val="clear" w:color="auto" w:fill="CFF0FC"/>
          </w:tcPr>
          <w:p>
            <w:pPr>
              <w:spacing w:after="0"/>
              <w:rPr>
                <w:sz w:val="20"/>
                <w:szCs w:val="20"/>
                <w:color w:val="auto"/>
              </w:rPr>
            </w:pPr>
          </w:p>
        </w:tc>
      </w:tr>
      <w:tr>
        <w:trPr>
          <w:trHeight w:val="183"/>
        </w:trPr>
        <w:tc>
          <w:tcPr>
            <w:tcW w:w="7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4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42"/>
        </w:trPr>
        <w:tc>
          <w:tcPr>
            <w:tcW w:w="7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w:t>
            </w:r>
          </w:p>
        </w:tc>
        <w:tc>
          <w:tcPr>
            <w:tcW w:w="400" w:type="dxa"/>
            <w:vAlign w:val="bottom"/>
            <w:tcBorders>
              <w:bottom w:val="single" w:sz="8" w:color="auto"/>
            </w:tcBorders>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15,861</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9,714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83"/>
        </w:trPr>
        <w:tc>
          <w:tcPr>
            <w:tcW w:w="73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w:t>
            </w: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22,424</w:t>
            </w:r>
          </w:p>
        </w:tc>
        <w:tc>
          <w:tcPr>
            <w:tcW w:w="160" w:type="dxa"/>
            <w:vAlign w:val="bottom"/>
          </w:tcPr>
          <w:p>
            <w:pPr>
              <w:spacing w:after="0"/>
              <w:rPr>
                <w:sz w:val="15"/>
                <w:szCs w:val="15"/>
                <w:color w:val="auto"/>
              </w:rPr>
            </w:pPr>
          </w:p>
        </w:tc>
        <w:tc>
          <w:tcPr>
            <w:tcW w:w="52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100" w:type="dxa"/>
            <w:vAlign w:val="bottom"/>
          </w:tcPr>
          <w:p>
            <w:pPr>
              <w:spacing w:after="0"/>
              <w:rPr>
                <w:sz w:val="15"/>
                <w:szCs w:val="15"/>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-3222625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-2699385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-1002030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-462280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-445135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-179705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-161925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 to the condensed consolidated financial statements are an integral part of the above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CECO ENVIRONMENTAL CORP.</w:t>
      </w:r>
    </w:p>
    <w:p>
      <w:pPr>
        <w:spacing w:after="0" w:line="2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NOTES TO CONDENSED CONSOLIDATED FINANCIAL STATEMENTS</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u w:val="single" w:color="auto"/>
          <w:color w:val="auto"/>
        </w:rPr>
        <w:t>(unaudited)</w:t>
      </w:r>
    </w:p>
    <w:p>
      <w:pPr>
        <w:spacing w:after="0" w:line="203" w:lineRule="exact"/>
        <w:rPr>
          <w:sz w:val="20"/>
          <w:szCs w:val="20"/>
          <w:color w:val="auto"/>
        </w:rPr>
      </w:pPr>
    </w:p>
    <w:p>
      <w:pPr>
        <w:ind w:left="352" w:hanging="352"/>
        <w:spacing w:after="0"/>
        <w:tabs>
          <w:tab w:leader="none" w:pos="352"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Reporting for Consolidated Financial Statements</w:t>
      </w:r>
    </w:p>
    <w:p>
      <w:pPr>
        <w:spacing w:after="0" w:line="229" w:lineRule="exact"/>
        <w:rPr>
          <w:sz w:val="20"/>
          <w:szCs w:val="20"/>
          <w:color w:val="auto"/>
        </w:rPr>
      </w:pPr>
    </w:p>
    <w:p>
      <w:pPr>
        <w:ind w:left="512"/>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CECO Environmental Corp. and its subsidiaries (the “Company,” “CECO,” “we,” “us,” or “our”) have been prepared pursuant to the rules and regulations of the Securities and Exchange Commission (the “SEC”). Certain information and footnote disclosures normally included in financial statements prepared in accordance with accounting principles generally accepted in the United States of America (“GAAP”) have been condensed or omitted pursuant to those rules and regulations. In the opinion of management, the accompanying unaudited condensed consolidated financial statements of the Company contain all adjustments, consisting only of normal recurring adjustments, necessary to present fairly the financial position as of September 30, 2025 and the results of operations, cash flows and shareholders’ equity for the three and nine months ended September 30, 2025 and 2024. The results of operations for the three and nine months ended September 30, 2025 are not necessarily indicative of the results to be expected for the full year. The balance sheet as of December 31, 2024 has been derived from the audited consolidated financial statements included in the Company’s Annual Report on Form 10-K for the year ended December 31, 2024 as filed with the SEC on February 25, 2025 (the “Form 10-K”). Certain prior period amounts were reclassified to conform to the presentation in the current period.</w:t>
      </w:r>
    </w:p>
    <w:p>
      <w:pPr>
        <w:spacing w:after="0" w:line="192" w:lineRule="exact"/>
        <w:rPr>
          <w:sz w:val="20"/>
          <w:szCs w:val="20"/>
          <w:color w:val="auto"/>
        </w:rPr>
      </w:pPr>
    </w:p>
    <w:p>
      <w:pPr>
        <w:jc w:val="both"/>
        <w:ind w:left="512" w:right="6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ind w:left="512" w:right="580"/>
        <w:spacing w:after="0" w:line="282" w:lineRule="auto"/>
        <w:rPr>
          <w:sz w:val="20"/>
          <w:szCs w:val="20"/>
          <w:color w:val="auto"/>
        </w:rPr>
      </w:pPr>
      <w:r>
        <w:rPr>
          <w:rFonts w:ascii="Times New Roman" w:cs="Times New Roman" w:eastAsia="Times New Roman" w:hAnsi="Times New Roman"/>
          <w:sz w:val="18"/>
          <w:szCs w:val="18"/>
          <w:color w:val="auto"/>
        </w:rPr>
        <w:t>These financial statements and accompanying notes should be read in conjunction with the audited financial statements and the notes thereto included in the Form 10-K.</w:t>
      </w:r>
    </w:p>
    <w:p>
      <w:pPr>
        <w:spacing w:after="0" w:line="16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Unless otherwise indicated, all balances within tables are in thousands, except per share amounts.</w:t>
      </w:r>
    </w:p>
    <w:p>
      <w:pPr>
        <w:spacing w:after="0" w:line="221" w:lineRule="exact"/>
        <w:rPr>
          <w:sz w:val="20"/>
          <w:szCs w:val="20"/>
          <w:color w:val="auto"/>
        </w:rPr>
      </w:pPr>
    </w:p>
    <w:p>
      <w:pPr>
        <w:ind w:left="352" w:hanging="352"/>
        <w:spacing w:after="0"/>
        <w:tabs>
          <w:tab w:leader="none" w:pos="35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 Financial Accounting Pronouncements</w:t>
      </w:r>
    </w:p>
    <w:p>
      <w:pPr>
        <w:spacing w:after="0" w:line="229" w:lineRule="exact"/>
        <w:rPr>
          <w:sz w:val="20"/>
          <w:szCs w:val="20"/>
          <w:color w:val="auto"/>
        </w:rPr>
      </w:pPr>
    </w:p>
    <w:p>
      <w:pPr>
        <w:ind w:left="512"/>
        <w:spacing w:after="0" w:line="266" w:lineRule="auto"/>
        <w:rPr>
          <w:sz w:val="20"/>
          <w:szCs w:val="20"/>
          <w:color w:val="auto"/>
        </w:rPr>
      </w:pPr>
      <w:r>
        <w:rPr>
          <w:rFonts w:ascii="Times New Roman" w:cs="Times New Roman" w:eastAsia="Times New Roman" w:hAnsi="Times New Roman"/>
          <w:sz w:val="18"/>
          <w:szCs w:val="18"/>
          <w:color w:val="auto"/>
        </w:rPr>
        <w:t>The Company considered the impact of all Accounting Standards Updates ("ASUs") issued by the Financial Accounting Standards Board ("FASB"). The ASUs issued but not listed below were assessed and determined to be either not applicable or are expected to have minimal impact on the Company's consolidated financial statements.</w:t>
      </w:r>
    </w:p>
    <w:p>
      <w:pPr>
        <w:spacing w:after="0" w:line="17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color w:val="auto"/>
        </w:rPr>
        <w:t>Accounting Standards Adopted in Fiscal 2025</w:t>
      </w:r>
    </w:p>
    <w:p>
      <w:pPr>
        <w:spacing w:after="0" w:line="229"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b w:val="1"/>
          <w:bCs w:val="1"/>
          <w:color w:val="auto"/>
        </w:rPr>
        <w:t>Accounting Standards to be Adopted</w:t>
      </w:r>
    </w:p>
    <w:p>
      <w:pPr>
        <w:spacing w:after="0" w:line="229" w:lineRule="exact"/>
        <w:rPr>
          <w:sz w:val="20"/>
          <w:szCs w:val="20"/>
          <w:color w:val="auto"/>
        </w:rPr>
      </w:pPr>
    </w:p>
    <w:p>
      <w:pPr>
        <w:ind w:left="512"/>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350-40): Targeted Improvements to the Accounting for Internal-Use Software, which removes references to project stages, and requires capitalization of software costs to begin when management has authorized and committed to funding the software project, and it is probable that the project will be completed and the software will be used to perform the intended function. The ASU is effective for fiscal years beginning after December 15, 2027, and interim periods within those annual reporting periods. The Company is currently evaluating the impact the adoption of the standard will have on the Company’s consolidated financial statements.</w:t>
      </w:r>
    </w:p>
    <w:p>
      <w:pPr>
        <w:spacing w:after="0" w:line="187" w:lineRule="exact"/>
        <w:rPr>
          <w:sz w:val="20"/>
          <w:szCs w:val="20"/>
          <w:color w:val="auto"/>
        </w:rPr>
      </w:pPr>
    </w:p>
    <w:p>
      <w:pPr>
        <w:jc w:val="both"/>
        <w:ind w:left="512" w:right="360"/>
        <w:spacing w:after="0" w:line="261"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which introduces a practical expedient for estimating credit losses on current accounts receivable and contract assets. The ASU is effective for fiscal years beginning after December 15, 2025, and interim periods within those annual reporting periods. The Company is currently evaluating the impact the adoption of the standard will have on the Company’s consolidated financial statements.</w:t>
      </w:r>
    </w:p>
    <w:p>
      <w:pPr>
        <w:spacing w:after="0" w:line="180" w:lineRule="exact"/>
        <w:rPr>
          <w:sz w:val="20"/>
          <w:szCs w:val="20"/>
          <w:color w:val="auto"/>
        </w:rPr>
      </w:pPr>
    </w:p>
    <w:p>
      <w:pPr>
        <w:jc w:val="both"/>
        <w:ind w:left="512" w:right="40"/>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addresses annual income tax disclosure requirements, primarily around the disclosure of the rate reconciliation and income taxes paid. The ASU is effective for fiscal years beginning after December 15, 2024. The Company is currently</w:t>
      </w:r>
    </w:p>
    <w:p>
      <w:pPr>
        <w:spacing w:after="0" w:line="3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5" w:right="359" w:bottom="1440" w:gutter="0" w:footer="0" w:header="0"/>
        </w:sectPr>
      </w:pPr>
    </w:p>
    <w:bookmarkStart w:id="9" w:name="page10"/>
    <w:bookmarkEnd w:id="9"/>
    <w:p>
      <w:pPr>
        <w:ind w:left="520" w:right="400"/>
        <w:spacing w:after="0" w:line="282" w:lineRule="auto"/>
        <w:rPr>
          <w:sz w:val="20"/>
          <w:szCs w:val="20"/>
          <w:color w:val="auto"/>
        </w:rPr>
      </w:pPr>
      <w:r>
        <w:rPr>
          <w:rFonts w:ascii="Times New Roman" w:cs="Times New Roman" w:eastAsia="Times New Roman" w:hAnsi="Times New Roman"/>
          <w:sz w:val="18"/>
          <w:szCs w:val="18"/>
          <w:color w:val="auto"/>
        </w:rPr>
        <w:t>evaluating the impact the adoption of the standard will have on the Company’s consolidated financial statements and will adopt the new annual disclosures as required for the fiscal year ended December 31, 2025.</w:t>
      </w:r>
    </w:p>
    <w:p>
      <w:pPr>
        <w:spacing w:after="0" w:line="162" w:lineRule="exact"/>
        <w:rPr>
          <w:sz w:val="20"/>
          <w:szCs w:val="20"/>
          <w:color w:val="auto"/>
        </w:rPr>
      </w:pPr>
    </w:p>
    <w:p>
      <w:pPr>
        <w:ind w:left="520" w:right="140"/>
        <w:spacing w:after="0" w:line="281"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Statement—Reporting Comprehensive Income—Expense Disaggregation Disclosures (Subtopic 220-40): Disaggregation of Income Statement Expenses, which addresses expense disclosure requirements, primarily the disaggregation of expense captions. The ASU is effective for fiscal years beginning after December 15, 2026, and interim periods beginning after December 15, 2027. The Company is currently evaluating the impact the adoption of the standard will have on the Company’s consolidated financial statements.</w:t>
      </w:r>
    </w:p>
    <w:p>
      <w:pPr>
        <w:spacing w:after="0" w:line="160"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Accounts receivable as of September 30, 2025 and December 31, 2024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5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r>
      <w:tr>
        <w:trPr>
          <w:trHeight w:val="209"/>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168,111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168,435</w:t>
            </w:r>
          </w:p>
        </w:tc>
        <w:tc>
          <w:tcPr>
            <w:tcW w:w="10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(8,496)</w:t>
            </w:r>
          </w:p>
        </w:tc>
        <w:tc>
          <w:tcPr>
            <w:tcW w:w="18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(8,863)</w:t>
            </w:r>
          </w:p>
        </w:tc>
      </w:tr>
      <w:tr>
        <w:trPr>
          <w:trHeight w:val="20"/>
        </w:trPr>
        <w:tc>
          <w:tcPr>
            <w:tcW w:w="48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159,615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159,572</w:t>
            </w:r>
          </w:p>
        </w:tc>
        <w:tc>
          <w:tcPr>
            <w:tcW w:w="100" w:type="dxa"/>
            <w:vAlign w:val="bottom"/>
            <w:shd w:val="clear" w:color="auto" w:fill="CFF0FC"/>
          </w:tcPr>
          <w:p>
            <w:pPr>
              <w:spacing w:after="0"/>
              <w:rPr>
                <w:sz w:val="19"/>
                <w:szCs w:val="19"/>
                <w:color w:val="auto"/>
              </w:rPr>
            </w:pP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25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-24765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Accounts receivable, net as of the beginning of the prior year period, or January 1, 2024, were $112.7 million.</w:t>
      </w:r>
    </w:p>
    <w:p>
      <w:pPr>
        <w:spacing w:after="0" w:line="225" w:lineRule="exact"/>
        <w:rPr>
          <w:sz w:val="20"/>
          <w:szCs w:val="20"/>
          <w:color w:val="auto"/>
        </w:rPr>
      </w:pPr>
    </w:p>
    <w:p>
      <w:pPr>
        <w:jc w:val="both"/>
        <w:ind w:left="520" w:right="160"/>
        <w:spacing w:after="0" w:line="261" w:lineRule="auto"/>
        <w:rPr>
          <w:sz w:val="20"/>
          <w:szCs w:val="20"/>
          <w:color w:val="auto"/>
        </w:rPr>
      </w:pPr>
      <w:r>
        <w:rPr>
          <w:rFonts w:ascii="Times New Roman" w:cs="Times New Roman" w:eastAsia="Times New Roman" w:hAnsi="Times New Roman"/>
          <w:sz w:val="18"/>
          <w:szCs w:val="18"/>
          <w:color w:val="auto"/>
        </w:rPr>
        <w:t>Balances billed but not paid by customers under retainage provisions in contracts within the Condensed Consolidated Balance Sheets amounted to approximately $15.2 million and $13.6 million at September 30, 2025 and December 31, 2024, respectively. Retainage receivables on contracts in progress are generally collected up to 24 months following contract completion, and are recorded in either "Accounts receivable, net" or "Deferred charges and other assets" within the Condensed Consolidated Balance Sheets depending on timing of expected collection.</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Provision for credit losses activity for the nine months ended September 30, 2025 and 2024 consisted of the following:</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2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7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0" w:type="dxa"/>
            <w:vAlign w:val="bottom"/>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8,863</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(1,353)</w:t>
            </w: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r>
      <w:tr>
        <w:trPr>
          <w:trHeight w:val="216"/>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Changes to the provision</w:t>
            </w:r>
          </w:p>
        </w:tc>
        <w:tc>
          <w:tcPr>
            <w:tcW w:w="1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r>
      <w:tr>
        <w:trPr>
          <w:trHeight w:val="250"/>
        </w:trPr>
        <w:tc>
          <w:tcPr>
            <w:tcW w:w="7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2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7,214</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-24765</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-8255</wp:posOffset>
            </wp:positionV>
            <wp:extent cx="76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4"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 Assets and Liabilities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Contract assets and liabilities as of September 30, 2025 and December 31, 2024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6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109,826</w:t>
            </w:r>
          </w:p>
        </w:tc>
        <w:tc>
          <w:tcPr>
            <w:tcW w:w="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69,889</w:t>
            </w:r>
          </w:p>
        </w:tc>
        <w:tc>
          <w:tcPr>
            <w:tcW w:w="120" w:type="dxa"/>
            <w:vAlign w:val="bottom"/>
            <w:shd w:val="clear" w:color="auto" w:fill="CFF0FC"/>
          </w:tcPr>
          <w:p>
            <w:pPr>
              <w:spacing w:after="0"/>
              <w:rPr>
                <w:sz w:val="18"/>
                <w:szCs w:val="18"/>
                <w:color w:val="auto"/>
              </w:rPr>
            </w:pPr>
          </w:p>
        </w:tc>
      </w:tr>
      <w:tr>
        <w:trPr>
          <w:trHeight w:val="234"/>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107,361</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81,501</w:t>
            </w:r>
          </w:p>
        </w:tc>
        <w:tc>
          <w:tcPr>
            <w:tcW w:w="120" w:type="dxa"/>
            <w:vAlign w:val="bottom"/>
          </w:tcPr>
          <w:p>
            <w:pPr>
              <w:spacing w:after="0"/>
              <w:rPr>
                <w:sz w:val="20"/>
                <w:szCs w:val="20"/>
                <w:color w:val="auto"/>
              </w:rPr>
            </w:pPr>
          </w:p>
        </w:tc>
      </w:tr>
    </w:tbl>
    <w:p>
      <w:pPr>
        <w:spacing w:after="0" w:line="179" w:lineRule="exact"/>
        <w:rPr>
          <w:sz w:val="20"/>
          <w:szCs w:val="20"/>
          <w:color w:val="auto"/>
        </w:rPr>
      </w:pPr>
    </w:p>
    <w:p>
      <w:pPr>
        <w:ind w:left="520" w:right="220"/>
        <w:spacing w:after="0" w:line="258" w:lineRule="auto"/>
        <w:rPr>
          <w:sz w:val="20"/>
          <w:szCs w:val="20"/>
          <w:color w:val="auto"/>
        </w:rPr>
      </w:pPr>
      <w:r>
        <w:rPr>
          <w:rFonts w:ascii="Times New Roman" w:cs="Times New Roman" w:eastAsia="Times New Roman" w:hAnsi="Times New Roman"/>
          <w:sz w:val="18"/>
          <w:szCs w:val="18"/>
          <w:color w:val="auto"/>
        </w:rPr>
        <w:t>As of the beginning of the prior year period, or January 1, 2024, costs and estimated earnings in excess of billings on uncompleted contracts and billings in excess of costs and estimated earnings on uncompleted contracts were $66.6 million and $56.9 million, respectively. The contract liabilities recorded in “Accrued expenses” on the Condensed Consolidated Balance Sheets were $14.8 million, $9.7 million and $7.9 million as of September 30, 2025, December 31, 2024 and January 1, 2024, respectively. Approximately 80% of the Company's contract liabilities as of December 31, 2024 were recognized as revenue in the nine months ended September 30,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5.</w:t>
        <w:tab/>
        <w:t>Inventories</w:t>
      </w:r>
    </w:p>
    <w:p>
      <w:pPr>
        <w:spacing w:after="0" w:line="2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Inventories as of September 30, 2025 and December 31, 2024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12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14,532</w:t>
            </w:r>
          </w:p>
        </w:tc>
        <w:tc>
          <w:tcPr>
            <w:tcW w:w="120" w:type="dxa"/>
            <w:vAlign w:val="bottom"/>
          </w:tcPr>
          <w:p>
            <w:pPr>
              <w:spacing w:after="0"/>
              <w:rPr>
                <w:sz w:val="18"/>
                <w:szCs w:val="18"/>
                <w:color w:val="auto"/>
              </w:rPr>
            </w:pPr>
          </w:p>
        </w:tc>
      </w:tr>
      <w:tr>
        <w:trPr>
          <w:trHeight w:val="216"/>
        </w:trPr>
        <w:tc>
          <w:tcPr>
            <w:tcW w:w="7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21,185</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3,289</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inventories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57,712</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42,624</w:t>
            </w:r>
          </w:p>
        </w:tc>
        <w:tc>
          <w:tcPr>
            <w:tcW w:w="1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right="240"/>
        <w:spacing w:after="0" w:line="266" w:lineRule="auto"/>
        <w:rPr>
          <w:sz w:val="20"/>
          <w:szCs w:val="20"/>
          <w:color w:val="auto"/>
        </w:rPr>
      </w:pPr>
      <w:r>
        <w:rPr>
          <w:rFonts w:ascii="Times New Roman" w:cs="Times New Roman" w:eastAsia="Times New Roman" w:hAnsi="Times New Roman"/>
          <w:sz w:val="18"/>
          <w:szCs w:val="18"/>
          <w:color w:val="auto"/>
        </w:rPr>
        <w:t>Adjustments to the allowance for obsolete inventory, as recorded to cost of sales, amounted to a decrease of $0.3 million and increase of $0.2 million for the three months ended September 30, 2025 and 2024, respectively, and a decrease of $0.1 million and increase of $0.8 million for the nine months ended September 30, 2025 and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ind w:left="520" w:right="180"/>
        <w:spacing w:after="0" w:line="282" w:lineRule="auto"/>
        <w:rPr>
          <w:sz w:val="20"/>
          <w:szCs w:val="20"/>
          <w:color w:val="auto"/>
        </w:rPr>
      </w:pPr>
      <w:r>
        <w:rPr>
          <w:rFonts w:ascii="Times New Roman" w:cs="Times New Roman" w:eastAsia="Times New Roman" w:hAnsi="Times New Roman"/>
          <w:sz w:val="18"/>
          <w:szCs w:val="18"/>
          <w:color w:val="auto"/>
        </w:rPr>
        <w:t>Goodwill and indefinite life intangible asset activity for the nine months ended September 30, 2025 and the year ended December 31, 2024 was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60" w:type="dxa"/>
            <w:vAlign w:val="bottom"/>
            <w:gridSpan w:val="5"/>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r>
      <w:tr>
        <w:trPr>
          <w:trHeight w:val="142"/>
        </w:trPr>
        <w:tc>
          <w:tcPr>
            <w:tcW w:w="38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Goodwill / Tradename</w:t>
            </w:r>
          </w:p>
        </w:tc>
        <w:tc>
          <w:tcPr>
            <w:tcW w:w="15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Tradename</w:t>
            </w: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Goodwill</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Tradename</w:t>
            </w:r>
          </w:p>
        </w:tc>
        <w:tc>
          <w:tcPr>
            <w:tcW w:w="100" w:type="dxa"/>
            <w:vAlign w:val="bottom"/>
          </w:tcPr>
          <w:p>
            <w:pPr>
              <w:spacing w:after="0"/>
              <w:rPr>
                <w:sz w:val="12"/>
                <w:szCs w:val="12"/>
                <w:color w:val="auto"/>
              </w:rPr>
            </w:pPr>
          </w:p>
        </w:tc>
      </w:tr>
      <w:tr>
        <w:trPr>
          <w:trHeight w:val="20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269,747</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16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shd w:val="clear" w:color="auto" w:fill="CFF0FC"/>
          </w:tcPr>
          <w:p>
            <w:pPr>
              <w:spacing w:after="0"/>
              <w:rPr>
                <w:sz w:val="18"/>
                <w:szCs w:val="18"/>
                <w:color w:val="auto"/>
              </w:rPr>
            </w:pPr>
          </w:p>
        </w:tc>
      </w:tr>
      <w:tr>
        <w:trPr>
          <w:trHeight w:val="216"/>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Acquisitions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Divestiture</w:t>
            </w:r>
          </w:p>
        </w:tc>
        <w:tc>
          <w:tcPr>
            <w:tcW w:w="1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(26,838)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38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5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292,262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9,715</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269,747</w:t>
            </w:r>
          </w:p>
        </w:tc>
        <w:tc>
          <w:tcPr>
            <w:tcW w:w="16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100" w:type="dxa"/>
            <w:vAlign w:val="bottom"/>
            <w:shd w:val="clear" w:color="auto" w:fill="CFF0FC"/>
          </w:tcPr>
          <w:p>
            <w:pPr>
              <w:spacing w:after="0"/>
              <w:rPr>
                <w:sz w:val="19"/>
                <w:szCs w:val="19"/>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15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20"/>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2025, the Company recorded measurement period adjustments related to the acquisitions of WK Germany KG, GmbH and WK Asia-Pacific Pte. Ltd. (collectively, "WK Group") and Verantis Environmental Solutions Group ("Verantis"), as discussed in Note 15, resulting in increases to goodwill as of the acquisition dates of $10.5 million and $10.3 million, respectively. These adjustments relate to working capital and the associated tax balances. During the nine months ended September 30, 2025, the Company completed its acquisition of Profire Energy, Inc. ("Profire"), as discussed in Note 15, and its divestiture of its Fluid Handling business, also known as its Global Pump Solutions business, as discussed in Note 16.</w:t>
      </w:r>
    </w:p>
    <w:p>
      <w:pPr>
        <w:spacing w:after="0" w:line="18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Finite life intangible assets as of September 30, 2025 and December 31, 2024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8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6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394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Accum. Amort.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Accum. Amort.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Technology</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22,314</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14,586</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20,614</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14,769</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Customer lists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140,337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59,214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127,354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70,045</w:t>
            </w:r>
          </w:p>
        </w:tc>
        <w:tc>
          <w:tcPr>
            <w:tcW w:w="0" w:type="dxa"/>
            <w:vAlign w:val="bottom"/>
          </w:tcPr>
          <w:p>
            <w:pPr>
              <w:spacing w:after="0"/>
              <w:rPr>
                <w:sz w:val="1"/>
                <w:szCs w:val="1"/>
                <w:color w:val="auto"/>
              </w:rPr>
            </w:pPr>
          </w:p>
        </w:tc>
      </w:tr>
      <w:tr>
        <w:trPr>
          <w:trHeight w:val="216"/>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Tradenames</w:t>
            </w:r>
          </w:p>
        </w:tc>
        <w:tc>
          <w:tcPr>
            <w:tcW w:w="1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17,660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5,615</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18,530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6,392</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9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intangible assets – finite life</w:t>
            </w: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180,518</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79,532</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163,728</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89,678</w:t>
            </w:r>
          </w:p>
        </w:tc>
        <w:tc>
          <w:tcPr>
            <w:tcW w:w="0" w:type="dxa"/>
            <w:vAlign w:val="bottom"/>
          </w:tcPr>
          <w:p>
            <w:pPr>
              <w:spacing w:after="0"/>
              <w:rPr>
                <w:sz w:val="1"/>
                <w:szCs w:val="1"/>
                <w:color w:val="auto"/>
              </w:rPr>
            </w:pPr>
          </w:p>
        </w:tc>
      </w:tr>
      <w:tr>
        <w:trPr>
          <w:trHeight w:val="629"/>
        </w:trPr>
        <w:tc>
          <w:tcPr>
            <w:tcW w:w="3940" w:type="dxa"/>
            <w:vAlign w:val="bottom"/>
            <w:tcBorders>
              <w:top w:val="single" w:sz="8" w:color="CFF0FC"/>
            </w:tcBorders>
          </w:tcPr>
          <w:p>
            <w:pPr>
              <w:spacing w:after="0"/>
              <w:rPr>
                <w:sz w:val="24"/>
                <w:szCs w:val="24"/>
                <w:color w:val="auto"/>
              </w:rPr>
            </w:pPr>
          </w:p>
        </w:tc>
        <w:tc>
          <w:tcPr>
            <w:tcW w:w="14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-933450</wp:posOffset>
            </wp:positionV>
            <wp:extent cx="768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-916305</wp:posOffset>
            </wp:positionV>
            <wp:extent cx="768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-933450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-916305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-933450</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-916305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Finite life intangible asset activity for the nine months ended September 30, 2025 and 2024 was as follows: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3"/>
                <w:szCs w:val="13"/>
                <w:color w:val="auto"/>
              </w:rPr>
            </w:pPr>
          </w:p>
        </w:tc>
        <w:tc>
          <w:tcPr>
            <w:tcW w:w="3520" w:type="dxa"/>
            <w:vAlign w:val="bottom"/>
            <w:gridSpan w:val="5"/>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73"/>
        </w:trPr>
        <w:tc>
          <w:tcPr>
            <w:tcW w:w="7320" w:type="dxa"/>
            <w:vAlign w:val="bottom"/>
            <w:vMerge w:val="continue"/>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 finite life, net at beginning of period</w:t>
            </w: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74,050</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expense</w:t>
            </w:r>
          </w:p>
        </w:tc>
        <w:tc>
          <w:tcPr>
            <w:tcW w:w="40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(12,177)</w:t>
            </w:r>
          </w:p>
        </w:tc>
        <w:tc>
          <w:tcPr>
            <w:tcW w:w="4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(6,478)</w:t>
            </w: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40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41,810</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Divestiture</w:t>
            </w:r>
          </w:p>
        </w:tc>
        <w:tc>
          <w:tcPr>
            <w:tcW w:w="40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(4,029)</w:t>
            </w:r>
          </w:p>
        </w:tc>
        <w:tc>
          <w:tcPr>
            <w:tcW w:w="4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adjustments</w:t>
            </w:r>
          </w:p>
        </w:tc>
        <w:tc>
          <w:tcPr>
            <w:tcW w:w="40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finite life, net at end of period</w:t>
            </w: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100,986</w:t>
            </w:r>
          </w:p>
        </w:tc>
        <w:tc>
          <w:tcPr>
            <w:tcW w:w="280" w:type="dxa"/>
            <w:vAlign w:val="bottom"/>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-170815</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140"/>
        <w:spacing w:after="0" w:line="256" w:lineRule="auto"/>
        <w:rPr>
          <w:sz w:val="20"/>
          <w:szCs w:val="20"/>
          <w:color w:val="auto"/>
        </w:rPr>
      </w:pPr>
      <w:r>
        <w:rPr>
          <w:rFonts w:ascii="Times New Roman" w:cs="Times New Roman" w:eastAsia="Times New Roman" w:hAnsi="Times New Roman"/>
          <w:sz w:val="18"/>
          <w:szCs w:val="18"/>
          <w:color w:val="auto"/>
        </w:rPr>
        <w:t>Amortization expense of finite life intangible assets was $6.1 million and $2.2 million for the three months ended September 30, 2025 and 2024, respectively, and $12.2 million and $6.5 million for the nine months ended September 30, 2025 and 2024, respectively. Amortization over the next five years for finite life intangibles is expected to be $4.3 million for the remainder of 2025, $16.3 million in 2026, $15.4 million in 2027, $14.5 million in 2028, $12.8 million in 2029, and $40.5 million thereafter. The weighted average amortization periods for finite life intangible assets was 8.1 years as of September 30, 2025, inclusive of weighted average amortization periods for technology, customer lists, and tradenames of 5.9, 8.5, and 7.5 years, respectively.</w:t>
      </w:r>
    </w:p>
    <w:p>
      <w:pPr>
        <w:spacing w:after="0" w:line="187" w:lineRule="exact"/>
        <w:rPr>
          <w:sz w:val="20"/>
          <w:szCs w:val="20"/>
          <w:color w:val="auto"/>
        </w:rPr>
      </w:pPr>
    </w:p>
    <w:p>
      <w:pPr>
        <w:ind w:left="520" w:right="20"/>
        <w:spacing w:after="0" w:line="254" w:lineRule="auto"/>
        <w:rPr>
          <w:sz w:val="20"/>
          <w:szCs w:val="20"/>
          <w:color w:val="auto"/>
        </w:rPr>
      </w:pPr>
      <w:r>
        <w:rPr>
          <w:rFonts w:ascii="Times New Roman" w:cs="Times New Roman" w:eastAsia="Times New Roman" w:hAnsi="Times New Roman"/>
          <w:sz w:val="18"/>
          <w:szCs w:val="18"/>
          <w:color w:val="auto"/>
        </w:rPr>
        <w:t>Annually during the fourth quarter, or more often as circumstances require, the Company completes an impairment assessment of its goodwill and indefinite life intangible assets at the reporting unit level. As a part of its annual assessment, the Company first qualitatively assesses whether current events or changes in circumstances lead to a determination that it is more likely than not, defined as a likelihood of more than 50 percent, that the fair value of a reporting unit is less than its carrying amount. If there is a qualitative determination that the fair value of a particular reporting unit is more likely than not greater than its carrying value, the Company does not need to quantitatively test for impairment for that reporting unit. If this qualitative assessment indicates a more likely than not potential that the asset may be impaired, the estimated fair value is determined using a weighting of the income method and the market method. If the estimated fair value of a reporting unit is less than its carrying value, an impairment charge is recorded.</w:t>
      </w:r>
    </w:p>
    <w:p>
      <w:pPr>
        <w:spacing w:after="0" w:line="192" w:lineRule="exact"/>
        <w:rPr>
          <w:sz w:val="20"/>
          <w:szCs w:val="20"/>
          <w:color w:val="auto"/>
        </w:rPr>
      </w:pPr>
    </w:p>
    <w:p>
      <w:pPr>
        <w:jc w:val="both"/>
        <w:ind w:left="520" w:right="180"/>
        <w:spacing w:after="0" w:line="258" w:lineRule="auto"/>
        <w:rPr>
          <w:sz w:val="20"/>
          <w:szCs w:val="20"/>
          <w:color w:val="auto"/>
        </w:rPr>
      </w:pPr>
      <w:r>
        <w:rPr>
          <w:rFonts w:ascii="Times New Roman" w:cs="Times New Roman" w:eastAsia="Times New Roman" w:hAnsi="Times New Roman"/>
          <w:sz w:val="18"/>
          <w:szCs w:val="18"/>
          <w:color w:val="auto"/>
        </w:rPr>
        <w:t>Additionally, property, plant and equipment and finite life intangible assets are reviewed whenever events or changes in circumstances occur that indicate possible impairment. If events or changes in circumstances occur that indicate possible impairment, the impairment review is based on an undiscounted cash flows analysis at the lowest level at which cash flows of the long-lived assets are largely independent of other groups of assets and liabilities. When impairment is indicated, the estimated future cash flows are then discounted to determine the estimated fair value of the asset or asset group and an impairment charge is recorded for the difference between the carrying value and the estimated fair value.</w:t>
      </w:r>
    </w:p>
    <w:p>
      <w:pPr>
        <w:spacing w:after="0" w:line="183" w:lineRule="exact"/>
        <w:rPr>
          <w:sz w:val="20"/>
          <w:szCs w:val="20"/>
          <w:color w:val="auto"/>
        </w:rPr>
      </w:pPr>
    </w:p>
    <w:p>
      <w:pPr>
        <w:ind w:left="520" w:right="260"/>
        <w:spacing w:after="0" w:line="266" w:lineRule="auto"/>
        <w:rPr>
          <w:sz w:val="20"/>
          <w:szCs w:val="20"/>
          <w:color w:val="auto"/>
        </w:rPr>
      </w:pPr>
      <w:r>
        <w:rPr>
          <w:rFonts w:ascii="Times New Roman" w:cs="Times New Roman" w:eastAsia="Times New Roman" w:hAnsi="Times New Roman"/>
          <w:sz w:val="18"/>
          <w:szCs w:val="18"/>
          <w:color w:val="auto"/>
        </w:rPr>
        <w:t>The Company did not identify any triggering events that would require an interim impairment assessment, or record an impairment of goodwill, indefinite life intangible assets, finite life intangible assets or property, plant and equipment during the three or nine months ended September 30, 2025.</w:t>
      </w:r>
    </w:p>
    <w:p>
      <w:pPr>
        <w:spacing w:after="0" w:line="176"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Company’s assumptions about future conditions important to its assessment of potential impairment are subject to uncertainty, and the Company will continue to monitor these conditions in future periods as new information becomes available, and will update its analysis accordingly.</w:t>
      </w:r>
    </w:p>
    <w:p>
      <w:pPr>
        <w:spacing w:after="0" w:line="158"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as of September 30, 2025 and December 31, 2024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3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15,330</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liability</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warranty</w:t>
            </w:r>
          </w:p>
        </w:tc>
        <w:tc>
          <w:tcPr>
            <w:tcW w:w="3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3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21,346</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accrued expenses</w:t>
            </w:r>
          </w:p>
        </w:tc>
        <w:tc>
          <w:tcPr>
            <w:tcW w:w="3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60,632</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3300" w:type="dxa"/>
            <w:vAlign w:val="bottom"/>
            <w:vMerge w:val="restart"/>
          </w:tcPr>
          <w:p>
            <w:pPr>
              <w:jc w:val="right"/>
              <w:ind w:right="151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402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-1079500</wp:posOffset>
            </wp:positionV>
            <wp:extent cx="768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8.</w:t>
        <w:tab/>
        <w:t>Senior Debt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Debt as of September 30, 2025 and December 31, 2024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borrowings under Credit Facility (defined below)</w:t>
            </w:r>
          </w:p>
        </w:tc>
        <w:tc>
          <w:tcPr>
            <w:tcW w:w="17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216,300</w:t>
            </w:r>
          </w:p>
        </w:tc>
        <w:tc>
          <w:tcPr>
            <w:tcW w:w="1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100" w:type="dxa"/>
            <w:vAlign w:val="bottom"/>
          </w:tcPr>
          <w:p>
            <w:pPr>
              <w:spacing w:after="0"/>
              <w:rPr>
                <w:sz w:val="18"/>
                <w:szCs w:val="18"/>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borrowings under the Credit Facility</w:t>
            </w:r>
          </w:p>
        </w:tc>
        <w:tc>
          <w:tcPr>
            <w:tcW w:w="17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borrowings</w:t>
            </w: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(2,617)</w:t>
            </w: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17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218,880</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(1,650)</w:t>
            </w:r>
          </w:p>
        </w:tc>
      </w:tr>
      <w:tr>
        <w:trPr>
          <w:trHeight w:val="20"/>
        </w:trPr>
        <w:tc>
          <w:tcPr>
            <w:tcW w:w="6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218,980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100" w:type="dxa"/>
            <w:vAlign w:val="bottom"/>
            <w:shd w:val="clear" w:color="auto" w:fill="CFF0FC"/>
          </w:tcPr>
          <w:p>
            <w:pPr>
              <w:spacing w:after="0"/>
              <w:rPr>
                <w:sz w:val="19"/>
                <w:szCs w:val="19"/>
                <w:color w:val="auto"/>
              </w:rPr>
            </w:pP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-25400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color w:val="auto"/>
        </w:rPr>
        <w:t>Scheduled principal payments under the Credit Facility and joint venture term debt are $0.4 million for the remainder of 2025, $1.9 million in 2026, and $3.9 million in 2027. The remaining $216.3 million will be paid upon maturity in 2029.</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Credit Facility</w:t>
      </w:r>
    </w:p>
    <w:p>
      <w:pPr>
        <w:spacing w:after="0" w:line="227" w:lineRule="exact"/>
        <w:rPr>
          <w:sz w:val="20"/>
          <w:szCs w:val="20"/>
          <w:color w:val="auto"/>
        </w:rPr>
      </w:pPr>
    </w:p>
    <w:p>
      <w:pPr>
        <w:ind w:left="520" w:right="60"/>
        <w:spacing w:after="0" w:line="256" w:lineRule="auto"/>
        <w:rPr>
          <w:sz w:val="20"/>
          <w:szCs w:val="20"/>
          <w:color w:val="auto"/>
        </w:rPr>
      </w:pPr>
      <w:r>
        <w:rPr>
          <w:rFonts w:ascii="Times New Roman" w:cs="Times New Roman" w:eastAsia="Times New Roman" w:hAnsi="Times New Roman"/>
          <w:sz w:val="18"/>
          <w:szCs w:val="18"/>
          <w:color w:val="auto"/>
        </w:rPr>
        <w:t>On October 7, 2024, the Company entered into the Third Amended and Restated Credit Agreement (the “Credit Agreement”), among the Company, its subsidiaries from time to time party thereto, the lenders from time to time party thereto (the “Lenders”) and Bank of America, N.A., as administrative agent (the “Agent”), which amended and restated in its entirety the Company’s Second Amended and Restated Credit Agreement, dated as of June 11, 2019, among the Company, its subsidiaries from time to time party thereto, the lenders from time to time party thereto and the Agent. The Credit Agreement provides for a senior secured revolving credit facility in an initial aggregate principal amount of up to $400.0 million (the "Credit Facility”).</w:t>
      </w:r>
    </w:p>
    <w:p>
      <w:pPr>
        <w:spacing w:after="0" w:line="187" w:lineRule="exact"/>
        <w:rPr>
          <w:sz w:val="20"/>
          <w:szCs w:val="20"/>
          <w:color w:val="auto"/>
        </w:rPr>
      </w:pPr>
    </w:p>
    <w:p>
      <w:pPr>
        <w:ind w:left="520" w:right="40"/>
        <w:spacing w:after="0" w:line="261" w:lineRule="auto"/>
        <w:rPr>
          <w:sz w:val="20"/>
          <w:szCs w:val="20"/>
          <w:color w:val="auto"/>
        </w:rPr>
      </w:pPr>
      <w:r>
        <w:rPr>
          <w:rFonts w:ascii="Times New Roman" w:cs="Times New Roman" w:eastAsia="Times New Roman" w:hAnsi="Times New Roman"/>
          <w:sz w:val="18"/>
          <w:szCs w:val="18"/>
          <w:color w:val="auto"/>
        </w:rPr>
        <w:t>As of September 30, 2025 and December 31, 2024, $24.4 million and $18.9 million of letters of credit were outstanding, respectively. Total unused credit availability, in consideration of borrowing limitations, under the Company’s Credit Facility was $109.1 million and $1.0 million at September 30, 2025 and December 31, 2024, respectively. Revolving loans may be borrowed, repaid and reborrowed until October 7, 2029, at which time all outstanding balances of the Credit Facility must be repaid.</w:t>
      </w:r>
    </w:p>
    <w:p>
      <w:pPr>
        <w:spacing w:after="0" w:line="180" w:lineRule="exact"/>
        <w:rPr>
          <w:sz w:val="20"/>
          <w:szCs w:val="20"/>
          <w:color w:val="auto"/>
        </w:rPr>
      </w:pPr>
    </w:p>
    <w:p>
      <w:pPr>
        <w:ind w:left="520" w:right="20"/>
        <w:spacing w:after="0" w:line="252" w:lineRule="auto"/>
        <w:rPr>
          <w:sz w:val="20"/>
          <w:szCs w:val="20"/>
          <w:color w:val="auto"/>
        </w:rPr>
      </w:pPr>
      <w:r>
        <w:rPr>
          <w:rFonts w:ascii="Times New Roman" w:cs="Times New Roman" w:eastAsia="Times New Roman" w:hAnsi="Times New Roman"/>
          <w:sz w:val="18"/>
          <w:szCs w:val="18"/>
          <w:color w:val="auto"/>
        </w:rPr>
        <w:t>The Credit Facility accrues interest (a) with respect to base rate loans, at an annual rate equal to an applicable rate of between 0.75% and 2.25% (fluctuating based on the Company’s Consolidated Net Leverage Ratio), plus a rate equal to the highest of (1) the Agent’s prime rate, (2) the federal funds rate plus one-half of 1.00%, (3) Daily Simple SOFR (as defined in the Credit Agreement) plus 1.00% and (4) 1.00%, (b) for all other loans, at an annual rate equal to an applicable rate of between 1.75% and 3.25% (fluctuating based on the Company’s Consolidated Net Leverage Ratio), plus a rate determined based on the denominated currency and, as applicable pursuant to the Credit Agreement, whether the Company has elected for interest on such loans to accrue at a daily rate or a term rate: (a) for term rate loans, if denominated (1) in U.S. Dollars, Term SOFR (as defined in the Credit Agreement inclusive of a 0.10% per annum adjustment), (2) in euros, EURIBOR, (3) in Canadian dollars, the Term CORRA Rate (as defined in the Credit Agreement) plus 0.29547% for a one-month interest period and 0.32138% for a three-month interest period or (4) in a currency other than (1)-(3), the rate per annum as designated with respect to such currency at the time such currency was approved by the Agent and the other Lenders or, if such rate is unavailable on any date of determination for any reason, a comparable or successor rate approved by the Agent, and (b) for daily rate loans, if denominated (1) in U.S. dollars, Daily Simple SOFR (as defined in the Credit Agreement inclusive of a 0.10% per annum adjustment), (2) in pounds sterling, a rate per annum equal to SONIA (as defined in the Credit Agreement) plus 0.0326% per annum or (3) in a currency other than (1) or (2), the rate per annum as designated with respect to such currency at the time such currency was approved by the Agent and the other Lenders or, if such rate is unavailable on any date of determination for any reason, a comparable or successor rate approved by the Agent.</w:t>
      </w:r>
    </w:p>
    <w:p>
      <w:pPr>
        <w:spacing w:after="0" w:line="196"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Interest on Base Rate loans is payable quarterly in arrears on the last day of each calendar quarter and at maturity. Interest on Term SOFR rate loans is payable on the last date of each applicable Interest Period (as defined in the Credit Agreement), but in no event less than once every three months and at maturity. The weighted average stated interest rate on outstanding borrowings was 7.02% and 7.07% at September 30, 2025 and December 31, 2024, respectively. The effective interest rate was 7.12% and 7.82% at September 30, 2025 and December 31, 2024,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 w:name="page14"/>
    <w:bookmarkEnd w:id="13"/>
    <w:p>
      <w:pPr>
        <w:ind w:right="80"/>
        <w:spacing w:after="0" w:line="253" w:lineRule="auto"/>
        <w:rPr>
          <w:sz w:val="20"/>
          <w:szCs w:val="20"/>
          <w:color w:val="auto"/>
        </w:rPr>
      </w:pPr>
      <w:r>
        <w:rPr>
          <w:rFonts w:ascii="Times New Roman" w:cs="Times New Roman" w:eastAsia="Times New Roman" w:hAnsi="Times New Roman"/>
          <w:sz w:val="18"/>
          <w:szCs w:val="18"/>
          <w:color w:val="auto"/>
        </w:rPr>
        <w:t>With respect to financial covenants, the Company is required to maintain a Consolidated Net Leverage Ratio not greater than 4.00 to 1.00 and a Consolidated Secured Net Leverage Ratio (as defined in the Credit Agreement) not greater than 3.00 to 1.00, in each case as of the last day of each fiscal quarter of the Company. At the election of the Company and subject to certain restrictions contained in the Credit Agreement, following the occurrence of a Permitted Acquisition (as defined in the Credit Agreement) involving aggregate consideration of $15.0 million or more, such maximum Consolidated Net Leverage Ratio and Consolidated Secured Net Leverage Ratio may be increased to 4.50 to 1.00 and 3.50 to 1.00, respectively, for the fiscal quarter in which such Permitted Acquisition is consummated and the subsequent three fiscal quarters of the Company. In the first quarter of 2025, the Company entered into an Elevated Ratio Period resulting in a maximum Consolidated Net Leverage Ratio of 4.50 and Consolidated Secured Net Leverage Ratio of 3.50. This Elevated Ratio will be in effect for a maximum of four quarters, after which the Consolidated Net Leverage Ratio will revert to 4.00 and the Consolidated Secured Net Leverage Ratio will revert to 3.00. The Company is also required to maintain a Consolidated Fixed Charge Coverage Ratio (as defined in the Credit Agreement) as of the last day of each fiscal quarter of the Company of not less than 1.25 to 1.00.</w:t>
      </w:r>
    </w:p>
    <w:p>
      <w:pPr>
        <w:spacing w:after="0" w:line="19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The Company has granted a security interest in substantially all of its assets to secure its obligations pursuant to the Credit Facility. The Company’s obligations under the Credit Facility are guaranteed by the Company’s domestic subsidiaries and such guaranty obligations are secured by a security interest on substantially all the assets of such subsidiaries, including certain real property. The Company’s obligations under the Credit Facility may also be guaranteed by the Company’s material foreign subsidiaries to the extent no adverse tax consequences would result to the Company.</w:t>
      </w:r>
    </w:p>
    <w:p>
      <w:pPr>
        <w:spacing w:after="0" w:line="16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the Company was in compliance with all related financial and other restrictive covenants under the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Debt</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March 7, 2022, the Effox-Flextor-Mader, Inc. joint venture ("EFM JV"), for which the Company holds 63% of the equity, entered into a loan agreement secured by the assets of the EFM JV in the aggregate principal amount of $11.0 million for the acquisition of General Rubber, LLC. As of September 30, 2025 and December 31, 2024, $6.1 million and $7.3 million was outstanding under the loan, respectively. Principal will be paid back to the lender monthly with the final installment due by February 27, 2027. Interest is accrued at the per annum rate based on EFM JV's choice of the 1/3/6 month Term SOFR rate plus 3.25%, with a floor rate of 3.75%. Interest is paid monthly on the last day of each month. The interest rate at September 30, 2025 and December 31, 2024 was 7.27% and 7.96%, respectively. As of September 30, 2025 and December 31, 2024, the EFM JV was in compliance with all related financial and other restrictive covenants under this loan agreement. This loan balance does not impact the Company’s borrowing capacity or the financial covenants under the Credit Facility. As of September 30, 2025, there were $17.9 million in current assets (including $2.4 million of cash, $8.5 million of accounts receivable, and $4.6 million of inventories), $24.6 million in long-lived assets (including $24.1 million of goodwill and intangible assets), and $15.3 million in total liabilities (including $6.1 million of debt and $5.5 million of accounts payable and accrued expenses) related to the EFM JV included in the Condensed Consolidated Balance Sheets. As of December 31, 2024, there were $16.2 million in current assets (including $2.9 million of cash, $7.9 million of accounts receivable, and $3.9 million of inventories), $25.4 million in long-lived assets (including $24.8 million of goodwill and intangible assets), and $14.0 million in total liabilities (including $7.3 million of debt and $4.1 million of accounts payable and accrued expenses) related to the EFM JV included in the Consolidated Balance Sheets. For the three months ended September 30, 2025 and 2024, the EFM JV accounted for $14.3 million and $10.7 million in revenue, respectively, and $0.8 million and $1.2 million in net income, respectively, included in the Company's results. For the nine months ended September 30, 2025 and 2024, the EFM JV accounted for $37.7 million and $34.6 million in revenue, respectively, and $3.2 million and $3.9 million in net income, respectively, included in the Company's results.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Debt</w:t>
      </w:r>
    </w:p>
    <w:p>
      <w:pPr>
        <w:spacing w:after="0" w:line="2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has a number of bank guarantee facilities and bilateral lines of credit in various foreign countries currently supported by cash, letters of credit or pledged assets and collateral under the Credit Facility. The Credit Facility allows letters of credit and bank guarantee issuances of up to $120.0 million from the bilateral lines of credit secured through pledged assets and collateral under the Credit Facility. As of September 30, 2025 and December 31, 2024, $38.7 million and $45.9 million in bank guarantees were outstanding, respectively, inclusive of $1.1 million and $1.1 million in outstanding bank guarantees as of September 30, 2025 and December 31, 2024, respectively, under a Euro-denominated bank guarantee agreement held by a subsidiary of the Company located in the Netherlands and secured by local assets, as well as $2.1 million and $2.1 million in outstanding bank guarantees as of September 30, 2025 and December 31, 2024, respectively, under Yuan-denominated bank guarantee agreements held by a subsidiary of the Company located in China and secured by local assets. Additionally, a subsidiary of the Company located in Germany held a bank loan of $0.6 million as of September 30, 2025.</w:t>
      </w:r>
    </w:p>
    <w:p>
      <w:pPr>
        <w:spacing w:after="0" w:line="200" w:lineRule="exact"/>
        <w:rPr>
          <w:sz w:val="20"/>
          <w:szCs w:val="20"/>
          <w:color w:val="auto"/>
        </w:rPr>
      </w:pPr>
    </w:p>
    <w:p>
      <w:pPr>
        <w:spacing w:after="0" w:line="204"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201" w:right="359" w:bottom="1440" w:gutter="0" w:footer="0" w:header="0"/>
        </w:sectPr>
      </w:pPr>
    </w:p>
    <w:bookmarkStart w:id="14" w:name="page15"/>
    <w:bookmarkEnd w:id="14"/>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computational components of basic and diluted earnings per share for the three months ended September 30, 2025 and 2024 are as follows:</w:t>
      </w:r>
    </w:p>
    <w:p>
      <w:pPr>
        <w:sectPr>
          <w:pgSz w:w="11900" w:h="16838" w:orient="portrait"/>
          <w:cols w:equalWidth="0" w:num="1">
            <w:col w:w="11240"/>
          </w:cols>
          <w:pgMar w:left="320" w:top="1197" w:right="33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4" w:lineRule="exact"/>
        <w:rPr>
          <w:sz w:val="20"/>
          <w:szCs w:val="20"/>
          <w:color w:val="auto"/>
        </w:rPr>
      </w:pPr>
    </w:p>
    <w:p>
      <w:pPr>
        <w:ind w:left="60" w:right="2580" w:hanging="44"/>
        <w:spacing w:after="0" w:line="338" w:lineRule="auto"/>
        <w:rPr>
          <w:sz w:val="20"/>
          <w:szCs w:val="20"/>
          <w:color w:val="auto"/>
        </w:rPr>
      </w:pPr>
      <w:r>
        <w:rPr>
          <w:rFonts w:ascii="Times New Roman" w:cs="Times New Roman" w:eastAsia="Times New Roman" w:hAnsi="Times New Roman"/>
          <w:sz w:val="17"/>
          <w:szCs w:val="17"/>
          <w:b w:val="1"/>
          <w:bCs w:val="1"/>
          <w:color w:val="auto"/>
        </w:rPr>
        <w:t xml:space="preserve">Numerator </w:t>
      </w:r>
      <w:r>
        <w:rPr>
          <w:rFonts w:ascii="Times New Roman" w:cs="Times New Roman" w:eastAsia="Times New Roman" w:hAnsi="Times New Roman"/>
          <w:sz w:val="17"/>
          <w:szCs w:val="17"/>
          <w:color w:val="auto"/>
        </w:rPr>
        <w:t>(for basic and diluted earnings per share)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 income attributable to 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6" w:lineRule="exact"/>
        <w:rPr>
          <w:sz w:val="20"/>
          <w:szCs w:val="20"/>
          <w:color w:val="auto"/>
        </w:rPr>
      </w:pPr>
    </w:p>
    <w:p>
      <w:pPr>
        <w:ind w:left="740"/>
        <w:spacing w:after="0"/>
        <w:tabs>
          <w:tab w:leader="none" w:pos="27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425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85" w:lineRule="exact"/>
        <w:rPr>
          <w:sz w:val="20"/>
          <w:szCs w:val="20"/>
          <w:color w:val="auto"/>
        </w:rPr>
      </w:pPr>
    </w:p>
    <w:p>
      <w:pPr>
        <w:spacing w:after="0"/>
        <w:tabs>
          <w:tab w:leader="none" w:pos="1340" w:val="left"/>
          <w:tab w:leader="none" w:pos="2040" w:val="left"/>
          <w:tab w:leader="none" w:pos="3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1,499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2,086</w:t>
      </w:r>
    </w:p>
    <w:p>
      <w:pPr>
        <w:spacing w:after="0" w:line="200" w:lineRule="exact"/>
        <w:rPr>
          <w:sz w:val="20"/>
          <w:szCs w:val="20"/>
          <w:color w:val="auto"/>
        </w:rPr>
      </w:pPr>
    </w:p>
    <w:p>
      <w:pPr>
        <w:spacing w:after="0" w:line="282" w:lineRule="exact"/>
        <w:rPr>
          <w:sz w:val="20"/>
          <w:szCs w:val="20"/>
          <w:color w:val="auto"/>
        </w:rPr>
      </w:pPr>
    </w:p>
    <w:p>
      <w:pPr>
        <w:jc w:val="both"/>
        <w:ind w:left="1260"/>
        <w:spacing w:after="0"/>
        <w:tabs>
          <w:tab w:leader="none" w:pos="3280" w:val="left"/>
        </w:tabs>
        <w:rPr>
          <w:sz w:val="20"/>
          <w:szCs w:val="20"/>
          <w:color w:val="auto"/>
        </w:rPr>
      </w:pPr>
      <w:r>
        <w:rPr>
          <w:rFonts w:ascii="Times New Roman" w:cs="Times New Roman" w:eastAsia="Times New Roman" w:hAnsi="Times New Roman"/>
          <w:sz w:val="18"/>
          <w:szCs w:val="18"/>
          <w:color w:val="auto"/>
        </w:rPr>
        <w:t>35,360</w:t>
      </w:r>
      <w:r>
        <w:rPr>
          <w:sz w:val="20"/>
          <w:szCs w:val="20"/>
          <w:color w:val="auto"/>
        </w:rPr>
        <w:tab/>
      </w:r>
      <w:r>
        <w:rPr>
          <w:rFonts w:ascii="Times New Roman" w:cs="Times New Roman" w:eastAsia="Times New Roman" w:hAnsi="Times New Roman"/>
          <w:sz w:val="18"/>
          <w:szCs w:val="18"/>
          <w:color w:val="auto"/>
        </w:rPr>
        <w:t>34,967</w:t>
      </w:r>
    </w:p>
    <w:p>
      <w:pPr>
        <w:spacing w:after="0" w:line="36" w:lineRule="exact"/>
        <w:rPr>
          <w:sz w:val="20"/>
          <w:szCs w:val="20"/>
          <w:color w:val="auto"/>
        </w:rPr>
      </w:pPr>
    </w:p>
    <w:p>
      <w:pPr>
        <w:sectPr>
          <w:pgSz w:w="11900" w:h="16838" w:orient="portrait"/>
          <w:cols w:equalWidth="0" w:num="2">
            <w:col w:w="6600" w:space="720"/>
            <w:col w:w="3920"/>
          </w:cols>
          <w:pgMar w:left="320" w:top="119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73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7"/>
                <w:szCs w:val="17"/>
                <w:color w:val="auto"/>
              </w:rPr>
              <w:t>Common stock equivalents arising from stock options and restricted stock awards</w:t>
            </w: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80" w:type="dxa"/>
            <w:vAlign w:val="bottom"/>
            <w:tcBorders>
              <w:bottom w:val="single" w:sz="8" w:color="CCECFF"/>
            </w:tcBorders>
            <w:shd w:val="clear" w:color="auto" w:fill="CCECFF"/>
          </w:tcPr>
          <w:p>
            <w:pPr>
              <w:spacing w:after="0"/>
              <w:rPr>
                <w:sz w:val="17"/>
                <w:szCs w:val="17"/>
                <w:color w:val="auto"/>
              </w:rPr>
            </w:pPr>
          </w:p>
        </w:tc>
        <w:tc>
          <w:tcPr>
            <w:tcW w:w="1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36,397</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36,489</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-170815</wp:posOffset>
            </wp:positionV>
            <wp:extent cx="768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computational components of basic and diluted earnings per share for the nine months ended September 30, 2025 and 2024 are as follows:</w:t>
      </w:r>
    </w:p>
    <w:p>
      <w:pPr>
        <w:sectPr>
          <w:pgSz w:w="11900" w:h="16838" w:orient="portrait"/>
          <w:cols w:equalWidth="0" w:num="1">
            <w:col w:w="11240"/>
          </w:cols>
          <w:pgMar w:left="320" w:top="1197" w:right="33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4" w:lineRule="exact"/>
        <w:rPr>
          <w:sz w:val="20"/>
          <w:szCs w:val="20"/>
          <w:color w:val="auto"/>
        </w:rPr>
      </w:pPr>
    </w:p>
    <w:p>
      <w:pPr>
        <w:ind w:left="60" w:right="2580" w:hanging="44"/>
        <w:spacing w:after="0" w:line="338" w:lineRule="auto"/>
        <w:rPr>
          <w:sz w:val="20"/>
          <w:szCs w:val="20"/>
          <w:color w:val="auto"/>
        </w:rPr>
      </w:pPr>
      <w:r>
        <w:rPr>
          <w:rFonts w:ascii="Times New Roman" w:cs="Times New Roman" w:eastAsia="Times New Roman" w:hAnsi="Times New Roman"/>
          <w:sz w:val="17"/>
          <w:szCs w:val="17"/>
          <w:b w:val="1"/>
          <w:bCs w:val="1"/>
          <w:color w:val="auto"/>
        </w:rPr>
        <w:t xml:space="preserve">Numerator </w:t>
      </w:r>
      <w:r>
        <w:rPr>
          <w:rFonts w:ascii="Times New Roman" w:cs="Times New Roman" w:eastAsia="Times New Roman" w:hAnsi="Times New Roman"/>
          <w:sz w:val="17"/>
          <w:szCs w:val="17"/>
          <w:color w:val="auto"/>
        </w:rPr>
        <w:t>(for basic and diluted earnings per share)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Net income attributable to 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62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weighted-average shares outstanding</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6" w:lineRule="exact"/>
        <w:rPr>
          <w:sz w:val="20"/>
          <w:szCs w:val="20"/>
          <w:color w:val="auto"/>
        </w:rPr>
      </w:pPr>
    </w:p>
    <w:p>
      <w:pPr>
        <w:ind w:left="740"/>
        <w:spacing w:after="0"/>
        <w:tabs>
          <w:tab w:leader="none" w:pos="27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4257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5" w:lineRule="exact"/>
        <w:rPr>
          <w:sz w:val="20"/>
          <w:szCs w:val="20"/>
          <w:color w:val="auto"/>
        </w:rPr>
      </w:pPr>
    </w:p>
    <w:p>
      <w:pPr>
        <w:spacing w:after="0"/>
        <w:tabs>
          <w:tab w:leader="none" w:pos="1240" w:val="left"/>
          <w:tab w:leader="none" w:pos="2040" w:val="left"/>
          <w:tab w:leader="none" w:pos="3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46,993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8,079</w:t>
      </w:r>
    </w:p>
    <w:p>
      <w:pPr>
        <w:spacing w:after="0" w:line="200" w:lineRule="exact"/>
        <w:rPr>
          <w:sz w:val="20"/>
          <w:szCs w:val="20"/>
          <w:color w:val="auto"/>
        </w:rPr>
      </w:pPr>
    </w:p>
    <w:p>
      <w:pPr>
        <w:spacing w:after="0" w:line="282" w:lineRule="exact"/>
        <w:rPr>
          <w:sz w:val="20"/>
          <w:szCs w:val="20"/>
          <w:color w:val="auto"/>
        </w:rPr>
      </w:pPr>
    </w:p>
    <w:p>
      <w:pPr>
        <w:jc w:val="both"/>
        <w:ind w:left="1260"/>
        <w:spacing w:after="0"/>
        <w:tabs>
          <w:tab w:leader="none" w:pos="3280" w:val="left"/>
        </w:tabs>
        <w:rPr>
          <w:sz w:val="20"/>
          <w:szCs w:val="20"/>
          <w:color w:val="auto"/>
        </w:rPr>
      </w:pPr>
      <w:r>
        <w:rPr>
          <w:rFonts w:ascii="Times New Roman" w:cs="Times New Roman" w:eastAsia="Times New Roman" w:hAnsi="Times New Roman"/>
          <w:sz w:val="18"/>
          <w:szCs w:val="18"/>
          <w:color w:val="auto"/>
        </w:rPr>
        <w:t>35,226</w:t>
      </w:r>
      <w:r>
        <w:rPr>
          <w:sz w:val="20"/>
          <w:szCs w:val="20"/>
          <w:color w:val="auto"/>
        </w:rPr>
        <w:tab/>
      </w:r>
      <w:r>
        <w:rPr>
          <w:rFonts w:ascii="Times New Roman" w:cs="Times New Roman" w:eastAsia="Times New Roman" w:hAnsi="Times New Roman"/>
          <w:sz w:val="18"/>
          <w:szCs w:val="18"/>
          <w:color w:val="auto"/>
        </w:rPr>
        <w:t>34,910</w:t>
      </w:r>
    </w:p>
    <w:p>
      <w:pPr>
        <w:spacing w:after="0" w:line="36" w:lineRule="exact"/>
        <w:rPr>
          <w:sz w:val="20"/>
          <w:szCs w:val="20"/>
          <w:color w:val="auto"/>
        </w:rPr>
      </w:pPr>
    </w:p>
    <w:p>
      <w:pPr>
        <w:sectPr>
          <w:pgSz w:w="11900" w:h="16838" w:orient="portrait"/>
          <w:cols w:equalWidth="0" w:num="2">
            <w:col w:w="6600" w:space="720"/>
            <w:col w:w="3920"/>
          </w:cols>
          <w:pgMar w:left="320" w:top="119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73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7"/>
                <w:szCs w:val="17"/>
                <w:color w:val="auto"/>
              </w:rPr>
              <w:t>Common stock equivalents arising from stock options and restricted stock awards</w:t>
            </w:r>
          </w:p>
        </w:tc>
        <w:tc>
          <w:tcPr>
            <w:tcW w:w="17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80" w:type="dxa"/>
            <w:vAlign w:val="bottom"/>
            <w:tcBorders>
              <w:bottom w:val="single" w:sz="8" w:color="CCECFF"/>
            </w:tcBorders>
            <w:shd w:val="clear" w:color="auto" w:fill="CCECFF"/>
          </w:tcPr>
          <w:p>
            <w:pPr>
              <w:spacing w:after="0"/>
              <w:rPr>
                <w:sz w:val="17"/>
                <w:szCs w:val="17"/>
                <w:color w:val="auto"/>
              </w:rPr>
            </w:pPr>
          </w:p>
        </w:tc>
        <w:tc>
          <w:tcPr>
            <w:tcW w:w="176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Borders>
              <w:bottom w:val="single" w:sz="8" w:color="CCECFF"/>
            </w:tcBorders>
            <w:shd w:val="clear" w:color="auto" w:fill="CCECFF"/>
          </w:tcPr>
          <w:p>
            <w:pPr>
              <w:spacing w:after="0"/>
              <w:rPr>
                <w:sz w:val="17"/>
                <w:szCs w:val="17"/>
                <w:color w:val="auto"/>
              </w:rPr>
            </w:pP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36,549</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36,323</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-170815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Options and restricted stock units included in the computation of diluted earnings per share are calculated using the treasury stock method. For each of the three months ended September 30, 2025 and 2024, zero, and for the nine months ended September 30, 2025 and 2024, 0.3 million and 0.1 million, respectively, of outstanding options and restricted stock units were excluded from the computation of diluted earnings per share due to their having an anti-dilutive effect.</w:t>
      </w:r>
    </w:p>
    <w:p>
      <w:pPr>
        <w:spacing w:after="0" w:line="180"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Once a restricted stock unit vests, it is included in the computation of weighted average shares outstanding for purposes of basic and diluted earnings per share.</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Common Stock Repurchase</w:t>
      </w:r>
    </w:p>
    <w:p>
      <w:pPr>
        <w:spacing w:after="0" w:line="227" w:lineRule="exact"/>
        <w:rPr>
          <w:sz w:val="20"/>
          <w:szCs w:val="20"/>
          <w:color w:val="auto"/>
        </w:rPr>
      </w:pPr>
    </w:p>
    <w:p>
      <w:pPr>
        <w:ind w:left="520" w:right="40"/>
        <w:spacing w:after="0" w:line="274" w:lineRule="auto"/>
        <w:rPr>
          <w:sz w:val="20"/>
          <w:szCs w:val="20"/>
          <w:color w:val="auto"/>
        </w:rPr>
      </w:pPr>
      <w:r>
        <w:rPr>
          <w:rFonts w:ascii="Times New Roman" w:cs="Times New Roman" w:eastAsia="Times New Roman" w:hAnsi="Times New Roman"/>
          <w:sz w:val="17"/>
          <w:szCs w:val="17"/>
          <w:color w:val="auto"/>
        </w:rPr>
        <w:t>On May 10, 2022, the Company's Board of Directors authorized a share repurchase program under which the Company was able to purchase up to $20.0 million of its outstanding shares of common stock through April 30, 2025. The authorization permitted the Company to repurchase shares in the open market, through accelerated share repurchases, block trades, Rule 10b5-1 trading plans or through privately negotiated transactions in accordance with applicable laws, rules and regulations. For the three and nine months ended September 30, 2024, the Company repurchased approximately zero and 230,000 shares under the program, respectively, for a cost of zero and $5.0 million, respectively. There were no shares repurchased under the program during the three or nine months ended September 30, 2025. This program expired during the second quarter of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229" w:lineRule="exact"/>
        <w:rPr>
          <w:sz w:val="20"/>
          <w:szCs w:val="20"/>
          <w:color w:val="auto"/>
        </w:rPr>
      </w:pPr>
    </w:p>
    <w:p>
      <w:pPr>
        <w:ind w:left="520" w:right="40"/>
        <w:spacing w:after="0" w:line="266" w:lineRule="auto"/>
        <w:rPr>
          <w:sz w:val="20"/>
          <w:szCs w:val="20"/>
          <w:color w:val="auto"/>
        </w:rPr>
      </w:pPr>
      <w:r>
        <w:rPr>
          <w:rFonts w:ascii="Times New Roman" w:cs="Times New Roman" w:eastAsia="Times New Roman" w:hAnsi="Times New Roman"/>
          <w:sz w:val="18"/>
          <w:szCs w:val="18"/>
          <w:color w:val="auto"/>
        </w:rPr>
        <w:t>The Company recognized $3.3 million and $1.9 million of expense related to share-based compensation during the three months ended September 30, 2025 and 2024, respectively, and $9.5 million and $5.8 million during the nine months ended September 30, 2025 and 2024, respectively, which was measured based upon the fair value of the awards at the grant date.</w:t>
      </w:r>
    </w:p>
    <w:p>
      <w:pPr>
        <w:spacing w:after="0" w:line="176" w:lineRule="exact"/>
        <w:rPr>
          <w:sz w:val="20"/>
          <w:szCs w:val="20"/>
          <w:color w:val="auto"/>
        </w:rPr>
      </w:pPr>
    </w:p>
    <w:p>
      <w:pPr>
        <w:ind w:left="520" w:right="520"/>
        <w:spacing w:after="0" w:line="261" w:lineRule="auto"/>
        <w:rPr>
          <w:sz w:val="20"/>
          <w:szCs w:val="20"/>
          <w:color w:val="auto"/>
        </w:rPr>
      </w:pPr>
      <w:r>
        <w:rPr>
          <w:rFonts w:ascii="Times New Roman" w:cs="Times New Roman" w:eastAsia="Times New Roman" w:hAnsi="Times New Roman"/>
          <w:sz w:val="18"/>
          <w:szCs w:val="18"/>
          <w:color w:val="auto"/>
        </w:rPr>
        <w:t>The Company granted approximately 323,000 and zero restricted stock units during the three months ended September 30, 2025 and 2024, respectively, and approximately 913,000 and 341,000 restricted stock units during the nine months ended September 30, 2025 and 2024, respectively. In addition, the Company granted 67,000 and 25,000 stock options during the nine months ended September 30, 2025 and 2024, respectively. No stock options were granted during the three months ended September 30, 2025 and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type w:val="continuous"/>
        </w:sectPr>
      </w:pPr>
    </w:p>
    <w:bookmarkStart w:id="15" w:name="page16"/>
    <w:bookmarkEnd w:id="15"/>
    <w:p>
      <w:pPr>
        <w:ind w:left="520" w:right="20"/>
        <w:spacing w:after="0" w:line="258" w:lineRule="auto"/>
        <w:rPr>
          <w:sz w:val="20"/>
          <w:szCs w:val="20"/>
          <w:color w:val="auto"/>
        </w:rPr>
      </w:pPr>
      <w:r>
        <w:rPr>
          <w:rFonts w:ascii="Times New Roman" w:cs="Times New Roman" w:eastAsia="Times New Roman" w:hAnsi="Times New Roman"/>
          <w:sz w:val="18"/>
          <w:szCs w:val="18"/>
          <w:color w:val="auto"/>
        </w:rPr>
        <w:t>There were 300,100 and 8,000 options exercised during the three months ended September 30, 2025 and 2024, respectively, for which the Company received $3.8 million and $0.1 million, respectively, in cash. The intrinsic value of options exercised during the three months ended September 30, 2025 and 2024 was $11.2 million and $0.1 million, respectively. There were 300,600 and 28,000 options exercised during the nine months ended September 30, 2025 and 2024, respectively, for which the Company received $3.8 million and $0.4 million, respectively, in cash. The intrinsic value of options exercised during the nine months ended September 30, 2025 and 2024 was $11.3 million and $0.3 million, respectively.</w:t>
      </w:r>
    </w:p>
    <w:p>
      <w:pPr>
        <w:spacing w:after="0" w:line="179"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Pension and Employee Benefit Plans</w:t>
      </w:r>
    </w:p>
    <w:p>
      <w:pPr>
        <w:spacing w:after="0" w:line="229" w:lineRule="exact"/>
        <w:rPr>
          <w:sz w:val="20"/>
          <w:szCs w:val="20"/>
          <w:color w:val="auto"/>
        </w:rPr>
      </w:pPr>
    </w:p>
    <w:p>
      <w:pPr>
        <w:ind w:left="520" w:right="60"/>
        <w:spacing w:after="0" w:line="261" w:lineRule="auto"/>
        <w:rPr>
          <w:sz w:val="20"/>
          <w:szCs w:val="20"/>
          <w:color w:val="auto"/>
        </w:rPr>
      </w:pPr>
      <w:r>
        <w:rPr>
          <w:rFonts w:ascii="Times New Roman" w:cs="Times New Roman" w:eastAsia="Times New Roman" w:hAnsi="Times New Roman"/>
          <w:sz w:val="18"/>
          <w:szCs w:val="18"/>
          <w:color w:val="auto"/>
        </w:rPr>
        <w:t>The Company sponsored a non-contributory defined benefit pension plan for certain union employees. The plan was funded in accordance with the funding requirements of the Employee Retirement Income Security Act of 1974. The Company presents the components of net periodic benefit cost within “Other (income) expense, net” on the Condensed Consolidated Statements of Income. Retirement plan expense is based on valuations performed by plan actuaries as of the beginning of each fiscal year. The components of the pension plan expense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3"/>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6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0" w:type="dxa"/>
            <w:vAlign w:val="bottom"/>
          </w:tcPr>
          <w:p>
            <w:pPr>
              <w:spacing w:after="0"/>
              <w:rPr>
                <w:sz w:val="18"/>
                <w:szCs w:val="18"/>
                <w:color w:val="auto"/>
              </w:rPr>
            </w:pPr>
          </w:p>
        </w:tc>
        <w:tc>
          <w:tcPr>
            <w:tcW w:w="108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(915)</w:t>
            </w:r>
          </w:p>
        </w:tc>
      </w:tr>
      <w:tr>
        <w:trPr>
          <w:trHeight w:val="21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-170815</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520" w:right="160"/>
        <w:spacing w:after="0" w:line="261" w:lineRule="auto"/>
        <w:rPr>
          <w:sz w:val="20"/>
          <w:szCs w:val="20"/>
          <w:color w:val="auto"/>
        </w:rPr>
      </w:pPr>
      <w:r>
        <w:rPr>
          <w:rFonts w:ascii="Times New Roman" w:cs="Times New Roman" w:eastAsia="Times New Roman" w:hAnsi="Times New Roman"/>
          <w:sz w:val="18"/>
          <w:szCs w:val="18"/>
          <w:color w:val="auto"/>
        </w:rPr>
        <w:t>The Company made no contributions to its defined benefit plan during the three and nine months ended September 30, 2025, and $0.9 million and $1.1 million during the three and nine months ended September 30, 2024, respectively. The plan assets balance of $0.4 million as of December 31, 2024 is included in “Deferred charges and other assets” on the Condensed Consolidated Balance Sheets. On March 31, 2025, the pension plan was transferred to the purchaser of the Global Pump Solutions business, as discussed in Note 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29" w:lineRule="exact"/>
        <w:rPr>
          <w:sz w:val="20"/>
          <w:szCs w:val="20"/>
          <w:color w:val="auto"/>
        </w:rPr>
      </w:pPr>
    </w:p>
    <w:p>
      <w:pPr>
        <w:ind w:left="520" w:right="40"/>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various federal, state and local jurisdictions. Tax years from 2021 forward remain open for examination by Federal authorities. Tax years from 2018 forward remain open for all significant state and foreign authorities.</w:t>
      </w:r>
    </w:p>
    <w:p>
      <w:pPr>
        <w:spacing w:after="0" w:line="162" w:lineRule="exact"/>
        <w:rPr>
          <w:sz w:val="20"/>
          <w:szCs w:val="20"/>
          <w:color w:val="auto"/>
        </w:rPr>
      </w:pPr>
    </w:p>
    <w:p>
      <w:pPr>
        <w:jc w:val="both"/>
        <w:ind w:left="520" w:right="400"/>
        <w:spacing w:after="0" w:line="289" w:lineRule="auto"/>
        <w:rPr>
          <w:sz w:val="20"/>
          <w:szCs w:val="20"/>
          <w:color w:val="auto"/>
        </w:rPr>
      </w:pPr>
      <w:r>
        <w:rPr>
          <w:rFonts w:ascii="Times New Roman" w:cs="Times New Roman" w:eastAsia="Times New Roman" w:hAnsi="Times New Roman"/>
          <w:sz w:val="17"/>
          <w:szCs w:val="17"/>
          <w:color w:val="auto"/>
        </w:rPr>
        <w:t>As of September 30, 2025 and December 31, 2024, the liability for uncertain tax positions totaled approximately $1.4 million and $1.1 million, respectively, which is included in “Other liabilities” on the Condensed Consolidated Balance Sheets. The Company recognizes accrued interest related to uncertain tax positions and penalties, if any, in income tax expense within the Condensed Consolidated Statements of Income.</w:t>
      </w:r>
    </w:p>
    <w:p>
      <w:pPr>
        <w:spacing w:after="0" w:line="158" w:lineRule="exact"/>
        <w:rPr>
          <w:sz w:val="20"/>
          <w:szCs w:val="20"/>
          <w:color w:val="auto"/>
        </w:rPr>
      </w:pPr>
    </w:p>
    <w:p>
      <w:pPr>
        <w:ind w:left="520" w:right="80"/>
        <w:spacing w:after="0" w:line="258" w:lineRule="auto"/>
        <w:rPr>
          <w:sz w:val="20"/>
          <w:szCs w:val="20"/>
          <w:color w:val="auto"/>
        </w:rPr>
      </w:pPr>
      <w:r>
        <w:rPr>
          <w:rFonts w:ascii="Times New Roman" w:cs="Times New Roman" w:eastAsia="Times New Roman" w:hAnsi="Times New Roman"/>
          <w:sz w:val="18"/>
          <w:szCs w:val="18"/>
          <w:color w:val="auto"/>
        </w:rPr>
        <w:t>Certain of the Company’s undistributed earnings of our foreign subsidiaries are not permanently reinvested. Since foreign earnings have already been subject to United States income tax in 2017 as a result of the 2017 Tax Cuts and Jobs Act, the Company intends to repatriate foreign-held cash as needed. The Company records deferred income tax attributable to foreign withholding taxes that would become payable should it decide to repatriate cash held in our foreign operations. As of September 30, 2025 and December 31, 2024, the Company recorded deferred income taxes of approximately $1.3 million and $0.9 million, respectively, on the undistributed earnings of its foreign subsidiaries.</w:t>
      </w:r>
    </w:p>
    <w:p>
      <w:pPr>
        <w:spacing w:after="0" w:line="183" w:lineRule="exact"/>
        <w:rPr>
          <w:sz w:val="20"/>
          <w:szCs w:val="20"/>
          <w:color w:val="auto"/>
        </w:rPr>
      </w:pPr>
    </w:p>
    <w:p>
      <w:pPr>
        <w:ind w:left="520" w:right="20"/>
        <w:spacing w:after="0" w:line="255" w:lineRule="auto"/>
        <w:rPr>
          <w:sz w:val="20"/>
          <w:szCs w:val="20"/>
          <w:color w:val="auto"/>
        </w:rPr>
      </w:pPr>
      <w:r>
        <w:rPr>
          <w:rFonts w:ascii="Times New Roman" w:cs="Times New Roman" w:eastAsia="Times New Roman" w:hAnsi="Times New Roman"/>
          <w:sz w:val="18"/>
          <w:szCs w:val="18"/>
          <w:color w:val="auto"/>
        </w:rPr>
        <w:t>Income tax expense was $0.5 million and $1.6 million for the three months ended September 30, 2025 and 2024, respectively, and $23.6 million and $2.7 million for the nine months ended September 30, 2025 and 2024, respectively. The effective income tax rate for the three months ended September 30, 2025 was 21.1% compared with 38.7% for the three months ended September 30, 2024, and the effective income tax rate for the nine months ended September 30, 2025 was 32.8% compared with 21.8% for the nine months ended September 30, 2024. The effective income tax rates for the three and nine months ended September 30, 2025 and 2024 differ from the United States federal statutory rate. The Company's effective rate is affected by certain other permanent differences, including the gain on the sale of the Global Pump Solutions business, state income taxes, non-deductible incentive stock-based compensation and differences in tax rates among jurisdictions in which it operates.</w:t>
      </w:r>
    </w:p>
    <w:p>
      <w:pPr>
        <w:spacing w:after="0" w:line="189"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The Organization for Economic Co-operation and Development/G20 Inclusive Framework on Base Erosion and Profit Shifting published the Pillar Two model rules designed to address the tax challenges arising from the digitalization of the global economy which introduces a 15% global minimum corporate tax for companies with revenues above €750 million calculated 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left="520" w:right="80"/>
        <w:spacing w:after="0" w:line="258" w:lineRule="auto"/>
        <w:rPr>
          <w:sz w:val="20"/>
          <w:szCs w:val="20"/>
          <w:color w:val="auto"/>
        </w:rPr>
      </w:pPr>
      <w:r>
        <w:rPr>
          <w:rFonts w:ascii="Times New Roman" w:cs="Times New Roman" w:eastAsia="Times New Roman" w:hAnsi="Times New Roman"/>
          <w:sz w:val="18"/>
          <w:szCs w:val="18"/>
          <w:color w:val="auto"/>
        </w:rPr>
        <w:t>a country-by-country basis. On February 1, 2023, the FASB indicated that it believes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Aspects of Pillar Two legislation have been enacted in certain jurisdictions in which the Company operates effective for accounting periods commencing on or after January 1, 2024. However, based on the current revenue threshold, the Company is currently not subject to Pillar Two taxes.</w:t>
      </w:r>
    </w:p>
    <w:p>
      <w:pPr>
        <w:spacing w:after="0" w:line="183" w:lineRule="exact"/>
        <w:rPr>
          <w:sz w:val="20"/>
          <w:szCs w:val="20"/>
          <w:color w:val="auto"/>
        </w:rPr>
      </w:pPr>
    </w:p>
    <w:p>
      <w:pPr>
        <w:ind w:left="520"/>
        <w:spacing w:after="0" w:line="254" w:lineRule="auto"/>
        <w:rPr>
          <w:sz w:val="20"/>
          <w:szCs w:val="20"/>
          <w:color w:val="auto"/>
        </w:rPr>
      </w:pPr>
      <w:r>
        <w:rPr>
          <w:rFonts w:ascii="Times New Roman" w:cs="Times New Roman" w:eastAsia="Times New Roman" w:hAnsi="Times New Roman"/>
          <w:sz w:val="18"/>
          <w:szCs w:val="18"/>
          <w:color w:val="auto"/>
        </w:rPr>
        <w:t>On July 4, 2025, the legislation HR-1, known as One Big Beautiful Bill Act (the “Act”), was signed into law. The Act makes several changes to United States tax law, including the limitation on deductibility of interest expense, the capitalization of research expenditures, the allowance of immediate expensing of capital expenditures, and the taxation of foreign earnings. The legislation has multiple effective dates, with certain provisions effective in 2025 and others implemented through 2027. The Company recorded the impact of the Act in the third quarter of 2025. When calculating the impact, the Company made the election to fully accelerate all domestic Section 174 Expensing into 2025. The Company has considered the change in interest expense limitation calculation but notes that the Company had sufficient interest expense capacity prior to the change due to the new legislation. Additionally, the Company has assumed an estimate for the assumption that 100% bonus depreciation is being taken on estimated capital expenditures for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w:t>
      </w:r>
    </w:p>
    <w:p>
      <w:pPr>
        <w:spacing w:after="0" w:line="229" w:lineRule="exact"/>
        <w:rPr>
          <w:sz w:val="20"/>
          <w:szCs w:val="20"/>
          <w:color w:val="auto"/>
        </w:rPr>
      </w:pPr>
    </w:p>
    <w:p>
      <w:pPr>
        <w:ind w:left="520" w:right="220"/>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primarily of investments in cash and cash equivalents, receivables and certain other assets, notes payable, foreign debt and accounts payable, which approximate fair value at September 30, 2025 and December 31, 2024, due to their short-term nature or variable, market-driven interest rates.</w:t>
      </w:r>
    </w:p>
    <w:p>
      <w:pPr>
        <w:spacing w:after="0" w:line="176" w:lineRule="exact"/>
        <w:rPr>
          <w:sz w:val="20"/>
          <w:szCs w:val="20"/>
          <w:color w:val="auto"/>
        </w:rPr>
      </w:pPr>
    </w:p>
    <w:p>
      <w:pPr>
        <w:ind w:left="520" w:right="40"/>
        <w:spacing w:after="0" w:line="266" w:lineRule="auto"/>
        <w:rPr>
          <w:sz w:val="20"/>
          <w:szCs w:val="20"/>
          <w:color w:val="auto"/>
        </w:rPr>
      </w:pPr>
      <w:r>
        <w:rPr>
          <w:rFonts w:ascii="Times New Roman" w:cs="Times New Roman" w:eastAsia="Times New Roman" w:hAnsi="Times New Roman"/>
          <w:sz w:val="18"/>
          <w:szCs w:val="18"/>
          <w:color w:val="auto"/>
        </w:rPr>
        <w:t>The fair value of the debt issued under the Credit Facility and joint venture term loan was $222.4 million and $221.5 million at September 30, 2025 and December 31, 2024, respectively. The fair value was determined considering market conditions, the Company's credit worthiness and the current terms of our debt, which is considered Level 2 on the fair value hierarchy.</w:t>
      </w:r>
    </w:p>
    <w:p>
      <w:pPr>
        <w:spacing w:after="0" w:line="176" w:lineRule="exact"/>
        <w:rPr>
          <w:sz w:val="20"/>
          <w:szCs w:val="20"/>
          <w:color w:val="auto"/>
        </w:rPr>
      </w:pPr>
    </w:p>
    <w:p>
      <w:pPr>
        <w:ind w:left="520" w:right="60"/>
        <w:spacing w:after="0" w:line="266" w:lineRule="auto"/>
        <w:rPr>
          <w:sz w:val="20"/>
          <w:szCs w:val="20"/>
          <w:color w:val="auto"/>
        </w:rPr>
      </w:pPr>
      <w:r>
        <w:rPr>
          <w:rFonts w:ascii="Times New Roman" w:cs="Times New Roman" w:eastAsia="Times New Roman" w:hAnsi="Times New Roman"/>
          <w:sz w:val="18"/>
          <w:szCs w:val="18"/>
          <w:color w:val="auto"/>
        </w:rPr>
        <w:t>At September 30, 2025 and December 31, 2024, the Company had cash and cash equivalents of $32.8 million and $37.8 million, respectively, of which $25.4 million and $29.7 million, respectively, was held outside of the United States, principally in the Netherlands, United Kingdom, United Arab Emirates, and China.</w:t>
      </w:r>
    </w:p>
    <w:p>
      <w:pPr>
        <w:spacing w:after="0" w:line="172" w:lineRule="exact"/>
        <w:rPr>
          <w:sz w:val="20"/>
          <w:szCs w:val="20"/>
          <w:color w:val="auto"/>
        </w:rPr>
      </w:pPr>
    </w:p>
    <w:p>
      <w:pPr>
        <w:ind w:left="520" w:right="8260" w:hanging="512"/>
        <w:spacing w:after="0" w:line="503" w:lineRule="auto"/>
        <w:tabs>
          <w:tab w:leader="none" w:pos="371"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i w:val="1"/>
          <w:iCs w:val="1"/>
          <w:color w:val="auto"/>
        </w:rPr>
        <w:t>Asbestos cases</w:t>
      </w:r>
    </w:p>
    <w:p>
      <w:pPr>
        <w:ind w:left="520" w:right="100"/>
        <w:spacing w:after="0" w:line="253" w:lineRule="auto"/>
        <w:rPr>
          <w:sz w:val="20"/>
          <w:szCs w:val="20"/>
          <w:color w:val="auto"/>
        </w:rPr>
      </w:pPr>
      <w:r>
        <w:rPr>
          <w:rFonts w:ascii="Times New Roman" w:cs="Times New Roman" w:eastAsia="Times New Roman" w:hAnsi="Times New Roman"/>
          <w:sz w:val="18"/>
          <w:szCs w:val="18"/>
          <w:color w:val="auto"/>
        </w:rPr>
        <w:t>Beginning in 2002, the Company's subsidiary Met-Pro Technologies LLC (“Met-Pro”), relative to its former Dean Pump division, has been named in asbestos-related lawsuits filed against a large number of industrial companies including, in particular, those in the pump and fluid handling industries. While the Company divested of its fluid handling business (also known as its Global Pump Solutions business) in the first quarter of 2025, as discussed in Note 16, the Company retained historical asbestos liabilities and the related legacy insurance policies. In management’s opinion, the complaints typically have been vague, general and speculative, alleging that Met-Pro, along with the numerous other defendants, sold asbestos-containing products and engaged in other related actions which caused injuries (including mesothelioma and death) and loss to the plaintiffs. The Company’s insurers have hired attorneys who, together with the Company, are vigorously defending these cases. Many cases have been dismissed after the plaintiff fails to identify or produce evidence of exposure to Met-Pro’s products. In those cases, where evidence has been produced, the Company’s experience has been that the exposure levels are low and the Company’s position has been that its products were not a cause of death, injury or loss. The Company has been dismissed from a large number of these cases, with a small number of these dismissals resulting in immaterial settlements. The Company records accruals within "Accrued expenses" and "Other liabilities" on the Condensed Consolidated Balance Sheets for estimated losses associated with these settlements.</w:t>
      </w:r>
    </w:p>
    <w:p>
      <w:pPr>
        <w:spacing w:after="0" w:line="190"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color w:val="auto"/>
        </w:rPr>
        <w:t>The Company also presently believes that none of the pending cases will have a material adverse impact upon the Company’s results of operations, liquidity or financial condition.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520" w:right="60"/>
        <w:spacing w:after="0" w:line="282" w:lineRule="auto"/>
        <w:rPr>
          <w:sz w:val="20"/>
          <w:szCs w:val="20"/>
          <w:color w:val="auto"/>
        </w:rPr>
      </w:pPr>
      <w:r>
        <w:rPr>
          <w:rFonts w:ascii="Times New Roman" w:cs="Times New Roman" w:eastAsia="Times New Roman" w:hAnsi="Times New Roman"/>
          <w:sz w:val="18"/>
          <w:szCs w:val="18"/>
          <w:color w:val="auto"/>
        </w:rPr>
        <w:t>The Company is also a party to routine contract and employment-related litigation matters, warranty claims and routine audits of state and local tax returns arising in the ordinary course of its business.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17" w:name="page18"/>
    <w:bookmarkEnd w:id="17"/>
    <w:p>
      <w:pPr>
        <w:ind w:left="520"/>
        <w:spacing w:after="0" w:line="261" w:lineRule="auto"/>
        <w:rPr>
          <w:sz w:val="20"/>
          <w:szCs w:val="20"/>
          <w:color w:val="auto"/>
        </w:rPr>
      </w:pPr>
      <w:r>
        <w:rPr>
          <w:rFonts w:ascii="Times New Roman" w:cs="Times New Roman" w:eastAsia="Times New Roman" w:hAnsi="Times New Roman"/>
          <w:sz w:val="18"/>
          <w:szCs w:val="18"/>
          <w:color w:val="auto"/>
        </w:rPr>
        <w:t>The final outcome and impact of open matters, and related claims and investigations that may be brought in the future, are subject to many variables, and cannot be predicted. The Company records accruals within "Accrued expenses" on the Condensed Consolidated Balance Sheets for estimated losses relating to claims and lawsuits when available information indicates that a loss is probable and the amount of the loss, or range of loss, can be reasonably estimated. The Company expenses legal costs as they are incurred.</w:t>
      </w:r>
    </w:p>
    <w:p>
      <w:pPr>
        <w:spacing w:after="0" w:line="180" w:lineRule="exact"/>
        <w:rPr>
          <w:sz w:val="20"/>
          <w:szCs w:val="20"/>
          <w:color w:val="auto"/>
        </w:rPr>
      </w:pPr>
    </w:p>
    <w:p>
      <w:pPr>
        <w:ind w:left="520" w:right="220"/>
        <w:spacing w:after="0" w:line="282" w:lineRule="auto"/>
        <w:rPr>
          <w:sz w:val="20"/>
          <w:szCs w:val="20"/>
          <w:color w:val="auto"/>
        </w:rPr>
      </w:pPr>
      <w:r>
        <w:rPr>
          <w:rFonts w:ascii="Times New Roman" w:cs="Times New Roman" w:eastAsia="Times New Roman" w:hAnsi="Times New Roman"/>
          <w:sz w:val="18"/>
          <w:szCs w:val="18"/>
          <w:color w:val="auto"/>
        </w:rPr>
        <w:t>The Company is not aware of any pending claims or assessments, other than as described above, which may have a material adverse impact on its liquidity, financial position, results of operations, or cash flows.</w:t>
      </w:r>
    </w:p>
    <w:p>
      <w:pPr>
        <w:spacing w:after="0" w:line="158"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Profire Energy, Inc.</w:t>
      </w:r>
    </w:p>
    <w:p>
      <w:pPr>
        <w:spacing w:after="0" w:line="227" w:lineRule="exact"/>
        <w:rPr>
          <w:sz w:val="20"/>
          <w:szCs w:val="20"/>
          <w:color w:val="auto"/>
        </w:rPr>
      </w:pPr>
    </w:p>
    <w:p>
      <w:pPr>
        <w:ind w:left="520" w:right="100"/>
        <w:spacing w:after="0" w:line="255" w:lineRule="auto"/>
        <w:rPr>
          <w:sz w:val="20"/>
          <w:szCs w:val="20"/>
          <w:color w:val="auto"/>
        </w:rPr>
      </w:pPr>
      <w:r>
        <w:rPr>
          <w:rFonts w:ascii="Times New Roman" w:cs="Times New Roman" w:eastAsia="Times New Roman" w:hAnsi="Times New Roman"/>
          <w:sz w:val="18"/>
          <w:szCs w:val="18"/>
          <w:color w:val="auto"/>
        </w:rPr>
        <w:t>On January 3, 2025, the Company acquired all outstanding shares of Profire for $122.7 million in cash, including $4.6 million of cash used to settle outstanding equity awards for which $2.3 million represents the acceleration of such awards and thus recorded within "Acquisition and integration expenses" on the Condensed Consolidated Statements of Income. Resulting consideration transferred for the acquisition was $120.4 million. The transaction was financed through a combination of cash on hand and a draw on the Company's revolving credit facility. Profire is a technology company and provider of intelligent control solutions that enhance the efficiency, safety, and reliability of industrial combustion appliances. The business operates primarily from locations in Lindon, Utah and Acheson, Alberta and is reported within the Engineered Systems segment. The following table summarizes the preliminary fair values of the assets acquired and liabilities assumed at the date of closing.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cash and cash equivalents of $22,675 and accounts receivable of $14,151)</w:t>
            </w:r>
          </w:p>
        </w:tc>
        <w:tc>
          <w:tcPr>
            <w:tcW w:w="68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54,867</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17,416</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 finite life</w:t>
            </w:r>
          </w:p>
        </w:tc>
        <w:tc>
          <w:tcPr>
            <w:tcW w:w="6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41,810</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25,656</w:t>
            </w:r>
          </w:p>
        </w:tc>
        <w:tc>
          <w:tcPr>
            <w:tcW w:w="12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140,092</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6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(8,567)</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68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(10,852)</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6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(291)</w:t>
            </w:r>
          </w:p>
        </w:tc>
      </w:tr>
      <w:tr>
        <w:trPr>
          <w:trHeight w:val="209"/>
        </w:trPr>
        <w:tc>
          <w:tcPr>
            <w:tcW w:w="92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120,382</w:t>
            </w:r>
          </w:p>
        </w:tc>
        <w:tc>
          <w:tcPr>
            <w:tcW w:w="12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right="160"/>
        <w:spacing w:after="0" w:line="282" w:lineRule="auto"/>
        <w:rPr>
          <w:sz w:val="20"/>
          <w:szCs w:val="20"/>
          <w:color w:val="auto"/>
        </w:rPr>
      </w:pPr>
      <w:r>
        <w:rPr>
          <w:rFonts w:ascii="Times New Roman" w:cs="Times New Roman" w:eastAsia="Times New Roman" w:hAnsi="Times New Roman"/>
          <w:sz w:val="18"/>
          <w:szCs w:val="18"/>
          <w:color w:val="auto"/>
        </w:rPr>
        <w:t>The Company acquired property and equipment consisting of $14.7 million of land, building and improvements, $2.1 million of vehicles, and $0.6 million of machinery and equipment and other.</w:t>
      </w:r>
    </w:p>
    <w:p>
      <w:pPr>
        <w:spacing w:after="0" w:line="162" w:lineRule="exact"/>
        <w:rPr>
          <w:sz w:val="20"/>
          <w:szCs w:val="20"/>
          <w:color w:val="auto"/>
        </w:rPr>
      </w:pPr>
    </w:p>
    <w:p>
      <w:pPr>
        <w:ind w:left="520" w:right="720"/>
        <w:spacing w:after="0" w:line="282" w:lineRule="auto"/>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$3.6 million, $34.5 million, and $3.7 million, respectively. These assets were determined to have useful lives of 7, 10, and 10 years, respectively.</w:t>
      </w:r>
    </w:p>
    <w:p>
      <w:pPr>
        <w:spacing w:after="0" w:line="162" w:lineRule="exact"/>
        <w:rPr>
          <w:sz w:val="20"/>
          <w:szCs w:val="20"/>
          <w:color w:val="auto"/>
        </w:rPr>
      </w:pPr>
    </w:p>
    <w:p>
      <w:pPr>
        <w:ind w:left="520" w:right="280"/>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Profire accounted for $17.4 million and $48.7 million in revenue, respectively, and $0.2 million and $3.8 million in net income, respectively, in the Company's results.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Verantis Environmental Solutions Group</w:t>
      </w:r>
    </w:p>
    <w:p>
      <w:pPr>
        <w:spacing w:after="0" w:line="227" w:lineRule="exact"/>
        <w:rPr>
          <w:sz w:val="20"/>
          <w:szCs w:val="20"/>
          <w:color w:val="auto"/>
        </w:rPr>
      </w:pPr>
    </w:p>
    <w:p>
      <w:pPr>
        <w:ind w:left="520" w:right="180"/>
        <w:spacing w:after="0" w:line="258" w:lineRule="auto"/>
        <w:rPr>
          <w:sz w:val="20"/>
          <w:szCs w:val="20"/>
          <w:color w:val="auto"/>
        </w:rPr>
      </w:pPr>
      <w:r>
        <w:rPr>
          <w:rFonts w:ascii="Times New Roman" w:cs="Times New Roman" w:eastAsia="Times New Roman" w:hAnsi="Times New Roman"/>
          <w:sz w:val="18"/>
          <w:szCs w:val="18"/>
          <w:color w:val="auto"/>
        </w:rPr>
        <w:t>On December 17, 2024, the Company acquired 100% of the equity interests of Verantis for $69.2 million in cash, which was financed with a draw on the Company's revolving credit facility. Verantis is a global leader in engineering services and equipment systems and solutions for exhaust air treatment in a wide range of general industrial and high technology manufacturing processes. The business operates primarily from locations in Middleburg Heights, Ohio and Singapore, and is reported within the Industrial Processing Solutions segment. The following table summarizes the preliminary fair values of the assets acquired and liabilities assumed at the date of closing.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3"/>
        </w:trPr>
        <w:tc>
          <w:tcPr>
            <w:tcW w:w="9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accounts receivable of $8,661)</w:t>
            </w:r>
          </w:p>
        </w:tc>
        <w:tc>
          <w:tcPr>
            <w:tcW w:w="700" w:type="dxa"/>
            <w:vAlign w:val="bottom"/>
            <w:shd w:val="clear" w:color="auto" w:fill="CFF0FC"/>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18,910</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 finite life</w:t>
            </w:r>
          </w:p>
        </w:tc>
        <w:tc>
          <w:tcPr>
            <w:tcW w:w="7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22,070</w:t>
            </w:r>
          </w:p>
        </w:tc>
        <w:tc>
          <w:tcPr>
            <w:tcW w:w="100" w:type="dxa"/>
            <w:vAlign w:val="bottom"/>
            <w:shd w:val="clear" w:color="auto" w:fill="CFF0FC"/>
          </w:tcPr>
          <w:p>
            <w:pPr>
              <w:spacing w:after="0"/>
              <w:rPr>
                <w:sz w:val="18"/>
                <w:szCs w:val="18"/>
                <w:color w:val="auto"/>
              </w:rPr>
            </w:pP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54,966</w:t>
            </w:r>
          </w:p>
        </w:tc>
        <w:tc>
          <w:tcPr>
            <w:tcW w:w="100" w:type="dxa"/>
            <w:vAlign w:val="bottom"/>
          </w:tcPr>
          <w:p>
            <w:pPr>
              <w:spacing w:after="0"/>
              <w:rPr>
                <w:sz w:val="18"/>
                <w:szCs w:val="18"/>
                <w:color w:val="auto"/>
              </w:rPr>
            </w:pPr>
          </w:p>
        </w:tc>
      </w:tr>
      <w:tr>
        <w:trPr>
          <w:trHeight w:val="216"/>
        </w:trPr>
        <w:tc>
          <w:tcPr>
            <w:tcW w:w="9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96,437</w:t>
            </w:r>
          </w:p>
        </w:tc>
        <w:tc>
          <w:tcPr>
            <w:tcW w:w="100" w:type="dxa"/>
            <w:vAlign w:val="bottom"/>
          </w:tcPr>
          <w:p>
            <w:pPr>
              <w:spacing w:after="0"/>
              <w:rPr>
                <w:sz w:val="18"/>
                <w:szCs w:val="18"/>
                <w:color w:val="auto"/>
              </w:rPr>
            </w:pP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(17,624)</w:t>
            </w:r>
          </w:p>
        </w:tc>
      </w:tr>
      <w:tr>
        <w:trPr>
          <w:trHeight w:val="216"/>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7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(8,716)</w:t>
            </w:r>
          </w:p>
        </w:tc>
      </w:tr>
      <w:tr>
        <w:trPr>
          <w:trHeight w:val="216"/>
        </w:trPr>
        <w:tc>
          <w:tcPr>
            <w:tcW w:w="9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7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(928)</w:t>
            </w:r>
          </w:p>
        </w:tc>
      </w:tr>
      <w:tr>
        <w:trPr>
          <w:trHeight w:val="210"/>
        </w:trPr>
        <w:tc>
          <w:tcPr>
            <w:tcW w:w="92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70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69,169</w:t>
            </w:r>
          </w:p>
        </w:tc>
        <w:tc>
          <w:tcPr>
            <w:tcW w:w="100" w:type="dxa"/>
            <w:vAlign w:val="bottom"/>
            <w:tcBorders>
              <w:top w:val="single" w:sz="8" w:color="CFF0FC"/>
            </w:tcBorders>
          </w:tcPr>
          <w:p>
            <w:pPr>
              <w:spacing w:after="0"/>
              <w:rPr>
                <w:sz w:val="18"/>
                <w:szCs w:val="18"/>
                <w:color w:val="auto"/>
              </w:rPr>
            </w:pPr>
          </w:p>
        </w:tc>
      </w:tr>
      <w:tr>
        <w:trPr>
          <w:trHeight w:val="20"/>
        </w:trPr>
        <w:tc>
          <w:tcPr>
            <w:tcW w:w="9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820"/>
        <w:spacing w:after="0" w:line="282" w:lineRule="auto"/>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$2.4 million, $17.0 million and $2.6 million, respectively. These assets were determined to have useful lives of 7, 10 and 10 years, respectively.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WK Group</w:t>
      </w:r>
    </w:p>
    <w:p>
      <w:pPr>
        <w:spacing w:after="0" w:line="227" w:lineRule="exact"/>
        <w:rPr>
          <w:sz w:val="20"/>
          <w:szCs w:val="20"/>
          <w:color w:val="auto"/>
        </w:rPr>
      </w:pPr>
    </w:p>
    <w:p>
      <w:pPr>
        <w:ind w:left="520" w:right="60"/>
        <w:spacing w:after="0" w:line="253" w:lineRule="auto"/>
        <w:rPr>
          <w:sz w:val="20"/>
          <w:szCs w:val="20"/>
          <w:color w:val="auto"/>
        </w:rPr>
      </w:pPr>
      <w:r>
        <w:rPr>
          <w:rFonts w:ascii="Times New Roman" w:cs="Times New Roman" w:eastAsia="Times New Roman" w:hAnsi="Times New Roman"/>
          <w:sz w:val="18"/>
          <w:szCs w:val="18"/>
          <w:color w:val="auto"/>
        </w:rPr>
        <w:t>On October 2, 2024, the Company acquired 100% of the equity interests of WK Group for $6.8 million in cash, which was financed with a draw on the Company's revolving credit facility. As additional consideration in the acquisition of WK Group, the former owners of WK Group were also entitled to earn-out payments up to $27.5 million based upon specified financial results through September 30, 2025. Based on projections at the acquisition date, the Company estimated the fair value of the earn-out to be $6.3 million. During the second quarter of 2025, the Company recorded a fair value adjustment such that the earn-out liability within "Accrued expenses" on the Condensed Consolidated Balance Sheets reduced to zero as of June 30, 2025. The associated gain of $7.4 million, inclusive of $1.1 million of foreign currency adjustments, was recorded within "Other operating (income) expenses, net" on the Condensed Consolidated Statements of Income. No additional adjustments were necessary at the expiration of the earn-out period in the third quarter of 2025. WK Group designs and engineers a broad range of technical equipment and systems for exhaust and process air treatment, VOC abatement, energy recovery and surface treatment applications. The business operates primarily from locations in Germany and Singapore and is reported within the Industrial Processing Solutions segment. The following table summarizes the preliminary fair values of the assets acquired and liabilities assumed at the date of closing.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accounts receivable of $7,914)</w:t>
            </w:r>
          </w:p>
        </w:tc>
        <w:tc>
          <w:tcPr>
            <w:tcW w:w="70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14,485</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 finite life</w:t>
            </w:r>
          </w:p>
        </w:tc>
        <w:tc>
          <w:tcPr>
            <w:tcW w:w="7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13,448</w:t>
            </w:r>
          </w:p>
        </w:tc>
        <w:tc>
          <w:tcPr>
            <w:tcW w:w="120" w:type="dxa"/>
            <w:vAlign w:val="bottom"/>
          </w:tcPr>
          <w:p>
            <w:pPr>
              <w:spacing w:after="0"/>
              <w:rPr>
                <w:sz w:val="18"/>
                <w:szCs w:val="18"/>
                <w:color w:val="auto"/>
              </w:rPr>
            </w:pPr>
          </w:p>
        </w:tc>
      </w:tr>
      <w:tr>
        <w:trPr>
          <w:trHeight w:val="216"/>
        </w:trPr>
        <w:tc>
          <w:tcPr>
            <w:tcW w:w="9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7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32,341</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(16,333)</w:t>
            </w: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liability</w:t>
            </w:r>
          </w:p>
        </w:tc>
        <w:tc>
          <w:tcPr>
            <w:tcW w:w="7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(1,609)</w:t>
            </w: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liabilities assumed</w:t>
            </w:r>
          </w:p>
        </w:tc>
        <w:tc>
          <w:tcPr>
            <w:tcW w:w="7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(1,320)</w:t>
            </w:r>
          </w:p>
        </w:tc>
      </w:tr>
      <w:tr>
        <w:trPr>
          <w:trHeight w:val="210"/>
        </w:trPr>
        <w:tc>
          <w:tcPr>
            <w:tcW w:w="92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13,079</w:t>
            </w:r>
          </w:p>
        </w:tc>
        <w:tc>
          <w:tcPr>
            <w:tcW w:w="120" w:type="dxa"/>
            <w:vAlign w:val="bottom"/>
            <w:tcBorders>
              <w:top w:val="single" w:sz="8" w:color="CFF0FC"/>
            </w:tcBorders>
          </w:tcPr>
          <w:p>
            <w:pPr>
              <w:spacing w:after="0"/>
              <w:rPr>
                <w:sz w:val="18"/>
                <w:szCs w:val="18"/>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-728345</wp:posOffset>
            </wp:positionV>
            <wp:extent cx="774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520" w:right="900"/>
        <w:spacing w:after="0" w:line="282" w:lineRule="auto"/>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$1.0 million, $1.2 million and $1.0 million, respectively. These assets were determined to have useful lives of 7, 10 and 10 years, respectively.</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EnviroCare International LLC</w:t>
      </w:r>
    </w:p>
    <w:p>
      <w:pPr>
        <w:spacing w:after="0" w:line="227" w:lineRule="exact"/>
        <w:rPr>
          <w:sz w:val="20"/>
          <w:szCs w:val="20"/>
          <w:color w:val="auto"/>
        </w:rPr>
      </w:pPr>
    </w:p>
    <w:p>
      <w:pPr>
        <w:ind w:left="520" w:right="80"/>
        <w:spacing w:after="0" w:line="255" w:lineRule="auto"/>
        <w:rPr>
          <w:sz w:val="20"/>
          <w:szCs w:val="20"/>
          <w:color w:val="auto"/>
        </w:rPr>
      </w:pPr>
      <w:r>
        <w:rPr>
          <w:rFonts w:ascii="Times New Roman" w:cs="Times New Roman" w:eastAsia="Times New Roman" w:hAnsi="Times New Roman"/>
          <w:sz w:val="18"/>
          <w:szCs w:val="18"/>
          <w:color w:val="auto"/>
        </w:rPr>
        <w:t>On July 29, 2024, the Company acquired 100% of the equity interests of EnviroCare International LLC (“EnviroCare") for $16.7 million, including $15.7 million paid at closing, which was financed with a draw on the Company's revolving credit facility, and a seller promissory note of $1.7 million, which was repaid in the third quarter of 2025, partially offset by a working capital adjustment of $0.7 million. EnviroCare is a designer and provider of industrial exhaust air contamination treatment and control and evaporative gas conditioning systems, solutions and services across a wide range of industrial and municipal applications. The business operates primarily from American Canyon, California and is reported within the Industrial Processing Solutions segment. The following table summarizes the fair values of the assets acquired and liabilities assumed at the date of closing.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3"/>
        </w:trPr>
        <w:tc>
          <w:tcPr>
            <w:tcW w:w="9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 (including cash of $596 and accounts receivable of $405)</w:t>
            </w:r>
          </w:p>
        </w:tc>
        <w:tc>
          <w:tcPr>
            <w:tcW w:w="740" w:type="dxa"/>
            <w:vAlign w:val="bottom"/>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r>
      <w:tr>
        <w:trPr>
          <w:trHeight w:val="216"/>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 finite life</w:t>
            </w: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11,389</w:t>
            </w:r>
          </w:p>
        </w:tc>
        <w:tc>
          <w:tcPr>
            <w:tcW w:w="120" w:type="dxa"/>
            <w:vAlign w:val="bottom"/>
          </w:tcPr>
          <w:p>
            <w:pPr>
              <w:spacing w:after="0"/>
              <w:rPr>
                <w:sz w:val="18"/>
                <w:szCs w:val="18"/>
                <w:color w:val="auto"/>
              </w:rPr>
            </w:pPr>
          </w:p>
        </w:tc>
      </w:tr>
      <w:tr>
        <w:trPr>
          <w:trHeight w:val="210"/>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assets acquired</w:t>
            </w:r>
          </w:p>
        </w:tc>
        <w:tc>
          <w:tcPr>
            <w:tcW w:w="7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assumed</w:t>
            </w:r>
          </w:p>
        </w:tc>
        <w:tc>
          <w:tcPr>
            <w:tcW w:w="74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(5,065)</w:t>
            </w:r>
          </w:p>
        </w:tc>
      </w:tr>
      <w:tr>
        <w:trPr>
          <w:trHeight w:val="249"/>
        </w:trPr>
        <w:tc>
          <w:tcPr>
            <w:tcW w:w="9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16,702</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right="900"/>
        <w:spacing w:after="0" w:line="282" w:lineRule="auto"/>
        <w:rPr>
          <w:sz w:val="20"/>
          <w:szCs w:val="20"/>
          <w:color w:val="auto"/>
        </w:rPr>
      </w:pPr>
      <w:r>
        <w:rPr>
          <w:rFonts w:ascii="Times New Roman" w:cs="Times New Roman" w:eastAsia="Times New Roman" w:hAnsi="Times New Roman"/>
          <w:sz w:val="18"/>
          <w:szCs w:val="18"/>
          <w:color w:val="auto"/>
        </w:rPr>
        <w:t>The Company acquired technology, customer lists and tradename intangible assets valued at $0.8 million, $0.8 million and $5.7 million, respectively. These assets were determined to have useful lives of 7, 10 and 10 years, respectively.</w:t>
      </w:r>
    </w:p>
    <w:p>
      <w:pPr>
        <w:spacing w:after="0" w:line="162" w:lineRule="exact"/>
        <w:rPr>
          <w:sz w:val="20"/>
          <w:szCs w:val="20"/>
          <w:color w:val="auto"/>
        </w:rPr>
      </w:pPr>
    </w:p>
    <w:p>
      <w:pPr>
        <w:ind w:left="520" w:right="180"/>
        <w:spacing w:after="0" w:line="258" w:lineRule="auto"/>
        <w:rPr>
          <w:sz w:val="20"/>
          <w:szCs w:val="20"/>
          <w:color w:val="auto"/>
        </w:rPr>
      </w:pPr>
      <w:r>
        <w:rPr>
          <w:rFonts w:ascii="Times New Roman" w:cs="Times New Roman" w:eastAsia="Times New Roman" w:hAnsi="Times New Roman"/>
          <w:sz w:val="18"/>
          <w:szCs w:val="18"/>
          <w:color w:val="auto"/>
        </w:rPr>
        <w:t>The acquisitions disclosed above, with the exception of EnviroCare, are subject to final adjustment, primarily for the valuation of intangible assets pending final valuation results for such assets and tax balances for the further assessment of the acquiree’s tax positions. These preliminary estimates and assumptions could change significantly during the purchase price measurement period as the Company finalizes the valuation of assets acquired and liabilities assumed. These changes could result in material variances in the Company's future financial results, including variances in the estimated purchase price, fair values recorded and expenses associated with these items.</w:t>
      </w:r>
    </w:p>
    <w:p>
      <w:pPr>
        <w:spacing w:after="0" w:line="183" w:lineRule="exact"/>
        <w:rPr>
          <w:sz w:val="20"/>
          <w:szCs w:val="20"/>
          <w:color w:val="auto"/>
        </w:rPr>
      </w:pPr>
    </w:p>
    <w:p>
      <w:pPr>
        <w:ind w:left="520" w:right="100"/>
        <w:spacing w:after="0" w:line="266" w:lineRule="auto"/>
        <w:rPr>
          <w:sz w:val="20"/>
          <w:szCs w:val="20"/>
          <w:color w:val="auto"/>
        </w:rPr>
      </w:pPr>
      <w:r>
        <w:rPr>
          <w:rFonts w:ascii="Times New Roman" w:cs="Times New Roman" w:eastAsia="Times New Roman" w:hAnsi="Times New Roman"/>
          <w:sz w:val="18"/>
          <w:szCs w:val="18"/>
          <w:color w:val="auto"/>
        </w:rPr>
        <w:t>Goodwill recognized represents value the Company expects to be created by combining the various operations of the acquired businesses with the Company’s operations, including the expansion into markets within existing business segments, access to new customers and potential cost savings and synergies. Goodwill related to these acquisitions is not deductible for tax purposes.</w:t>
      </w:r>
    </w:p>
    <w:p>
      <w:pPr>
        <w:spacing w:after="0" w:line="176" w:lineRule="exact"/>
        <w:rPr>
          <w:sz w:val="20"/>
          <w:szCs w:val="20"/>
          <w:color w:val="auto"/>
        </w:rPr>
      </w:pPr>
    </w:p>
    <w:p>
      <w:pPr>
        <w:ind w:left="520" w:right="500"/>
        <w:spacing w:after="0" w:line="282" w:lineRule="auto"/>
        <w:rPr>
          <w:sz w:val="20"/>
          <w:szCs w:val="20"/>
          <w:color w:val="auto"/>
        </w:rPr>
      </w:pPr>
      <w:r>
        <w:rPr>
          <w:rFonts w:ascii="Times New Roman" w:cs="Times New Roman" w:eastAsia="Times New Roman" w:hAnsi="Times New Roman"/>
          <w:sz w:val="18"/>
          <w:szCs w:val="18"/>
          <w:color w:val="auto"/>
        </w:rPr>
        <w:t>Acquisition and integration expenses on the Condensed Consolidated Statements of Income are related to acquisition activities, which include retention, legal, accounting, banking, and other expenses.</w:t>
      </w:r>
    </w:p>
    <w:p>
      <w:pPr>
        <w:spacing w:after="0" w:line="162" w:lineRule="exact"/>
        <w:rPr>
          <w:sz w:val="20"/>
          <w:szCs w:val="20"/>
          <w:color w:val="auto"/>
        </w:rPr>
      </w:pPr>
    </w:p>
    <w:p>
      <w:pPr>
        <w:ind w:left="520" w:right="12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represents the Company’s results of operations as if these acquisitions had occurred at the beginning of the fiscal year prior to the acquisition. The pro forma results have been prepared for informational purposes only and include adjustments to amortize acquired intangible assets with finite lives, depreciate acquired property, plant, and equipment, reflect additional interest expense on debt used to fund the acquisition, and record the income tax consequences of these pro forma adjustments.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8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sales</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197,599</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174,654</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559,687</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515,276</w:t>
            </w: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w:t>
            </w:r>
          </w:p>
        </w:tc>
        <w:tc>
          <w:tcPr>
            <w:tcW w:w="12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4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8"/>
                <w:szCs w:val="18"/>
                <w:color w:val="auto"/>
              </w:rPr>
            </w:pPr>
          </w:p>
        </w:tc>
      </w:tr>
      <w:tr>
        <w:trPr>
          <w:trHeight w:val="216"/>
        </w:trPr>
        <w:tc>
          <w:tcPr>
            <w:tcW w:w="48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These pro forma results do not purport to be indicative of the results of operations that would have occurred had the purchase been made as of the beginning of the periods presented or of the results of operations that may occur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Divestiture</w:t>
      </w:r>
    </w:p>
    <w:p>
      <w:pPr>
        <w:spacing w:after="0" w:line="229" w:lineRule="exact"/>
        <w:rPr>
          <w:sz w:val="20"/>
          <w:szCs w:val="20"/>
          <w:color w:val="auto"/>
        </w:rPr>
      </w:pPr>
    </w:p>
    <w:p>
      <w:pPr>
        <w:ind w:left="520" w:right="40"/>
        <w:spacing w:after="0" w:line="274" w:lineRule="auto"/>
        <w:rPr>
          <w:sz w:val="20"/>
          <w:szCs w:val="20"/>
          <w:color w:val="auto"/>
        </w:rPr>
      </w:pPr>
      <w:r>
        <w:rPr>
          <w:rFonts w:ascii="Times New Roman" w:cs="Times New Roman" w:eastAsia="Times New Roman" w:hAnsi="Times New Roman"/>
          <w:sz w:val="17"/>
          <w:szCs w:val="17"/>
          <w:color w:val="auto"/>
        </w:rPr>
        <w:t>On March 31, 2025, the Company finalized the sale of its Global Pump Solutions business to a third party for a purchase price of $108.7 million, as adjusted for purchase adjustments. In the third quarter of 2025, the Company agreed to a working capital adjustment with the purchaser that reduced the amount to be released from escrow by $0.8 million, with a corresponding reduction in the previously recognized gain. The Company received cash proceeds of $107.9 million, inclusive of the purchase price, purchase price adjustments and $2.0 million released from escrow in the third quarter of 2025. The Company recognized a pre-tax gain on sale of business of $63.7 million. The Global Pump Solutions business consists of three niche leadership severe service industrial metallic, fiberglass and thermoplastic centrifugal pump brands: Dean, Fybroc and Sethco. The business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0" w:name="page21"/>
    <w:bookmarkEnd w:id="20"/>
    <w:p>
      <w:pPr>
        <w:ind w:left="520" w:right="240"/>
        <w:spacing w:after="0" w:line="282" w:lineRule="auto"/>
        <w:rPr>
          <w:sz w:val="20"/>
          <w:szCs w:val="20"/>
          <w:color w:val="auto"/>
        </w:rPr>
      </w:pPr>
      <w:r>
        <w:rPr>
          <w:rFonts w:ascii="Times New Roman" w:cs="Times New Roman" w:eastAsia="Times New Roman" w:hAnsi="Times New Roman"/>
          <w:sz w:val="18"/>
          <w:szCs w:val="18"/>
          <w:color w:val="auto"/>
        </w:rPr>
        <w:t>primarily operates from locations in Indianapolis, Indiana and Telford, Pennsylvania, and was included within the Industrial Processing Solutions segment.</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Amounts related to the transaction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Global Pump Solutions business</w:t>
            </w:r>
          </w:p>
        </w:tc>
        <w:tc>
          <w:tcPr>
            <w:tcW w:w="334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107,809</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Less: Assets transferred</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(4,230)</w:t>
            </w: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(9,268)</w:t>
            </w: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(5,247)</w:t>
            </w: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(26,838)</w:t>
            </w: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(4,029)</w:t>
            </w: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plan assets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w:t>
            </w: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Less: Transaction costs</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(616)</w:t>
            </w:r>
          </w:p>
        </w:tc>
      </w:tr>
      <w:tr>
        <w:trPr>
          <w:trHeight w:val="216"/>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Plus: Liabilities transferred</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18"/>
                <w:szCs w:val="18"/>
                <w:color w:val="auto"/>
              </w:rPr>
            </w:pPr>
          </w:p>
        </w:tc>
      </w:tr>
      <w:tr>
        <w:trPr>
          <w:trHeight w:val="216"/>
        </w:trPr>
        <w:tc>
          <w:tcPr>
            <w:tcW w:w="66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6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100" w:type="dxa"/>
            <w:vAlign w:val="bottom"/>
            <w:shd w:val="clear" w:color="auto" w:fill="CFF0FC"/>
          </w:tcPr>
          <w:p>
            <w:pPr>
              <w:spacing w:after="0"/>
              <w:rPr>
                <w:sz w:val="18"/>
                <w:szCs w:val="18"/>
                <w:color w:val="auto"/>
              </w:rPr>
            </w:pPr>
          </w:p>
        </w:tc>
      </w:tr>
      <w:tr>
        <w:trPr>
          <w:trHeight w:val="216"/>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liabilities assumed</w:t>
            </w:r>
          </w:p>
        </w:tc>
        <w:tc>
          <w:tcPr>
            <w:tcW w:w="266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0" w:type="dxa"/>
            <w:vAlign w:val="bottom"/>
          </w:tcPr>
          <w:p>
            <w:pPr>
              <w:spacing w:after="0"/>
              <w:rPr>
                <w:sz w:val="18"/>
                <w:szCs w:val="18"/>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334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63,701</w:t>
            </w:r>
          </w:p>
        </w:tc>
        <w:tc>
          <w:tcPr>
            <w:tcW w:w="100" w:type="dxa"/>
            <w:vAlign w:val="bottom"/>
            <w:shd w:val="clear" w:color="auto" w:fill="CFF0FC"/>
          </w:tcPr>
          <w:p>
            <w:pPr>
              <w:spacing w:after="0"/>
              <w:rPr>
                <w:sz w:val="19"/>
                <w:szCs w:val="19"/>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26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Business Segment Information</w:t>
      </w:r>
    </w:p>
    <w:p>
      <w:pPr>
        <w:spacing w:after="0" w:line="229" w:lineRule="exact"/>
        <w:rPr>
          <w:sz w:val="20"/>
          <w:szCs w:val="20"/>
          <w:color w:val="auto"/>
        </w:rPr>
      </w:pPr>
    </w:p>
    <w:p>
      <w:pPr>
        <w:ind w:left="520" w:right="20"/>
        <w:spacing w:after="0" w:line="258" w:lineRule="auto"/>
        <w:rPr>
          <w:sz w:val="20"/>
          <w:szCs w:val="20"/>
          <w:color w:val="auto"/>
        </w:rPr>
      </w:pPr>
      <w:r>
        <w:rPr>
          <w:rFonts w:ascii="Times New Roman" w:cs="Times New Roman" w:eastAsia="Times New Roman" w:hAnsi="Times New Roman"/>
          <w:sz w:val="18"/>
          <w:szCs w:val="18"/>
          <w:color w:val="auto"/>
        </w:rPr>
        <w:t>The Company’s operations are organized as groups of similar products and services, and are presented in two reportable segments. The results of the segments, specifically income from operations as adjusted for intercompany profits, are reviewed quarterly by the chief operating decision maker ("CODM"), which is the Company's Chief Executive Officer, for the purposes of allocating resources, including personnel, capital, and financial resources, and assessing performance, including the monitoring of budget versus actual results. Asset information by segment is not reported internally or otherwise regularly reviewed by the CODM.</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reportable segments are as follows:</w:t>
      </w:r>
    </w:p>
    <w:p>
      <w:pPr>
        <w:spacing w:after="0" w:line="225" w:lineRule="exact"/>
        <w:rPr>
          <w:sz w:val="20"/>
          <w:szCs w:val="20"/>
          <w:color w:val="auto"/>
        </w:rPr>
      </w:pPr>
    </w:p>
    <w:p>
      <w:pPr>
        <w:ind w:left="520" w:right="160"/>
        <w:spacing w:after="0" w:line="258" w:lineRule="auto"/>
        <w:rPr>
          <w:sz w:val="20"/>
          <w:szCs w:val="20"/>
          <w:color w:val="auto"/>
        </w:rPr>
      </w:pPr>
      <w:r>
        <w:rPr>
          <w:rFonts w:ascii="Times New Roman" w:cs="Times New Roman" w:eastAsia="Times New Roman" w:hAnsi="Times New Roman"/>
          <w:sz w:val="18"/>
          <w:szCs w:val="18"/>
          <w:u w:val="single" w:color="auto"/>
          <w:color w:val="auto"/>
        </w:rPr>
        <w:t>Engineered Systems:</w:t>
      </w:r>
      <w:r>
        <w:rPr>
          <w:rFonts w:ascii="Times New Roman" w:cs="Times New Roman" w:eastAsia="Times New Roman" w:hAnsi="Times New Roman"/>
          <w:sz w:val="18"/>
          <w:szCs w:val="18"/>
          <w:color w:val="auto"/>
        </w:rPr>
        <w:t xml:space="preserve"> The Company's Engineered Systems segment serves the power generation, hydrocarbon transport and processing, water/wastewater treatment, oily water separation and treatment, marine and naval, and natural gas and natural gas liquids infrastructure, treatment and transport sectors. The Company seeks to address the global demand for contaminant removal and environmental protection solutions with its highly engineered platforms including emissions management, fluid bed cyclones, thermal acoustics, separation and filtration, and dampers and expansion joints.</w:t>
      </w:r>
    </w:p>
    <w:p>
      <w:pPr>
        <w:spacing w:after="0" w:line="183" w:lineRule="exact"/>
        <w:rPr>
          <w:sz w:val="20"/>
          <w:szCs w:val="20"/>
          <w:color w:val="auto"/>
        </w:rPr>
      </w:pPr>
    </w:p>
    <w:p>
      <w:pPr>
        <w:ind w:left="520" w:right="140"/>
        <w:spacing w:after="0" w:line="254" w:lineRule="auto"/>
        <w:rPr>
          <w:sz w:val="20"/>
          <w:szCs w:val="20"/>
          <w:color w:val="auto"/>
        </w:rPr>
      </w:pPr>
      <w:r>
        <w:rPr>
          <w:rFonts w:ascii="Times New Roman" w:cs="Times New Roman" w:eastAsia="Times New Roman" w:hAnsi="Times New Roman"/>
          <w:sz w:val="18"/>
          <w:szCs w:val="18"/>
          <w:u w:val="single" w:color="auto"/>
          <w:color w:val="auto"/>
        </w:rPr>
        <w:t>Industrial Process Solutions:</w:t>
      </w:r>
      <w:r>
        <w:rPr>
          <w:rFonts w:ascii="Times New Roman" w:cs="Times New Roman" w:eastAsia="Times New Roman" w:hAnsi="Times New Roman"/>
          <w:sz w:val="18"/>
          <w:szCs w:val="18"/>
          <w:color w:val="auto"/>
        </w:rPr>
        <w:t xml:space="preserve"> The Company's Industrial Process Solutions segment serves the broad industrial sector with solutions for contamination control, exhaust air treatment, VOC abatement, process filtration and fluid handling in applications such as aluminum beverage can production, vehicle production, food and beverage processing, semiconductor fabrication, electronics production, steel and aluminum processing, engineered wood products manufacturing, chemical processing, general manufacturing and machining, coating and surface treatment, battery production and recycling, and wind and solar power components manufacturing end markets. The Company assists customers in maintaining clean and safe operations for employees, reducing energy consumption, minimizing waste for customers, and meeting regulatory standards for toxic emissions, fumes, volatile organic compounds, and odor elimination through its platforms including duct fabrication and installation, industrial air, and fluid handling.</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segment information is as follows for the three and nine months ended September 30,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0" w:type="dxa"/>
            <w:vAlign w:val="bottom"/>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r>
      <w:tr>
        <w:trPr>
          <w:trHeight w:val="173"/>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5"/>
                <w:szCs w:val="15"/>
                <w:color w:val="auto"/>
              </w:rPr>
            </w:pPr>
          </w:p>
        </w:tc>
        <w:tc>
          <w:tcPr>
            <w:tcW w:w="1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5"/>
                <w:szCs w:val="15"/>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100" w:type="dxa"/>
            <w:vAlign w:val="bottom"/>
          </w:tcPr>
          <w:p>
            <w:pPr>
              <w:spacing w:after="0"/>
              <w:rPr>
                <w:sz w:val="15"/>
                <w:szCs w:val="15"/>
                <w:color w:val="auto"/>
              </w:rPr>
            </w:pPr>
          </w:p>
        </w:tc>
      </w:tr>
      <w:tr>
        <w:trPr>
          <w:trHeight w:val="20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141,400</w:t>
            </w:r>
          </w:p>
        </w:tc>
        <w:tc>
          <w:tcPr>
            <w:tcW w:w="162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56,860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396,697</w:t>
            </w:r>
          </w:p>
        </w:tc>
        <w:tc>
          <w:tcPr>
            <w:tcW w:w="94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172,378</w:t>
            </w:r>
          </w:p>
        </w:tc>
        <w:tc>
          <w:tcPr>
            <w:tcW w:w="100" w:type="dxa"/>
            <w:vAlign w:val="bottom"/>
            <w:shd w:val="clear" w:color="auto" w:fill="CFF0FC"/>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25,034</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68,968</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88,997</w:t>
            </w:r>
          </w:p>
        </w:tc>
        <w:tc>
          <w:tcPr>
            <w:tcW w:w="100" w:type="dxa"/>
            <w:vAlign w:val="bottom"/>
          </w:tcPr>
          <w:p>
            <w:pPr>
              <w:spacing w:after="0"/>
              <w:rPr>
                <w:sz w:val="20"/>
                <w:szCs w:val="20"/>
                <w:color w:val="auto"/>
              </w:rPr>
            </w:pPr>
          </w:p>
        </w:tc>
      </w:tr>
      <w:tr>
        <w:trPr>
          <w:trHeight w:val="630"/>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20</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520" w:right="20"/>
        <w:spacing w:after="0" w:line="282" w:lineRule="auto"/>
        <w:rPr>
          <w:sz w:val="20"/>
          <w:szCs w:val="20"/>
          <w:color w:val="auto"/>
        </w:rPr>
      </w:pPr>
      <w:r>
        <w:rPr>
          <w:rFonts w:ascii="Times New Roman" w:cs="Times New Roman" w:eastAsia="Times New Roman" w:hAnsi="Times New Roman"/>
          <w:sz w:val="18"/>
          <w:szCs w:val="18"/>
          <w:color w:val="auto"/>
        </w:rPr>
        <w:t>A reconciliation of total segment sales to total consolidated sales, as well as total segment income from operations to total consolidated income from operations and total consolidated net income is as follows for the three months ended September 30, 2025: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143,692</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53,907</w:t>
            </w:r>
          </w:p>
        </w:tc>
        <w:tc>
          <w:tcPr>
            <w:tcW w:w="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197,599</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Intra-segment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(2,463)</w:t>
            </w: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Pr>
          <w:p>
            <w:pPr>
              <w:spacing w:after="0"/>
              <w:rPr>
                <w:sz w:val="18"/>
                <w:szCs w:val="18"/>
                <w:color w:val="auto"/>
              </w:rPr>
            </w:pPr>
          </w:p>
        </w:tc>
      </w:tr>
      <w:tr>
        <w:trPr>
          <w:trHeight w:val="216"/>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5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56,860</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198,260</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to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intra- and inter-segment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8"/>
                <w:szCs w:val="18"/>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197,599</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 of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90,352</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35,698</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126,050</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Shop burden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7,813</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Project engineering expense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7,513</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9,941</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00" w:type="dxa"/>
            <w:vAlign w:val="bottom"/>
          </w:tcPr>
          <w:p>
            <w:pPr>
              <w:spacing w:after="0"/>
              <w:rPr>
                <w:sz w:val="18"/>
                <w:szCs w:val="18"/>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22,742</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29,932</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corporate expenses</w:t>
            </w:r>
            <w:r>
              <w:rPr>
                <w:rFonts w:ascii="Times New Roman" w:cs="Times New Roman" w:eastAsia="Times New Roman" w:hAnsi="Times New Roman"/>
                <w:sz w:val="24"/>
                <w:szCs w:val="24"/>
                <w:color w:val="auto"/>
                <w:vertAlign w:val="superscript"/>
              </w:rPr>
              <w:t>(2)</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16,598</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intra- and inter-segment activity</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4"/>
                <w:szCs w:val="24"/>
                <w:color w:val="auto"/>
                <w:vertAlign w:val="superscript"/>
              </w:rPr>
              <w:t>(3)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Pr>
          <w:p>
            <w:pPr>
              <w:spacing w:after="0"/>
              <w:rPr>
                <w:sz w:val="18"/>
                <w:szCs w:val="18"/>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-2502535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-2502535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1020" w:hanging="26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expenses, acquisition and integration expenses, and restructuring expenses.</w:t>
      </w:r>
    </w:p>
    <w:p>
      <w:pPr>
        <w:spacing w:after="0" w:line="27" w:lineRule="exact"/>
        <w:rPr>
          <w:rFonts w:ascii="Times New Roman" w:cs="Times New Roman" w:eastAsia="Times New Roman" w:hAnsi="Times New Roman"/>
          <w:sz w:val="18"/>
          <w:szCs w:val="18"/>
          <w:color w:val="auto"/>
        </w:rPr>
      </w:pPr>
    </w:p>
    <w:p>
      <w:pPr>
        <w:ind w:left="760" w:right="80" w:hanging="3"/>
        <w:spacing w:after="0" w:line="250" w:lineRule="auto"/>
        <w:tabs>
          <w:tab w:leader="none" w:pos="10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and information technology expenses, and other general and administrative corporate expenses.</w:t>
      </w:r>
    </w:p>
    <w:p>
      <w:pPr>
        <w:ind w:left="1020" w:hanging="26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foreign exchange (gain) loss.</w:t>
      </w:r>
    </w:p>
    <w:p>
      <w:pPr>
        <w:spacing w:after="0" w:line="207" w:lineRule="exact"/>
        <w:rPr>
          <w:sz w:val="20"/>
          <w:szCs w:val="20"/>
          <w:color w:val="auto"/>
        </w:rPr>
      </w:pPr>
    </w:p>
    <w:p>
      <w:pPr>
        <w:ind w:left="520" w:right="20"/>
        <w:spacing w:after="0" w:line="282" w:lineRule="auto"/>
        <w:rPr>
          <w:sz w:val="20"/>
          <w:szCs w:val="20"/>
          <w:color w:val="auto"/>
        </w:rPr>
      </w:pPr>
      <w:r>
        <w:rPr>
          <w:rFonts w:ascii="Times New Roman" w:cs="Times New Roman" w:eastAsia="Times New Roman" w:hAnsi="Times New Roman"/>
          <w:sz w:val="18"/>
          <w:szCs w:val="18"/>
          <w:color w:val="auto"/>
        </w:rPr>
        <w:t>A reconciliation of total segment sales to total consolidated sales, as well as total segment income from operations to total consolidated income from operations and total consolidated net income is as follows for the nine months ended September 30,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3"/>
        </w:trPr>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0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7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392,586</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167,102</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559,687</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Intra-segment sales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100" w:type="dxa"/>
            <w:vAlign w:val="bottom"/>
          </w:tcPr>
          <w:p>
            <w:pPr>
              <w:spacing w:after="0"/>
              <w:rPr>
                <w:sz w:val="18"/>
                <w:szCs w:val="18"/>
                <w:color w:val="auto"/>
              </w:rPr>
            </w:pPr>
          </w:p>
        </w:tc>
      </w:tr>
      <w:tr>
        <w:trPr>
          <w:trHeight w:val="216"/>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5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sales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396,697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172,378</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569,074</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to sales</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intra- and inter-segment sales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100" w:type="dxa"/>
            <w:vAlign w:val="bottom"/>
          </w:tcPr>
          <w:p>
            <w:pPr>
              <w:spacing w:after="0"/>
              <w:rPr>
                <w:sz w:val="18"/>
                <w:szCs w:val="18"/>
                <w:color w:val="auto"/>
              </w:rPr>
            </w:pP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sales</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559,687</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 of sales</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240,056</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107,414</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347,470</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Shop burden</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18,354</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23,578</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9,667</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33,245</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Project engineering expense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22,160</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25,738</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8,975</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34,712</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Gain on sale of Global Pump Solutions business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(63,701)</w:t>
            </w:r>
          </w:p>
        </w:tc>
        <w:tc>
          <w:tcPr>
            <w:tcW w:w="4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(63,701)</w:t>
            </w:r>
          </w:p>
        </w:tc>
      </w:tr>
      <w:tr>
        <w:trPr>
          <w:trHeight w:val="216"/>
        </w:trPr>
        <w:tc>
          <w:tcPr>
            <w:tcW w:w="40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10,332</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(850)</w:t>
            </w: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00" w:type="dxa"/>
            <w:vAlign w:val="bottom"/>
            <w:shd w:val="clear" w:color="auto" w:fill="CFF0FC"/>
          </w:tcPr>
          <w:p>
            <w:pPr>
              <w:spacing w:after="0"/>
              <w:rPr>
                <w:sz w:val="18"/>
                <w:szCs w:val="18"/>
                <w:color w:val="auto"/>
              </w:rPr>
            </w:pPr>
          </w:p>
        </w:tc>
      </w:tr>
      <w:tr>
        <w:trPr>
          <w:trHeight w:val="209"/>
        </w:trPr>
        <w:tc>
          <w:tcPr>
            <w:tcW w:w="4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73,079</w:t>
            </w:r>
          </w:p>
        </w:tc>
        <w:tc>
          <w:tcPr>
            <w:tcW w:w="34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94,273</w:t>
            </w:r>
          </w:p>
        </w:tc>
        <w:tc>
          <w:tcPr>
            <w:tcW w:w="300" w:type="dxa"/>
            <w:vAlign w:val="bottom"/>
            <w:tcBorders>
              <w:top w:val="single" w:sz="8" w:color="CFF0F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167,352</w:t>
            </w:r>
          </w:p>
        </w:tc>
        <w:tc>
          <w:tcPr>
            <w:tcW w:w="100" w:type="dxa"/>
            <w:vAlign w:val="bottom"/>
            <w:tcBorders>
              <w:top w:val="single" w:sz="8" w:color="CFF0FC"/>
            </w:tcBorders>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9,507</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corporate expenses</w:t>
            </w:r>
            <w:r>
              <w:rPr>
                <w:rFonts w:ascii="Times New Roman" w:cs="Times New Roman" w:eastAsia="Times New Roman" w:hAnsi="Times New Roman"/>
                <w:sz w:val="24"/>
                <w:szCs w:val="24"/>
                <w:color w:val="auto"/>
                <w:vertAlign w:val="superscript"/>
              </w:rPr>
              <w:t>(2)</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59,127</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Elimination of intra- and inter-segment activity</w:t>
            </w: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9,387</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w:t>
            </w:r>
          </w:p>
        </w:tc>
        <w:tc>
          <w:tcPr>
            <w:tcW w:w="100" w:type="dxa"/>
            <w:vAlign w:val="bottom"/>
          </w:tcPr>
          <w:p>
            <w:pPr>
              <w:spacing w:after="0"/>
              <w:rPr>
                <w:sz w:val="18"/>
                <w:szCs w:val="18"/>
                <w:color w:val="auto"/>
              </w:rPr>
            </w:pPr>
          </w:p>
        </w:tc>
      </w:tr>
      <w:tr>
        <w:trPr>
          <w:trHeight w:val="216"/>
        </w:trPr>
        <w:tc>
          <w:tcPr>
            <w:tcW w:w="40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4"/>
                <w:szCs w:val="24"/>
                <w:color w:val="auto"/>
                <w:vertAlign w:val="superscript"/>
              </w:rPr>
              <w:t>(3)</w:t>
            </w:r>
          </w:p>
        </w:tc>
        <w:tc>
          <w:tcPr>
            <w:tcW w:w="5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-2651125</wp:posOffset>
            </wp:positionV>
            <wp:extent cx="7747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-2651125</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-2651125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-988060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-988060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-988060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760" w:right="320" w:hanging="3"/>
        <w:spacing w:after="0" w:line="261" w:lineRule="auto"/>
        <w:tabs>
          <w:tab w:leader="none" w:pos="10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expenses, acquisition and integration expenses, divestiture expenses, restructuring expenses, and asbestos litigation expenses.</w:t>
      </w:r>
    </w:p>
    <w:p>
      <w:pPr>
        <w:ind w:left="760" w:right="80" w:hanging="3"/>
        <w:spacing w:after="0" w:line="250" w:lineRule="auto"/>
        <w:tabs>
          <w:tab w:leader="none" w:pos="10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and information technology expenses, and other general and administrative corporate expenses.</w:t>
      </w:r>
    </w:p>
    <w:p>
      <w:pPr>
        <w:ind w:left="1020" w:hanging="26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foreign exchange (gain) loss and pension expense.</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segment information is as follows for the three and nine months ended September 30, 2025:</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5"/>
                <w:szCs w:val="15"/>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100" w:type="dxa"/>
            <w:vAlign w:val="bottom"/>
          </w:tcPr>
          <w:p>
            <w:pPr>
              <w:spacing w:after="0"/>
              <w:rPr>
                <w:sz w:val="15"/>
                <w:szCs w:val="15"/>
                <w:color w:val="auto"/>
              </w:rPr>
            </w:pP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660" w:type="dxa"/>
            <w:vAlign w:val="bottom"/>
            <w:gridSpan w:val="2"/>
            <w:shd w:val="clear" w:color="auto" w:fill="CFF0FC"/>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620" w:type="dxa"/>
            <w:vAlign w:val="bottom"/>
            <w:gridSpan w:val="2"/>
            <w:shd w:val="clear" w:color="auto" w:fill="CFF0FC"/>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FF0FC"/>
          </w:tcPr>
          <w:p>
            <w:pPr>
              <w:spacing w:after="0"/>
              <w:rPr>
                <w:sz w:val="18"/>
                <w:szCs w:val="18"/>
                <w:color w:val="auto"/>
              </w:rPr>
            </w:pPr>
          </w:p>
        </w:tc>
      </w:tr>
      <w:tr>
        <w:trPr>
          <w:trHeight w:val="31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9,432</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00" w:type="dxa"/>
            <w:vAlign w:val="bottom"/>
          </w:tcPr>
          <w:p>
            <w:pPr>
              <w:spacing w:after="0"/>
              <w:rPr>
                <w:sz w:val="24"/>
                <w:szCs w:val="24"/>
                <w:color w:val="auto"/>
              </w:rPr>
            </w:pPr>
          </w:p>
        </w:tc>
      </w:tr>
    </w:tbl>
    <w:p>
      <w:pPr>
        <w:ind w:left="760" w:right="180" w:hanging="3"/>
        <w:spacing w:after="0" w:line="269" w:lineRule="auto"/>
        <w:tabs>
          <w:tab w:leader="none" w:pos="10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depreciation and amortization disclosed by reportable segment are included within other segment expense captions, such as shop burden or general and administrative expense.</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financial segment information is as follows for the three and nine months ended September 30, 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0" w:type="dxa"/>
            <w:vAlign w:val="bottom"/>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6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r>
      <w:tr>
        <w:trPr>
          <w:trHeight w:val="173"/>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5"/>
                <w:szCs w:val="15"/>
                <w:color w:val="auto"/>
              </w:rPr>
            </w:pPr>
          </w:p>
        </w:tc>
        <w:tc>
          <w:tcPr>
            <w:tcW w:w="18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5"/>
                <w:szCs w:val="15"/>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100" w:type="dxa"/>
            <w:vAlign w:val="bottom"/>
          </w:tcPr>
          <w:p>
            <w:pPr>
              <w:spacing w:after="0"/>
              <w:rPr>
                <w:sz w:val="15"/>
                <w:szCs w:val="15"/>
                <w:color w:val="auto"/>
              </w:rPr>
            </w:pP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98,527</w:t>
            </w:r>
          </w:p>
        </w:tc>
        <w:tc>
          <w:tcPr>
            <w:tcW w:w="1620" w:type="dxa"/>
            <w:vAlign w:val="bottom"/>
            <w:gridSpan w:val="2"/>
            <w:shd w:val="clear" w:color="auto" w:fill="CFF0FC"/>
          </w:tcPr>
          <w:p>
            <w:pPr>
              <w:jc w:val="right"/>
              <w:ind w:right="116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51,379</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293,186</w:t>
            </w:r>
          </w:p>
        </w:tc>
        <w:tc>
          <w:tcPr>
            <w:tcW w:w="940" w:type="dxa"/>
            <w:vAlign w:val="bottom"/>
            <w:gridSpan w:val="2"/>
            <w:shd w:val="clear" w:color="auto" w:fill="CFF0FC"/>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135,631</w:t>
            </w:r>
          </w:p>
        </w:tc>
        <w:tc>
          <w:tcPr>
            <w:tcW w:w="100" w:type="dxa"/>
            <w:vAlign w:val="bottom"/>
            <w:shd w:val="clear" w:color="auto" w:fill="CFF0FC"/>
          </w:tcPr>
          <w:p>
            <w:pPr>
              <w:spacing w:after="0"/>
              <w:rPr>
                <w:sz w:val="18"/>
                <w:szCs w:val="18"/>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51,544</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20,834</w:t>
            </w:r>
          </w:p>
        </w:tc>
        <w:tc>
          <w:tcPr>
            <w:tcW w:w="100" w:type="dxa"/>
            <w:vAlign w:val="bottom"/>
          </w:tcPr>
          <w:p>
            <w:pPr>
              <w:spacing w:after="0"/>
              <w:rPr>
                <w:sz w:val="20"/>
                <w:szCs w:val="20"/>
                <w:color w:val="auto"/>
              </w:rPr>
            </w:pPr>
          </w:p>
        </w:tc>
      </w:tr>
      <w:tr>
        <w:trPr>
          <w:trHeight w:val="630"/>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23" w:name="page24"/>
    <w:bookmarkEnd w:id="23"/>
    <w:p>
      <w:pPr>
        <w:ind w:left="520" w:right="20"/>
        <w:spacing w:after="0" w:line="282" w:lineRule="auto"/>
        <w:rPr>
          <w:sz w:val="20"/>
          <w:szCs w:val="20"/>
          <w:color w:val="auto"/>
        </w:rPr>
      </w:pPr>
      <w:r>
        <w:rPr>
          <w:rFonts w:ascii="Times New Roman" w:cs="Times New Roman" w:eastAsia="Times New Roman" w:hAnsi="Times New Roman"/>
          <w:sz w:val="18"/>
          <w:szCs w:val="18"/>
          <w:color w:val="auto"/>
        </w:rPr>
        <w:t>A reconciliation of total segment sales to total consolidated sales, as well as total segment income from operations to total consolidated income from operations and total consolidated net income is as follows for the three months ended September 30,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91,277</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44,236</w:t>
            </w:r>
          </w:p>
        </w:tc>
        <w:tc>
          <w:tcPr>
            <w:tcW w:w="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Intra-segment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13,870</w:t>
            </w:r>
          </w:p>
        </w:tc>
        <w:tc>
          <w:tcPr>
            <w:tcW w:w="100" w:type="dxa"/>
            <w:vAlign w:val="bottom"/>
          </w:tcPr>
          <w:p>
            <w:pPr>
              <w:spacing w:after="0"/>
              <w:rPr>
                <w:sz w:val="18"/>
                <w:szCs w:val="18"/>
                <w:color w:val="auto"/>
              </w:rPr>
            </w:pPr>
          </w:p>
        </w:tc>
      </w:tr>
      <w:tr>
        <w:trPr>
          <w:trHeight w:val="216"/>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5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98,527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51,379</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149,906</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to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intra- and inter-segment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100" w:type="dxa"/>
            <w:vAlign w:val="bottom"/>
          </w:tcPr>
          <w:p>
            <w:pPr>
              <w:spacing w:after="0"/>
              <w:rPr>
                <w:sz w:val="18"/>
                <w:szCs w:val="18"/>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 of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59,568</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25,625</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85,193</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Shop burden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Project engineering expense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5,069</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00" w:type="dxa"/>
            <w:vAlign w:val="bottom"/>
          </w:tcPr>
          <w:p>
            <w:pPr>
              <w:spacing w:after="0"/>
              <w:rPr>
                <w:sz w:val="18"/>
                <w:szCs w:val="18"/>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23,086</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15,209</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38,295</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corporate expenses</w:t>
            </w:r>
            <w:r>
              <w:rPr>
                <w:rFonts w:ascii="Times New Roman" w:cs="Times New Roman" w:eastAsia="Times New Roman" w:hAnsi="Times New Roman"/>
                <w:sz w:val="24"/>
                <w:szCs w:val="24"/>
                <w:color w:val="auto"/>
                <w:vertAlign w:val="superscript"/>
              </w:rPr>
              <w:t>(2)</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intra- and inter-segment activity</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14,393</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4"/>
                <w:szCs w:val="24"/>
                <w:color w:val="auto"/>
                <w:vertAlign w:val="superscript"/>
              </w:rPr>
              <w:t>(3)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Pr>
          <w:p>
            <w:pPr>
              <w:spacing w:after="0"/>
              <w:rPr>
                <w:sz w:val="18"/>
                <w:szCs w:val="18"/>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-2502535</wp:posOffset>
            </wp:positionV>
            <wp:extent cx="774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-2502535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1020" w:hanging="26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expenses, and acquisition and integration expenses.</w:t>
      </w:r>
    </w:p>
    <w:p>
      <w:pPr>
        <w:spacing w:after="0" w:line="27" w:lineRule="exact"/>
        <w:rPr>
          <w:rFonts w:ascii="Times New Roman" w:cs="Times New Roman" w:eastAsia="Times New Roman" w:hAnsi="Times New Roman"/>
          <w:sz w:val="18"/>
          <w:szCs w:val="18"/>
          <w:color w:val="auto"/>
        </w:rPr>
      </w:pPr>
    </w:p>
    <w:p>
      <w:pPr>
        <w:ind w:left="760" w:right="80" w:hanging="3"/>
        <w:spacing w:after="0" w:line="250" w:lineRule="auto"/>
        <w:tabs>
          <w:tab w:leader="none" w:pos="10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and information technology expenses, and other general and administrative corporate expenses.</w:t>
      </w:r>
    </w:p>
    <w:p>
      <w:pPr>
        <w:ind w:left="1020" w:hanging="26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foreign exchange (gain) loss and pension expense.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ind w:left="520" w:right="20"/>
        <w:spacing w:after="0" w:line="282" w:lineRule="auto"/>
        <w:rPr>
          <w:sz w:val="20"/>
          <w:szCs w:val="20"/>
          <w:color w:val="auto"/>
        </w:rPr>
      </w:pPr>
      <w:r>
        <w:rPr>
          <w:rFonts w:ascii="Times New Roman" w:cs="Times New Roman" w:eastAsia="Times New Roman" w:hAnsi="Times New Roman"/>
          <w:sz w:val="18"/>
          <w:szCs w:val="18"/>
          <w:color w:val="auto"/>
        </w:rPr>
        <w:t>A reconciliation of total segment sales to total consolidated sales, as well as total segment income from operations to total consolidated income from operations and total consolidated net income is as follows for the nine months ended September 30,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3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10"/>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from external customers</w:t>
            </w: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278,018</w:t>
            </w:r>
          </w:p>
        </w:tc>
        <w:tc>
          <w:tcPr>
            <w:tcW w:w="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121,349</w:t>
            </w:r>
          </w:p>
        </w:tc>
        <w:tc>
          <w:tcPr>
            <w:tcW w:w="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399,367</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Intra-segment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13,893</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28,480</w:t>
            </w:r>
          </w:p>
        </w:tc>
        <w:tc>
          <w:tcPr>
            <w:tcW w:w="100" w:type="dxa"/>
            <w:vAlign w:val="bottom"/>
          </w:tcPr>
          <w:p>
            <w:pPr>
              <w:spacing w:after="0"/>
              <w:rPr>
                <w:sz w:val="18"/>
                <w:szCs w:val="18"/>
                <w:color w:val="auto"/>
              </w:rPr>
            </w:pPr>
          </w:p>
        </w:tc>
      </w:tr>
      <w:tr>
        <w:trPr>
          <w:trHeight w:val="216"/>
        </w:trPr>
        <w:tc>
          <w:tcPr>
            <w:tcW w:w="3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Inter-segment sales</w:t>
            </w:r>
          </w:p>
        </w:tc>
        <w:tc>
          <w:tcPr>
            <w:tcW w:w="5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293,186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428,817</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Reconciliation to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intra- and inter-segment sales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29,450</w:t>
            </w:r>
          </w:p>
        </w:tc>
        <w:tc>
          <w:tcPr>
            <w:tcW w:w="100" w:type="dxa"/>
            <w:vAlign w:val="bottom"/>
          </w:tcPr>
          <w:p>
            <w:pPr>
              <w:spacing w:after="0"/>
              <w:rPr>
                <w:sz w:val="18"/>
                <w:szCs w:val="18"/>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399,367</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to income before income taxes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cost of sales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176,146</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69,930</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246,076</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Shop burden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13,831</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15,907</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24,506</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Project engineering expense</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4,956</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14,666</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13,608</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7,131</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20,740</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4"/>
                <w:szCs w:val="24"/>
                <w:color w:val="auto"/>
                <w:vertAlign w:val="superscript"/>
              </w:rPr>
              <w:t>(1)</w:t>
            </w:r>
          </w:p>
        </w:tc>
        <w:tc>
          <w:tcPr>
            <w:tcW w:w="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7,194</w:t>
            </w:r>
          </w:p>
        </w:tc>
        <w:tc>
          <w:tcPr>
            <w:tcW w:w="100" w:type="dxa"/>
            <w:vAlign w:val="bottom"/>
          </w:tcPr>
          <w:p>
            <w:pPr>
              <w:spacing w:after="0"/>
              <w:rPr>
                <w:sz w:val="18"/>
                <w:szCs w:val="18"/>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66,687</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35,117</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101,804</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Other corporate expenses</w:t>
            </w:r>
            <w:r>
              <w:rPr>
                <w:rFonts w:ascii="Times New Roman" w:cs="Times New Roman" w:eastAsia="Times New Roman" w:hAnsi="Times New Roman"/>
                <w:sz w:val="24"/>
                <w:szCs w:val="24"/>
                <w:color w:val="auto"/>
                <w:vertAlign w:val="superscript"/>
              </w:rPr>
              <w:t>(2)</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42,435</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Elimination of intra- and inter-segment activity</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29,450</w:t>
            </w:r>
          </w:p>
        </w:tc>
        <w:tc>
          <w:tcPr>
            <w:tcW w:w="100" w:type="dxa"/>
            <w:vAlign w:val="bottom"/>
          </w:tcPr>
          <w:p>
            <w:pPr>
              <w:spacing w:after="0"/>
              <w:rPr>
                <w:sz w:val="18"/>
                <w:szCs w:val="18"/>
                <w:color w:val="auto"/>
              </w:rPr>
            </w:pPr>
          </w:p>
        </w:tc>
      </w:tr>
      <w:tr>
        <w:trPr>
          <w:trHeight w:val="21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9,315</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Other expense</w:t>
            </w:r>
            <w:r>
              <w:rPr>
                <w:rFonts w:ascii="Times New Roman" w:cs="Times New Roman" w:eastAsia="Times New Roman" w:hAnsi="Times New Roman"/>
                <w:sz w:val="24"/>
                <w:szCs w:val="24"/>
                <w:color w:val="auto"/>
                <w:vertAlign w:val="superscript"/>
              </w:rPr>
              <w:t>(3)</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tcPr>
          <w:p>
            <w:pPr>
              <w:spacing w:after="0"/>
              <w:rPr>
                <w:sz w:val="18"/>
                <w:szCs w:val="18"/>
                <w:color w:val="auto"/>
              </w:rPr>
            </w:pPr>
          </w:p>
        </w:tc>
      </w:tr>
      <w:tr>
        <w:trPr>
          <w:trHeight w:val="209"/>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income before income taxes</w:t>
            </w: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-2502535</wp:posOffset>
            </wp:positionV>
            <wp:extent cx="774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-2502535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1020" w:hanging="26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amortization expenses, acquisition and integration expenses, and asbestos litigation expenses.</w:t>
      </w:r>
    </w:p>
    <w:p>
      <w:pPr>
        <w:spacing w:after="0" w:line="27" w:lineRule="exact"/>
        <w:rPr>
          <w:rFonts w:ascii="Times New Roman" w:cs="Times New Roman" w:eastAsia="Times New Roman" w:hAnsi="Times New Roman"/>
          <w:sz w:val="18"/>
          <w:szCs w:val="18"/>
          <w:color w:val="auto"/>
        </w:rPr>
      </w:pPr>
    </w:p>
    <w:p>
      <w:pPr>
        <w:ind w:left="760" w:right="80" w:hanging="3"/>
        <w:spacing w:after="0" w:line="250" w:lineRule="auto"/>
        <w:tabs>
          <w:tab w:leader="none" w:pos="10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corporate compensation, professional services and information technology expenses, and other general and administrative corporate expenses.</w:t>
      </w:r>
    </w:p>
    <w:p>
      <w:pPr>
        <w:ind w:left="1020" w:hanging="26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foreign exchange (gain) loss and pension expense.</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segment information is as follows for the three and nine months ended September 30, 2024:</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3"/>
          </w:tcPr>
          <w:p>
            <w:pPr>
              <w:jc w:val="center"/>
              <w:ind w:left="299"/>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Engineered Systems</w:t>
            </w:r>
          </w:p>
        </w:tc>
        <w:tc>
          <w:tcPr>
            <w:tcW w:w="280" w:type="dxa"/>
            <w:vAlign w:val="bottom"/>
          </w:tcPr>
          <w:p>
            <w:pPr>
              <w:spacing w:after="0"/>
              <w:rPr>
                <w:sz w:val="15"/>
                <w:szCs w:val="15"/>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Industrial Process Solutions</w:t>
            </w:r>
          </w:p>
        </w:tc>
        <w:tc>
          <w:tcPr>
            <w:tcW w:w="100" w:type="dxa"/>
            <w:vAlign w:val="bottom"/>
          </w:tcPr>
          <w:p>
            <w:pPr>
              <w:spacing w:after="0"/>
              <w:rPr>
                <w:sz w:val="15"/>
                <w:szCs w:val="15"/>
                <w:color w:val="auto"/>
              </w:rPr>
            </w:pPr>
          </w:p>
        </w:tc>
      </w:tr>
      <w:tr>
        <w:trPr>
          <w:trHeight w:val="210"/>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660" w:type="dxa"/>
            <w:vAlign w:val="bottom"/>
            <w:gridSpan w:val="2"/>
            <w:shd w:val="clear" w:color="auto" w:fill="CFF0FC"/>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1620" w:type="dxa"/>
            <w:vAlign w:val="bottom"/>
            <w:gridSpan w:val="2"/>
            <w:shd w:val="clear" w:color="auto" w:fill="CFF0FC"/>
          </w:tcPr>
          <w:p>
            <w:pPr>
              <w:jc w:val="right"/>
              <w:ind w:right="11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shd w:val="clear" w:color="auto" w:fill="CFF0FC"/>
          </w:tcPr>
          <w:p>
            <w:pPr>
              <w:spacing w:after="0"/>
              <w:rPr>
                <w:sz w:val="18"/>
                <w:szCs w:val="18"/>
                <w:color w:val="auto"/>
              </w:rPr>
            </w:pPr>
          </w:p>
        </w:tc>
      </w:tr>
      <w:tr>
        <w:trPr>
          <w:trHeight w:val="317"/>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3,398</w:t>
            </w:r>
          </w:p>
        </w:tc>
        <w:tc>
          <w:tcPr>
            <w:tcW w:w="100" w:type="dxa"/>
            <w:vAlign w:val="bottom"/>
          </w:tcPr>
          <w:p>
            <w:pPr>
              <w:spacing w:after="0"/>
              <w:rPr>
                <w:sz w:val="24"/>
                <w:szCs w:val="24"/>
                <w:color w:val="auto"/>
              </w:rPr>
            </w:pPr>
          </w:p>
        </w:tc>
      </w:tr>
    </w:tbl>
    <w:p>
      <w:pPr>
        <w:ind w:left="760" w:right="180" w:hanging="3"/>
        <w:spacing w:after="0" w:line="269" w:lineRule="auto"/>
        <w:tabs>
          <w:tab w:leader="none" w:pos="10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of depreciation and amortization disclosed by reportable segment are included within other segment expense captions, such as shop burden or general and administrative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geographic area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5"/>
                <w:szCs w:val="15"/>
                <w:color w:val="auto"/>
              </w:rPr>
            </w:pPr>
          </w:p>
        </w:tc>
        <w:tc>
          <w:tcPr>
            <w:tcW w:w="27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40" w:type="dxa"/>
            <w:vAlign w:val="bottom"/>
            <w:gridSpan w:val="4"/>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20" w:type="dxa"/>
            <w:vAlign w:val="bottom"/>
            <w:vMerge w:val="continue"/>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6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137,119</w:t>
            </w:r>
          </w:p>
        </w:tc>
        <w:tc>
          <w:tcPr>
            <w:tcW w:w="144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91,399</w:t>
            </w:r>
          </w:p>
        </w:tc>
        <w:tc>
          <w:tcPr>
            <w:tcW w:w="138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367,993</w:t>
            </w:r>
          </w:p>
        </w:tc>
        <w:tc>
          <w:tcPr>
            <w:tcW w:w="14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259,637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43,870</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Netherlands</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17,773</w:t>
            </w: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10,389</w:t>
            </w: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44,762</w:t>
            </w:r>
          </w:p>
        </w:tc>
        <w:tc>
          <w:tcPr>
            <w:tcW w:w="3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37,368</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21,853</w:t>
            </w:r>
          </w:p>
        </w:tc>
        <w:tc>
          <w:tcPr>
            <w:tcW w:w="4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10,222</w:t>
            </w:r>
          </w:p>
        </w:tc>
        <w:tc>
          <w:tcPr>
            <w:tcW w:w="3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65,694</w:t>
            </w:r>
          </w:p>
        </w:tc>
        <w:tc>
          <w:tcPr>
            <w:tcW w:w="3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net sales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197,599</w:t>
            </w:r>
          </w:p>
        </w:tc>
        <w:tc>
          <w:tcPr>
            <w:tcW w:w="1440" w:type="dxa"/>
            <w:vAlign w:val="bottom"/>
            <w:gridSpan w:val="2"/>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138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559,687</w:t>
            </w:r>
          </w:p>
        </w:tc>
        <w:tc>
          <w:tcPr>
            <w:tcW w:w="140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3164205</wp:posOffset>
            </wp:positionH>
            <wp:positionV relativeFrom="paragraph">
              <wp:posOffset>-980440</wp:posOffset>
            </wp:positionV>
            <wp:extent cx="102870" cy="1365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02870" cy="136525"/>
                    </a:xfrm>
                    <a:prstGeom prst="rect">
                      <a:avLst/>
                    </a:prstGeom>
                    <a:noFill/>
                  </pic:spPr>
                </pic:pic>
              </a:graphicData>
            </a:graphic>
          </wp:anchor>
        </w:drawing>
        <w:drawing>
          <wp:anchor simplePos="0" relativeHeight="251657728" behindDoc="1" locked="0" layoutInCell="0" allowOverlap="1">
            <wp:simplePos x="0" y="0"/>
            <wp:positionH relativeFrom="column">
              <wp:posOffset>4484370</wp:posOffset>
            </wp:positionH>
            <wp:positionV relativeFrom="paragraph">
              <wp:posOffset>-980440</wp:posOffset>
            </wp:positionV>
            <wp:extent cx="93980" cy="1365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-980440</wp:posOffset>
            </wp:positionV>
            <wp:extent cx="93980" cy="1365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-980440</wp:posOffset>
            </wp:positionV>
            <wp:extent cx="93980" cy="1365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-170815</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-170815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-170815</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geographical area data for net sales is based upon the country location of the Company's business unit generating such sales.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Long-lived assets by geographic area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5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r>
      <w:tr>
        <w:trPr>
          <w:trHeight w:val="210"/>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9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370,971</w:t>
            </w:r>
          </w:p>
        </w:tc>
        <w:tc>
          <w:tcPr>
            <w:tcW w:w="10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332,162</w:t>
            </w:r>
          </w:p>
        </w:tc>
        <w:tc>
          <w:tcPr>
            <w:tcW w:w="12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28,122</w:t>
            </w: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27,003</w:t>
            </w:r>
          </w:p>
        </w:tc>
        <w:tc>
          <w:tcPr>
            <w:tcW w:w="120" w:type="dxa"/>
            <w:vAlign w:val="bottom"/>
          </w:tcPr>
          <w:p>
            <w:pPr>
              <w:spacing w:after="0"/>
              <w:rPr>
                <w:sz w:val="18"/>
                <w:szCs w:val="18"/>
                <w:color w:val="auto"/>
              </w:rPr>
            </w:pPr>
          </w:p>
        </w:tc>
      </w:tr>
      <w:tr>
        <w:trPr>
          <w:trHeight w:val="216"/>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China</w:t>
            </w:r>
          </w:p>
        </w:tc>
        <w:tc>
          <w:tcPr>
            <w:tcW w:w="14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39,438</w:t>
            </w:r>
          </w:p>
        </w:tc>
        <w:tc>
          <w:tcPr>
            <w:tcW w:w="5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36,315</w:t>
            </w:r>
          </w:p>
        </w:tc>
        <w:tc>
          <w:tcPr>
            <w:tcW w:w="120" w:type="dxa"/>
            <w:vAlign w:val="bottom"/>
            <w:shd w:val="clear" w:color="auto" w:fill="CFF0FC"/>
          </w:tcPr>
          <w:p>
            <w:pPr>
              <w:spacing w:after="0"/>
              <w:rPr>
                <w:sz w:val="18"/>
                <w:szCs w:val="18"/>
                <w:color w:val="auto"/>
              </w:rPr>
            </w:pP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57,873</w:t>
            </w:r>
          </w:p>
        </w:tc>
        <w:tc>
          <w:tcPr>
            <w:tcW w:w="5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33,248</w:t>
            </w:r>
          </w:p>
        </w:tc>
        <w:tc>
          <w:tcPr>
            <w:tcW w:w="120" w:type="dxa"/>
            <w:vAlign w:val="bottom"/>
          </w:tcPr>
          <w:p>
            <w:pPr>
              <w:spacing w:after="0"/>
              <w:rPr>
                <w:sz w:val="18"/>
                <w:szCs w:val="18"/>
                <w:color w:val="auto"/>
              </w:rPr>
            </w:pPr>
          </w:p>
        </w:tc>
      </w:tr>
      <w:tr>
        <w:trPr>
          <w:trHeight w:val="230"/>
        </w:trPr>
        <w:tc>
          <w:tcPr>
            <w:tcW w:w="3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long-lived assets</w:t>
            </w:r>
          </w:p>
        </w:tc>
        <w:tc>
          <w:tcPr>
            <w:tcW w:w="19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496,404</w:t>
            </w:r>
          </w:p>
        </w:tc>
        <w:tc>
          <w:tcPr>
            <w:tcW w:w="10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428,728</w:t>
            </w:r>
          </w:p>
        </w:tc>
        <w:tc>
          <w:tcPr>
            <w:tcW w:w="120" w:type="dxa"/>
            <w:vAlign w:val="bottom"/>
            <w:shd w:val="clear" w:color="auto" w:fill="CFF0FC"/>
          </w:tcPr>
          <w:p>
            <w:pPr>
              <w:spacing w:after="0"/>
              <w:rPr>
                <w:sz w:val="19"/>
                <w:szCs w:val="19"/>
                <w:color w:val="auto"/>
              </w:rPr>
            </w:pPr>
          </w:p>
        </w:tc>
      </w:tr>
      <w:tr>
        <w:trPr>
          <w:trHeight w:val="20"/>
        </w:trPr>
        <w:tc>
          <w:tcPr>
            <w:tcW w:w="314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5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geographical area data for long-lived assets is based upon physical location of such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CECO ENVIRONMENTAL CORP.</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AND RESULTS OF OPERATIONS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Condensed Consolidated Statements of Income for the three and nine months ended September 30, 2025 and 2024 reflect the consolidated operations of the Company and its subsidiaries.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CECO Environmental Corp. (“CECO,” “we,” “us,” "our," or the “Company”) is a leading environmentally focused, diversified industrial company, serving the broad landscape of industrial air, industrial water and energy transition markets globally providing innovative technology and application expertise through a collection of focused operating companies with niche leadership positions and well-established brands in fragmented markets with flexible business models and established supply chains. CECO helps companies grow their business with safe, clean, and more efficient solutions that help protect people, the environment and industrial equipment. CECO's solutions improve air and water quality, optimize emissions management, and increase the energy and process efficiency for highly engineered applications in power generation, midstream and downstream hydrocarbon processing and transport, chemical processing, electric vehicle production, polysilicon fabrication, semiconductor and electronics production, battery production and recycling, specialty metals, aluminum and steel production, beverage can manufacturing, and industrial and produced water and wastewater treatment, and a wide range of other industrial end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Pressures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senior management team monitors and manages the Company's ability to operate effectively as the result of market pressures. Against the current backdrop of a rapidly evolving global commercial environment, we believe we are comparatively well-positioned as we execute and manufacture a majority of our business in the same regions in which we sell, with our cost and revenue bases largely aligned as a result. Recently, international trade has been impacted by geopolitical tariff considerations. To mitigate potential tariff-related impacts, we have worked strategically with customers and suppliers to optimize terms and pricing, sourcing locations, and logistics routes and schedules. While we will continue to take a proactive approach on our efforts to mitigate the impacts of tariffs, our business and results could be adversely affected by further policy developments. Additionally, we are currently experiencing shortages of raw materials and inflationary pressures for certain materials and labor. We have secured raw materials from existing and alternate suppliers and have taken other mitigating actions to mitigate supply disruptions; however, we cannot guarantee that we will be able to continue to do so in the future. If we are unable to continue to mitigate the effects of these supply disruptions and/or inflationary pressures, our business, results and financial condition could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Use of Non-GAAP Financial Measures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are prepared in accordance with accounting principles generally accepted in the United States of America (“GAAP”). These GAAP financial statements include certain charges the Company believes are not indicative of its core ongoing operational performance.</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As a result, the Company provides financial information in this Management’s Discussion and Analysis that was not prepared in accordance with GAAP and should not be considered as an alternative to the information prepared in accordance with GAAP. The Company provides this non-GAAP financial information because the Company’s management utilizes it to evaluate its ongoing financial performance and the Company believes it provides greater transparency to investors as supplemental information to its GAAP results.</w:t>
      </w:r>
    </w:p>
    <w:p>
      <w:pPr>
        <w:spacing w:after="0" w:line="18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provided the non-GAAP financial measures of non-GAAP operating income and non-GAAP operating margin as a result of items that the Company believes are not indicative of its ongoing operations. These include transactions associated with the Company’s acquisitions, divestiture, and the items described below in “Consolidated Results.” The Company believes that these items are not necessarily indicative of the Company’s ongoing operations and their exclusion provides individuals with additional information to better compare the Company's results over multiple periods. The Company utilizes this information to evaluate its ongoing financial performance. The Company has incurred substantial expense and income associated with acquisitions. While the Company cannot predict the exact timing or amounts of such charges, it does expect to treat the financial impact of these transactions as special items in its future presentation of non-GAAP results.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Condensed Consolidated Statements of Income for the three and nine months ended September 30, 2025 and 2024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6"/>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20" w:type="dxa"/>
            <w:vAlign w:val="bottom"/>
            <w:gridSpan w:val="6"/>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88"/>
        </w:trPr>
        <w:tc>
          <w:tcPr>
            <w:tcW w:w="4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millions, except ratios)</w:t>
            </w:r>
          </w:p>
        </w:tc>
        <w:tc>
          <w:tcPr>
            <w:tcW w:w="7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r>
      <w:tr>
        <w:trPr>
          <w:trHeight w:val="19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sales</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559.7</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399.4</w:t>
            </w:r>
          </w:p>
        </w:tc>
        <w:tc>
          <w:tcPr>
            <w:tcW w:w="140" w:type="dxa"/>
            <w:vAlign w:val="bottom"/>
            <w:shd w:val="clear" w:color="auto" w:fill="CFF0FC"/>
          </w:tcPr>
          <w:p>
            <w:pPr>
              <w:spacing w:after="0"/>
              <w:rPr>
                <w:sz w:val="17"/>
                <w:szCs w:val="17"/>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140" w:type="dxa"/>
            <w:vAlign w:val="bottom"/>
          </w:tcPr>
          <w:p>
            <w:pPr>
              <w:spacing w:after="0"/>
              <w:rPr>
                <w:sz w:val="17"/>
                <w:szCs w:val="17"/>
                <w:color w:val="auto"/>
              </w:rPr>
            </w:pPr>
          </w:p>
        </w:tc>
      </w:tr>
      <w:tr>
        <w:trPr>
          <w:trHeight w:val="19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193.9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40" w:type="dxa"/>
            <w:vAlign w:val="bottom"/>
            <w:shd w:val="clear" w:color="auto" w:fill="CFF0FC"/>
          </w:tcPr>
          <w:p>
            <w:pPr>
              <w:spacing w:after="0"/>
              <w:rPr>
                <w:sz w:val="17"/>
                <w:szCs w:val="17"/>
                <w:color w:val="auto"/>
              </w:rPr>
            </w:pPr>
          </w:p>
        </w:tc>
      </w:tr>
      <w:tr>
        <w:trPr>
          <w:trHeight w:val="203"/>
        </w:trPr>
        <w:tc>
          <w:tcPr>
            <w:tcW w:w="44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Percent of sales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32.7%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33.4%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34.6%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34.9%</w:t>
            </w:r>
          </w:p>
        </w:tc>
      </w:tr>
      <w:tr>
        <w:trPr>
          <w:trHeight w:val="20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40" w:type="dxa"/>
            <w:vAlign w:val="bottom"/>
            <w:shd w:val="clear" w:color="auto" w:fill="CFF0FC"/>
          </w:tcPr>
          <w:p>
            <w:pPr>
              <w:spacing w:after="0"/>
              <w:rPr>
                <w:sz w:val="17"/>
                <w:szCs w:val="17"/>
                <w:color w:val="auto"/>
              </w:rPr>
            </w:pPr>
          </w:p>
        </w:tc>
      </w:tr>
      <w:tr>
        <w:trPr>
          <w:trHeight w:val="203"/>
        </w:trPr>
        <w:tc>
          <w:tcPr>
            <w:tcW w:w="44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Percent of sales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23.8%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25.3%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26.7%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26.5%</w:t>
            </w:r>
          </w:p>
        </w:tc>
      </w:tr>
      <w:tr>
        <w:trPr>
          <w:trHeight w:val="20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Amortization expenses</w:t>
            </w: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40" w:type="dxa"/>
            <w:vAlign w:val="bottom"/>
            <w:shd w:val="clear" w:color="auto" w:fill="CFF0FC"/>
          </w:tcPr>
          <w:p>
            <w:pPr>
              <w:spacing w:after="0"/>
              <w:rPr>
                <w:sz w:val="17"/>
                <w:szCs w:val="17"/>
                <w:color w:val="auto"/>
              </w:rPr>
            </w:pP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7"/>
                <w:szCs w:val="17"/>
                <w:color w:val="auto"/>
              </w:rPr>
            </w:pPr>
          </w:p>
        </w:tc>
      </w:tr>
      <w:tr>
        <w:trPr>
          <w:trHeight w:val="203"/>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(gain) on sale of Global Pump Solutions business</w:t>
            </w: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(63.7)</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Other operating expense (income), net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40" w:type="dxa"/>
            <w:vAlign w:val="bottom"/>
          </w:tcPr>
          <w:p>
            <w:pPr>
              <w:spacing w:after="0"/>
              <w:rPr>
                <w:sz w:val="17"/>
                <w:szCs w:val="17"/>
                <w:color w:val="auto"/>
              </w:rPr>
            </w:pPr>
          </w:p>
        </w:tc>
      </w:tr>
      <w:tr>
        <w:trPr>
          <w:trHeight w:val="20"/>
        </w:trPr>
        <w:tc>
          <w:tcPr>
            <w:tcW w:w="4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40" w:type="dxa"/>
            <w:vAlign w:val="bottom"/>
            <w:shd w:val="clear" w:color="auto" w:fill="CFF0FC"/>
          </w:tcPr>
          <w:p>
            <w:pPr>
              <w:spacing w:after="0"/>
              <w:rPr>
                <w:sz w:val="17"/>
                <w:szCs w:val="17"/>
                <w:color w:val="auto"/>
              </w:rPr>
            </w:pPr>
          </w:p>
        </w:tc>
      </w:tr>
      <w:tr>
        <w:trPr>
          <w:trHeight w:val="203"/>
        </w:trPr>
        <w:tc>
          <w:tcPr>
            <w:tcW w:w="4420" w:type="dxa"/>
            <w:vAlign w:val="bottom"/>
          </w:tcPr>
          <w:p>
            <w:pPr>
              <w:ind w:left="100"/>
              <w:spacing w:after="0"/>
              <w:rPr>
                <w:sz w:val="20"/>
                <w:szCs w:val="20"/>
                <w:color w:val="auto"/>
              </w:rPr>
            </w:pPr>
            <w:r>
              <w:rPr>
                <w:rFonts w:ascii="Times New Roman" w:cs="Times New Roman" w:eastAsia="Times New Roman" w:hAnsi="Times New Roman"/>
                <w:sz w:val="16"/>
                <w:szCs w:val="16"/>
                <w:i w:val="1"/>
                <w:iCs w:val="1"/>
                <w:color w:val="auto"/>
              </w:rPr>
              <w:t>Operating margin</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4.8%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16.0%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6.0%</w:t>
            </w: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2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r>
      <w:tr>
        <w:trPr>
          <w:trHeight w:val="209"/>
        </w:trPr>
        <w:tc>
          <w:tcPr>
            <w:tcW w:w="4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7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4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shd w:val="clear" w:color="auto" w:fill="CFF0FC"/>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tcPr>
          <w:p>
            <w:pPr>
              <w:spacing w:after="0"/>
              <w:rPr>
                <w:sz w:val="18"/>
                <w:szCs w:val="18"/>
                <w:color w:val="auto"/>
              </w:rPr>
            </w:pPr>
          </w:p>
        </w:tc>
      </w:tr>
      <w:tr>
        <w:trPr>
          <w:trHeight w:val="210"/>
        </w:trPr>
        <w:tc>
          <w:tcPr>
            <w:tcW w:w="4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FF0FC"/>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r>
      <w:tr>
        <w:trPr>
          <w:trHeight w:val="250"/>
        </w:trPr>
        <w:tc>
          <w:tcPr>
            <w:tcW w:w="44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Net income attributable to CECO Environmental Corp.</w:t>
            </w:r>
          </w:p>
        </w:tc>
        <w:tc>
          <w:tcPr>
            <w:tcW w:w="7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-24765</wp:posOffset>
            </wp:positionV>
            <wp:extent cx="9461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9461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939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939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939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939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-24765</wp:posOffset>
            </wp:positionV>
            <wp:extent cx="9398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-7620</wp:posOffset>
            </wp:positionV>
            <wp:extent cx="939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To compare operating performance between the three and nine months ended September 30, 2025 and 2024, the Company has adjusted GAAP operating income to exclude (1) amortization of intangible assets, (2) acquisition and integration expenses, which include legal, accounting, and other expenses, (3) gain on the sale of the Global Pump Solutions business as discussed in Note 16, and (4) other non-recurring expenses, including fair value adjustment of earn-out liabilities from the acquisitions of WK Group, restructuring expenses primarily relating to severance, facility exits, and associated legal expenses, asbestos litigation expenses relating to future settlement payments, and third party professional consulting fees associated with Enterprise Resource Planning system implementations.</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reconciliation of GAAP operating income and GAAP operating margin to non-GAAP operating income and non-GAAP operating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 except ratios)</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6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7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4.8%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16.0%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6.0%</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expenses</w:t>
            </w: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(gain) on sale of Global Pump Solutions business</w:t>
            </w: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 (income), net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5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8.9%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8.1%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8.0%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8.5%</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Orders booked increased $70.6 million, or 44%, to $232.9 million during the three months ended September 30, 2025 compared with $162.3 million in the three months ended September 30, 2024, inclusive of organic growth of 33%, as defined as the change in orders excluding the impact of orders recorded in the twelve month period subsequent to acquisition dates and orders from the GPS business, which was divested in the first quarter of 2025. The orders increase is primarily attributable to the Company's energy and power businesses as well as international industrial water projects.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8" w:name="page29"/>
    <w:bookmarkEnd w:id="28"/>
    <w:p>
      <w:pPr>
        <w:ind w:right="40"/>
        <w:spacing w:after="0" w:line="258" w:lineRule="auto"/>
        <w:rPr>
          <w:sz w:val="20"/>
          <w:szCs w:val="20"/>
          <w:color w:val="auto"/>
        </w:rPr>
      </w:pPr>
      <w:r>
        <w:rPr>
          <w:rFonts w:ascii="Times New Roman" w:cs="Times New Roman" w:eastAsia="Times New Roman" w:hAnsi="Times New Roman"/>
          <w:sz w:val="18"/>
          <w:szCs w:val="18"/>
          <w:color w:val="auto"/>
        </w:rPr>
        <w:t>Orders booked increased $286.7 million, or 64%, to $735.0 million during the nine months ended September 30, 2025 compared with $448.3 million in the nine months ended September 30, 2024, inclusive of organic growth of 53%. The orders increase is primarily attributable to the Company's energy and power technologies. Investments in energy infrastructure and growth in midstream and downstream markets have resulted in increased demand for emissions, separation, and acoustics products. Additionally, the Company has seen increased demand for its wet scrubbers and industrial fan technologies as well as international industrial water applications in produced water and wastewater.</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Net sales for the three months ended September 30, 2025 increased $62.1 million, or 45.8%, to $197.6 million compared with $135.5 million for the three months ended September 30, 2024, inclusive of organic growth of 35%, as defined as the change in orders excluding the impact of orders recorded in the twelve month period subsequent to acquisition dates and orders from the GPS business, which was divested in the first quarter of 2025. The increase in organic revenue is driven by significant order intake in the preceding quarters which led to a record backlog position. The Company also executed on customer projects and progressed its respective projects per contractual commitments, without any materially significant delays observed. The remainder of the increase in net sales is attributable to the Company's recent acquisitions.</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Net sales for the nine months ended September 30, 2025 increased $160.3 million, or 40.1%, to $559.7 million compared with $399.4 million for the nine months ended September 30, 2024, inclusive of organic growth of 24%. The increase in organic revenue is driven by significant order intake in the preceding quarters which led to a record backlog position. The Company was also able to recover from revenue project delays that adversely impacted the Company in prior periods driven by customer’s catching up to the project schedules. The remainder of the increase in net sales is attributable to the Company's recent acquisitions.</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Gross profit increased $19.3 million, or 42.6%, to $64.6 million in the three months ended September 30, 2025 compared with $45.3 million in the three months ended September 30, 2024. The increase in gross profit is primarily attributable to the increase in sales volume as described above. Gross profit as a percentage of sales slightly decreased to 32.7% in the three months ended September 30, 2025 compared with 33.4% in the three months ended September 30, 2024. This decrease is attributable to project mix within industrial solutions end markets.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Gross profit increased $54.4 million, or 39.0%, to $193.9 million in the nine months ended September 30, 2025 compared with $139.5 million in the nine months ended September 30, 2024. The increase in gross profit is primarily attributable to the increase in sales volume as described above. Gross profit as a percentage of sales was flat at 34.6% in the nine months ended September 30, 2025 and 34.9% in the nine months ended September 30, 2024.</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were $47.0 million for the three months ended September 30, 2025 compared with $34.3 million for the three months ended September 30, 2024. The increase is primarily attributable to increased headcount resources to support the Company’s growing pipeline of opportunities as well as additional capabilities to support backlog execution and functional support. Additionally, acquisitions during the current and prior year drove increased selling and administrative expense.</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were $149.4 million for the nine months ended September 30, 2025 compared with $105.7 million for the nine months ended September 30, 2024. The increase is primarily attributable to increased headcount resources to support the Company’s growing pipeline of opportunities as well as additional capabilities to support backlog execution and functional support. Additionally, acquisitions during the current and prior year drove increased selling and administrative expense.</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Amortization expense was $6.1 million for the three months ended September 30, 2025 compared with $2.2 million for the three months ended September 30, 2024. The increase in expense is attributable to increased intangible assets attributable to current and prior year acquisitions.</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Amortization expense was $12.2 million for the nine months ended September 30, 2025 compared with $6.5 million for the nine months ended September 30, 2024. The increase in expense is attributable to increased intangible assets attributable to current and prior year acquisitions.</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Operating income increased $2.2 million to $9.4 million for the three months ended September 30, 2025 compared with operating income of $7.2 million for the three months ended September 30, 2024. The increase in operating income is primarily attributable to the fair value adjustment to the earn-out liability associated with the acquisition of WK Group, as well as the increase in gross profit described above.</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Operating income increased $65.2 million to $89.3 million for the nine months ended September 30, 2025 compared with operating income of $24.1 million for the nine months ended September 30, 2024. The increase in operating income is primarily attributable to the gain on the sale of the Global Pump Solutions business and fair value adjustment to the earn-out liability associated with the acquisition of WK Group, partially offset by the increase in selling and administrative expenses described above.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Non-GAAP operating income was $17.5 million for the three months ended September 30, 2025 compared with $11.0 million for the three months ended September 30, 2024. Non-GAAP operating income as a percentage of sales increased to 8.9% for the three months ended September 30, 2025 from 8.1% for the three months ended September 30, 2024.</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Non-GAAP operating income was $44.5 million for the nine months ended September 30, 2025 compared with $33.8 million for the nine months ended September 30, 2024. Non-GAAP operating income as a percentage of sales was flat at 8% for the both the nine months ended September 30, 2025 and 2024.</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Interest expense increased to $5.1 million in the three months ended September 30, 2025 compared with interest expense of $2.6 million for the three months ended September 30, 2024. The increase in interest expense is primarily due to increased debt balances.</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Interest expense increased to $16.2 million in the nine months ended September 30, 2025 compared with interest expense of $9.3 million for the nine months ended September 30, 2024. The increase in interest expense is primarily due to increased debt balances.</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Income tax expense was $0.5 million for the three months ended September 30, 2025 compared with income tax expense of $1.6 million for the three months ended September 30, 2024. Income tax expense was $23.6 million for the nine months ended September 30, 2025 compared with income tax expense of $2.7 million for the nine months ended September 30, 2024. The effective income tax rate for the three months ended September 30, 2025 was 21.1% compared with 38.7% for the three months ended September 30, 2024. The effective income tax rate for the nine months ended September 30, 2025 was 32.8% compared with 21.8% for the nine months ended September 30, 2024. The effective income tax rates for the three and nine months ended September 30, 2025 and September 30, 2024 differ from the United States federal statutory rate. Our effective tax rate is affected by other permanent differences, including the gain on the sale of the Global Pump Solutions business, state income taxes, non-deductible incentive stock-based compensation, and differences in tax rates among the jurisdictions in which we operate.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Segments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operations are organized as groups of similar products and services, and are presented in two reportable segments. The results of the segments are reviewed through “Income from operations” on the unaudited Condensed Consolidated Statements of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results by segment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Sales (less intra- and inter-segment sales)</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Engineered Systems</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143,692</w:t>
            </w:r>
          </w:p>
        </w:tc>
        <w:tc>
          <w:tcPr>
            <w:tcW w:w="16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91,277</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392,585</w:t>
            </w:r>
          </w:p>
        </w:tc>
        <w:tc>
          <w:tcPr>
            <w:tcW w:w="16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Industrial Process Solutions</w:t>
            </w:r>
          </w:p>
        </w:tc>
        <w:tc>
          <w:tcPr>
            <w:tcW w:w="9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53,907</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44,236</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167,102</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121,349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net sales</w:t>
            </w:r>
          </w:p>
        </w:tc>
        <w:tc>
          <w:tcPr>
            <w:tcW w:w="9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135,513</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559,687</w:t>
            </w:r>
          </w:p>
        </w:tc>
        <w:tc>
          <w:tcPr>
            <w:tcW w:w="16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442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Engineered Systems</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25,034</w:t>
            </w:r>
          </w:p>
        </w:tc>
        <w:tc>
          <w:tcPr>
            <w:tcW w:w="160" w:type="dxa"/>
            <w:vAlign w:val="bottom"/>
          </w:tcPr>
          <w:p>
            <w:pPr>
              <w:spacing w:after="0"/>
              <w:rPr>
                <w:sz w:val="18"/>
                <w:szCs w:val="18"/>
                <w:color w:val="auto"/>
              </w:rPr>
            </w:pPr>
          </w:p>
        </w:tc>
        <w:tc>
          <w:tcPr>
            <w:tcW w:w="4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15,837</w:t>
            </w:r>
          </w:p>
        </w:tc>
        <w:tc>
          <w:tcPr>
            <w:tcW w:w="14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68,968</w:t>
            </w:r>
          </w:p>
        </w:tc>
        <w:tc>
          <w:tcPr>
            <w:tcW w:w="16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Industrial Process Solutions</w:t>
            </w:r>
          </w:p>
        </w:tc>
        <w:tc>
          <w:tcPr>
            <w:tcW w:w="9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88,997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4"/>
                <w:szCs w:val="24"/>
                <w:color w:val="auto"/>
                <w:vertAlign w:val="superscript"/>
              </w:rPr>
              <w:t>(1)</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(19,871)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(16,715)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(68,634)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(48,149)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income from operations</w:t>
            </w: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7,187</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89,331</w:t>
            </w:r>
          </w:p>
        </w:tc>
        <w:tc>
          <w:tcPr>
            <w:tcW w:w="16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-1379220</wp:posOffset>
            </wp:positionV>
            <wp:extent cx="768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-1379220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-1379220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-24765</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-7620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 Includes corporate compensation, professional services, information technology, and other general and administrative corporate expenses.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Engineered Systems Segment</w:t>
      </w:r>
    </w:p>
    <w:p>
      <w:pPr>
        <w:spacing w:after="0" w:line="2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Engineered Systems segment orders booked increased $53.5 million, or 44%, to $175.5 million during the three months ended September 30, 2025 compared with $122.0 million in the three months ended September 30, 2024, inclusive of organic growth of 37%. The increase is primarily attributable to the Company's energy and power technologies. Investments in energy infrastructure and growth in midstream and downstream markets have resulted in increased demand for emissions, and acoustics products.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ind w:right="640"/>
        <w:spacing w:after="0" w:line="282" w:lineRule="auto"/>
        <w:rPr>
          <w:sz w:val="20"/>
          <w:szCs w:val="20"/>
          <w:color w:val="auto"/>
        </w:rPr>
      </w:pPr>
      <w:r>
        <w:rPr>
          <w:rFonts w:ascii="Times New Roman" w:cs="Times New Roman" w:eastAsia="Times New Roman" w:hAnsi="Times New Roman"/>
          <w:sz w:val="18"/>
          <w:szCs w:val="18"/>
          <w:color w:val="auto"/>
        </w:rPr>
        <w:t>Company’s acquisition of Profire, a niche-leader specializing in the design and manufacture of burner-management systems and other combustion-management technologies, is another driver of increased orders.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Our Engineered Systems segment orders booked increased $239.9 million, or 74%, to $562.6 million during the nine months ended September 30, 2025 compared with $322.7 million in the nine months ended September 30, 2024, inclusive of organic growth of 73%. The increase is primarily attributable to the Company's energy and power technologies. Investments in energy infrastructure and growth in midstream and downstream markets have resulted in increased demand for emissions, separation, and acoustics products. The Company’s acquisition of Profire also contributed to the increase in orders.</w:t>
      </w:r>
    </w:p>
    <w:p>
      <w:pPr>
        <w:spacing w:after="0" w:line="180"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Our Engineered Systems segment net sales increased $52.4 million to $143.7 million for the three months ended September 30, 2025 compared with $91.3 million for the three months ended September 30, 2024, inclusive of organic growth of 47%. The increase is led by backlog execution on large scale power projects and inorganic sales growth attributable to Profire.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Engineered Systems segment net sales increased $114.6 million to $392.6 million for the nine months ended September 30, 2025 compared with</w:t>
      </w:r>
    </w:p>
    <w:p>
      <w:pPr>
        <w:spacing w:after="0" w:line="27"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18"/>
          <w:szCs w:val="18"/>
          <w:color w:val="auto"/>
        </w:rPr>
        <w:t>$278.0 million for the nine months ended September 30, 2024, inclusive of organic growth of 33%. The increase is led by backlog execution on large scale power projects and inorganic sales growth attributable to Profire.</w:t>
      </w:r>
    </w:p>
    <w:p>
      <w:pPr>
        <w:spacing w:after="0" w:line="18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Operating income for the Engineered Systems segment increased $9.2 million to $25.0 million for the three months ended September 30, 2025 compared with $15.8 million for the three months ended September 30, 2024. The operating income increase is attributable to higher gross profit related to increased net sales, partially offset by an increase in selling and administrative expense.</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Operating income for the Engineered Systems segment increased $17.6 million to $69.0 million for the nine months ended September 30, 2025 compared with $51.4 million for the nine months ended September 30, 2024. The operating income increase is attributable to higher gross profit related to increased net sales, partially offset by an increase in selling and administrative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Industrial Process Solutions Segment</w:t>
      </w:r>
    </w:p>
    <w:p>
      <w:pPr>
        <w:spacing w:after="0" w:line="22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Our Industrial Process Solutions segment orders booked increased $17.3 million, or 43%, to $57.4 million during the three months ended September 30, 2025 compared with $40.1 million in the three months ended September 30, 2024, inclusive of organic growth of 23%. The increase is primarily attributable to the Company’s most recent acquisitions in industrial air treatment applications and increase in demand for the Company's scrubber technologies.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Industrial Process Solutions segment orders booked increased $46.7 million, or 37%, to $172.3 million during the nine months ended September 30, 2025 compared with $125.6 million in the nine months ended September 30, 2024, inclusive of organic growth of 7%. The increase is primarily attributable to Company’s most recent acquisitions in industrial air treatment applications and increase in demand for the Company's scrubber technologies.</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Industrial Process Solutions segment net sales increased $9.7 million to $53.9 million for the three months ended September 30, 2025 compared with $44.2 million for the three months ended September 30, 2024, inclusive of organic growth of 11%. The increase is primarily attributable to Company’s most recent acquisitions in industrial air treatment applications, partially offset by the loss of net sales due to the divestiture of the Global Pump Solutions business.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Industrial Process Solutions segment net sales increased $45.8 million to $167.1 million for the nine months ended September 30, 2025 compared with $121.3 million for the nine months ended September 30, 2024, inclusive of organic growth of 5%. The increase is primarily attributable to Company’s most recent acquisitions in industrial air treatment applications, partially offset by the loss of net sales due to the divestiture of the Global Pump Solutions business.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Operating income for the Industrial Process Solutions segment decreased $3.9 million to $4.2 million for the three months ended September 30, 2025 compared with $8.1 million for the three months ended September 30, 2024. The decrease is primarily attributable to the fair value adjustment to the earn-out liability associated with the acquisition of WK Group, as well as the increase in gross profit driven by the net sales increase described above.</w:t>
      </w:r>
    </w:p>
    <w:p>
      <w:pPr>
        <w:spacing w:after="0" w:line="176"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Operating income for the Industrial Process Solutions segment increased $68.2 million to $89.0 million for the nine months ended September 30, 2025 compared with $20.8 million for the nine months ended September 30, 2024. The increase is primarily attributable to the gain on the sale of the Global Pump Solutions business and fair value adjustment to the earn-out liability associated with the acquisition of WK Group.</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Backlog (i.e., unfulfilled or remaining performance obligations) represents the sales we expect to recognize for our products and services for which control has not yet transferred to the customer. Backlog increased to $719.6 million as of September 30, 2025, from $540.9 million as of December 31, 2024. Our customers may have the right to cancel a given order. Historically, cancellations have not been significant. Backlog is adjusted on a quarterly basis for adjustments in foreign currency exchange rates. Substantially all backlog is expected to be delivered within 12 to 30 months. Backlog is not defined by GAAP and our methodology for calculating backlog may not be consistent with methodologies used by other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information regarding recent accounting pronouncements, see Note 2 to the unaudited condensed consolidated financial statements within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When we undertake large jobs, our working capital objective is to make these projects self-funding. We work to achieve this by obtaining customer advanced payments, structuring our contracts with progress billing provisions, when possible, utilizing extended payment terms from material suppliers, and paying sub-contractors after payment from our customers, which is an industry practice. Our investment in working capital is funded by cash flows from operations and by our revolving line of credit under our Credit Facility (as defined below).</w:t>
      </w:r>
    </w:p>
    <w:p>
      <w:pPr>
        <w:spacing w:after="0" w:line="18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September 30, 2025, the Company had working capital of $97.2 million, compared with $86.3 million at December 31, 2024. The ratio of current assets to current liabilities was 1.33 to 1.00 on September 30, 2025, as compared with a ratio of 1.35 to 1.00 on December 31, 2024.</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September 30, 2025 and December 31, 2024, cash and cash equivalents totaled $32.8 million and $37.8 million, respectively. As of September 30, 2025 and December 31, 2024, $25.4 million and $29.7 million, respectively, of our cash and cash equivalents were held by certain foreign subsidiaries, as well as being denominated in foreign currencies.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consisted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borrowings under Credit Facility (defined below)</w:t>
            </w:r>
          </w:p>
        </w:tc>
        <w:tc>
          <w:tcPr>
            <w:tcW w:w="17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216,300</w:t>
            </w:r>
          </w:p>
        </w:tc>
        <w:tc>
          <w:tcPr>
            <w:tcW w:w="1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100" w:type="dxa"/>
            <w:vAlign w:val="bottom"/>
          </w:tcPr>
          <w:p>
            <w:pPr>
              <w:spacing w:after="0"/>
              <w:rPr>
                <w:sz w:val="18"/>
                <w:szCs w:val="18"/>
                <w:color w:val="auto"/>
              </w:rPr>
            </w:pPr>
          </w:p>
        </w:tc>
      </w:tr>
      <w:tr>
        <w:trPr>
          <w:trHeight w:val="21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borrowings under the Credit Facility</w:t>
            </w:r>
          </w:p>
        </w:tc>
        <w:tc>
          <w:tcPr>
            <w:tcW w:w="17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214,200</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borrowings under the joint venture term debt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7,297</w:t>
            </w:r>
          </w:p>
        </w:tc>
        <w:tc>
          <w:tcPr>
            <w:tcW w:w="100" w:type="dxa"/>
            <w:vAlign w:val="bottom"/>
          </w:tcPr>
          <w:p>
            <w:pPr>
              <w:spacing w:after="0"/>
              <w:rPr>
                <w:sz w:val="18"/>
                <w:szCs w:val="18"/>
                <w:color w:val="auto"/>
              </w:rPr>
            </w:pPr>
          </w:p>
        </w:tc>
      </w:tr>
      <w:tr>
        <w:trPr>
          <w:trHeight w:val="216"/>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borrowings</w:t>
            </w: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debt discount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(2,617)</w:t>
            </w:r>
          </w:p>
        </w:tc>
      </w:tr>
      <w:tr>
        <w:trPr>
          <w:trHeight w:val="209"/>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borrowings</w:t>
            </w:r>
          </w:p>
        </w:tc>
        <w:tc>
          <w:tcPr>
            <w:tcW w:w="17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220,908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218,880</w:t>
            </w: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(1,650)</w:t>
            </w:r>
          </w:p>
        </w:tc>
      </w:tr>
      <w:tr>
        <w:trPr>
          <w:trHeight w:val="20"/>
        </w:trPr>
        <w:tc>
          <w:tcPr>
            <w:tcW w:w="6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 less current portion</w:t>
            </w:r>
          </w:p>
        </w:tc>
        <w:tc>
          <w:tcPr>
            <w:tcW w:w="1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218,980</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100" w:type="dxa"/>
            <w:vAlign w:val="bottom"/>
            <w:shd w:val="clear" w:color="auto" w:fill="CFF0FC"/>
          </w:tcPr>
          <w:p>
            <w:pPr>
              <w:spacing w:after="0"/>
              <w:rPr>
                <w:sz w:val="19"/>
                <w:szCs w:val="19"/>
                <w:color w:val="auto"/>
              </w:rPr>
            </w:pPr>
          </w:p>
        </w:tc>
      </w:tr>
      <w:tr>
        <w:trPr>
          <w:trHeight w:val="20"/>
        </w:trPr>
        <w:tc>
          <w:tcPr>
            <w:tcW w:w="6200" w:type="dxa"/>
            <w:vAlign w:val="bottom"/>
            <w:tcBorders>
              <w:top w:val="single" w:sz="8" w:color="CFF0FC"/>
            </w:tcBorders>
            <w:shd w:val="clear" w:color="auto" w:fill="CFF0FC"/>
          </w:tcPr>
          <w:p>
            <w:pPr>
              <w:spacing w:after="0" w:line="20" w:lineRule="exact"/>
              <w:rPr>
                <w:sz w:val="1"/>
                <w:szCs w:val="1"/>
                <w:color w:val="auto"/>
              </w:rPr>
            </w:pPr>
          </w:p>
        </w:tc>
        <w:tc>
          <w:tcPr>
            <w:tcW w:w="17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-8255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Company’s outstanding borrowings in the United States consist of a senior secured revolver loan with sub-facilities for letters of credit, swing-line loans and multi-currency loans (collectively, the “Credit Facility”). As of September 30, 2025 and December 31, 2024, the Company was in compliance with all related financial and other restrictive covenants under the Credit Facility.</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See Note 8 to the unaudited condensed consolidated financial statements within Item 1 of this Quarterly Report on Form 10-Q for further information on the Company’s debt facilities.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unused credit availability under our existing Credit Facility is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Credit Facility, revolving loans</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400.0</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Draw down</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(216.3)</w:t>
            </w:r>
          </w:p>
        </w:tc>
        <w:tc>
          <w:tcPr>
            <w:tcW w:w="20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Letters of credit open</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(24.4)</w:t>
            </w: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0"/>
        </w:trPr>
        <w:tc>
          <w:tcPr>
            <w:tcW w:w="644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Total unused credit availability</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159.3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Amount available based on borrowing limitations</w:t>
            </w:r>
          </w:p>
        </w:tc>
        <w:tc>
          <w:tcPr>
            <w:tcW w:w="10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109.1</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04"/>
        </w:trPr>
        <w:tc>
          <w:tcPr>
            <w:tcW w:w="6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Overview of Cash Flows and Liquidity</w:t>
            </w:r>
          </w:p>
        </w:tc>
        <w:tc>
          <w:tcPr>
            <w:tcW w:w="88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740" w:type="dxa"/>
            <w:vAlign w:val="bottom"/>
            <w:gridSpan w:val="5"/>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4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67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(4,100)</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1,520</w:t>
            </w:r>
          </w:p>
        </w:tc>
        <w:tc>
          <w:tcPr>
            <w:tcW w:w="20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(26,191)</w:t>
            </w:r>
          </w:p>
        </w:tc>
        <w:tc>
          <w:tcPr>
            <w:tcW w:w="0" w:type="dxa"/>
            <w:vAlign w:val="bottom"/>
          </w:tcPr>
          <w:p>
            <w:pPr>
              <w:spacing w:after="0"/>
              <w:rPr>
                <w:sz w:val="1"/>
                <w:szCs w:val="1"/>
                <w:color w:val="auto"/>
              </w:rPr>
            </w:pP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(2,834)</w:t>
            </w:r>
          </w:p>
        </w:tc>
        <w:tc>
          <w:tcPr>
            <w:tcW w:w="2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(14,518)</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(5,328)</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(16,522)</w:t>
            </w:r>
          </w:p>
        </w:tc>
        <w:tc>
          <w:tcPr>
            <w:tcW w:w="0" w:type="dxa"/>
            <w:vAlign w:val="bottom"/>
          </w:tcPr>
          <w:p>
            <w:pPr>
              <w:spacing w:after="0"/>
              <w:rPr>
                <w:sz w:val="1"/>
                <w:szCs w:val="1"/>
                <w:color w:val="auto"/>
              </w:rPr>
            </w:pPr>
          </w:p>
        </w:tc>
      </w:tr>
      <w:tr>
        <w:trPr>
          <w:trHeight w:val="20"/>
        </w:trPr>
        <w:tc>
          <w:tcPr>
            <w:tcW w:w="64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-1533525</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-1224915</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-1207770</wp:posOffset>
            </wp:positionV>
            <wp:extent cx="7683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2025, $4.1 million of cash was used in operating activities compared with $23.0 million provided by operations in the prior year period, representing a decrease of $27.1 million. Cash flows from operating activities in the first nine months of 2025 had an unfavorable impact year-over-year primarily due to timing of project-related payments.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net cash provided by investing activities was $1.5 million compared with $26.2 million used in investing activities in the prior year period. For the nine months ended September 30, 2025, the Company received $107.8 million related to the sale of the Global Pump Solutions business as discussed in Note 16, offset by $97.6 million used in the acquisition of Profire as discussed in Note 15. In the prior year period, $26.2 million cash used in investing activities was primarily the result of the purchase of EnviroCare and acquisitions of property and equipment.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2025, $2.8 million was used in financing activities compared with $14.5 million used in financing activities in the prior year period, for an increase of $11.7 million. The increase was driven by $5.0 million in common stock repurchases and $1.7 million of earn-out payments in the nine months ended September 30, 2024 that did not recur in the nine months ended September 30, 2025, as well as $5.1 million decrease in net debt repayments.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Management believes there have been no changes during the nine months ended September 30, 2025 to the items that the Company disclosed as its critical accounting policies and estimates in Management’s Discussion and Analysis of Financial Condition and Results of Operations in the Company’s Annual Report on Form 10-K for the year ended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within the meaning of Section 27A of the Securities Act of 1933 and Section 21E of the Securities Exchange Act of 1934, both as amended, which are intended to be covered by the safe harbor for “forward-looking statements” provided by the Private Securities Litigation Reform Act of 1995. Any statements contained in this Quarterly Report on Form 10-Q,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“Item 1A. Risk Factors” of this Quarterly Report on Form 10-Q and in the Company’s Annual Report on Form 10-K for the fiscal year ended December 31, 2024, and include, but are not limited 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33" w:name="page34"/>
    <w:bookmarkEnd w:id="33"/>
    <w:p>
      <w:pPr>
        <w:ind w:left="760" w:hanging="378"/>
        <w:spacing w:after="0" w:line="255"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recent acquisitions and the divestiture of our Fluid Handling Business (together, the “transactions”) on business relationships, operating results, and business generally, disruption of current plans and operations and potential difficulties in employee retention as a result of the transactions, diversion of management’s attention from ongoing business operations in connection with the integration of recent acquisitions, the amount of the costs, fees, expenses and other charges related to the transactions, the achievement of the anticipated benefits of transactions, our ability to successfully integrate acquired businesses and realize the synergies from acquisitions, as well as a number of factors related to our business, including the sensitivity of our business to economic and financial market conditions generally and economic conditions in CECO’s service areas;</w:t>
      </w:r>
    </w:p>
    <w:p>
      <w:pPr>
        <w:spacing w:after="0" w:line="80"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fixed price contracts and the risks associated therewith, including actual costs exceeding estimates and method of accounting for revenue;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growth on our infrastructure, resources and existing sales;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expand operations in both new and existing markets;</w:t>
      </w:r>
    </w:p>
    <w:p>
      <w:pPr>
        <w:spacing w:after="0" w:line="117" w:lineRule="exact"/>
        <w:rPr>
          <w:rFonts w:ascii="Times New Roman" w:cs="Times New Roman" w:eastAsia="Times New Roman" w:hAnsi="Times New Roman"/>
          <w:sz w:val="18"/>
          <w:szCs w:val="18"/>
          <w:color w:val="auto"/>
        </w:rPr>
      </w:pPr>
    </w:p>
    <w:p>
      <w:pPr>
        <w:ind w:left="760" w:right="28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contract delay or cancellation as a result of on-going or worsening supply chain challenges, or other customer-driven project delays relating to supply chain challenges or other customer considerations;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arising from faulty services or products that could result in significant professional or product liability, warranty or other claims;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developments with respect to any litigation or investigation;</w:t>
      </w:r>
    </w:p>
    <w:p>
      <w:pPr>
        <w:spacing w:after="0" w:line="117"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timely completion or performance standards that could result in higher cost and reduced profits or, in some cases, losses on projects;</w:t>
      </w:r>
    </w:p>
    <w:p>
      <w:pPr>
        <w:spacing w:after="0" w:line="53"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fluctuations in prices for manufactured components and raw materials, including as a result of tariffs and surcharges, and rising energy costs;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relating to rising raw material costs and the cost of labor;</w:t>
      </w:r>
    </w:p>
    <w:p>
      <w:pPr>
        <w:spacing w:after="0" w:line="117"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amount of debt incurred in connection with our strategic transactions and our ability to repay or refinance it or incur additional debt in the future;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federal, state or local government regulations, including with respect to tax policy;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shares of our common stock and the amounts and timing of repurchases;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realize the expected benefits of our restructuring program;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political conditions generally;</w:t>
      </w:r>
    </w:p>
    <w:p>
      <w:pPr>
        <w:spacing w:after="0" w:line="117"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optimize our business portfolio by identifying acquisition targets, executing upon any strategic acquisitions or divestitures, integrating acquired businesses and realizing the synergies from strategic transactions; and</w:t>
      </w:r>
    </w:p>
    <w:p>
      <w:pPr>
        <w:spacing w:after="0" w:line="53" w:lineRule="exact"/>
        <w:rPr>
          <w:rFonts w:ascii="Times New Roman" w:cs="Times New Roman" w:eastAsia="Times New Roman" w:hAnsi="Times New Roman"/>
          <w:sz w:val="18"/>
          <w:szCs w:val="18"/>
          <w:color w:val="auto"/>
        </w:rPr>
      </w:pPr>
    </w:p>
    <w:p>
      <w:pPr>
        <w:ind w:left="760" w:right="1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cybersecurity threats, acts of terrorism or outbreak of war or hostilities or public health crises, as well as management’s response to any of the aforementioned factors.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 we undertake no obligation to update or review any forward-looking statements, whether as a result of new information, future events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exposed to certain market risks, primarily changes in interest rates. Market risk is the potential loss arising from adverse changes in market rates and prices, such as foreign currency exchange and interest rates. For the Company, these exposures are primarily related to changes in interest rates. We do not currently hold any derivatives or other financial instruments purely for trading or speculative purposes.</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total long-term debt and current maturities of long-term debt at September 30, 2025 was $222.4 million. Market risk was estimated as the potential decrease (increase) in future earnings and cash flows resulting from a hypothetical</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34" w:name="page35"/>
    <w:bookmarkEnd w:id="34"/>
    <w:p>
      <w:pPr>
        <w:ind w:right="120"/>
        <w:spacing w:after="0" w:line="266" w:lineRule="auto"/>
        <w:rPr>
          <w:sz w:val="20"/>
          <w:szCs w:val="20"/>
          <w:color w:val="auto"/>
        </w:rPr>
      </w:pPr>
      <w:r>
        <w:rPr>
          <w:rFonts w:ascii="Times New Roman" w:cs="Times New Roman" w:eastAsia="Times New Roman" w:hAnsi="Times New Roman"/>
          <w:sz w:val="18"/>
          <w:szCs w:val="18"/>
          <w:color w:val="auto"/>
        </w:rPr>
        <w:t>10% increase (decrease) in the Company’s estimated weighted average borrowing rate at September 30, 2025. Most of the interest on the Company’s debt is indexed to SOFR market rates. The estimated annual impact of a hypothetical 10% change in the estimated weighted average borrowing rate at September 30, 2025 is $1.6 million.</w:t>
      </w:r>
    </w:p>
    <w:p>
      <w:pPr>
        <w:spacing w:after="0" w:line="17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Company has wholly-owned subsidiaries in several countries, including in the Netherlands, Canada, the People’s Republic of China, Mexico, United Kingdom, Singapore, India, United Arab Emirates, Germany, South Korea and Saudi Arabia. In the past, we have not hedged our foreign currency exposure, and fluctuations in exchange rates have not materially affected our operating results. Future changes in exchange rates may positively or negatively impact our revenues, operating expenses and earnings. Transaction (gains) losses included in “Other expense, net” line of the Condensed Consolidated Statements of Income were $2.0 million and $0.3 million for the three months ended September 30, 2025 and 2024, respectively, and $1.1 million and $1.9 million for the nine months ended September 30, 2025 and 2024, respectively.</w:t>
      </w:r>
    </w:p>
    <w:p>
      <w:pPr>
        <w:spacing w:after="0" w:line="18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defined in Rule 13a-15(e) of the Securities Exchange Act of 1934 (the “Exchange Act”)) that are designed to ensure that information required to be disclosed by the Company in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 The Company’s management, with the participation of the Company’s Chief Executive Officer and Chief Financial Officer, evaluated the effectiveness of the Company’s disclosure controls and procedures as of the end of the period covered by this Quarterly Report on Form 10-Q. Based on that evaluation, our management, including our Chief Executive Officer and Chief Financial Officer, concluded that our disclosure controls and procedures were effective as of September 30, 2025.</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Management believes that the condensed consolidated financial statements included in this report present fairly, in all material respects, the Company’s financial condition, results of operations and cash flows for each of the periods presented in this report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right="28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 13a-15(f) of the Exchange Act) during the quarter ended September 30, 2025 that materially affected, or are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Control systems, no matter how well conceived and operated, are designed to provide a reasonable, but not an absolute, level of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Because of the inherent limitations in a cost-effective control system, misstatements due to error or fraud may occur and not be detected. The Company conducts periodic evaluations of its internal controls to enhance, where necessary, its procedures and controls.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See Note 14 to the unaudited Condensed Consolidated Financial Statements contained in Part I, Item 1 of this Quarterly Report on Form 10-Q for information regarding legal proceedings in which the Company is involved.</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2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risk factors that were disclosed in “Part I – Item 1A. Risk Factors” of the Company's Annual Report on Form 10-K for the year ended December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our purchases of the Company's equity securities for the three months ended September 30,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Issuer's Purchases of Equity Securities</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1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0"/>
                <w:szCs w:val="10"/>
                <w:color w:val="auto"/>
              </w:rPr>
            </w:pPr>
          </w:p>
        </w:tc>
        <w:tc>
          <w:tcPr>
            <w:tcW w:w="128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Approximate Dollar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20" w:type="dxa"/>
            <w:vAlign w:val="bottom"/>
          </w:tcPr>
          <w:p>
            <w:pPr>
              <w:spacing w:after="0"/>
              <w:rPr>
                <w:sz w:val="12"/>
                <w:szCs w:val="12"/>
                <w:color w:val="auto"/>
              </w:rPr>
            </w:pPr>
          </w:p>
        </w:tc>
        <w:tc>
          <w:tcPr>
            <w:tcW w:w="13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20" w:type="dxa"/>
            <w:vAlign w:val="bottom"/>
          </w:tcPr>
          <w:p>
            <w:pPr>
              <w:spacing w:after="0"/>
              <w:rPr>
                <w:sz w:val="12"/>
                <w:szCs w:val="12"/>
                <w:color w:val="auto"/>
              </w:rPr>
            </w:pPr>
          </w:p>
        </w:tc>
        <w:tc>
          <w:tcPr>
            <w:tcW w:w="13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60"/>
        </w:trPr>
        <w:tc>
          <w:tcPr>
            <w:tcW w:w="518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460" w:type="dxa"/>
            <w:vAlign w:val="bottom"/>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124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w:t>
            </w:r>
          </w:p>
        </w:tc>
        <w:tc>
          <w:tcPr>
            <w:tcW w:w="22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62"/>
        </w:trPr>
        <w:tc>
          <w:tcPr>
            <w:tcW w:w="5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60" w:type="dxa"/>
            <w:vAlign w:val="bottom"/>
            <w:tcBorders>
              <w:bottom w:val="single" w:sz="8" w:color="auto"/>
            </w:tcBorders>
          </w:tcPr>
          <w:p>
            <w:pPr>
              <w:ind w:left="120"/>
              <w:spacing w:after="0" w:line="162" w:lineRule="exact"/>
              <w:rPr>
                <w:sz w:val="20"/>
                <w:szCs w:val="20"/>
                <w:color w:val="auto"/>
              </w:rPr>
            </w:pPr>
            <w:r>
              <w:rPr>
                <w:rFonts w:ascii="Times New Roman" w:cs="Times New Roman" w:eastAsia="Times New Roman" w:hAnsi="Times New Roman"/>
                <w:sz w:val="14"/>
                <w:szCs w:val="14"/>
                <w:b w:val="1"/>
                <w:bCs w:val="1"/>
                <w:color w:val="auto"/>
              </w:rPr>
              <w:t>Shares Purchased</w:t>
            </w:r>
            <w:r>
              <w:rPr>
                <w:rFonts w:ascii="Times New Roman" w:cs="Times New Roman" w:eastAsia="Times New Roman" w:hAnsi="Times New Roman"/>
                <w:sz w:val="18"/>
                <w:szCs w:val="18"/>
                <w:b w:val="1"/>
                <w:bCs w:val="1"/>
                <w:color w:val="auto"/>
                <w:vertAlign w:val="superscript"/>
              </w:rPr>
              <w:t>(1)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2025 - July 31, 2025</w:t>
            </w:r>
          </w:p>
        </w:tc>
        <w:tc>
          <w:tcPr>
            <w:tcW w:w="146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August 1, 2025 - August 31, 2025</w:t>
            </w: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September 1, 2025 - September 30, 2025</w:t>
            </w:r>
          </w:p>
        </w:tc>
        <w:tc>
          <w:tcPr>
            <w:tcW w:w="1460" w:type="dxa"/>
            <w:vAlign w:val="bottom"/>
            <w:tcBorders>
              <w:bottom w:val="single" w:sz="8" w:color="auto"/>
            </w:tcBorders>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32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-170815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-170815</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-170815</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220" w:firstLine="8"/>
        <w:spacing w:after="0" w:line="266"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10, 2022, the Board of Directors authorized a $20.0 million share repurchase program, which expired on April 30, 2025. See Note 9 to the unaudited Condensed Consolidated Financial Statements contained in Part I, Item 1 of this Quarterly Report on Form 10-Q for information regarding the Company's share repurchase program.</w:t>
      </w:r>
    </w:p>
    <w:p>
      <w:pPr>
        <w:spacing w:after="0" w:line="6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Plans</w:t>
      </w:r>
    </w:p>
    <w:p>
      <w:pPr>
        <w:spacing w:after="0" w:line="227"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no director or Section 16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60"/>
        <w:spacing w:after="0"/>
        <w:tabs>
          <w:tab w:leader="none" w:pos="116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306">
        <w:r>
          <w:rPr>
            <w:rFonts w:ascii="Times New Roman" w:cs="Times New Roman" w:eastAsia="Times New Roman" w:hAnsi="Times New Roman"/>
            <w:sz w:val="17"/>
            <w:szCs w:val="17"/>
            <w:u w:val="single" w:color="auto"/>
            <w:color w:val="0000FF"/>
          </w:rPr>
          <w:t>Equity award agreement between the Company and Peter K. Johansson, dated September 12, 2025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-19050</wp:posOffset>
            </wp:positionV>
            <wp:extent cx="626300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6263005" cy="8255"/>
                    </a:xfrm>
                    <a:prstGeom prst="rect">
                      <a:avLst/>
                    </a:prstGeom>
                    <a:noFill/>
                  </pic:spPr>
                </pic:pic>
              </a:graphicData>
            </a:graphic>
          </wp:anchor>
        </w:drawing>
      </w:r>
    </w:p>
    <w:p>
      <w:pPr>
        <w:ind w:left="1180"/>
        <w:spacing w:after="0"/>
        <w:rPr>
          <w:rFonts w:ascii="Times New Roman" w:cs="Times New Roman" w:eastAsia="Times New Roman" w:hAnsi="Times New Roman"/>
          <w:sz w:val="18"/>
          <w:szCs w:val="18"/>
          <w:u w:val="single" w:color="auto"/>
          <w:color w:val="0000FF"/>
        </w:rPr>
      </w:pPr>
      <w:hyperlink r:id="rId306">
        <w:r>
          <w:rPr>
            <w:rFonts w:ascii="Times New Roman" w:cs="Times New Roman" w:eastAsia="Times New Roman" w:hAnsi="Times New Roman"/>
            <w:sz w:val="18"/>
            <w:szCs w:val="18"/>
            <w:u w:val="single" w:color="auto"/>
            <w:color w:val="0000FF"/>
          </w:rPr>
          <w:t>10.1 to the Company’s Form 8-K dated September 12,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-19050</wp:posOffset>
            </wp:positionV>
            <wp:extent cx="28117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Rule 13(a)/15d-14(a) Certification by Chief Executive Officer</w:t>
            </w: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4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Rule 13(a)/15d-14(a) Certification by Chief Financial Officer</w:t>
            </w:r>
          </w:p>
        </w:tc>
        <w:tc>
          <w:tcPr>
            <w:tcW w:w="40" w:type="dxa"/>
            <w:vAlign w:val="bottom"/>
            <w:tcBorders>
              <w:top w:val="single" w:sz="8" w:color="0000FF"/>
            </w:tcBorders>
          </w:tcPr>
          <w:p>
            <w:pPr>
              <w:spacing w:after="0"/>
              <w:rPr>
                <w:sz w:val="24"/>
                <w:szCs w:val="24"/>
                <w:color w:val="auto"/>
              </w:rPr>
            </w:pPr>
          </w:p>
        </w:tc>
        <w:tc>
          <w:tcPr>
            <w:tcW w:w="2220" w:type="dxa"/>
            <w:vAlign w:val="bottom"/>
            <w:gridSpan w:val="3"/>
          </w:tcPr>
          <w:p>
            <w:pPr>
              <w:spacing w:after="0"/>
              <w:rPr>
                <w:sz w:val="24"/>
                <w:szCs w:val="24"/>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(18 U.S. Section 1350)</w:t>
            </w: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45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(18 U.S. Section 1350)</w:t>
            </w:r>
          </w:p>
        </w:tc>
        <w:tc>
          <w:tcPr>
            <w:tcW w:w="40" w:type="dxa"/>
            <w:vAlign w:val="bottom"/>
            <w:tcBorders>
              <w:top w:val="single" w:sz="8" w:color="0000FF"/>
            </w:tcBorders>
          </w:tcPr>
          <w:p>
            <w:pPr>
              <w:spacing w:after="0"/>
              <w:rPr>
                <w:sz w:val="24"/>
                <w:szCs w:val="24"/>
                <w:color w:val="auto"/>
              </w:rPr>
            </w:pPr>
          </w:p>
        </w:tc>
        <w:tc>
          <w:tcPr>
            <w:tcW w:w="2120" w:type="dxa"/>
            <w:vAlign w:val="bottom"/>
          </w:tcPr>
          <w:p>
            <w:pPr>
              <w:spacing w:after="0"/>
              <w:rPr>
                <w:sz w:val="24"/>
                <w:szCs w:val="24"/>
                <w:color w:val="auto"/>
              </w:rPr>
            </w:pPr>
          </w:p>
        </w:tc>
      </w:tr>
      <w:tr>
        <w:trPr>
          <w:trHeight w:val="35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3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67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Inline XBRL Taxonomy Extension Schema Document with Embedded Linkbase Documents</w:t>
            </w:r>
          </w:p>
        </w:tc>
      </w:tr>
    </w:tbl>
    <w:p>
      <w:pPr>
        <w:spacing w:after="0" w:line="103" w:lineRule="exact"/>
        <w:rPr>
          <w:sz w:val="20"/>
          <w:szCs w:val="20"/>
          <w:color w:val="auto"/>
        </w:rPr>
      </w:pPr>
    </w:p>
    <w:p>
      <w:pPr>
        <w:ind w:left="1180" w:hanging="1111"/>
        <w:spacing w:after="0"/>
        <w:tabs>
          <w:tab w:leader="none" w:pos="11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981" w:right="579" w:bottom="1440" w:gutter="0" w:footer="0" w:header="0"/>
        </w:sectPr>
      </w:pPr>
    </w:p>
    <w:bookmarkStart w:id="37" w:name="page38"/>
    <w:bookmarkEnd w:id="3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52" w:lineRule="exact"/>
        <w:rPr>
          <w:sz w:val="20"/>
          <w:szCs w:val="20"/>
          <w:color w:val="auto"/>
        </w:rPr>
      </w:pPr>
    </w:p>
    <w:p>
      <w:pPr>
        <w:ind w:left="5740"/>
        <w:spacing w:after="0"/>
        <w:tabs>
          <w:tab w:leader="none" w:pos="8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1"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Kiril Kovachev</w:t>
      </w:r>
    </w:p>
    <w:p>
      <w:pPr>
        <w:spacing w:after="0" w:line="23"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5"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7"/>
          <w:szCs w:val="17"/>
          <w:b w:val="1"/>
          <w:bCs w:val="1"/>
          <w:color w:val="auto"/>
        </w:rPr>
        <w:t>(principal accounting officer and duly authorized officer)</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2025</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Todd Gleason, certify that:</w:t>
      </w:r>
    </w:p>
    <w:p>
      <w:pPr>
        <w:spacing w:after="0" w:line="117" w:lineRule="exact"/>
        <w:rPr>
          <w:sz w:val="20"/>
          <w:szCs w:val="20"/>
          <w:color w:val="auto"/>
        </w:rPr>
      </w:pPr>
    </w:p>
    <w:p>
      <w:pPr>
        <w:ind w:left="360" w:hanging="35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CECO Environmental Corp.;</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Johansson, certify that:</w:t>
      </w:r>
    </w:p>
    <w:p>
      <w:pPr>
        <w:spacing w:after="0" w:line="117" w:lineRule="exact"/>
        <w:rPr>
          <w:sz w:val="20"/>
          <w:szCs w:val="20"/>
          <w:color w:val="auto"/>
        </w:rPr>
      </w:pPr>
    </w:p>
    <w:p>
      <w:pPr>
        <w:ind w:left="360" w:hanging="352"/>
        <w:spacing w:after="0"/>
        <w:tabs>
          <w:tab w:leader="none" w:pos="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CECO Environmental Corp.;</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CECO Environmental Corp. (the “Company”) on Form 10-Q for the three month period ended September 30, 2025 as filed with the Securities and Exchange Commission on the date hereof (the “Report”), I, Todd Gleason, Chief Executive Officer of the Company, certify, pursuant to 18 U.S.C. § 1350, as adopted pursuant to § 906 of the Sarbanes-Oxley Act of 2002, to the best of my knowledge and belief, that:</w:t>
      </w:r>
    </w:p>
    <w:p>
      <w:pPr>
        <w:spacing w:after="0" w:line="68" w:lineRule="exact"/>
        <w:rPr>
          <w:sz w:val="20"/>
          <w:szCs w:val="20"/>
          <w:color w:val="auto"/>
        </w:rPr>
      </w:pPr>
    </w:p>
    <w:p>
      <w:pPr>
        <w:ind w:left="900" w:hanging="359"/>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Todd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Todd Gleason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CECO Environmental Corp. (the “Company”) on Form 10-Q for the three month period ended September 30, 2025 as filed with the Securities and Exchange Commission on the date hereof (the “Report”), I, Peter Johansson, Chief Financial Officer of the Company, certify, pursuant to 18 U.S.C. § 1350, as adopted pursuant to § 906 of the Sarbanes-Oxley Act of 2002, to the best of my knowledge and belief, that:</w:t>
      </w:r>
    </w:p>
    <w:p>
      <w:pPr>
        <w:spacing w:after="0" w:line="50" w:lineRule="exact"/>
        <w:rPr>
          <w:sz w:val="20"/>
          <w:szCs w:val="20"/>
          <w:color w:val="auto"/>
        </w:rPr>
      </w:pPr>
    </w:p>
    <w:p>
      <w:pPr>
        <w:ind w:left="900" w:hanging="359"/>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1020" w:right="680" w:hanging="479"/>
        <w:spacing w:after="0" w:line="282"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Peter Johansson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460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6"/>
    </w:lvl>
  </w:abstractNum>
  <w:abstractNum w:abstractNumId="7">
    <w:nsid w:val="4E6AFB66"/>
    <w:multiLevelType w:val="hybridMultilevel"/>
    <w:lvl w:ilvl="0">
      <w:lvlJc w:val="left"/>
      <w:lvlText w:val="%1."/>
      <w:numFmt w:val="decimal"/>
      <w:start w:val="7"/>
    </w:lvl>
  </w:abstractNum>
  <w:abstractNum w:abstractNumId="8">
    <w:nsid w:val="25E45D32"/>
    <w:multiLevelType w:val="hybridMultilevel"/>
    <w:lvl w:ilvl="0">
      <w:lvlJc w:val="left"/>
      <w:lvlText w:val="%1."/>
      <w:numFmt w:val="decimal"/>
      <w:start w:val="9"/>
    </w:lvl>
  </w:abstractNum>
  <w:abstractNum w:abstractNumId="9">
    <w:nsid w:val="519B500D"/>
    <w:multiLevelType w:val="hybridMultilevel"/>
    <w:lvl w:ilvl="0">
      <w:lvlJc w:val="left"/>
      <w:lvlText w:val="%1."/>
      <w:numFmt w:val="decimal"/>
      <w:start w:val="11"/>
    </w:lvl>
  </w:abstractNum>
  <w:abstractNum w:abstractNumId="10">
    <w:nsid w:val="431BD7B7"/>
    <w:multiLevelType w:val="hybridMultilevel"/>
    <w:lvl w:ilvl="0">
      <w:lvlJc w:val="left"/>
      <w:lvlText w:val="%1."/>
      <w:numFmt w:val="decimal"/>
      <w:start w:val="14"/>
    </w:lvl>
  </w:abstractNum>
  <w:abstractNum w:abstractNumId="11">
    <w:nsid w:val="3F2DBA31"/>
    <w:multiLevelType w:val="hybridMultilevel"/>
    <w:lvl w:ilvl="0">
      <w:lvlJc w:val="left"/>
      <w:lvlText w:val="%1."/>
      <w:numFmt w:val="decimal"/>
      <w:start w:val="15"/>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06" Type="http://schemas.openxmlformats.org/officeDocument/2006/relationships/hyperlink" Target="https://www.sec.gov/Archives/edgar/data/3197/000119312525204657/ceco-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2025-10-28T11:31:48Z</dcterms:created>
  <dcterms:modified xsi:type="dcterms:W3CDTF">2025-10-28T11:31:48Z</dcterms:modified>
</cp:coreProperties>
</file>