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-241935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24765</wp:posOffset>
            </wp:positionV>
            <wp:extent cx="6989445" cy="5373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373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WALLMAN RICHARD F</w:t>
        </w:r>
      </w:hyperlink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120" w:right="980"/>
        <w:spacing w:after="0" w:line="35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14651 NORTH DALLAS PARKWAY SUITE 500</w:t>
      </w:r>
    </w:p>
    <w:p>
      <w:pPr>
        <w:spacing w:after="0" w:line="17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75254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2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CECO ENVIRONMENTAL CORP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"/>
        </w:trPr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shd w:val="clear" w:color="auto" w:fill="0000EE"/>
          </w:tcPr>
          <w:p>
            <w:pPr>
              <w:spacing w:after="0"/>
              <w:rPr>
                <w:rFonts w:ascii="Arial" w:cs="Arial" w:eastAsia="Arial" w:hAnsi="Arial"/>
                <w:sz w:val="1"/>
                <w:szCs w:val="1"/>
                <w:color w:val="0000FF"/>
              </w:rPr>
            </w:pPr>
            <w:hyperlink r:id="rId13">
              <w:r>
                <w:rPr>
                  <w:rFonts w:ascii="Arial" w:cs="Arial" w:eastAsia="Arial" w:hAnsi="Arial"/>
                  <w:sz w:val="1"/>
                  <w:szCs w:val="1"/>
                  <w:color w:val="0000FF"/>
                </w:rPr>
                <w:t xml:space="preserve">CECO </w:t>
              </w:r>
              <w:r>
                <w:rPr>
                  <w:rFonts w:ascii="Arial" w:cs="Arial" w:eastAsia="Arial" w:hAnsi="Arial"/>
                  <w:sz w:val="1"/>
                  <w:szCs w:val="1"/>
                  <w:color w:val="000000"/>
                </w:rPr>
                <w:t>]</w:t>
              </w:r>
            </w:hyperlink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09/07/2023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8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ind w:left="340" w:right="420"/>
        <w:spacing w:after="0" w:line="25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123,205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09/07/2023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12,000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13.76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(1)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52,000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 w:right="280" w:firstLine="7"/>
        <w:spacing w:after="0" w:line="266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Price reflects the weighted average purchase price for multiple transactions that ranged from $13.67 to $13.91 per share. The Reporting Person undertakes to provide, upon request by the Commission Staff, the Issuer or a security holder of the Issuer, full information regarding the number of shares purchased at each separate price.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Joycelynn Watkins-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-8255</wp:posOffset>
            </wp:positionV>
            <wp:extent cx="99949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94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Asiyanbi, as Attorney-in-Fact  09/11/2023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293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9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for Richard F. Wallman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03314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31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198092" TargetMode="External"/><Relationship Id="rId13" Type="http://schemas.openxmlformats.org/officeDocument/2006/relationships/hyperlink" Target="http://www.sec.gov/cgi-bin/browse-edgar?action=getcompany&amp;CIK=00000031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2023-09-11T09:16:13Z</dcterms:created>
  <dcterms:modified xsi:type="dcterms:W3CDTF">2023-09-11T09:16:13Z</dcterms:modified>
</cp:coreProperties>
</file>