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091045" cy="7425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1045" cy="7425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220" w:right="1880" w:hanging="926"/>
        <w:spacing w:after="0" w:line="229" w:lineRule="auto"/>
        <w:rPr>
          <w:sz w:val="20"/>
          <w:szCs w:val="20"/>
          <w:color w:val="auto"/>
        </w:rPr>
      </w:pPr>
      <w:r>
        <w:rPr>
          <w:rFonts w:ascii="Arial" w:cs="Arial" w:eastAsia="Arial" w:hAnsi="Arial"/>
          <w:sz w:val="120"/>
          <w:szCs w:val="120"/>
          <w:color w:val="273D86"/>
        </w:rPr>
        <w:t>ADVANCING LEADERSHIP</w:t>
      </w:r>
    </w:p>
    <w:p>
      <w:pPr>
        <w:sectPr>
          <w:pgSz w:w="11880" w:h="15480" w:orient="portrait"/>
          <w:cols w:equalWidth="0" w:num="1">
            <w:col w:w="9720"/>
          </w:cols>
          <w:pgMar w:left="1440" w:top="1440" w:right="720" w:bottom="134" w:gutter="0" w:footer="0" w:header="0"/>
        </w:sectPr>
      </w:pPr>
    </w:p>
    <w:p>
      <w:pPr>
        <w:spacing w:after="0" w:line="11" w:lineRule="exact"/>
        <w:rPr>
          <w:sz w:val="24"/>
          <w:szCs w:val="24"/>
          <w:color w:val="auto"/>
        </w:rPr>
      </w:pPr>
    </w:p>
    <w:p>
      <w:pPr>
        <w:ind w:left="5060"/>
        <w:spacing w:after="0"/>
        <w:rPr>
          <w:sz w:val="20"/>
          <w:szCs w:val="20"/>
          <w:color w:val="auto"/>
        </w:rPr>
      </w:pPr>
      <w:r>
        <w:rPr>
          <w:rFonts w:ascii="Arial" w:cs="Arial" w:eastAsia="Arial" w:hAnsi="Arial"/>
          <w:sz w:val="36"/>
          <w:szCs w:val="36"/>
          <w:color w:val="98B82F"/>
        </w:rPr>
        <w:t>2025 ANNUAL REPORT</w:t>
      </w:r>
    </w:p>
    <w:p>
      <w:pPr>
        <w:spacing w:after="0" w:line="20" w:lineRule="exact"/>
        <w:rPr>
          <w:sz w:val="24"/>
          <w:szCs w:val="24"/>
          <w:color w:val="auto"/>
        </w:rPr>
      </w:pPr>
    </w:p>
    <w:p>
      <w:pPr>
        <w:sectPr>
          <w:pgSz w:w="11880" w:h="15480" w:orient="portrait"/>
          <w:cols w:equalWidth="0" w:num="1">
            <w:col w:w="9720"/>
          </w:cols>
          <w:pgMar w:left="1440" w:top="1440" w:right="720" w:bottom="134" w:gutter="0" w:footer="0" w:header="0"/>
          <w:type w:val="continuous"/>
        </w:sectPr>
      </w:pPr>
    </w:p>
    <w:bookmarkStart w:id="1" w:name="page2"/>
    <w:bookmarkEnd w:id="1"/>
    <w:p>
      <w:pPr>
        <w:ind w:left="2700"/>
        <w:spacing w:after="0" w:line="326" w:lineRule="auto"/>
        <w:rPr>
          <w:sz w:val="20"/>
          <w:szCs w:val="20"/>
          <w:color w:val="auto"/>
        </w:rPr>
      </w:pPr>
      <w:r>
        <w:rPr>
          <w:rFonts w:ascii="Arial" w:cs="Arial" w:eastAsia="Arial" w:hAnsi="Arial"/>
          <w:sz w:val="26"/>
          <w:szCs w:val="26"/>
          <w:color w:val="77A527"/>
        </w:rPr>
        <w:drawing>
          <wp:anchor simplePos="0" relativeHeight="251657728" behindDoc="1" locked="0" layoutInCell="0" allowOverlap="1">
            <wp:simplePos x="0" y="0"/>
            <wp:positionH relativeFrom="page">
              <wp:posOffset>444500</wp:posOffset>
            </wp:positionH>
            <wp:positionV relativeFrom="page">
              <wp:posOffset>627380</wp:posOffset>
            </wp:positionV>
            <wp:extent cx="1454150" cy="401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4150" cy="401320"/>
                    </a:xfrm>
                    <a:prstGeom prst="rect">
                      <a:avLst/>
                    </a:prstGeom>
                    <a:noFill/>
                  </pic:spPr>
                </pic:pic>
              </a:graphicData>
            </a:graphic>
          </wp:anchor>
        </w:drawing>
        <w:t>ADVANCING LEADERSHIP AS A GLOBAL, SUSTAINABLE, INDUSTRIAL ENVIRONMENTAL SOLUTIONS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-231140</wp:posOffset>
            </wp:positionV>
            <wp:extent cx="140652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1282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186690</wp:posOffset>
                </wp:positionV>
                <wp:extent cx="6400800" cy="11430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143000"/>
                        </a:xfrm>
                        <a:prstGeom prst="rect">
                          <a:avLst/>
                        </a:prstGeom>
                        <a:solidFill>
                          <a:srgbClr val="E0E0E0"/>
                        </a:solidFill>
                      </wps:spPr>
                      <wps:bodyPr/>
                    </wps:wsp>
                  </a:graphicData>
                </a:graphic>
              </wp:anchor>
            </w:drawing>
          </mc:Choice>
          <mc:Fallback>
            <w:pict>
              <v:rect id="Shape 4" o:spid="_x0000_s1029" style="position:absolute;margin-left:0pt;margin-top:14.7pt;width:504pt;height:9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218440</wp:posOffset>
                </wp:positionV>
                <wp:extent cx="29908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085" cy="4763"/>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2pt" to="23.55pt,17.2pt" o:allowincell="f" strokecolor="#98B82F" strokeweight="5pt"/>
            </w:pict>
          </mc:Fallback>
        </mc:AlternateContent>
        <mc:AlternateContent>
          <mc:Choice Requires="wps">
            <w:drawing>
              <wp:anchor simplePos="0" relativeHeight="251657728" behindDoc="1" locked="0" layoutInCell="0" allowOverlap="1">
                <wp:simplePos x="0" y="0"/>
                <wp:positionH relativeFrom="column">
                  <wp:posOffset>31750</wp:posOffset>
                </wp:positionH>
                <wp:positionV relativeFrom="paragraph">
                  <wp:posOffset>186690</wp:posOffset>
                </wp:positionV>
                <wp:extent cx="0" cy="29845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8450"/>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pt,14.7pt" to="2.5pt,38.2pt" o:allowincell="f" strokecolor="#98B82F" strokeweight="5pt"/>
            </w:pict>
          </mc:Fallback>
        </mc:AlternateContent>
      </w:r>
    </w:p>
    <w:p>
      <w:pPr>
        <w:spacing w:after="0" w:line="200" w:lineRule="exact"/>
        <w:rPr>
          <w:sz w:val="20"/>
          <w:szCs w:val="20"/>
          <w:color w:val="auto"/>
        </w:rPr>
      </w:pPr>
    </w:p>
    <w:p>
      <w:pPr>
        <w:spacing w:after="0" w:line="300" w:lineRule="exact"/>
        <w:rPr>
          <w:sz w:val="20"/>
          <w:szCs w:val="20"/>
          <w:color w:val="auto"/>
        </w:rPr>
      </w:pPr>
    </w:p>
    <w:p>
      <w:pPr>
        <w:jc w:val="both"/>
        <w:ind w:left="500" w:right="440" w:hanging="5"/>
        <w:spacing w:after="0" w:line="280" w:lineRule="auto"/>
        <w:rPr>
          <w:sz w:val="20"/>
          <w:szCs w:val="20"/>
          <w:color w:val="auto"/>
        </w:rPr>
      </w:pPr>
      <w:r>
        <w:rPr>
          <w:rFonts w:ascii="Arial" w:cs="Arial" w:eastAsia="Arial" w:hAnsi="Arial"/>
          <w:sz w:val="27"/>
          <w:szCs w:val="27"/>
          <w:color w:val="273D86"/>
        </w:rPr>
        <w:t>CECO Environmental is a leading environmentally focused, diversified industrial company whose solutions protect people, the environment, and industrial equipment across the globe, serving a broad landscape of industrial air, industrial water and energy transition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2184400</wp:posOffset>
                </wp:positionH>
                <wp:positionV relativeFrom="paragraph">
                  <wp:posOffset>276225</wp:posOffset>
                </wp:positionV>
                <wp:extent cx="0" cy="346773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7735"/>
                        </a:xfrm>
                        <a:prstGeom prst="line">
                          <a:avLst/>
                        </a:prstGeom>
                        <a:solidFill>
                          <a:srgbClr val="FFFFFF"/>
                        </a:solidFill>
                        <a:ln w="12700">
                          <a:solidFill>
                            <a:srgbClr val="CCCCCC"/>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pt,21.75pt" to="172pt,294.8pt" o:allowincell="f" strokecolor="#CCCCCC" strokeweight="1pt"/>
            </w:pict>
          </mc:Fallback>
        </mc:AlternateContent>
        <mc:AlternateContent>
          <mc:Choice Requires="wps">
            <w:drawing>
              <wp:anchor simplePos="0" relativeHeight="251657728" behindDoc="1" locked="0" layoutInCell="0" allowOverlap="1">
                <wp:simplePos x="0" y="0"/>
                <wp:positionH relativeFrom="column">
                  <wp:posOffset>4890770</wp:posOffset>
                </wp:positionH>
                <wp:positionV relativeFrom="paragraph">
                  <wp:posOffset>276225</wp:posOffset>
                </wp:positionV>
                <wp:extent cx="0" cy="346773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7735"/>
                        </a:xfrm>
                        <a:prstGeom prst="line">
                          <a:avLst/>
                        </a:prstGeom>
                        <a:solidFill>
                          <a:srgbClr val="FFFFFF"/>
                        </a:solidFill>
                        <a:ln w="12700">
                          <a:solidFill>
                            <a:srgbClr val="CCCCCC"/>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1pt,21.75pt" to="385.1pt,294.8pt" o:allowincell="f" strokecolor="#CCCCCC" strokeweight="1pt"/>
            </w:pict>
          </mc:Fallback>
        </mc:AlternateContent>
        <mc:AlternateContent>
          <mc:Choice Requires="wps">
            <w:drawing>
              <wp:anchor simplePos="0" relativeHeight="251657728" behindDoc="1" locked="0" layoutInCell="0" allowOverlap="1">
                <wp:simplePos x="0" y="0"/>
                <wp:positionH relativeFrom="column">
                  <wp:posOffset>6101715</wp:posOffset>
                </wp:positionH>
                <wp:positionV relativeFrom="paragraph">
                  <wp:posOffset>46990</wp:posOffset>
                </wp:positionV>
                <wp:extent cx="2990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085" cy="4763"/>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45pt,3.7pt" to="504pt,3.7pt" o:allowincell="f" strokecolor="#98B82F" strokeweight="5pt"/>
            </w:pict>
          </mc:Fallback>
        </mc:AlternateContent>
        <mc:AlternateContent>
          <mc:Choice Requires="wps">
            <w:drawing>
              <wp:anchor simplePos="0" relativeHeight="251657728" behindDoc="1" locked="0" layoutInCell="0" allowOverlap="1">
                <wp:simplePos x="0" y="0"/>
                <wp:positionH relativeFrom="column">
                  <wp:posOffset>6369050</wp:posOffset>
                </wp:positionH>
                <wp:positionV relativeFrom="paragraph">
                  <wp:posOffset>-219075</wp:posOffset>
                </wp:positionV>
                <wp:extent cx="0" cy="29781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7815"/>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1.5pt,-17.2499pt" to="501.5pt,6.2pt" o:allowincell="f" strokecolor="#98B82F" strokeweight="5pt"/>
            </w:pict>
          </mc:Fallback>
        </mc:AlternateContent>
      </w:r>
    </w:p>
    <w:p>
      <w:pPr>
        <w:sectPr>
          <w:pgSz w:w="11880" w:h="15480" w:orient="portrait"/>
          <w:cols w:equalWidth="0" w:num="1">
            <w:col w:w="10020"/>
          </w:cols>
          <w:pgMar w:left="720" w:top="1243" w:right="1140" w:bottom="5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6"/>
          <w:szCs w:val="26"/>
          <w:color w:val="273D86"/>
        </w:rPr>
        <w:t>Leading Businesses</w:t>
      </w:r>
    </w:p>
    <w:p>
      <w:pPr>
        <w:spacing w:after="0" w:line="182" w:lineRule="exact"/>
        <w:rPr>
          <w:sz w:val="20"/>
          <w:szCs w:val="20"/>
          <w:color w:val="auto"/>
        </w:rPr>
      </w:pPr>
    </w:p>
    <w:p>
      <w:pPr>
        <w:ind w:right="636"/>
        <w:spacing w:after="0" w:line="284" w:lineRule="auto"/>
        <w:rPr>
          <w:sz w:val="20"/>
          <w:szCs w:val="20"/>
          <w:color w:val="auto"/>
        </w:rPr>
      </w:pPr>
      <w:r>
        <w:rPr>
          <w:rFonts w:ascii="Arial" w:cs="Arial" w:eastAsia="Arial" w:hAnsi="Arial"/>
          <w:sz w:val="20"/>
          <w:szCs w:val="20"/>
          <w:color w:val="77A527"/>
        </w:rPr>
        <w:t>BALANCED, NICHE LEADERSHIP POSITIONS</w:t>
      </w:r>
    </w:p>
    <w:p>
      <w:pPr>
        <w:spacing w:after="0" w:line="4" w:lineRule="exact"/>
        <w:rPr>
          <w:sz w:val="20"/>
          <w:szCs w:val="20"/>
          <w:color w:val="auto"/>
        </w:rPr>
      </w:pPr>
    </w:p>
    <w:p>
      <w:pPr>
        <w:ind w:left="180" w:hanging="180"/>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Industrial Air</w:t>
      </w:r>
    </w:p>
    <w:p>
      <w:pPr>
        <w:spacing w:after="0" w:line="99" w:lineRule="exact"/>
        <w:rPr>
          <w:rFonts w:ascii="Arial" w:cs="Arial" w:eastAsia="Arial" w:hAnsi="Arial"/>
          <w:sz w:val="18"/>
          <w:szCs w:val="18"/>
          <w:color w:val="auto"/>
        </w:rPr>
      </w:pPr>
    </w:p>
    <w:p>
      <w:pPr>
        <w:ind w:left="180" w:hanging="180"/>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Industrial Water</w:t>
      </w:r>
    </w:p>
    <w:p>
      <w:pPr>
        <w:spacing w:after="0" w:line="99" w:lineRule="exact"/>
        <w:rPr>
          <w:rFonts w:ascii="Arial" w:cs="Arial" w:eastAsia="Arial" w:hAnsi="Arial"/>
          <w:sz w:val="18"/>
          <w:szCs w:val="18"/>
          <w:color w:val="auto"/>
        </w:rPr>
      </w:pPr>
    </w:p>
    <w:p>
      <w:pPr>
        <w:ind w:left="180" w:hanging="180"/>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Energy Transition</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78"/>
          <w:szCs w:val="78"/>
          <w:color w:val="273D86"/>
        </w:rPr>
        <w:t>~35%</w:t>
      </w:r>
    </w:p>
    <w:p>
      <w:pPr>
        <w:spacing w:after="0" w:line="42" w:lineRule="exact"/>
        <w:rPr>
          <w:sz w:val="20"/>
          <w:szCs w:val="20"/>
          <w:color w:val="auto"/>
        </w:rPr>
      </w:pPr>
    </w:p>
    <w:p>
      <w:pPr>
        <w:jc w:val="center"/>
        <w:ind w:right="576"/>
        <w:spacing w:after="0"/>
        <w:rPr>
          <w:sz w:val="20"/>
          <w:szCs w:val="20"/>
          <w:color w:val="auto"/>
        </w:rPr>
      </w:pPr>
      <w:r>
        <w:rPr>
          <w:rFonts w:ascii="Arial" w:cs="Arial" w:eastAsia="Arial" w:hAnsi="Arial"/>
          <w:sz w:val="16"/>
          <w:szCs w:val="16"/>
          <w:color w:val="273D86"/>
        </w:rPr>
        <w:t>GLOBAL ORDERS OUTSIDE</w:t>
      </w:r>
    </w:p>
    <w:p>
      <w:pPr>
        <w:spacing w:after="0" w:line="8" w:lineRule="exact"/>
        <w:rPr>
          <w:sz w:val="20"/>
          <w:szCs w:val="20"/>
          <w:color w:val="auto"/>
        </w:rPr>
      </w:pPr>
    </w:p>
    <w:p>
      <w:pPr>
        <w:jc w:val="center"/>
        <w:ind w:right="576"/>
        <w:spacing w:after="0"/>
        <w:rPr>
          <w:sz w:val="20"/>
          <w:szCs w:val="20"/>
          <w:color w:val="auto"/>
        </w:rPr>
      </w:pPr>
      <w:r>
        <w:rPr>
          <w:rFonts w:ascii="Arial" w:cs="Arial" w:eastAsia="Arial" w:hAnsi="Arial"/>
          <w:sz w:val="16"/>
          <w:szCs w:val="16"/>
          <w:color w:val="273D86"/>
        </w:rPr>
        <w:t>OF UNITED STATES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77A527"/>
        </w:rPr>
        <w:t>MULTI YEAR GROWTH STORY</w:t>
      </w:r>
    </w:p>
    <w:p>
      <w:pPr>
        <w:spacing w:after="0" w:line="98" w:lineRule="exact"/>
        <w:rPr>
          <w:sz w:val="20"/>
          <w:szCs w:val="20"/>
          <w:color w:val="auto"/>
        </w:rPr>
      </w:pPr>
    </w:p>
    <w:p>
      <w:pPr>
        <w:ind w:left="180" w:right="296" w:hanging="180"/>
        <w:spacing w:after="0" w:line="302"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Backlog 4-yr CAGR up 40% on organic and inorganic growth</w:t>
      </w:r>
    </w:p>
    <w:p>
      <w:pPr>
        <w:spacing w:after="0" w:line="1" w:lineRule="exact"/>
        <w:rPr>
          <w:rFonts w:ascii="Arial" w:cs="Arial" w:eastAsia="Arial" w:hAnsi="Arial"/>
          <w:sz w:val="18"/>
          <w:szCs w:val="18"/>
          <w:color w:val="auto"/>
        </w:rPr>
      </w:pPr>
    </w:p>
    <w:p>
      <w:pPr>
        <w:ind w:left="180" w:right="16" w:hanging="180"/>
        <w:spacing w:after="0" w:line="303"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 EBITDA 4-yr CAGR up 37% with margins expanding ~400 bps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
        <w:spacing w:after="0"/>
        <w:rPr>
          <w:sz w:val="20"/>
          <w:szCs w:val="20"/>
          <w:color w:val="auto"/>
        </w:rPr>
      </w:pPr>
      <w:r>
        <w:rPr>
          <w:rFonts w:ascii="Arial" w:cs="Arial" w:eastAsia="Arial" w:hAnsi="Arial"/>
          <w:sz w:val="26"/>
          <w:szCs w:val="26"/>
          <w:color w:val="273D86"/>
        </w:rPr>
        <w:t>Sustainable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-92710</wp:posOffset>
            </wp:positionV>
            <wp:extent cx="1254125" cy="136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1254125" cy="1367155"/>
                    </a:xfrm>
                    <a:prstGeom prst="rect">
                      <a:avLst/>
                    </a:prstGeom>
                    <a:noFill/>
                  </pic:spPr>
                </pic:pic>
              </a:graphicData>
            </a:graphic>
          </wp:anchor>
        </w:drawing>
      </w:r>
    </w:p>
    <w:p>
      <w:pPr>
        <w:spacing w:after="0" w:line="162" w:lineRule="exact"/>
        <w:rPr>
          <w:sz w:val="20"/>
          <w:szCs w:val="20"/>
          <w:color w:val="auto"/>
        </w:rPr>
      </w:pPr>
    </w:p>
    <w:p>
      <w:pPr>
        <w:ind w:left="4" w:right="2860"/>
        <w:spacing w:after="0" w:line="284" w:lineRule="auto"/>
        <w:rPr>
          <w:sz w:val="20"/>
          <w:szCs w:val="20"/>
          <w:color w:val="auto"/>
        </w:rPr>
      </w:pPr>
      <w:r>
        <w:rPr>
          <w:rFonts w:ascii="Arial" w:cs="Arial" w:eastAsia="Arial" w:hAnsi="Arial"/>
          <w:sz w:val="20"/>
          <w:szCs w:val="20"/>
          <w:color w:val="77A527"/>
        </w:rPr>
        <w:t>FOCUSED CAPITAL ALLOCATION MODEL</w:t>
      </w:r>
    </w:p>
    <w:p>
      <w:pPr>
        <w:spacing w:after="0" w:line="4" w:lineRule="exact"/>
        <w:rPr>
          <w:sz w:val="20"/>
          <w:szCs w:val="20"/>
          <w:color w:val="auto"/>
        </w:rPr>
      </w:pPr>
    </w:p>
    <w:p>
      <w:pPr>
        <w:ind w:left="184" w:hanging="183"/>
        <w:spacing w:after="0"/>
        <w:tabs>
          <w:tab w:leader="none" w:pos="18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 in Organic Growth / Expansion</w:t>
      </w:r>
    </w:p>
    <w:p>
      <w:pPr>
        <w:spacing w:after="0" w:line="99" w:lineRule="exact"/>
        <w:rPr>
          <w:rFonts w:ascii="Arial" w:cs="Arial" w:eastAsia="Arial" w:hAnsi="Arial"/>
          <w:sz w:val="18"/>
          <w:szCs w:val="18"/>
          <w:color w:val="auto"/>
        </w:rPr>
      </w:pPr>
    </w:p>
    <w:p>
      <w:pPr>
        <w:ind w:left="184" w:hanging="184"/>
        <w:spacing w:after="0"/>
        <w:tabs>
          <w:tab w:leader="none" w:pos="184"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Management</w:t>
      </w:r>
    </w:p>
    <w:p>
      <w:pPr>
        <w:spacing w:after="0" w:line="99" w:lineRule="exact"/>
        <w:rPr>
          <w:rFonts w:ascii="Arial" w:cs="Arial" w:eastAsia="Arial" w:hAnsi="Arial"/>
          <w:sz w:val="18"/>
          <w:szCs w:val="18"/>
          <w:color w:val="auto"/>
        </w:rPr>
      </w:pPr>
    </w:p>
    <w:p>
      <w:pPr>
        <w:ind w:left="184" w:hanging="184"/>
        <w:spacing w:after="0"/>
        <w:tabs>
          <w:tab w:leader="none" w:pos="18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Programmatic M&amp;A</w:t>
      </w:r>
    </w:p>
    <w:p>
      <w:pPr>
        <w:spacing w:after="0" w:line="99" w:lineRule="exact"/>
        <w:rPr>
          <w:rFonts w:ascii="Arial" w:cs="Arial" w:eastAsia="Arial" w:hAnsi="Arial"/>
          <w:sz w:val="18"/>
          <w:szCs w:val="18"/>
          <w:color w:val="auto"/>
        </w:rPr>
      </w:pPr>
    </w:p>
    <w:p>
      <w:pPr>
        <w:ind w:left="184" w:hanging="184"/>
        <w:spacing w:after="0"/>
        <w:tabs>
          <w:tab w:leader="none" w:pos="184"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Buybacks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365125</wp:posOffset>
            </wp:positionV>
            <wp:extent cx="545465" cy="367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545465" cy="36766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984"/>
        <w:spacing w:after="0"/>
        <w:rPr>
          <w:sz w:val="20"/>
          <w:szCs w:val="20"/>
          <w:color w:val="auto"/>
        </w:rPr>
      </w:pPr>
      <w:r>
        <w:rPr>
          <w:rFonts w:ascii="Arial" w:cs="Arial" w:eastAsia="Arial" w:hAnsi="Arial"/>
          <w:sz w:val="20"/>
          <w:szCs w:val="20"/>
          <w:color w:val="77A527"/>
        </w:rPr>
        <w:t>MANAGEMENT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-7620</wp:posOffset>
            </wp:positionV>
            <wp:extent cx="1254125" cy="1254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1254125" cy="1254125"/>
                    </a:xfrm>
                    <a:prstGeom prst="rect">
                      <a:avLst/>
                    </a:prstGeom>
                    <a:noFill/>
                  </pic:spPr>
                </pic:pic>
              </a:graphicData>
            </a:graphic>
          </wp:anchor>
        </w:drawing>
      </w:r>
    </w:p>
    <w:p>
      <w:pPr>
        <w:ind w:left="984"/>
        <w:spacing w:after="0"/>
        <w:rPr>
          <w:sz w:val="20"/>
          <w:szCs w:val="20"/>
          <w:color w:val="auto"/>
        </w:rPr>
      </w:pPr>
      <w:r>
        <w:rPr>
          <w:rFonts w:ascii="Arial" w:cs="Arial" w:eastAsia="Arial" w:hAnsi="Arial"/>
          <w:sz w:val="20"/>
          <w:szCs w:val="20"/>
          <w:color w:val="77A527"/>
        </w:rPr>
        <w:t>WITH SHAREHOLDERS</w:t>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20"/>
          <w:szCs w:val="20"/>
          <w:color w:val="77A527"/>
        </w:rPr>
        <w:t>PROGRAMMATIC M&amp;A</w:t>
      </w:r>
    </w:p>
    <w:p>
      <w:pPr>
        <w:ind w:left="1544" w:right="3260" w:hanging="1539"/>
        <w:spacing w:after="0" w:line="232" w:lineRule="auto"/>
        <w:rPr>
          <w:sz w:val="20"/>
          <w:szCs w:val="20"/>
          <w:color w:val="auto"/>
        </w:rPr>
      </w:pPr>
      <w:r>
        <w:rPr>
          <w:rFonts w:ascii="Arial" w:cs="Arial" w:eastAsia="Arial" w:hAnsi="Arial"/>
          <w:sz w:val="55"/>
          <w:szCs w:val="55"/>
          <w:color w:val="273D86"/>
        </w:rPr>
        <w:t>~14</w:t>
      </w:r>
      <w:r>
        <w:rPr>
          <w:rFonts w:ascii="Arial" w:cs="Arial" w:eastAsia="Arial" w:hAnsi="Arial"/>
          <w:sz w:val="20"/>
          <w:szCs w:val="20"/>
          <w:color w:val="273D86"/>
        </w:rPr>
        <w:t>STRATEGIC</w:t>
      </w:r>
      <w:r>
        <w:rPr>
          <w:rFonts w:ascii="Arial" w:cs="Arial" w:eastAsia="Arial" w:hAnsi="Arial"/>
          <w:sz w:val="55"/>
          <w:szCs w:val="55"/>
          <w:color w:val="273D86"/>
        </w:rPr>
        <w:t xml:space="preserve"> </w:t>
      </w:r>
      <w:r>
        <w:rPr>
          <w:rFonts w:ascii="Arial" w:cs="Arial" w:eastAsia="Arial" w:hAnsi="Arial"/>
          <w:sz w:val="20"/>
          <w:szCs w:val="20"/>
          <w:color w:val="273D86"/>
        </w:rPr>
        <w:t>DEALS</w:t>
      </w:r>
    </w:p>
    <w:p>
      <w:pPr>
        <w:spacing w:after="0" w:line="1" w:lineRule="exact"/>
        <w:rPr>
          <w:sz w:val="20"/>
          <w:szCs w:val="20"/>
          <w:color w:val="auto"/>
        </w:rPr>
      </w:pPr>
    </w:p>
    <w:p>
      <w:pPr>
        <w:ind w:left="1544"/>
        <w:spacing w:after="0"/>
        <w:rPr>
          <w:sz w:val="20"/>
          <w:szCs w:val="20"/>
          <w:color w:val="auto"/>
        </w:rPr>
      </w:pPr>
      <w:r>
        <w:rPr>
          <w:rFonts w:ascii="Arial" w:cs="Arial" w:eastAsia="Arial" w:hAnsi="Arial"/>
          <w:sz w:val="16"/>
          <w:szCs w:val="16"/>
          <w:color w:val="273D86"/>
        </w:rPr>
        <w:t>SINCE MID-2020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482600</wp:posOffset>
            </wp:positionV>
            <wp:extent cx="7543800" cy="2957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7543800" cy="2957830"/>
                    </a:xfrm>
                    <a:prstGeom prst="rect">
                      <a:avLst/>
                    </a:prstGeom>
                    <a:noFill/>
                  </pic:spPr>
                </pic:pic>
              </a:graphicData>
            </a:graphic>
          </wp:anchor>
        </w:drawing>
      </w:r>
    </w:p>
    <w:p>
      <w:pPr>
        <w:spacing w:after="0" w:line="557" w:lineRule="exact"/>
        <w:rPr>
          <w:sz w:val="20"/>
          <w:szCs w:val="20"/>
          <w:color w:val="auto"/>
        </w:rPr>
      </w:pPr>
    </w:p>
    <w:p>
      <w:pPr>
        <w:sectPr>
          <w:pgSz w:w="11880" w:h="15480" w:orient="portrait"/>
          <w:cols w:equalWidth="0" w:num="2">
            <w:col w:w="3096" w:space="720"/>
            <w:col w:w="6204"/>
          </w:cols>
          <w:pgMar w:left="720" w:top="1243" w:right="1140" w:bottom="52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0"/>
        <w:spacing w:after="0"/>
        <w:rPr>
          <w:sz w:val="20"/>
          <w:szCs w:val="20"/>
          <w:color w:val="auto"/>
        </w:rPr>
      </w:pPr>
      <w:r>
        <w:rPr>
          <w:rFonts w:ascii="Arial" w:cs="Arial" w:eastAsia="Arial" w:hAnsi="Arial"/>
          <w:sz w:val="22"/>
          <w:szCs w:val="22"/>
          <w:color w:val="77A527"/>
        </w:rPr>
        <w:t>WE PROTECT PEOPLE</w:t>
      </w:r>
    </w:p>
    <w:p>
      <w:pPr>
        <w:spacing w:after="0" w:line="97" w:lineRule="exact"/>
        <w:rPr>
          <w:sz w:val="20"/>
          <w:szCs w:val="20"/>
          <w:color w:val="auto"/>
        </w:rPr>
      </w:pPr>
    </w:p>
    <w:p>
      <w:pPr>
        <w:ind w:left="140"/>
        <w:spacing w:after="0" w:line="276" w:lineRule="auto"/>
        <w:rPr>
          <w:sz w:val="20"/>
          <w:szCs w:val="20"/>
          <w:color w:val="auto"/>
        </w:rPr>
      </w:pPr>
      <w:r>
        <w:rPr>
          <w:rFonts w:ascii="Arial" w:cs="Arial" w:eastAsia="Arial" w:hAnsi="Arial"/>
          <w:sz w:val="18"/>
          <w:szCs w:val="18"/>
          <w:color w:val="auto"/>
        </w:rPr>
        <w:t>Solving customer challenges to ensure their employees work in a safe and productive environment.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77A527"/>
        </w:rPr>
        <w:t>WE PROTECT THE</w:t>
      </w:r>
    </w:p>
    <w:p>
      <w:pPr>
        <w:spacing w:after="0"/>
        <w:rPr>
          <w:sz w:val="20"/>
          <w:szCs w:val="20"/>
          <w:color w:val="auto"/>
        </w:rPr>
      </w:pPr>
      <w:r>
        <w:rPr>
          <w:rFonts w:ascii="Arial" w:cs="Arial" w:eastAsia="Arial" w:hAnsi="Arial"/>
          <w:sz w:val="22"/>
          <w:szCs w:val="22"/>
          <w:color w:val="77A527"/>
        </w:rPr>
        <w:t>ENVIRONMENT</w:t>
      </w:r>
    </w:p>
    <w:p>
      <w:pPr>
        <w:spacing w:after="0" w:line="9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Reducing environmental impact for CECO and our global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spacing w:after="0" w:line="254" w:lineRule="auto"/>
        <w:rPr>
          <w:sz w:val="20"/>
          <w:szCs w:val="20"/>
          <w:color w:val="auto"/>
        </w:rPr>
      </w:pPr>
      <w:r>
        <w:rPr>
          <w:rFonts w:ascii="Arial" w:cs="Arial" w:eastAsia="Arial" w:hAnsi="Arial"/>
          <w:sz w:val="22"/>
          <w:szCs w:val="22"/>
          <w:color w:val="77A527"/>
        </w:rPr>
        <w:t>WE PROTECT INDUSTRIAL EQUIPMENT AND IMPROVE PROCESS</w:t>
      </w:r>
    </w:p>
    <w:p>
      <w:pPr>
        <w:spacing w:after="0" w:line="26" w:lineRule="exact"/>
        <w:rPr>
          <w:sz w:val="20"/>
          <w:szCs w:val="20"/>
          <w:color w:val="auto"/>
        </w:rPr>
      </w:pPr>
    </w:p>
    <w:p>
      <w:pPr>
        <w:jc w:val="both"/>
        <w:ind w:right="260"/>
        <w:spacing w:after="0" w:line="276" w:lineRule="auto"/>
        <w:rPr>
          <w:sz w:val="20"/>
          <w:szCs w:val="20"/>
          <w:color w:val="auto"/>
        </w:rPr>
      </w:pPr>
      <w:r>
        <w:rPr>
          <w:rFonts w:ascii="Arial" w:cs="Arial" w:eastAsia="Arial" w:hAnsi="Arial"/>
          <w:sz w:val="18"/>
          <w:szCs w:val="18"/>
          <w:color w:val="auto"/>
        </w:rPr>
        <w:t>Helping customers maximize the value of their operating systems and optimize output.</w:t>
      </w:r>
    </w:p>
    <w:p>
      <w:pPr>
        <w:sectPr>
          <w:pgSz w:w="11880" w:h="15480" w:orient="portrait"/>
          <w:cols w:equalWidth="0" w:num="3">
            <w:col w:w="3000" w:space="580"/>
            <w:col w:w="2740" w:space="720"/>
            <w:col w:w="2980"/>
          </w:cols>
          <w:pgMar w:left="720" w:top="1243" w:right="1140" w:bottom="520" w:gutter="0" w:footer="0" w:header="0"/>
          <w:type w:val="continuous"/>
        </w:sectPr>
      </w:pPr>
    </w:p>
    <w:bookmarkStart w:id="2" w:name="page3"/>
    <w:bookmarkEnd w:id="2"/>
    <w:p>
      <w:pPr>
        <w:ind w:left="200" w:right="3500" w:hanging="4"/>
        <w:spacing w:after="0" w:line="257" w:lineRule="auto"/>
        <w:rPr>
          <w:sz w:val="20"/>
          <w:szCs w:val="20"/>
          <w:color w:val="auto"/>
        </w:rPr>
      </w:pPr>
      <w:r>
        <w:rPr>
          <w:rFonts w:ascii="Arial" w:cs="Arial" w:eastAsia="Arial" w:hAnsi="Arial"/>
          <w:sz w:val="76"/>
          <w:szCs w:val="76"/>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2002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7543800" cy="2002155"/>
                    </a:xfrm>
                    <a:prstGeom prst="rect">
                      <a:avLst/>
                    </a:prstGeom>
                    <a:noFill/>
                  </pic:spPr>
                </pic:pic>
              </a:graphicData>
            </a:graphic>
          </wp:anchor>
        </w:drawing>
        <w:t>2025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523875</wp:posOffset>
            </wp:positionV>
            <wp:extent cx="6661785" cy="4656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6661785" cy="4656455"/>
                    </a:xfrm>
                    <a:prstGeom prst="rect">
                      <a:avLst/>
                    </a:prstGeom>
                    <a:noFill/>
                  </pic:spPr>
                </pic:pic>
              </a:graphicData>
            </a:graphic>
          </wp:anchor>
        </w:drawing>
      </w:r>
    </w:p>
    <w:p>
      <w:pPr>
        <w:sectPr>
          <w:pgSz w:w="11880" w:h="15480" w:orient="portrait"/>
          <w:cols w:equalWidth="0" w:num="1">
            <w:col w:w="10100"/>
          </w:cols>
          <w:pgMar w:left="880" w:top="62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440"/>
        <w:spacing w:after="0"/>
        <w:rPr>
          <w:sz w:val="20"/>
          <w:szCs w:val="20"/>
          <w:color w:val="auto"/>
        </w:rPr>
      </w:pPr>
      <w:r>
        <w:rPr>
          <w:rFonts w:ascii="Arial" w:cs="Arial" w:eastAsia="Arial" w:hAnsi="Arial"/>
          <w:sz w:val="26"/>
          <w:szCs w:val="26"/>
          <w:color w:val="273D86"/>
        </w:rPr>
        <w:t>Orders</w:t>
      </w:r>
    </w:p>
    <w:p>
      <w:pPr>
        <w:jc w:val="center"/>
        <w:ind w:left="3440"/>
        <w:spacing w:after="0"/>
        <w:rPr>
          <w:sz w:val="20"/>
          <w:szCs w:val="20"/>
          <w:color w:val="auto"/>
        </w:rPr>
      </w:pPr>
      <w:r>
        <w:rPr>
          <w:rFonts w:ascii="Arial" w:cs="Arial" w:eastAsia="Arial" w:hAnsi="Arial"/>
          <w:sz w:val="76"/>
          <w:szCs w:val="76"/>
          <w:color w:val="273D86"/>
        </w:rPr>
        <w:t>$</w:t>
      </w:r>
      <w:r>
        <w:rPr>
          <w:rFonts w:ascii="Arial" w:cs="Arial" w:eastAsia="Arial" w:hAnsi="Arial"/>
          <w:sz w:val="68"/>
          <w:szCs w:val="68"/>
          <w:color w:val="273D86"/>
        </w:rPr>
        <w:t>1.06B</w:t>
      </w:r>
    </w:p>
    <w:p>
      <w:pPr>
        <w:spacing w:after="0" w:line="126" w:lineRule="exact"/>
        <w:rPr>
          <w:sz w:val="20"/>
          <w:szCs w:val="20"/>
          <w:color w:val="auto"/>
        </w:rPr>
      </w:pPr>
    </w:p>
    <w:p>
      <w:pPr>
        <w:ind w:left="4560"/>
        <w:spacing w:after="0"/>
        <w:rPr>
          <w:sz w:val="20"/>
          <w:szCs w:val="20"/>
          <w:color w:val="auto"/>
        </w:rPr>
      </w:pPr>
      <w:r>
        <w:rPr>
          <w:sz w:val="1"/>
          <w:szCs w:val="1"/>
          <w:color w:val="auto"/>
        </w:rPr>
        <w:drawing>
          <wp:inline distT="0" distB="0" distL="0" distR="0">
            <wp:extent cx="139700" cy="139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139700" cy="139700"/>
                    </a:xfrm>
                    <a:prstGeom prst="rect">
                      <a:avLst/>
                    </a:prstGeom>
                    <a:noFill/>
                    <a:ln>
                      <a:noFill/>
                    </a:ln>
                  </pic:spPr>
                </pic:pic>
              </a:graphicData>
            </a:graphic>
          </wp:inline>
        </w:drawing>
      </w:r>
      <w:r>
        <w:rPr>
          <w:rFonts w:ascii="Arial" w:cs="Arial" w:eastAsia="Arial" w:hAnsi="Arial"/>
          <w:sz w:val="24"/>
          <w:szCs w:val="24"/>
          <w:color w:val="auto"/>
        </w:rPr>
        <w:t xml:space="preserve"> 59% YOY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40"/>
        <w:spacing w:after="0"/>
        <w:tabs>
          <w:tab w:leader="none" w:pos="4700" w:val="left"/>
        </w:tabs>
        <w:rPr>
          <w:sz w:val="20"/>
          <w:szCs w:val="20"/>
          <w:color w:val="auto"/>
        </w:rPr>
      </w:pPr>
      <w:r>
        <w:rPr>
          <w:rFonts w:ascii="Arial" w:cs="Arial" w:eastAsia="Arial" w:hAnsi="Arial"/>
          <w:sz w:val="26"/>
          <w:szCs w:val="26"/>
          <w:color w:val="273D86"/>
        </w:rPr>
        <w:t>Revenue</w:t>
      </w:r>
      <w:r>
        <w:rPr>
          <w:sz w:val="20"/>
          <w:szCs w:val="20"/>
          <w:color w:val="auto"/>
        </w:rPr>
        <w:tab/>
      </w:r>
      <w:r>
        <w:rPr>
          <w:rFonts w:ascii="Arial" w:cs="Arial" w:eastAsia="Arial" w:hAnsi="Arial"/>
          <w:sz w:val="26"/>
          <w:szCs w:val="26"/>
          <w:color w:val="273D86"/>
        </w:rPr>
        <w:t>Backlog</w:t>
      </w:r>
    </w:p>
    <w:p>
      <w:pPr>
        <w:ind w:left="520"/>
        <w:spacing w:after="0"/>
        <w:tabs>
          <w:tab w:leader="none" w:pos="3900" w:val="left"/>
        </w:tabs>
        <w:rPr>
          <w:sz w:val="20"/>
          <w:szCs w:val="20"/>
          <w:color w:val="auto"/>
        </w:rPr>
      </w:pPr>
      <w:r>
        <w:rPr>
          <w:rFonts w:ascii="Arial" w:cs="Arial" w:eastAsia="Arial" w:hAnsi="Arial"/>
          <w:sz w:val="68"/>
          <w:szCs w:val="68"/>
          <w:color w:val="273D86"/>
        </w:rPr>
        <w:t>$</w:t>
      </w:r>
      <w:r>
        <w:rPr>
          <w:rFonts w:ascii="Arial" w:cs="Arial" w:eastAsia="Arial" w:hAnsi="Arial"/>
          <w:sz w:val="76"/>
          <w:szCs w:val="76"/>
          <w:color w:val="273D86"/>
        </w:rPr>
        <w:t>774M</w:t>
      </w:r>
      <w:r>
        <w:rPr>
          <w:sz w:val="20"/>
          <w:szCs w:val="20"/>
          <w:color w:val="auto"/>
        </w:rPr>
        <w:tab/>
      </w:r>
      <w:r>
        <w:rPr>
          <w:rFonts w:ascii="Arial" w:cs="Arial" w:eastAsia="Arial" w:hAnsi="Arial"/>
          <w:sz w:val="76"/>
          <w:szCs w:val="76"/>
          <w:color w:val="273D86"/>
        </w:rPr>
        <w:t>$793M</w:t>
      </w:r>
    </w:p>
    <w:p>
      <w:pPr>
        <w:spacing w:after="0" w:line="171" w:lineRule="exact"/>
        <w:rPr>
          <w:sz w:val="20"/>
          <w:szCs w:val="20"/>
          <w:color w:val="auto"/>
        </w:rPr>
      </w:pPr>
    </w:p>
    <w:p>
      <w:pPr>
        <w:ind w:left="1120"/>
        <w:spacing w:after="0"/>
        <w:rPr>
          <w:sz w:val="20"/>
          <w:szCs w:val="20"/>
          <w:color w:val="auto"/>
        </w:rPr>
      </w:pPr>
      <w:r>
        <w:rPr>
          <w:sz w:val="1"/>
          <w:szCs w:val="1"/>
          <w:color w:val="auto"/>
        </w:rPr>
        <w:drawing>
          <wp:inline distT="0" distB="0" distL="0" distR="0">
            <wp:extent cx="139700" cy="139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139700" cy="139700"/>
                    </a:xfrm>
                    <a:prstGeom prst="rect">
                      <a:avLst/>
                    </a:prstGeom>
                    <a:noFill/>
                    <a:ln>
                      <a:noFill/>
                    </a:ln>
                  </pic:spPr>
                </pic:pic>
              </a:graphicData>
            </a:graphic>
          </wp:inline>
        </w:drawing>
      </w:r>
      <w:r>
        <w:rPr>
          <w:rFonts w:ascii="Arial" w:cs="Arial" w:eastAsia="Arial" w:hAnsi="Arial"/>
          <w:sz w:val="24"/>
          <w:szCs w:val="24"/>
          <w:color w:val="auto"/>
        </w:rPr>
        <w:t xml:space="preserve"> 39% YOY               </w:t>
      </w:r>
      <w:r>
        <w:rPr>
          <w:sz w:val="1"/>
          <w:szCs w:val="1"/>
          <w:color w:val="auto"/>
        </w:rPr>
        <w:drawing>
          <wp:inline distT="0" distB="0" distL="0" distR="0">
            <wp:extent cx="139700" cy="139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139700" cy="139700"/>
                    </a:xfrm>
                    <a:prstGeom prst="rect">
                      <a:avLst/>
                    </a:prstGeom>
                    <a:noFill/>
                    <a:ln>
                      <a:noFill/>
                    </a:ln>
                  </pic:spPr>
                </pic:pic>
              </a:graphicData>
            </a:graphic>
          </wp:inline>
        </w:drawing>
      </w:r>
      <w:r>
        <w:rPr>
          <w:rFonts w:ascii="Arial" w:cs="Arial" w:eastAsia="Arial" w:hAnsi="Arial"/>
          <w:sz w:val="24"/>
          <w:szCs w:val="24"/>
          <w:color w:val="auto"/>
        </w:rPr>
        <w:t xml:space="preserve"> 47% YOY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Borders>
              <w:bottom w:val="single" w:sz="8" w:color="auto"/>
            </w:tcBorders>
            <w:shd w:val="clear" w:color="auto" w:fill="000000"/>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600" w:type="dxa"/>
            <w:vAlign w:val="bottom"/>
            <w:tcBorders>
              <w:right w:val="single" w:sz="8" w:color="auto"/>
            </w:tcBorders>
            <w:shd w:val="clear" w:color="auto" w:fill="000000"/>
          </w:tcPr>
          <w:p>
            <w:pPr>
              <w:spacing w:after="0"/>
              <w:rPr>
                <w:sz w:val="17"/>
                <w:szCs w:val="17"/>
                <w:color w:val="auto"/>
              </w:rPr>
            </w:pPr>
          </w:p>
        </w:tc>
        <w:tc>
          <w:tcPr>
            <w:tcW w:w="200" w:type="dxa"/>
            <w:vAlign w:val="bottom"/>
            <w:tcBorders>
              <w:bottom w:val="single" w:sz="8" w:color="auto"/>
            </w:tcBorders>
            <w:shd w:val="clear" w:color="auto" w:fill="000000"/>
          </w:tcPr>
          <w:p>
            <w:pPr>
              <w:spacing w:after="0"/>
              <w:rPr>
                <w:sz w:val="17"/>
                <w:szCs w:val="17"/>
                <w:color w:val="auto"/>
              </w:rPr>
            </w:pPr>
          </w:p>
        </w:tc>
        <w:tc>
          <w:tcPr>
            <w:tcW w:w="560" w:type="dxa"/>
            <w:vAlign w:val="bottom"/>
            <w:tcBorders>
              <w:bottom w:val="single" w:sz="8" w:color="auto"/>
            </w:tcBorders>
            <w:shd w:val="clear" w:color="auto" w:fill="000000"/>
          </w:tcPr>
          <w:p>
            <w:pPr>
              <w:spacing w:after="0"/>
              <w:rPr>
                <w:sz w:val="17"/>
                <w:szCs w:val="17"/>
                <w:color w:val="auto"/>
              </w:rPr>
            </w:pPr>
          </w:p>
        </w:tc>
        <w:tc>
          <w:tcPr>
            <w:tcW w:w="600" w:type="dxa"/>
            <w:vAlign w:val="bottom"/>
            <w:tcBorders>
              <w:bottom w:val="single" w:sz="8" w:color="auto"/>
            </w:tcBorders>
            <w:shd w:val="clear" w:color="auto" w:fill="000000"/>
          </w:tcPr>
          <w:p>
            <w:pPr>
              <w:spacing w:after="0"/>
              <w:rPr>
                <w:sz w:val="17"/>
                <w:szCs w:val="17"/>
                <w:color w:val="auto"/>
              </w:rPr>
            </w:pPr>
          </w:p>
        </w:tc>
        <w:tc>
          <w:tcPr>
            <w:tcW w:w="140" w:type="dxa"/>
            <w:vAlign w:val="bottom"/>
            <w:tcBorders>
              <w:bottom w:val="single" w:sz="8" w:color="auto"/>
            </w:tcBorders>
            <w:shd w:val="clear" w:color="auto" w:fill="000000"/>
          </w:tcPr>
          <w:p>
            <w:pPr>
              <w:spacing w:after="0"/>
              <w:rPr>
                <w:sz w:val="17"/>
                <w:szCs w:val="17"/>
                <w:color w:val="auto"/>
              </w:rPr>
            </w:pPr>
          </w:p>
        </w:tc>
        <w:tc>
          <w:tcPr>
            <w:tcW w:w="60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60" w:type="dxa"/>
            <w:vAlign w:val="bottom"/>
            <w:tcBorders>
              <w:bottom w:val="single" w:sz="8" w:color="auto"/>
            </w:tcBorders>
            <w:shd w:val="clear" w:color="auto" w:fill="000000"/>
          </w:tcPr>
          <w:p>
            <w:pPr>
              <w:spacing w:after="0"/>
              <w:rPr>
                <w:sz w:val="17"/>
                <w:szCs w:val="17"/>
                <w:color w:val="auto"/>
              </w:rPr>
            </w:pPr>
          </w:p>
        </w:tc>
        <w:tc>
          <w:tcPr>
            <w:tcW w:w="600" w:type="dxa"/>
            <w:vAlign w:val="bottom"/>
            <w:tcBorders>
              <w:bottom w:val="single" w:sz="8" w:color="auto"/>
            </w:tcBorders>
            <w:shd w:val="clear" w:color="auto" w:fill="000000"/>
          </w:tcPr>
          <w:p>
            <w:pPr>
              <w:spacing w:after="0"/>
              <w:rPr>
                <w:sz w:val="17"/>
                <w:szCs w:val="17"/>
                <w:color w:val="auto"/>
              </w:rPr>
            </w:pPr>
          </w:p>
        </w:tc>
        <w:tc>
          <w:tcPr>
            <w:tcW w:w="560" w:type="dxa"/>
            <w:vAlign w:val="bottom"/>
            <w:tcBorders>
              <w:bottom w:val="single" w:sz="8" w:color="auto"/>
            </w:tcBorders>
            <w:shd w:val="clear" w:color="auto" w:fill="000000"/>
          </w:tcPr>
          <w:p>
            <w:pPr>
              <w:spacing w:after="0"/>
              <w:rPr>
                <w:sz w:val="17"/>
                <w:szCs w:val="17"/>
                <w:color w:val="auto"/>
              </w:rPr>
            </w:pPr>
          </w:p>
        </w:tc>
        <w:tc>
          <w:tcPr>
            <w:tcW w:w="20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558"/>
        </w:trPr>
        <w:tc>
          <w:tcPr>
            <w:tcW w:w="200" w:type="dxa"/>
            <w:vAlign w:val="bottom"/>
            <w:shd w:val="clear" w:color="auto" w:fill="000000"/>
          </w:tcPr>
          <w:p>
            <w:pPr>
              <w:spacing w:after="0"/>
              <w:rPr>
                <w:sz w:val="24"/>
                <w:szCs w:val="24"/>
                <w:color w:val="auto"/>
              </w:rPr>
            </w:pPr>
          </w:p>
        </w:tc>
        <w:tc>
          <w:tcPr>
            <w:tcW w:w="3240" w:type="dxa"/>
            <w:vAlign w:val="bottom"/>
            <w:tcBorders>
              <w:right w:val="single" w:sz="8" w:color="auto"/>
            </w:tcBorders>
            <w:gridSpan w:val="7"/>
          </w:tcPr>
          <w:p>
            <w:pPr>
              <w:jc w:val="center"/>
              <w:ind w:right="40"/>
              <w:spacing w:after="0"/>
              <w:rPr>
                <w:sz w:val="20"/>
                <w:szCs w:val="20"/>
                <w:color w:val="auto"/>
              </w:rPr>
            </w:pPr>
            <w:r>
              <w:rPr>
                <w:rFonts w:ascii="Arial" w:cs="Arial" w:eastAsia="Arial" w:hAnsi="Arial"/>
                <w:sz w:val="26"/>
                <w:szCs w:val="26"/>
                <w:color w:val="273D86"/>
              </w:rPr>
              <w:t>Adjusted EBITDA</w:t>
            </w:r>
          </w:p>
        </w:tc>
        <w:tc>
          <w:tcPr>
            <w:tcW w:w="200" w:type="dxa"/>
            <w:vAlign w:val="bottom"/>
            <w:shd w:val="clear" w:color="auto" w:fill="000000"/>
          </w:tcPr>
          <w:p>
            <w:pPr>
              <w:spacing w:after="0"/>
              <w:rPr>
                <w:sz w:val="24"/>
                <w:szCs w:val="24"/>
                <w:color w:val="auto"/>
              </w:rPr>
            </w:pPr>
          </w:p>
        </w:tc>
        <w:tc>
          <w:tcPr>
            <w:tcW w:w="3200" w:type="dxa"/>
            <w:vAlign w:val="bottom"/>
            <w:gridSpan w:val="8"/>
          </w:tcPr>
          <w:p>
            <w:pPr>
              <w:jc w:val="center"/>
              <w:spacing w:after="0"/>
              <w:rPr>
                <w:sz w:val="20"/>
                <w:szCs w:val="20"/>
                <w:color w:val="auto"/>
              </w:rPr>
            </w:pPr>
            <w:r>
              <w:rPr>
                <w:rFonts w:ascii="Arial" w:cs="Arial" w:eastAsia="Arial" w:hAnsi="Arial"/>
                <w:sz w:val="26"/>
                <w:szCs w:val="26"/>
                <w:color w:val="273D86"/>
              </w:rPr>
              <w:t>Earnings Per Share</w:t>
            </w:r>
          </w:p>
        </w:tc>
        <w:tc>
          <w:tcPr>
            <w:tcW w:w="2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94"/>
        </w:trPr>
        <w:tc>
          <w:tcPr>
            <w:tcW w:w="200" w:type="dxa"/>
            <w:vAlign w:val="bottom"/>
            <w:shd w:val="clear" w:color="auto" w:fill="000000"/>
          </w:tcPr>
          <w:p>
            <w:pPr>
              <w:spacing w:after="0"/>
              <w:rPr>
                <w:sz w:val="24"/>
                <w:szCs w:val="24"/>
                <w:color w:val="auto"/>
              </w:rPr>
            </w:pPr>
          </w:p>
        </w:tc>
        <w:tc>
          <w:tcPr>
            <w:tcW w:w="3240" w:type="dxa"/>
            <w:vAlign w:val="bottom"/>
            <w:tcBorders>
              <w:right w:val="single" w:sz="8" w:color="auto"/>
            </w:tcBorders>
            <w:gridSpan w:val="7"/>
          </w:tcPr>
          <w:p>
            <w:pPr>
              <w:jc w:val="center"/>
              <w:ind w:right="40"/>
              <w:spacing w:after="0"/>
              <w:rPr>
                <w:sz w:val="20"/>
                <w:szCs w:val="20"/>
                <w:color w:val="auto"/>
              </w:rPr>
            </w:pPr>
            <w:r>
              <w:rPr>
                <w:rFonts w:ascii="Arial" w:cs="Arial" w:eastAsia="Arial" w:hAnsi="Arial"/>
                <w:sz w:val="76"/>
                <w:szCs w:val="76"/>
                <w:color w:val="273D86"/>
              </w:rPr>
              <w:t>$90M</w:t>
            </w:r>
          </w:p>
        </w:tc>
        <w:tc>
          <w:tcPr>
            <w:tcW w:w="200" w:type="dxa"/>
            <w:vAlign w:val="bottom"/>
            <w:shd w:val="clear" w:color="auto" w:fill="000000"/>
          </w:tcPr>
          <w:p>
            <w:pPr>
              <w:spacing w:after="0"/>
              <w:rPr>
                <w:sz w:val="24"/>
                <w:szCs w:val="24"/>
                <w:color w:val="auto"/>
              </w:rPr>
            </w:pPr>
          </w:p>
        </w:tc>
        <w:tc>
          <w:tcPr>
            <w:tcW w:w="2640" w:type="dxa"/>
            <w:vAlign w:val="bottom"/>
            <w:gridSpan w:val="7"/>
          </w:tcPr>
          <w:p>
            <w:pPr>
              <w:jc w:val="center"/>
              <w:ind w:left="377"/>
              <w:spacing w:after="0"/>
              <w:rPr>
                <w:sz w:val="20"/>
                <w:szCs w:val="20"/>
                <w:color w:val="auto"/>
              </w:rPr>
            </w:pPr>
            <w:r>
              <w:rPr>
                <w:rFonts w:ascii="Arial" w:cs="Arial" w:eastAsia="Arial" w:hAnsi="Arial"/>
                <w:sz w:val="76"/>
                <w:szCs w:val="76"/>
                <w:color w:val="273D86"/>
              </w:rPr>
              <w:t>$1.37</w:t>
            </w:r>
          </w:p>
        </w:tc>
        <w:tc>
          <w:tcPr>
            <w:tcW w:w="560" w:type="dxa"/>
            <w:vAlign w:val="bottom"/>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0" w:type="dxa"/>
            <w:vAlign w:val="bottom"/>
            <w:shd w:val="clear" w:color="auto" w:fill="000000"/>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tcBorders>
              <w:right w:val="single" w:sz="8" w:color="auto"/>
            </w:tcBorders>
            <w:gridSpan w:val="5"/>
          </w:tcPr>
          <w:p>
            <w:pPr>
              <w:ind w:left="20"/>
              <w:spacing w:after="0"/>
              <w:rPr>
                <w:sz w:val="20"/>
                <w:szCs w:val="20"/>
                <w:color w:val="auto"/>
              </w:rPr>
            </w:pPr>
            <w:r>
              <w:rPr>
                <w:rFonts w:ascii="Arial" w:cs="Arial" w:eastAsia="Arial" w:hAnsi="Arial"/>
                <w:sz w:val="24"/>
                <w:szCs w:val="24"/>
                <w:color w:val="auto"/>
              </w:rPr>
              <w:t>44% YOY</w:t>
            </w:r>
          </w:p>
        </w:tc>
        <w:tc>
          <w:tcPr>
            <w:tcW w:w="200" w:type="dxa"/>
            <w:vAlign w:val="bottom"/>
            <w:shd w:val="clear" w:color="auto" w:fill="000000"/>
          </w:tcPr>
          <w:p>
            <w:pPr>
              <w:spacing w:after="0"/>
              <w:rPr>
                <w:sz w:val="24"/>
                <w:szCs w:val="24"/>
                <w:color w:val="auto"/>
              </w:rPr>
            </w:pPr>
          </w:p>
        </w:tc>
        <w:tc>
          <w:tcPr>
            <w:tcW w:w="3200" w:type="dxa"/>
            <w:vAlign w:val="bottom"/>
            <w:gridSpan w:val="8"/>
          </w:tcPr>
          <w:p>
            <w:pPr>
              <w:ind w:left="420"/>
              <w:spacing w:after="0"/>
              <w:rPr>
                <w:sz w:val="20"/>
                <w:szCs w:val="20"/>
                <w:color w:val="auto"/>
              </w:rPr>
            </w:pPr>
            <w:r>
              <w:rPr>
                <w:rFonts w:ascii="Arial" w:cs="Arial" w:eastAsia="Arial" w:hAnsi="Arial"/>
                <w:sz w:val="24"/>
                <w:szCs w:val="24"/>
                <w:color w:val="auto"/>
              </w:rPr>
              <w:t>281% YOY ($1.01 YOY)</w:t>
            </w:r>
          </w:p>
        </w:tc>
        <w:tc>
          <w:tcPr>
            <w:tcW w:w="2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0" w:type="dxa"/>
            <w:vAlign w:val="bottom"/>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0" w:type="dxa"/>
            <w:vAlign w:val="bottom"/>
            <w:shd w:val="clear" w:color="auto" w:fill="000000"/>
          </w:tcPr>
          <w:p>
            <w:pPr>
              <w:spacing w:after="0"/>
              <w:rPr>
                <w:sz w:val="18"/>
                <w:szCs w:val="18"/>
                <w:color w:val="auto"/>
              </w:rPr>
            </w:pPr>
          </w:p>
        </w:tc>
        <w:tc>
          <w:tcPr>
            <w:tcW w:w="56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600" w:type="dxa"/>
            <w:vAlign w:val="bottom"/>
            <w:tcBorders>
              <w:right w:val="single" w:sz="8" w:color="auto"/>
            </w:tcBorders>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56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60" w:type="dxa"/>
            <w:vAlign w:val="bottom"/>
            <w:shd w:val="clear" w:color="auto" w:fill="000000"/>
          </w:tcPr>
          <w:p>
            <w:pPr>
              <w:spacing w:after="0"/>
              <w:rPr>
                <w:sz w:val="18"/>
                <w:szCs w:val="18"/>
                <w:color w:val="auto"/>
              </w:rPr>
            </w:pPr>
          </w:p>
        </w:tc>
        <w:tc>
          <w:tcPr>
            <w:tcW w:w="600" w:type="dxa"/>
            <w:vAlign w:val="bottom"/>
            <w:shd w:val="clear" w:color="auto" w:fill="000000"/>
          </w:tcPr>
          <w:p>
            <w:pPr>
              <w:spacing w:after="0"/>
              <w:rPr>
                <w:sz w:val="18"/>
                <w:szCs w:val="18"/>
                <w:color w:val="auto"/>
              </w:rPr>
            </w:pPr>
          </w:p>
        </w:tc>
        <w:tc>
          <w:tcPr>
            <w:tcW w:w="56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561"/>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Arial" w:cs="Arial" w:eastAsia="Arial" w:hAnsi="Arial"/>
                <w:sz w:val="20"/>
                <w:szCs w:val="20"/>
                <w:color w:val="auto"/>
              </w:rPr>
              <w:t>Orders</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gridSpan w:val="7"/>
          </w:tcPr>
          <w:p>
            <w:pPr>
              <w:jc w:val="center"/>
              <w:ind w:right="1300"/>
              <w:spacing w:after="0"/>
              <w:rPr>
                <w:sz w:val="20"/>
                <w:szCs w:val="20"/>
                <w:color w:val="auto"/>
              </w:rPr>
            </w:pPr>
            <w:r>
              <w:rPr>
                <w:rFonts w:ascii="Arial" w:cs="Arial" w:eastAsia="Arial" w:hAnsi="Arial"/>
                <w:sz w:val="20"/>
                <w:szCs w:val="20"/>
                <w:color w:val="auto"/>
              </w:rPr>
              <w:t>Revenue</w:t>
            </w:r>
          </w:p>
        </w:tc>
        <w:tc>
          <w:tcPr>
            <w:tcW w:w="0" w:type="dxa"/>
            <w:vAlign w:val="bottom"/>
          </w:tcPr>
          <w:p>
            <w:pPr>
              <w:spacing w:after="0"/>
              <w:rPr>
                <w:sz w:val="1"/>
                <w:szCs w:val="1"/>
                <w:color w:val="auto"/>
              </w:rPr>
            </w:pPr>
          </w:p>
        </w:tc>
      </w:tr>
      <w:tr>
        <w:trPr>
          <w:trHeight w:val="523"/>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20"/>
                <w:szCs w:val="20"/>
                <w:color w:val="auto"/>
              </w:rPr>
              <w:t>$1,064M</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center"/>
              <w:ind w:right="680"/>
              <w:spacing w:after="0"/>
              <w:rPr>
                <w:sz w:val="20"/>
                <w:szCs w:val="20"/>
                <w:color w:val="auto"/>
              </w:rPr>
            </w:pPr>
            <w:r>
              <w:rPr>
                <w:rFonts w:ascii="Arial" w:cs="Arial" w:eastAsia="Arial" w:hAnsi="Arial"/>
                <w:sz w:val="20"/>
                <w:szCs w:val="20"/>
                <w:color w:val="auto"/>
              </w:rPr>
              <w:t>$774M</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5"/>
            <w:vMerge w:val="restart"/>
          </w:tcPr>
          <w:p>
            <w:pPr>
              <w:ind w:left="520"/>
              <w:spacing w:after="0"/>
              <w:rPr>
                <w:sz w:val="20"/>
                <w:szCs w:val="20"/>
                <w:color w:val="auto"/>
              </w:rPr>
            </w:pPr>
            <w:r>
              <w:rPr>
                <w:rFonts w:ascii="Arial" w:cs="Arial" w:eastAsia="Arial" w:hAnsi="Arial"/>
                <w:sz w:val="20"/>
                <w:szCs w:val="20"/>
                <w:color w:val="auto"/>
              </w:rPr>
              <w:t>$545M $558M</w:t>
            </w:r>
          </w:p>
        </w:tc>
        <w:tc>
          <w:tcPr>
            <w:tcW w:w="60" w:type="dxa"/>
            <w:vAlign w:val="bottom"/>
          </w:tcPr>
          <w:p>
            <w:pPr>
              <w:spacing w:after="0"/>
              <w:rPr>
                <w:sz w:val="17"/>
                <w:szCs w:val="17"/>
                <w:color w:val="auto"/>
              </w:rPr>
            </w:pPr>
          </w:p>
        </w:tc>
        <w:tc>
          <w:tcPr>
            <w:tcW w:w="600" w:type="dxa"/>
            <w:vAlign w:val="bottom"/>
            <w:shd w:val="clear" w:color="auto" w:fill="98B82F"/>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6"/>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shd w:val="clear" w:color="auto" w:fill="98B82F"/>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shd w:val="clear" w:color="auto" w:fill="98B82F"/>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0" w:type="dxa"/>
            <w:vAlign w:val="bottom"/>
          </w:tcPr>
          <w:p>
            <w:pPr>
              <w:spacing w:after="0"/>
              <w:rPr>
                <w:sz w:val="24"/>
                <w:szCs w:val="24"/>
                <w:color w:val="auto"/>
              </w:rPr>
            </w:pPr>
          </w:p>
        </w:tc>
        <w:tc>
          <w:tcPr>
            <w:tcW w:w="1300" w:type="dxa"/>
            <w:vAlign w:val="bottom"/>
            <w:gridSpan w:val="3"/>
            <w:vMerge w:val="restart"/>
          </w:tcPr>
          <w:p>
            <w:pPr>
              <w:jc w:val="center"/>
              <w:ind w:left="217"/>
              <w:spacing w:after="0"/>
              <w:rPr>
                <w:sz w:val="20"/>
                <w:szCs w:val="20"/>
                <w:color w:val="auto"/>
              </w:rPr>
            </w:pPr>
            <w:r>
              <w:rPr>
                <w:rFonts w:ascii="Arial" w:cs="Arial" w:eastAsia="Arial" w:hAnsi="Arial"/>
                <w:sz w:val="20"/>
                <w:szCs w:val="20"/>
                <w:color w:val="auto"/>
              </w:rPr>
              <w:t>$583M</w:t>
            </w:r>
          </w:p>
        </w:tc>
        <w:tc>
          <w:tcPr>
            <w:tcW w:w="600" w:type="dxa"/>
            <w:vAlign w:val="bottom"/>
          </w:tcPr>
          <w:p>
            <w:pPr>
              <w:jc w:val="center"/>
              <w:spacing w:after="0"/>
              <w:rPr>
                <w:sz w:val="20"/>
                <w:szCs w:val="20"/>
                <w:color w:val="auto"/>
              </w:rPr>
            </w:pPr>
            <w:r>
              <w:rPr>
                <w:rFonts w:ascii="Arial" w:cs="Arial" w:eastAsia="Arial" w:hAnsi="Arial"/>
                <w:sz w:val="20"/>
                <w:szCs w:val="20"/>
                <w:color w:val="auto"/>
                <w:w w:val="98"/>
              </w:rPr>
              <w:t>$667M</w:t>
            </w:r>
          </w:p>
        </w:tc>
        <w:tc>
          <w:tcPr>
            <w:tcW w:w="140" w:type="dxa"/>
            <w:vAlign w:val="bottom"/>
            <w:vMerge w:val="restart"/>
          </w:tcPr>
          <w:p>
            <w:pPr>
              <w:spacing w:after="0"/>
              <w:rPr>
                <w:sz w:val="24"/>
                <w:szCs w:val="24"/>
                <w:color w:val="auto"/>
              </w:rPr>
            </w:pPr>
          </w:p>
        </w:tc>
        <w:tc>
          <w:tcPr>
            <w:tcW w:w="600" w:type="dxa"/>
            <w:vAlign w:val="bottom"/>
            <w:tcBorders>
              <w:top w:val="single" w:sz="8" w:color="98B82F"/>
            </w:tcBorders>
            <w:shd w:val="clear" w:color="auto" w:fill="98B82F"/>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shd w:val="clear" w:color="auto" w:fill="3E84A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273D86"/>
            </w:tcBorders>
            <w:shd w:val="clear" w:color="auto" w:fill="273D86"/>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98B82F"/>
            </w:tcBorders>
            <w:shd w:val="clear" w:color="auto" w:fill="98B82F"/>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00" w:type="dxa"/>
            <w:vAlign w:val="bottom"/>
            <w:shd w:val="clear" w:color="auto" w:fill="273D86"/>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shd w:val="clear" w:color="auto" w:fill="98B82F"/>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shd w:val="clear" w:color="auto" w:fill="3E84A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shd w:val="clear" w:color="auto" w:fill="273D86"/>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shd w:val="clear" w:color="auto" w:fill="98B82F"/>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7"/>
        </w:trPr>
        <w:tc>
          <w:tcPr>
            <w:tcW w:w="760" w:type="dxa"/>
            <w:vAlign w:val="bottom"/>
            <w:gridSpan w:val="2"/>
          </w:tcPr>
          <w:p>
            <w:pPr>
              <w:spacing w:after="0"/>
              <w:rPr>
                <w:sz w:val="24"/>
                <w:szCs w:val="24"/>
                <w:color w:val="auto"/>
              </w:rPr>
            </w:pPr>
          </w:p>
        </w:tc>
        <w:tc>
          <w:tcPr>
            <w:tcW w:w="600" w:type="dxa"/>
            <w:vAlign w:val="bottom"/>
            <w:shd w:val="clear" w:color="auto" w:fill="3E84A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shd w:val="clear" w:color="auto" w:fill="273D86"/>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shd w:val="clear" w:color="auto" w:fill="98B82F"/>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600" w:type="dxa"/>
            <w:vAlign w:val="bottom"/>
            <w:shd w:val="clear" w:color="auto" w:fill="3E84A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shd w:val="clear" w:color="auto" w:fill="273D86"/>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shd w:val="clear" w:color="auto" w:fill="98B82F"/>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360" w:type="dxa"/>
            <w:vAlign w:val="bottom"/>
            <w:gridSpan w:val="3"/>
          </w:tcPr>
          <w:p>
            <w:pPr>
              <w:jc w:val="right"/>
              <w:ind w:right="40"/>
              <w:spacing w:after="0"/>
              <w:rPr>
                <w:sz w:val="20"/>
                <w:szCs w:val="20"/>
                <w:color w:val="auto"/>
              </w:rPr>
            </w:pPr>
            <w:r>
              <w:rPr>
                <w:rFonts w:ascii="Arial" w:cs="Arial" w:eastAsia="Arial" w:hAnsi="Arial"/>
                <w:sz w:val="20"/>
                <w:szCs w:val="20"/>
                <w:color w:val="auto"/>
              </w:rPr>
              <w:t>2023</w:t>
            </w:r>
          </w:p>
        </w:tc>
        <w:tc>
          <w:tcPr>
            <w:tcW w:w="740" w:type="dxa"/>
            <w:vAlign w:val="bottom"/>
            <w:gridSpan w:val="2"/>
          </w:tcPr>
          <w:p>
            <w:pPr>
              <w:jc w:val="center"/>
              <w:ind w:left="53"/>
              <w:spacing w:after="0"/>
              <w:rPr>
                <w:sz w:val="20"/>
                <w:szCs w:val="20"/>
                <w:color w:val="auto"/>
              </w:rPr>
            </w:pPr>
            <w:r>
              <w:rPr>
                <w:rFonts w:ascii="Arial" w:cs="Arial" w:eastAsia="Arial" w:hAnsi="Arial"/>
                <w:sz w:val="20"/>
                <w:szCs w:val="20"/>
                <w:color w:val="auto"/>
              </w:rPr>
              <w:t>2024</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2025</w:t>
            </w:r>
          </w:p>
        </w:tc>
        <w:tc>
          <w:tcPr>
            <w:tcW w:w="600" w:type="dxa"/>
            <w:vAlign w:val="bottom"/>
          </w:tcPr>
          <w:p>
            <w:pPr>
              <w:spacing w:after="0"/>
              <w:rPr>
                <w:sz w:val="24"/>
                <w:szCs w:val="2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20"/>
                <w:szCs w:val="20"/>
                <w:color w:val="auto"/>
              </w:rPr>
              <w:t>2023</w:t>
            </w:r>
          </w:p>
        </w:tc>
        <w:tc>
          <w:tcPr>
            <w:tcW w:w="740" w:type="dxa"/>
            <w:vAlign w:val="bottom"/>
            <w:gridSpan w:val="2"/>
          </w:tcPr>
          <w:p>
            <w:pPr>
              <w:jc w:val="center"/>
              <w:ind w:left="80"/>
              <w:spacing w:after="0"/>
              <w:rPr>
                <w:sz w:val="20"/>
                <w:szCs w:val="20"/>
                <w:color w:val="auto"/>
              </w:rPr>
            </w:pPr>
            <w:r>
              <w:rPr>
                <w:rFonts w:ascii="Arial" w:cs="Arial" w:eastAsia="Arial" w:hAnsi="Arial"/>
                <w:sz w:val="20"/>
                <w:szCs w:val="20"/>
                <w:color w:val="auto"/>
              </w:rPr>
              <w:t>2024</w:t>
            </w:r>
          </w:p>
        </w:tc>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2025</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26"/>
          <w:szCs w:val="26"/>
          <w:color w:val="273D86"/>
        </w:rPr>
        <w:t>Gross Profit</w:t>
      </w:r>
    </w:p>
    <w:p>
      <w:pPr>
        <w:jc w:val="center"/>
        <w:ind w:right="80"/>
        <w:spacing w:after="0"/>
        <w:rPr>
          <w:sz w:val="20"/>
          <w:szCs w:val="20"/>
          <w:color w:val="auto"/>
        </w:rPr>
      </w:pPr>
      <w:r>
        <w:rPr>
          <w:rFonts w:ascii="Arial" w:cs="Arial" w:eastAsia="Arial" w:hAnsi="Arial"/>
          <w:sz w:val="76"/>
          <w:szCs w:val="76"/>
          <w:color w:val="273D86"/>
        </w:rPr>
        <w:t>$269M</w:t>
      </w:r>
    </w:p>
    <w:p>
      <w:pPr>
        <w:spacing w:after="0" w:line="171" w:lineRule="exact"/>
        <w:rPr>
          <w:sz w:val="20"/>
          <w:szCs w:val="20"/>
          <w:color w:val="auto"/>
        </w:rPr>
      </w:pPr>
    </w:p>
    <w:p>
      <w:pPr>
        <w:ind w:left="660"/>
        <w:spacing w:after="0"/>
        <w:rPr>
          <w:sz w:val="20"/>
          <w:szCs w:val="20"/>
          <w:color w:val="auto"/>
        </w:rPr>
      </w:pPr>
      <w:r>
        <w:rPr>
          <w:sz w:val="1"/>
          <w:szCs w:val="1"/>
          <w:color w:val="auto"/>
        </w:rPr>
        <w:drawing>
          <wp:inline distT="0" distB="0" distL="0" distR="0">
            <wp:extent cx="139700" cy="139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139700" cy="139700"/>
                    </a:xfrm>
                    <a:prstGeom prst="rect">
                      <a:avLst/>
                    </a:prstGeom>
                    <a:noFill/>
                    <a:ln>
                      <a:noFill/>
                    </a:ln>
                  </pic:spPr>
                </pic:pic>
              </a:graphicData>
            </a:graphic>
          </wp:inline>
        </w:drawing>
      </w:r>
      <w:r>
        <w:rPr>
          <w:rFonts w:ascii="Arial" w:cs="Arial" w:eastAsia="Arial" w:hAnsi="Arial"/>
          <w:sz w:val="24"/>
          <w:szCs w:val="24"/>
          <w:color w:val="auto"/>
        </w:rPr>
        <w:t xml:space="preserve"> 37% YOY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26"/>
          <w:szCs w:val="26"/>
          <w:color w:val="273D86"/>
        </w:rPr>
        <w:t>Free Cash Flow</w:t>
      </w:r>
    </w:p>
    <w:p>
      <w:pPr>
        <w:jc w:val="center"/>
        <w:ind w:right="80"/>
        <w:spacing w:after="0"/>
        <w:rPr>
          <w:sz w:val="20"/>
          <w:szCs w:val="20"/>
          <w:color w:val="auto"/>
        </w:rPr>
      </w:pPr>
      <w:r>
        <w:rPr>
          <w:rFonts w:ascii="Arial" w:cs="Arial" w:eastAsia="Arial" w:hAnsi="Arial"/>
          <w:sz w:val="76"/>
          <w:szCs w:val="76"/>
          <w:color w:val="273D86"/>
        </w:rPr>
        <w:t>$9.6M</w:t>
      </w:r>
    </w:p>
    <w:p>
      <w:pPr>
        <w:spacing w:after="0" w:line="171" w:lineRule="exact"/>
        <w:rPr>
          <w:sz w:val="20"/>
          <w:szCs w:val="20"/>
          <w:color w:val="auto"/>
        </w:rPr>
      </w:pPr>
    </w:p>
    <w:p>
      <w:pPr>
        <w:ind w:left="660"/>
        <w:spacing w:after="0"/>
        <w:rPr>
          <w:sz w:val="20"/>
          <w:szCs w:val="20"/>
          <w:color w:val="auto"/>
        </w:rPr>
      </w:pPr>
      <w:r>
        <w:rPr>
          <w:sz w:val="1"/>
          <w:szCs w:val="1"/>
          <w:color w:val="auto"/>
        </w:rPr>
        <w:drawing>
          <wp:inline distT="0" distB="0" distL="0" distR="0">
            <wp:extent cx="139700" cy="139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139700" cy="139700"/>
                    </a:xfrm>
                    <a:prstGeom prst="rect">
                      <a:avLst/>
                    </a:prstGeom>
                    <a:noFill/>
                    <a:ln>
                      <a:noFill/>
                    </a:ln>
                  </pic:spPr>
                </pic:pic>
              </a:graphicData>
            </a:graphic>
          </wp:inline>
        </w:drawing>
      </w:r>
      <w:r>
        <w:rPr>
          <w:rFonts w:ascii="Arial" w:cs="Arial" w:eastAsia="Arial" w:hAnsi="Arial"/>
          <w:sz w:val="24"/>
          <w:szCs w:val="24"/>
          <w:color w:val="auto"/>
        </w:rPr>
        <w:t xml:space="preserve"> 30% YOY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EBITDA</w:t>
      </w:r>
    </w:p>
    <w:p>
      <w:pPr>
        <w:spacing w:after="0" w:line="200" w:lineRule="exact"/>
        <w:rPr>
          <w:sz w:val="20"/>
          <w:szCs w:val="20"/>
          <w:color w:val="auto"/>
        </w:rPr>
      </w:pPr>
    </w:p>
    <w:p>
      <w:pPr>
        <w:spacing w:after="0" w:line="25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$90M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1125220</wp:posOffset>
                </wp:positionH>
                <wp:positionV relativeFrom="paragraph">
                  <wp:posOffset>37465</wp:posOffset>
                </wp:positionV>
                <wp:extent cx="381635" cy="137795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 cy="1377950"/>
                        </a:xfrm>
                        <a:prstGeom prst="rect">
                          <a:avLst/>
                        </a:prstGeom>
                        <a:solidFill>
                          <a:srgbClr val="98B82F"/>
                        </a:solidFill>
                      </wps:spPr>
                      <wps:bodyPr/>
                    </wps:wsp>
                  </a:graphicData>
                </a:graphic>
              </wp:anchor>
            </w:drawing>
          </mc:Choice>
          <mc:Fallback>
            <w:pict>
              <v:rect id="Shape 22" o:spid="_x0000_s1047" style="position:absolute;margin-left:88.6pt;margin-top:2.95pt;width:30.0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8B82F" stroked="f"/>
            </w:pict>
          </mc:Fallback>
        </mc:AlternateConten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 xml:space="preserve">$58M  </w:t>
      </w:r>
      <w:r>
        <w:rPr>
          <w:rFonts w:ascii="Arial" w:cs="Arial" w:eastAsia="Arial" w:hAnsi="Arial"/>
          <w:sz w:val="40"/>
          <w:szCs w:val="40"/>
          <w:color w:val="auto"/>
          <w:vertAlign w:val="superscript"/>
        </w:rPr>
        <w:t>$63M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182245</wp:posOffset>
                </wp:positionH>
                <wp:positionV relativeFrom="paragraph">
                  <wp:posOffset>-34925</wp:posOffset>
                </wp:positionV>
                <wp:extent cx="382270" cy="88709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270" cy="887095"/>
                        </a:xfrm>
                        <a:prstGeom prst="rect">
                          <a:avLst/>
                        </a:prstGeom>
                        <a:solidFill>
                          <a:srgbClr val="3E84AE"/>
                        </a:solidFill>
                      </wps:spPr>
                      <wps:bodyPr/>
                    </wps:wsp>
                  </a:graphicData>
                </a:graphic>
              </wp:anchor>
            </w:drawing>
          </mc:Choice>
          <mc:Fallback>
            <w:pict>
              <v:rect id="Shape 23" o:spid="_x0000_s1048" style="position:absolute;margin-left:14.35pt;margin-top:-2.7499pt;width:30.1pt;height:6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E84AE" stroked="f"/>
            </w:pict>
          </mc:Fallback>
        </mc:AlternateContent>
        <mc:AlternateContent>
          <mc:Choice Requires="wps">
            <w:drawing>
              <wp:anchor simplePos="0" relativeHeight="251657728" behindDoc="1" locked="0" layoutInCell="0" allowOverlap="1">
                <wp:simplePos x="0" y="0"/>
                <wp:positionH relativeFrom="column">
                  <wp:posOffset>654050</wp:posOffset>
                </wp:positionH>
                <wp:positionV relativeFrom="paragraph">
                  <wp:posOffset>-111760</wp:posOffset>
                </wp:positionV>
                <wp:extent cx="381635" cy="96393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 cy="963930"/>
                        </a:xfrm>
                        <a:prstGeom prst="rect">
                          <a:avLst/>
                        </a:prstGeom>
                        <a:solidFill>
                          <a:srgbClr val="273D86"/>
                        </a:solidFill>
                      </wps:spPr>
                      <wps:bodyPr/>
                    </wps:wsp>
                  </a:graphicData>
                </a:graphic>
              </wp:anchor>
            </w:drawing>
          </mc:Choice>
          <mc:Fallback>
            <w:pict>
              <v:rect id="Shape 24" o:spid="_x0000_s1049" style="position:absolute;margin-left:51.5pt;margin-top:-8.7999pt;width:30.05pt;height:7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73D86"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tabs>
          <w:tab w:leader="none" w:pos="1040" w:val="left"/>
          <w:tab w:leader="none" w:pos="1800" w:val="left"/>
        </w:tabs>
        <w:rPr>
          <w:sz w:val="20"/>
          <w:szCs w:val="20"/>
          <w:color w:val="auto"/>
        </w:rPr>
      </w:pPr>
      <w:r>
        <w:rPr>
          <w:rFonts w:ascii="Arial" w:cs="Arial" w:eastAsia="Arial" w:hAnsi="Arial"/>
          <w:sz w:val="20"/>
          <w:szCs w:val="20"/>
          <w:color w:val="auto"/>
        </w:rPr>
        <w:t>2023</w:t>
        <w:tab/>
        <w:t>2024</w:t>
        <w:tab/>
        <w:t>2025</w:t>
      </w:r>
    </w:p>
    <w:p>
      <w:pPr>
        <w:spacing w:after="0" w:line="253" w:lineRule="exact"/>
        <w:rPr>
          <w:sz w:val="20"/>
          <w:szCs w:val="20"/>
          <w:color w:val="auto"/>
        </w:rPr>
      </w:pPr>
    </w:p>
    <w:p>
      <w:pPr>
        <w:sectPr>
          <w:pgSz w:w="11880" w:h="15480" w:orient="portrait"/>
          <w:cols w:equalWidth="0" w:num="2">
            <w:col w:w="7040" w:space="300"/>
            <w:col w:w="2760"/>
          </w:cols>
          <w:pgMar w:left="880" w:top="623" w:right="900" w:bottom="0" w:gutter="0" w:footer="0" w:header="0"/>
          <w:type w:val="continuous"/>
        </w:sectPr>
      </w:pPr>
    </w:p>
    <w:p>
      <w:pPr>
        <w:spacing w:after="0" w:line="101" w:lineRule="exact"/>
        <w:rPr>
          <w:sz w:val="20"/>
          <w:szCs w:val="20"/>
          <w:color w:val="auto"/>
        </w:rPr>
      </w:pPr>
    </w:p>
    <w:p>
      <w:pPr>
        <w:ind w:left="6420"/>
        <w:spacing w:after="0"/>
        <w:tabs>
          <w:tab w:leader="none" w:pos="9960" w:val="left"/>
        </w:tabs>
        <w:rPr>
          <w:sz w:val="20"/>
          <w:szCs w:val="20"/>
          <w:color w:val="auto"/>
        </w:rPr>
      </w:pPr>
      <w:r>
        <w:rPr>
          <w:rFonts w:ascii="Arial" w:cs="Arial" w:eastAsia="Arial" w:hAnsi="Arial"/>
          <w:sz w:val="16"/>
          <w:szCs w:val="16"/>
          <w:color w:val="666666"/>
        </w:rPr>
        <w:t>CECO Environmental | 2025 Annual Report</w:t>
      </w:r>
      <w:r>
        <w:rPr>
          <w:sz w:val="20"/>
          <w:szCs w:val="20"/>
          <w:color w:val="auto"/>
        </w:rPr>
        <w:tab/>
      </w:r>
      <w:r>
        <w:rPr>
          <w:rFonts w:ascii="Arial" w:cs="Arial" w:eastAsia="Arial" w:hAnsi="Arial"/>
          <w:sz w:val="21"/>
          <w:szCs w:val="21"/>
          <w:color w:val="auto"/>
        </w:rPr>
        <w:t>1</w:t>
      </w:r>
    </w:p>
    <w:p>
      <w:pPr>
        <w:sectPr>
          <w:pgSz w:w="11880" w:h="15480" w:orient="portrait"/>
          <w:cols w:equalWidth="0" w:num="1">
            <w:col w:w="10100"/>
          </w:cols>
          <w:pgMar w:left="880" w:top="623" w:right="900" w:bottom="0" w:gutter="0" w:footer="0" w:header="0"/>
          <w:type w:val="continuous"/>
        </w:sectPr>
      </w:pPr>
    </w:p>
    <w:bookmarkStart w:id="3" w:name="page4"/>
    <w:bookmarkEnd w:id="3"/>
    <w:p>
      <w:pPr>
        <w:spacing w:after="0"/>
        <w:rPr>
          <w:sz w:val="20"/>
          <w:szCs w:val="20"/>
          <w:color w:val="auto"/>
        </w:rPr>
      </w:pPr>
      <w:r>
        <w:rPr>
          <w:rFonts w:ascii="Arial" w:cs="Arial" w:eastAsia="Arial" w:hAnsi="Arial"/>
          <w:sz w:val="76"/>
          <w:szCs w:val="76"/>
          <w:color w:val="FFFFFF"/>
        </w:rPr>
        <w:drawing>
          <wp:anchor simplePos="0" relativeHeight="251657728" behindDoc="1" locked="0" layoutInCell="0" allowOverlap="1">
            <wp:simplePos x="0" y="0"/>
            <wp:positionH relativeFrom="page">
              <wp:posOffset>0</wp:posOffset>
            </wp:positionH>
            <wp:positionV relativeFrom="page">
              <wp:posOffset>467995</wp:posOffset>
            </wp:positionV>
            <wp:extent cx="7543800" cy="5503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7543800" cy="5503545"/>
                    </a:xfrm>
                    <a:prstGeom prst="rect">
                      <a:avLst/>
                    </a:prstGeom>
                    <a:noFill/>
                  </pic:spPr>
                </pic:pic>
              </a:graphicData>
            </a:graphic>
          </wp:anchor>
        </w:drawing>
        <w:t>TO OUR</w:t>
      </w:r>
    </w:p>
    <w:p>
      <w:pPr>
        <w:spacing w:after="0"/>
        <w:rPr>
          <w:sz w:val="20"/>
          <w:szCs w:val="20"/>
          <w:color w:val="auto"/>
        </w:rPr>
      </w:pPr>
      <w:r>
        <w:rPr>
          <w:rFonts w:ascii="Arial" w:cs="Arial" w:eastAsia="Arial" w:hAnsi="Arial"/>
          <w:sz w:val="76"/>
          <w:szCs w:val="76"/>
          <w:color w:val="FFFFFF"/>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As I reflect on the past year, I am both honored and energized by what we’ve</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accomplished together at CECO. 2025 was another year of strong growth and continued</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portfolio transformation, driven by disciplined investments both organically and through</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programmatic mergers and acquisitions. Our strategy has fueled record results across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every measure. Bookings exceeded $1 billion, our year-end backlog approached</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$800 million, and we reached new highs in revenues while maintaining robust gross profit</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and EBITDA margins. Shareholders also benefited as our stock valuation nearly doubled in</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the year – and marks our fourth straight year of strong shareholder performance. These are</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2"/>
          <w:szCs w:val="22"/>
          <w:color w:val="FFFFFF"/>
        </w:rPr>
        <w:t>testaments to the continued advanced leadership and transformation underway at CECO.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6"/>
          <w:szCs w:val="26"/>
          <w:color w:val="273D86"/>
        </w:rPr>
        <w:t>A Year of Record-Breaking Growth and Transformation</w:t>
      </w:r>
    </w:p>
    <w:p>
      <w:pPr>
        <w:sectPr>
          <w:pgSz w:w="11880" w:h="15480" w:orient="portrait"/>
          <w:cols w:equalWidth="0" w:num="1">
            <w:col w:w="10060"/>
          </w:cols>
          <w:pgMar w:left="900" w:top="1101" w:right="920" w:bottom="0" w:gutter="0" w:footer="0" w:header="0"/>
        </w:sectPr>
      </w:pP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2025, against a backdrop of rapidly evolving global markets and growing demand for sustainable solutions, our team rose to the challenge – not just by delivering results, but by advancing industry leadership at every turn. CECO has become a benchmark for excellence, guiding the way forward in industrial environmental solutions. From pioneering the largest emissions-control projects in our sector to expanding our global environmental solutions portfolio, we have set new standards for innovation, quality, and impact.</w:t>
      </w:r>
    </w:p>
    <w:p>
      <w:pPr>
        <w:spacing w:after="0" w:line="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navigated shifts in industrial supply chains, new regulatory standards, and complex geo-economic developments that shaped our industry. Yet, through our proactive engagement in implementing best practices and collaborating with industry groups, we helped define the roadmap for cleaner, safer, and more efficient operations. Our ability to protect people, safeguard the environment, and secure our customers’ vital equipment is recognized throughout the industry – and we are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proud that others look to CECO as the model for what’s possible when leadership and vision drive every decision.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solidified our status as an industry leader by creating top quartile value for our shareholders and positioning the company for long-term, sustainable strategic success. Our record-setting achievements reflect the power of our Win Right Values and our unique operating model, which together fuel our high-performance culture. Our deep commitment to customers, combined with niche leadership, allowed us to secure impactful orders and expand our reach globally. This dedication did not go unnoticed as Newsweek recognized CECO for excellence in workplace culture, while Forbes acknowledged the company’s strong business performance by naming</w:t>
      </w:r>
    </w:p>
    <w:p>
      <w:pPr>
        <w:spacing w:after="0" w:line="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it one of the Most Successful Small-Cap Companies. These achievements demonstrate that CECO is not only delivering results today but is also shaping a future defined by sustainable growth, industry leadership, and the pursuit of excellence for all our stakeholders.</w:t>
      </w:r>
    </w:p>
    <w:p>
      <w:pPr>
        <w:spacing w:after="0" w:line="200" w:lineRule="exact"/>
        <w:rPr>
          <w:sz w:val="20"/>
          <w:szCs w:val="20"/>
          <w:color w:val="auto"/>
        </w:rPr>
      </w:pPr>
    </w:p>
    <w:p>
      <w:pPr>
        <w:sectPr>
          <w:pgSz w:w="11880" w:h="15480" w:orient="portrait"/>
          <w:cols w:equalWidth="0" w:num="2">
            <w:col w:w="4840" w:space="340"/>
            <w:col w:w="4880"/>
          </w:cols>
          <w:pgMar w:left="900" w:top="1101" w:right="920" w:bottom="0" w:gutter="0" w:footer="0" w:header="0"/>
          <w:type w:val="continuous"/>
        </w:sectPr>
      </w:pPr>
    </w:p>
    <w:p>
      <w:pPr>
        <w:spacing w:after="0" w:line="45"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color w:val="auto"/>
        </w:rPr>
        <w:t>2</w:t>
      </w:r>
      <w:r>
        <w:rPr>
          <w:sz w:val="20"/>
          <w:szCs w:val="20"/>
          <w:color w:val="auto"/>
        </w:rPr>
        <w:tab/>
      </w:r>
      <w:r>
        <w:rPr>
          <w:rFonts w:ascii="Arial" w:cs="Arial" w:eastAsia="Arial" w:hAnsi="Arial"/>
          <w:sz w:val="16"/>
          <w:szCs w:val="16"/>
          <w:color w:val="666666"/>
        </w:rPr>
        <w:t>CECO Environmental | 2025 Annual Report</w:t>
      </w:r>
    </w:p>
    <w:p>
      <w:pPr>
        <w:spacing w:after="0" w:line="20" w:lineRule="exact"/>
        <w:rPr>
          <w:sz w:val="20"/>
          <w:szCs w:val="20"/>
          <w:color w:val="auto"/>
        </w:rPr>
      </w:pPr>
    </w:p>
    <w:p>
      <w:pPr>
        <w:sectPr>
          <w:pgSz w:w="11880" w:h="15480" w:orient="portrait"/>
          <w:cols w:equalWidth="0" w:num="1">
            <w:col w:w="10060"/>
          </w:cols>
          <w:pgMar w:left="900" w:top="1101" w:right="920" w:bottom="0" w:gutter="0" w:footer="0" w:header="0"/>
          <w:type w:val="continuous"/>
        </w:sectPr>
      </w:pPr>
    </w:p>
    <w:bookmarkStart w:id="4" w:name="page5"/>
    <w:bookmarkEnd w:id="4"/>
    <w:p>
      <w:pPr>
        <w:ind w:right="6580"/>
        <w:spacing w:after="0" w:line="283" w:lineRule="auto"/>
        <w:rPr>
          <w:sz w:val="20"/>
          <w:szCs w:val="20"/>
          <w:color w:val="auto"/>
        </w:rPr>
      </w:pPr>
      <w:r>
        <w:rPr>
          <w:rFonts w:ascii="Arial" w:cs="Arial" w:eastAsia="Arial" w:hAnsi="Arial"/>
          <w:sz w:val="26"/>
          <w:szCs w:val="26"/>
          <w:color w:val="273D86"/>
        </w:rPr>
        <w:drawing>
          <wp:anchor simplePos="0" relativeHeight="251657728" behindDoc="1" locked="0" layoutInCell="0" allowOverlap="1">
            <wp:simplePos x="0" y="0"/>
            <wp:positionH relativeFrom="page">
              <wp:posOffset>3857625</wp:posOffset>
            </wp:positionH>
            <wp:positionV relativeFrom="page">
              <wp:posOffset>571500</wp:posOffset>
            </wp:positionV>
            <wp:extent cx="3114675" cy="4400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114675" cy="4400550"/>
                    </a:xfrm>
                    <a:prstGeom prst="rect">
                      <a:avLst/>
                    </a:prstGeom>
                    <a:noFill/>
                  </pic:spPr>
                </pic:pic>
              </a:graphicData>
            </a:graphic>
          </wp:anchor>
        </w:drawing>
        <w:t>Commitment to Customers and Global Leadership</w:t>
      </w:r>
    </w:p>
    <w:p>
      <w:pPr>
        <w:ind w:right="5240"/>
        <w:spacing w:after="0" w:line="256" w:lineRule="auto"/>
        <w:rPr>
          <w:sz w:val="20"/>
          <w:szCs w:val="20"/>
          <w:color w:val="auto"/>
        </w:rPr>
      </w:pPr>
      <w:r>
        <w:rPr>
          <w:rFonts w:ascii="Arial" w:cs="Arial" w:eastAsia="Arial" w:hAnsi="Arial"/>
          <w:sz w:val="18"/>
          <w:szCs w:val="18"/>
          <w:color w:val="auto"/>
        </w:rPr>
        <w:t>Beyond these numbers, CECO’s leadership is evident in the real-world impact of our solutions for industries and communities around the globe. In 2025, we set the industry pace by helping customers eliminate industrial emissions, filter and conserve water, and achieve higher workplace safety standards for thousands of employees. Our commitment to excellence and innovation has established CECO as the partner of choice for those looking to lead, not follow, in building a safer, cleaner, and more efficient world.</w:t>
      </w:r>
    </w:p>
    <w:p>
      <w:pPr>
        <w:spacing w:after="0" w:line="263" w:lineRule="exact"/>
        <w:rPr>
          <w:sz w:val="20"/>
          <w:szCs w:val="20"/>
          <w:color w:val="auto"/>
        </w:rPr>
      </w:pPr>
    </w:p>
    <w:p>
      <w:pPr>
        <w:ind w:right="5180"/>
        <w:spacing w:after="0" w:line="250" w:lineRule="auto"/>
        <w:rPr>
          <w:sz w:val="20"/>
          <w:szCs w:val="20"/>
          <w:color w:val="auto"/>
        </w:rPr>
      </w:pPr>
      <w:r>
        <w:rPr>
          <w:rFonts w:ascii="Arial" w:cs="Arial" w:eastAsia="Arial" w:hAnsi="Arial"/>
          <w:sz w:val="18"/>
          <w:szCs w:val="18"/>
          <w:color w:val="auto"/>
        </w:rPr>
        <w:t>CECO’s success is built on our unwavering commitment to strategic leadership and purposeful transformation. By leading the way with a disciplined approach to organic investment and programmatic mergers and acquisitions, we have redefined our portfolio and advanced our technological capabilities ahead of the curve. Our expertise and proactive strategy ensure CECO is not just responding to trends but actively driving them and setting industry standards in our high-growth niche markets.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Each new partnership – EnviroCare, WK, Verantis,</w:t>
      </w:r>
    </w:p>
    <w:p>
      <w:pPr>
        <w:spacing w:after="0" w:line="9" w:lineRule="exact"/>
        <w:rPr>
          <w:sz w:val="20"/>
          <w:szCs w:val="20"/>
          <w:color w:val="auto"/>
        </w:rPr>
      </w:pPr>
    </w:p>
    <w:p>
      <w:pPr>
        <w:ind w:right="5240"/>
        <w:spacing w:after="0" w:line="263" w:lineRule="auto"/>
        <w:rPr>
          <w:sz w:val="20"/>
          <w:szCs w:val="20"/>
          <w:color w:val="auto"/>
        </w:rPr>
      </w:pPr>
      <w:r>
        <w:rPr>
          <w:rFonts w:ascii="Arial" w:cs="Arial" w:eastAsia="Arial" w:hAnsi="Arial"/>
          <w:sz w:val="18"/>
          <w:szCs w:val="18"/>
          <w:color w:val="auto"/>
        </w:rPr>
        <w:t>and the integration of Profire Energy – represents not only an expansion of our global capabilities but a deepening of our leadership bench, bringing new perspectives and breakthroughs that fuel our exceptional returns and keep CECO among the top diversified industrial companies.</w:t>
      </w:r>
    </w:p>
    <w:p>
      <w:pPr>
        <w:spacing w:after="0" w:line="135" w:lineRule="exact"/>
        <w:rPr>
          <w:sz w:val="20"/>
          <w:szCs w:val="20"/>
          <w:color w:val="auto"/>
        </w:rPr>
      </w:pPr>
    </w:p>
    <w:p>
      <w:pPr>
        <w:spacing w:after="0"/>
        <w:rPr>
          <w:sz w:val="20"/>
          <w:szCs w:val="20"/>
          <w:color w:val="auto"/>
        </w:rPr>
      </w:pPr>
      <w:r>
        <w:rPr>
          <w:rFonts w:ascii="Arial" w:cs="Arial" w:eastAsia="Arial" w:hAnsi="Arial"/>
          <w:sz w:val="26"/>
          <w:szCs w:val="26"/>
          <w:color w:val="273D86"/>
        </w:rPr>
        <w:t>People and Talent:</w:t>
      </w:r>
    </w:p>
    <w:p>
      <w:pPr>
        <w:spacing w:after="0" w:line="13" w:lineRule="exact"/>
        <w:rPr>
          <w:sz w:val="20"/>
          <w:szCs w:val="20"/>
          <w:color w:val="auto"/>
        </w:rPr>
      </w:pPr>
    </w:p>
    <w:p>
      <w:pPr>
        <w:spacing w:after="0"/>
        <w:rPr>
          <w:sz w:val="20"/>
          <w:szCs w:val="20"/>
          <w:color w:val="auto"/>
        </w:rPr>
      </w:pPr>
      <w:r>
        <w:rPr>
          <w:rFonts w:ascii="Arial" w:cs="Arial" w:eastAsia="Arial" w:hAnsi="Arial"/>
          <w:sz w:val="26"/>
          <w:szCs w:val="26"/>
          <w:color w:val="273D86"/>
        </w:rPr>
        <w:t>The Heartbeat of CECO</w:t>
      </w:r>
    </w:p>
    <w:p>
      <w:pPr>
        <w:sectPr>
          <w:pgSz w:w="11880" w:h="15480" w:orient="portrait"/>
          <w:cols w:equalWidth="0" w:num="1">
            <w:col w:w="10080"/>
          </w:cols>
          <w:pgMar w:left="900" w:top="1084" w:right="900" w:bottom="0" w:gutter="0" w:footer="0" w:header="0"/>
        </w:sectPr>
      </w:pP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Most importantly, people and talent remain the heartbeat of our consistent value creation – our team’s passion, commitment, and expertise are what enable us to deliver results, foster innovation, and build lasting relationships with customers and partners around the world.</w:t>
      </w:r>
    </w:p>
    <w:p>
      <w:pPr>
        <w:spacing w:after="0" w:line="3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progress is rooted in the strength of CECO’s leadership – leadership that champions a culture of trust, empowerment, and true collaboration. We know that sustaining success is built by investing in people and cultivating an environment where everyone is valued and equipped to lead. Our Win Right culture is a witness to this philosophy, reinforcing integrity, accountability, and teamwork at every level of our organization.</w:t>
      </w:r>
    </w:p>
    <w:p>
      <w:pPr>
        <w:spacing w:after="0" w:line="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our dedicated employees: your commitment and expertise are at the heart of everything we achieve. To our customers and partners: your trust, partnership, and willingness to innovate alongside us drive CECO and the industry forward. Together, we embody a shared vision and an unwavering belief in the power of collaboration to solve the toughest challenges.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540"/>
        <w:spacing w:after="0" w:line="267" w:lineRule="auto"/>
        <w:rPr>
          <w:sz w:val="20"/>
          <w:szCs w:val="20"/>
          <w:color w:val="auto"/>
        </w:rPr>
      </w:pPr>
      <w:r>
        <w:rPr>
          <w:rFonts w:ascii="Arial" w:cs="Arial" w:eastAsia="Arial" w:hAnsi="Arial"/>
          <w:sz w:val="18"/>
          <w:szCs w:val="18"/>
          <w:color w:val="auto"/>
        </w:rPr>
        <w:t>We are strengthening our presence in high-growth international markets, deepening R&amp;D investments, and embedding sustainability targets in every facet of our business.</w:t>
      </w:r>
    </w:p>
    <w:p>
      <w:pPr>
        <w:spacing w:after="0" w:line="3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we write the next chapter in CECO’s leadership journey, I want to extend my sincere gratitude to our shareholders for your continued trust and investment in our vision. I also want to thank our customers, partners, and every member of our global team for making 2025 a record-breaking year. We enter 2026 with immense confidence, a record backlog, and a clear strategic roadmap. I am encouraged by what we have accomplished together and remain energized by the opportunities ahead.</w:t>
      </w:r>
    </w:p>
    <w:p>
      <w:pPr>
        <w:spacing w:after="0" w:line="263" w:lineRule="exact"/>
        <w:rPr>
          <w:sz w:val="20"/>
          <w:szCs w:val="20"/>
          <w:color w:val="auto"/>
        </w:rPr>
      </w:pPr>
    </w:p>
    <w:p>
      <w:pPr>
        <w:ind w:right="940"/>
        <w:spacing w:after="0" w:line="303" w:lineRule="auto"/>
        <w:rPr>
          <w:sz w:val="20"/>
          <w:szCs w:val="20"/>
          <w:color w:val="auto"/>
        </w:rPr>
      </w:pPr>
      <w:r>
        <w:rPr>
          <w:rFonts w:ascii="Arial" w:cs="Arial" w:eastAsia="Arial" w:hAnsi="Arial"/>
          <w:sz w:val="18"/>
          <w:szCs w:val="18"/>
          <w:color w:val="auto"/>
        </w:rPr>
        <w:t>Thank you for your trust, support, and belief in this team and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32455" cy="1633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3132455" cy="1633220"/>
                    </a:xfrm>
                    <a:prstGeom prst="rect">
                      <a:avLst/>
                    </a:prstGeom>
                    <a:noFill/>
                  </pic:spPr>
                </pic:pic>
              </a:graphicData>
            </a:graphic>
          </wp:anchor>
        </w:drawing>
      </w:r>
    </w:p>
    <w:p>
      <w:pPr>
        <w:spacing w:after="0" w:line="228"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Sincerely,</w:t>
      </w:r>
    </w:p>
    <w:p>
      <w:pPr>
        <w:spacing w:after="0" w:line="323" w:lineRule="exact"/>
        <w:rPr>
          <w:sz w:val="20"/>
          <w:szCs w:val="20"/>
          <w:color w:val="auto"/>
        </w:rPr>
      </w:pPr>
    </w:p>
    <w:p>
      <w:pPr>
        <w:sectPr>
          <w:pgSz w:w="11880" w:h="15480" w:orient="portrait"/>
          <w:cols w:equalWidth="0" w:num="2">
            <w:col w:w="4860" w:space="320"/>
            <w:col w:w="4900"/>
          </w:cols>
          <w:pgMar w:left="900" w:top="1084" w:right="900" w:bottom="0" w:gutter="0" w:footer="0" w:header="0"/>
          <w:type w:val="continuous"/>
        </w:sectPr>
      </w:pPr>
    </w:p>
    <w:p>
      <w:pPr>
        <w:ind w:right="2240"/>
        <w:spacing w:after="0" w:line="250" w:lineRule="auto"/>
        <w:rPr>
          <w:sz w:val="20"/>
          <w:szCs w:val="20"/>
          <w:color w:val="auto"/>
        </w:rPr>
      </w:pPr>
      <w:r>
        <w:rPr>
          <w:rFonts w:ascii="Arial" w:cs="Arial" w:eastAsia="Arial" w:hAnsi="Arial"/>
          <w:sz w:val="18"/>
          <w:szCs w:val="18"/>
          <w:color w:val="auto"/>
        </w:rPr>
        <w:t>As we look to 2026, CECO’s leadership will be defined by our bold advances in digital transformation and the deployment of next-generation technology. Furthermore, we are exceptionally well-positioned to capture the sustainable growth opportunities emerging in power generation, global infrastructure, industrial reshoring, digitization, and electrification – sectors where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solutions and expertise are increasingly in demand.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273D86"/>
        </w:rPr>
        <w:t>Todd R. Gleason</w:t>
      </w:r>
    </w:p>
    <w:p>
      <w:pPr>
        <w:spacing w:after="0" w:line="4" w:lineRule="exact"/>
        <w:rPr>
          <w:sz w:val="20"/>
          <w:szCs w:val="20"/>
          <w:color w:val="auto"/>
        </w:rPr>
      </w:pPr>
    </w:p>
    <w:p>
      <w:pPr>
        <w:ind w:right="140"/>
        <w:spacing w:after="0" w:line="290" w:lineRule="auto"/>
        <w:rPr>
          <w:sz w:val="20"/>
          <w:szCs w:val="20"/>
          <w:color w:val="auto"/>
        </w:rPr>
      </w:pPr>
      <w:r>
        <w:rPr>
          <w:rFonts w:ascii="Arial" w:cs="Arial" w:eastAsia="Arial" w:hAnsi="Arial"/>
          <w:sz w:val="20"/>
          <w:szCs w:val="20"/>
          <w:color w:val="auto"/>
        </w:rPr>
        <w:t>Chief Executive Officer CECO Environmental</w:t>
      </w:r>
    </w:p>
    <w:p>
      <w:pPr>
        <w:spacing w:after="0" w:line="636" w:lineRule="exact"/>
        <w:rPr>
          <w:sz w:val="20"/>
          <w:szCs w:val="20"/>
          <w:color w:val="auto"/>
        </w:rPr>
      </w:pPr>
    </w:p>
    <w:p>
      <w:pPr>
        <w:sectPr>
          <w:pgSz w:w="11880" w:h="15480" w:orient="portrait"/>
          <w:cols w:equalWidth="0" w:num="2">
            <w:col w:w="7100" w:space="720"/>
            <w:col w:w="2260"/>
          </w:cols>
          <w:pgMar w:left="900" w:top="1084" w:right="900" w:bottom="0" w:gutter="0" w:footer="0" w:header="0"/>
          <w:type w:val="continuous"/>
        </w:sectPr>
      </w:pPr>
    </w:p>
    <w:p>
      <w:pPr>
        <w:spacing w:after="0" w:line="112" w:lineRule="exact"/>
        <w:rPr>
          <w:sz w:val="20"/>
          <w:szCs w:val="20"/>
          <w:color w:val="auto"/>
        </w:rPr>
      </w:pPr>
    </w:p>
    <w:p>
      <w:pPr>
        <w:ind w:left="6400"/>
        <w:spacing w:after="0"/>
        <w:tabs>
          <w:tab w:leader="none" w:pos="9900" w:val="left"/>
        </w:tabs>
        <w:rPr>
          <w:sz w:val="20"/>
          <w:szCs w:val="20"/>
          <w:color w:val="auto"/>
        </w:rPr>
      </w:pPr>
      <w:r>
        <w:rPr>
          <w:rFonts w:ascii="Arial" w:cs="Arial" w:eastAsia="Arial" w:hAnsi="Arial"/>
          <w:sz w:val="16"/>
          <w:szCs w:val="16"/>
          <w:color w:val="666666"/>
        </w:rPr>
        <w:t>CECO Environmental | 2025 Annual Report</w:t>
      </w:r>
      <w:r>
        <w:rPr>
          <w:sz w:val="20"/>
          <w:szCs w:val="20"/>
          <w:color w:val="auto"/>
        </w:rPr>
        <w:tab/>
      </w:r>
      <w:r>
        <w:rPr>
          <w:rFonts w:ascii="Arial" w:cs="Arial" w:eastAsia="Arial" w:hAnsi="Arial"/>
          <w:sz w:val="24"/>
          <w:szCs w:val="24"/>
          <w:color w:val="auto"/>
        </w:rPr>
        <w:t>3</w:t>
      </w:r>
    </w:p>
    <w:p>
      <w:pPr>
        <w:spacing w:after="0" w:line="20" w:lineRule="exact"/>
        <w:rPr>
          <w:sz w:val="20"/>
          <w:szCs w:val="20"/>
          <w:color w:val="auto"/>
        </w:rPr>
      </w:pPr>
    </w:p>
    <w:p>
      <w:pPr>
        <w:sectPr>
          <w:pgSz w:w="11880" w:h="15480" w:orient="portrait"/>
          <w:cols w:equalWidth="0" w:num="1">
            <w:col w:w="10080"/>
          </w:cols>
          <w:pgMar w:left="900" w:top="1084" w:right="900" w:bottom="0" w:gutter="0" w:footer="0" w:header="0"/>
          <w:type w:val="continuous"/>
        </w:sectPr>
      </w:pPr>
    </w:p>
    <w:bookmarkStart w:id="5" w:name="page6"/>
    <w:bookmarkEnd w:id="5"/>
    <w:p>
      <w:pPr>
        <w:ind w:left="900" w:right="1380"/>
        <w:spacing w:after="0" w:line="231" w:lineRule="auto"/>
        <w:rPr>
          <w:sz w:val="20"/>
          <w:szCs w:val="20"/>
          <w:color w:val="auto"/>
        </w:rPr>
      </w:pPr>
      <w:r>
        <w:rPr>
          <w:rFonts w:ascii="Arial" w:cs="Arial" w:eastAsia="Arial" w:hAnsi="Arial"/>
          <w:sz w:val="76"/>
          <w:szCs w:val="76"/>
          <w:color w:val="273D86"/>
        </w:rPr>
        <w:t>A BALANCED, GLOBAL, SUSTAINABLE GROWTH-FOCUSED PORTFOLIO</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60" w:type="dxa"/>
            <w:vAlign w:val="bottom"/>
            <w:shd w:val="clear" w:color="auto" w:fill="E5EFF2"/>
          </w:tcPr>
          <w:p>
            <w:pPr>
              <w:ind w:left="900"/>
              <w:spacing w:after="0"/>
              <w:rPr>
                <w:sz w:val="20"/>
                <w:szCs w:val="20"/>
                <w:color w:val="auto"/>
              </w:rPr>
            </w:pPr>
            <w:r>
              <w:rPr>
                <w:rFonts w:ascii="Arial" w:cs="Arial" w:eastAsia="Arial" w:hAnsi="Arial"/>
                <w:sz w:val="14"/>
                <w:szCs w:val="14"/>
                <w:color w:val="auto"/>
              </w:rPr>
              <w:t>Full Year 2025 Performance</w:t>
            </w:r>
          </w:p>
        </w:tc>
        <w:tc>
          <w:tcPr>
            <w:tcW w:w="3640" w:type="dxa"/>
            <w:vAlign w:val="bottom"/>
            <w:shd w:val="clear" w:color="auto" w:fill="E5EFF2"/>
          </w:tcPr>
          <w:p>
            <w:pPr>
              <w:spacing w:after="0"/>
              <w:rPr>
                <w:sz w:val="24"/>
                <w:szCs w:val="24"/>
                <w:color w:val="auto"/>
              </w:rPr>
            </w:pPr>
          </w:p>
        </w:tc>
        <w:tc>
          <w:tcPr>
            <w:tcW w:w="4180" w:type="dxa"/>
            <w:vAlign w:val="bottom"/>
            <w:shd w:val="clear" w:color="auto" w:fill="E5EFF2"/>
          </w:tcPr>
          <w:p>
            <w:pPr>
              <w:spacing w:after="0"/>
              <w:rPr>
                <w:sz w:val="24"/>
                <w:szCs w:val="24"/>
                <w:color w:val="auto"/>
              </w:rPr>
            </w:pPr>
          </w:p>
        </w:tc>
      </w:tr>
      <w:tr>
        <w:trPr>
          <w:trHeight w:val="302"/>
        </w:trPr>
        <w:tc>
          <w:tcPr>
            <w:tcW w:w="4060" w:type="dxa"/>
            <w:vAlign w:val="bottom"/>
            <w:shd w:val="clear" w:color="auto" w:fill="E5EFF2"/>
          </w:tcPr>
          <w:p>
            <w:pPr>
              <w:ind w:left="900"/>
              <w:spacing w:after="0"/>
              <w:rPr>
                <w:sz w:val="20"/>
                <w:szCs w:val="20"/>
                <w:color w:val="auto"/>
              </w:rPr>
            </w:pPr>
            <w:r>
              <w:rPr>
                <w:rFonts w:ascii="Arial" w:cs="Arial" w:eastAsia="Arial" w:hAnsi="Arial"/>
                <w:sz w:val="22"/>
                <w:szCs w:val="22"/>
                <w:color w:val="77A527"/>
              </w:rPr>
              <w:t>Orders</w:t>
            </w:r>
          </w:p>
        </w:tc>
        <w:tc>
          <w:tcPr>
            <w:tcW w:w="3640" w:type="dxa"/>
            <w:vAlign w:val="bottom"/>
            <w:shd w:val="clear" w:color="auto" w:fill="E5EFF2"/>
          </w:tcPr>
          <w:p>
            <w:pPr>
              <w:ind w:left="460"/>
              <w:spacing w:after="0"/>
              <w:rPr>
                <w:sz w:val="20"/>
                <w:szCs w:val="20"/>
                <w:color w:val="auto"/>
              </w:rPr>
            </w:pPr>
            <w:r>
              <w:rPr>
                <w:rFonts w:ascii="Arial" w:cs="Arial" w:eastAsia="Arial" w:hAnsi="Arial"/>
                <w:sz w:val="22"/>
                <w:szCs w:val="22"/>
                <w:color w:val="14256B"/>
              </w:rPr>
              <w:t>Revenue</w:t>
            </w:r>
          </w:p>
        </w:tc>
        <w:tc>
          <w:tcPr>
            <w:tcW w:w="4180" w:type="dxa"/>
            <w:vAlign w:val="bottom"/>
            <w:shd w:val="clear" w:color="auto" w:fill="E5EFF2"/>
          </w:tcPr>
          <w:p>
            <w:pPr>
              <w:ind w:left="220"/>
              <w:spacing w:after="0"/>
              <w:rPr>
                <w:sz w:val="20"/>
                <w:szCs w:val="20"/>
                <w:color w:val="auto"/>
              </w:rPr>
            </w:pPr>
            <w:r>
              <w:rPr>
                <w:rFonts w:ascii="Arial" w:cs="Arial" w:eastAsia="Arial" w:hAnsi="Arial"/>
                <w:sz w:val="22"/>
                <w:szCs w:val="22"/>
                <w:color w:val="3B6FA0"/>
              </w:rPr>
              <w:t>Adj EBITDA</w:t>
            </w:r>
          </w:p>
        </w:tc>
      </w:tr>
      <w:tr>
        <w:trPr>
          <w:trHeight w:val="680"/>
        </w:trPr>
        <w:tc>
          <w:tcPr>
            <w:tcW w:w="4060" w:type="dxa"/>
            <w:vAlign w:val="bottom"/>
            <w:shd w:val="clear" w:color="auto" w:fill="E5EFF2"/>
          </w:tcPr>
          <w:p>
            <w:pPr>
              <w:ind w:left="900"/>
              <w:spacing w:after="0"/>
              <w:rPr>
                <w:sz w:val="20"/>
                <w:szCs w:val="20"/>
                <w:color w:val="auto"/>
              </w:rPr>
            </w:pPr>
            <w:r>
              <w:rPr>
                <w:rFonts w:ascii="Arial" w:cs="Arial" w:eastAsia="Arial" w:hAnsi="Arial"/>
                <w:sz w:val="36"/>
                <w:szCs w:val="36"/>
                <w:color w:val="77A527"/>
              </w:rPr>
              <w:t>$1.06B / +59%</w:t>
            </w:r>
            <w:r>
              <w:rPr>
                <w:rFonts w:ascii="Arial" w:cs="Arial" w:eastAsia="Arial" w:hAnsi="Arial"/>
                <w:sz w:val="41"/>
                <w:szCs w:val="41"/>
                <w:color w:val="77A527"/>
                <w:vertAlign w:val="superscript"/>
              </w:rPr>
              <w:t>YoY</w:t>
            </w:r>
          </w:p>
        </w:tc>
        <w:tc>
          <w:tcPr>
            <w:tcW w:w="3640" w:type="dxa"/>
            <w:vAlign w:val="bottom"/>
            <w:shd w:val="clear" w:color="auto" w:fill="E5EFF2"/>
          </w:tcPr>
          <w:p>
            <w:pPr>
              <w:ind w:left="460"/>
              <w:spacing w:after="0"/>
              <w:rPr>
                <w:sz w:val="20"/>
                <w:szCs w:val="20"/>
                <w:color w:val="auto"/>
              </w:rPr>
            </w:pPr>
            <w:r>
              <w:rPr>
                <w:rFonts w:ascii="Arial" w:cs="Arial" w:eastAsia="Arial" w:hAnsi="Arial"/>
                <w:sz w:val="40"/>
                <w:szCs w:val="40"/>
                <w:color w:val="14256B"/>
              </w:rPr>
              <w:t xml:space="preserve">$774M </w:t>
            </w:r>
            <w:r>
              <w:rPr>
                <w:rFonts w:ascii="Arial" w:cs="Arial" w:eastAsia="Arial" w:hAnsi="Arial"/>
                <w:sz w:val="36"/>
                <w:szCs w:val="36"/>
                <w:color w:val="14256B"/>
              </w:rPr>
              <w:t>/</w:t>
            </w:r>
            <w:r>
              <w:rPr>
                <w:rFonts w:ascii="Arial" w:cs="Arial" w:eastAsia="Arial" w:hAnsi="Arial"/>
                <w:sz w:val="40"/>
                <w:szCs w:val="40"/>
                <w:color w:val="14256B"/>
              </w:rPr>
              <w:t xml:space="preserve"> +39%</w:t>
            </w:r>
            <w:r>
              <w:rPr>
                <w:rFonts w:ascii="Arial" w:cs="Arial" w:eastAsia="Arial" w:hAnsi="Arial"/>
                <w:sz w:val="46"/>
                <w:szCs w:val="46"/>
                <w:color w:val="14256B"/>
                <w:vertAlign w:val="superscript"/>
              </w:rPr>
              <w:t>YoY</w:t>
            </w:r>
          </w:p>
        </w:tc>
        <w:tc>
          <w:tcPr>
            <w:tcW w:w="4180" w:type="dxa"/>
            <w:vAlign w:val="bottom"/>
            <w:shd w:val="clear" w:color="auto" w:fill="E5EFF2"/>
          </w:tcPr>
          <w:p>
            <w:pPr>
              <w:ind w:left="220"/>
              <w:spacing w:after="0"/>
              <w:rPr>
                <w:sz w:val="20"/>
                <w:szCs w:val="20"/>
                <w:color w:val="auto"/>
              </w:rPr>
            </w:pPr>
            <w:r>
              <w:rPr>
                <w:rFonts w:ascii="Arial" w:cs="Arial" w:eastAsia="Arial" w:hAnsi="Arial"/>
                <w:sz w:val="40"/>
                <w:szCs w:val="40"/>
                <w:color w:val="3B6FA0"/>
              </w:rPr>
              <w:t xml:space="preserve">$90M </w:t>
            </w:r>
            <w:r>
              <w:rPr>
                <w:rFonts w:ascii="Arial" w:cs="Arial" w:eastAsia="Arial" w:hAnsi="Arial"/>
                <w:sz w:val="36"/>
                <w:szCs w:val="36"/>
                <w:color w:val="3B6FA0"/>
              </w:rPr>
              <w:t>/</w:t>
            </w:r>
            <w:r>
              <w:rPr>
                <w:rFonts w:ascii="Arial" w:cs="Arial" w:eastAsia="Arial" w:hAnsi="Arial"/>
                <w:sz w:val="40"/>
                <w:szCs w:val="40"/>
                <w:color w:val="3B6FA0"/>
              </w:rPr>
              <w:t xml:space="preserve"> +44%</w:t>
            </w:r>
            <w:r>
              <w:rPr>
                <w:rFonts w:ascii="Arial" w:cs="Arial" w:eastAsia="Arial" w:hAnsi="Arial"/>
                <w:sz w:val="46"/>
                <w:szCs w:val="46"/>
                <w:color w:val="3B6FA0"/>
                <w:vertAlign w:val="superscript"/>
              </w:rPr>
              <w:t>YoY</w:t>
            </w:r>
          </w:p>
        </w:tc>
      </w:tr>
    </w:tbl>
    <w:p>
      <w:pPr>
        <w:spacing w:after="0" w:line="193" w:lineRule="exact"/>
        <w:rPr>
          <w:sz w:val="20"/>
          <w:szCs w:val="20"/>
          <w:color w:val="auto"/>
        </w:rPr>
      </w:pPr>
    </w:p>
    <w:p>
      <w:pPr>
        <w:sectPr>
          <w:pgSz w:w="11880" w:h="15480" w:orient="portrait"/>
          <w:cols w:equalWidth="0" w:num="1">
            <w:col w:w="11880"/>
          </w:cols>
          <w:pgMar w:left="0" w:top="623" w:right="0" w:bottom="0" w:gutter="0" w:footer="0" w:header="0"/>
        </w:sectPr>
      </w:pPr>
    </w:p>
    <w:p>
      <w:pPr>
        <w:ind w:left="900"/>
        <w:spacing w:after="0"/>
        <w:rPr>
          <w:sz w:val="20"/>
          <w:szCs w:val="20"/>
          <w:color w:val="auto"/>
        </w:rPr>
      </w:pPr>
      <w:r>
        <w:rPr>
          <w:rFonts w:ascii="Arial" w:cs="Arial" w:eastAsia="Arial" w:hAnsi="Arial"/>
          <w:sz w:val="26"/>
          <w:szCs w:val="26"/>
          <w:color w:val="273D86"/>
        </w:rPr>
        <w:t>Balanced End Market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115570</wp:posOffset>
            </wp:positionV>
            <wp:extent cx="1751965" cy="1758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1751965" cy="1758315"/>
                    </a:xfrm>
                    <a:prstGeom prst="rect">
                      <a:avLst/>
                    </a:prstGeom>
                    <a:noFill/>
                  </pic:spPr>
                </pic:pic>
              </a:graphicData>
            </a:graphic>
          </wp:anchor>
        </w:drawing>
      </w:r>
    </w:p>
    <w:p>
      <w:pPr>
        <w:spacing w:after="0" w:line="269" w:lineRule="exact"/>
        <w:rPr>
          <w:sz w:val="20"/>
          <w:szCs w:val="20"/>
          <w:color w:val="auto"/>
        </w:rPr>
      </w:pPr>
    </w:p>
    <w:tbl>
      <w:tblPr>
        <w:tblLayout w:type="fixed"/>
        <w:tblInd w:w="900" w:type="dxa"/>
        <w:tblCellMar>
          <w:top w:w="0" w:type="dxa"/>
          <w:left w:w="0" w:type="dxa"/>
          <w:bottom w:w="0" w:type="dxa"/>
          <w:right w:w="0" w:type="dxa"/>
        </w:tblCellMar>
      </w:tblPr>
      <w:tr>
        <w:trPr>
          <w:trHeight w:val="325"/>
        </w:trPr>
        <w:tc>
          <w:tcPr>
            <w:tcW w:w="2380" w:type="dxa"/>
            <w:vAlign w:val="bottom"/>
          </w:tcPr>
          <w:p>
            <w:pPr>
              <w:spacing w:after="0"/>
              <w:rPr>
                <w:sz w:val="20"/>
                <w:szCs w:val="20"/>
                <w:color w:val="auto"/>
              </w:rPr>
            </w:pPr>
            <w:r>
              <w:rPr>
                <w:rFonts w:ascii="Arial" w:cs="Arial" w:eastAsia="Arial" w:hAnsi="Arial"/>
                <w:sz w:val="28"/>
                <w:szCs w:val="28"/>
                <w:color w:val="14256B"/>
              </w:rPr>
              <w:t>~35% of orders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0"/>
                <w:szCs w:val="20"/>
                <w:color w:val="auto"/>
              </w:rPr>
            </w:pPr>
            <w:r>
              <w:rPr>
                <w:rFonts w:ascii="Arial" w:cs="Arial" w:eastAsia="Arial" w:hAnsi="Arial"/>
                <w:sz w:val="18"/>
                <w:szCs w:val="18"/>
                <w:color w:val="14256B"/>
              </w:rPr>
              <w:t>outside the United States</w:t>
            </w:r>
          </w:p>
        </w:tc>
        <w:tc>
          <w:tcPr>
            <w:tcW w:w="1380" w:type="dxa"/>
            <w:vAlign w:val="bottom"/>
            <w:vMerge w:val="restart"/>
          </w:tcPr>
          <w:p>
            <w:pPr>
              <w:jc w:val="center"/>
              <w:ind w:right="25"/>
              <w:spacing w:after="0"/>
              <w:rPr>
                <w:sz w:val="20"/>
                <w:szCs w:val="20"/>
                <w:color w:val="auto"/>
              </w:rPr>
            </w:pPr>
            <w:r>
              <w:rPr>
                <w:rFonts w:ascii="Arial" w:cs="Arial" w:eastAsia="Arial" w:hAnsi="Arial"/>
                <w:sz w:val="19"/>
                <w:szCs w:val="19"/>
                <w:color w:val="FFFFFF"/>
              </w:rPr>
              <w:t>25%</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3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380" w:type="dxa"/>
            <w:vAlign w:val="bottom"/>
            <w:vMerge w:val="restart"/>
          </w:tcPr>
          <w:p>
            <w:pPr>
              <w:spacing w:after="0"/>
              <w:rPr>
                <w:sz w:val="20"/>
                <w:szCs w:val="20"/>
                <w:color w:val="auto"/>
              </w:rPr>
            </w:pPr>
            <w:r>
              <w:rPr>
                <w:rFonts w:ascii="Arial" w:cs="Arial" w:eastAsia="Arial" w:hAnsi="Arial"/>
                <w:sz w:val="18"/>
                <w:szCs w:val="18"/>
                <w:color w:val="14256B"/>
              </w:rPr>
              <w:t>No one single customer</w:t>
            </w:r>
          </w:p>
        </w:tc>
        <w:tc>
          <w:tcPr>
            <w:tcW w:w="1380" w:type="dxa"/>
            <w:vAlign w:val="bottom"/>
          </w:tcPr>
          <w:p>
            <w:pPr>
              <w:jc w:val="center"/>
              <w:ind w:right="25"/>
              <w:spacing w:after="0" w:line="209" w:lineRule="exact"/>
              <w:rPr>
                <w:sz w:val="20"/>
                <w:szCs w:val="20"/>
                <w:color w:val="auto"/>
              </w:rPr>
            </w:pPr>
            <w:r>
              <w:rPr>
                <w:rFonts w:ascii="Arial" w:cs="Arial" w:eastAsia="Arial" w:hAnsi="Arial"/>
                <w:sz w:val="19"/>
                <w:szCs w:val="19"/>
                <w:color w:val="FFFFFF"/>
              </w:rPr>
              <w:t>Industrial</w:t>
            </w:r>
          </w:p>
        </w:tc>
        <w:tc>
          <w:tcPr>
            <w:tcW w:w="1040" w:type="dxa"/>
            <w:vAlign w:val="bottom"/>
            <w:vMerge w:val="restart"/>
          </w:tcPr>
          <w:p>
            <w:pPr>
              <w:jc w:val="center"/>
              <w:spacing w:after="0"/>
              <w:rPr>
                <w:sz w:val="20"/>
                <w:szCs w:val="20"/>
                <w:color w:val="auto"/>
              </w:rPr>
            </w:pPr>
            <w:r>
              <w:rPr>
                <w:rFonts w:ascii="Arial" w:cs="Arial" w:eastAsia="Arial" w:hAnsi="Arial"/>
                <w:sz w:val="19"/>
                <w:szCs w:val="19"/>
                <w:color w:val="FFFFFF"/>
              </w:rPr>
              <w:t>40%</w:t>
            </w:r>
          </w:p>
        </w:tc>
        <w:tc>
          <w:tcPr>
            <w:tcW w:w="0" w:type="dxa"/>
            <w:vAlign w:val="bottom"/>
          </w:tcPr>
          <w:p>
            <w:pPr>
              <w:spacing w:after="0"/>
              <w:rPr>
                <w:sz w:val="1"/>
                <w:szCs w:val="1"/>
                <w:color w:val="auto"/>
              </w:rPr>
            </w:pPr>
          </w:p>
        </w:tc>
      </w:tr>
      <w:tr>
        <w:trPr>
          <w:trHeight w:val="101"/>
        </w:trPr>
        <w:tc>
          <w:tcPr>
            <w:tcW w:w="2380" w:type="dxa"/>
            <w:vAlign w:val="bottom"/>
            <w:vMerge w:val="continue"/>
          </w:tcPr>
          <w:p>
            <w:pPr>
              <w:spacing w:after="0"/>
              <w:rPr>
                <w:sz w:val="8"/>
                <w:szCs w:val="8"/>
                <w:color w:val="auto"/>
              </w:rPr>
            </w:pPr>
          </w:p>
        </w:tc>
        <w:tc>
          <w:tcPr>
            <w:tcW w:w="1380" w:type="dxa"/>
            <w:vAlign w:val="bottom"/>
            <w:vMerge w:val="restart"/>
          </w:tcPr>
          <w:p>
            <w:pPr>
              <w:jc w:val="center"/>
              <w:ind w:right="25"/>
              <w:spacing w:after="0" w:line="207" w:lineRule="exact"/>
              <w:rPr>
                <w:sz w:val="20"/>
                <w:szCs w:val="20"/>
                <w:color w:val="auto"/>
              </w:rPr>
            </w:pPr>
            <w:r>
              <w:rPr>
                <w:rFonts w:ascii="Arial" w:cs="Arial" w:eastAsia="Arial" w:hAnsi="Arial"/>
                <w:sz w:val="19"/>
                <w:szCs w:val="19"/>
                <w:color w:val="FFFFFF"/>
              </w:rPr>
              <w:t>Water</w:t>
            </w: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vMerge w:val="restart"/>
          </w:tcPr>
          <w:p>
            <w:pPr>
              <w:jc w:val="center"/>
              <w:spacing w:after="0" w:line="209" w:lineRule="exact"/>
              <w:rPr>
                <w:sz w:val="20"/>
                <w:szCs w:val="20"/>
                <w:color w:val="auto"/>
              </w:rPr>
            </w:pPr>
            <w:r>
              <w:rPr>
                <w:rFonts w:ascii="Arial" w:cs="Arial" w:eastAsia="Arial" w:hAnsi="Arial"/>
                <w:sz w:val="19"/>
                <w:szCs w:val="19"/>
                <w:color w:val="FFFFFF"/>
              </w:rPr>
              <w:t>Energy</w:t>
            </w:r>
          </w:p>
        </w:tc>
        <w:tc>
          <w:tcPr>
            <w:tcW w:w="0" w:type="dxa"/>
            <w:vAlign w:val="bottom"/>
          </w:tcPr>
          <w:p>
            <w:pPr>
              <w:spacing w:after="0"/>
              <w:rPr>
                <w:sz w:val="1"/>
                <w:szCs w:val="1"/>
                <w:color w:val="auto"/>
              </w:rPr>
            </w:pPr>
          </w:p>
        </w:tc>
      </w:tr>
      <w:tr>
        <w:trPr>
          <w:trHeight w:val="102"/>
        </w:trPr>
        <w:tc>
          <w:tcPr>
            <w:tcW w:w="2380" w:type="dxa"/>
            <w:vAlign w:val="bottom"/>
            <w:vMerge w:val="restart"/>
          </w:tcPr>
          <w:p>
            <w:pPr>
              <w:spacing w:after="0"/>
              <w:rPr>
                <w:sz w:val="20"/>
                <w:szCs w:val="20"/>
                <w:color w:val="auto"/>
              </w:rPr>
            </w:pPr>
            <w:r>
              <w:rPr>
                <w:rFonts w:ascii="Arial" w:cs="Arial" w:eastAsia="Arial" w:hAnsi="Arial"/>
                <w:sz w:val="28"/>
                <w:szCs w:val="28"/>
                <w:color w:val="14256B"/>
              </w:rPr>
              <w:t>greater than</w:t>
            </w:r>
          </w:p>
        </w:tc>
        <w:tc>
          <w:tcPr>
            <w:tcW w:w="13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3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9"/>
                <w:szCs w:val="19"/>
                <w:color w:val="FFFFFF"/>
              </w:rPr>
              <w:t>Transition</w:t>
            </w:r>
          </w:p>
        </w:tc>
        <w:tc>
          <w:tcPr>
            <w:tcW w:w="0" w:type="dxa"/>
            <w:vAlign w:val="bottom"/>
          </w:tcPr>
          <w:p>
            <w:pPr>
              <w:spacing w:after="0"/>
              <w:rPr>
                <w:sz w:val="1"/>
                <w:szCs w:val="1"/>
                <w:color w:val="auto"/>
              </w:rPr>
            </w:pPr>
          </w:p>
        </w:tc>
      </w:tr>
      <w:tr>
        <w:trPr>
          <w:trHeight w:val="374"/>
        </w:trPr>
        <w:tc>
          <w:tcPr>
            <w:tcW w:w="2380" w:type="dxa"/>
            <w:vAlign w:val="bottom"/>
          </w:tcPr>
          <w:p>
            <w:pPr>
              <w:spacing w:after="0"/>
              <w:rPr>
                <w:sz w:val="20"/>
                <w:szCs w:val="20"/>
                <w:color w:val="auto"/>
              </w:rPr>
            </w:pPr>
            <w:r>
              <w:rPr>
                <w:rFonts w:ascii="Arial" w:cs="Arial" w:eastAsia="Arial" w:hAnsi="Arial"/>
                <w:sz w:val="28"/>
                <w:szCs w:val="28"/>
                <w:color w:val="14256B"/>
              </w:rPr>
              <w:t>10% of revenue</w:t>
            </w:r>
          </w:p>
        </w:tc>
        <w:tc>
          <w:tcPr>
            <w:tcW w:w="1380" w:type="dxa"/>
            <w:vAlign w:val="bottom"/>
          </w:tcPr>
          <w:p>
            <w:pPr>
              <w:jc w:val="center"/>
              <w:ind w:left="205"/>
              <w:spacing w:after="0"/>
              <w:rPr>
                <w:sz w:val="20"/>
                <w:szCs w:val="20"/>
                <w:color w:val="auto"/>
              </w:rPr>
            </w:pPr>
            <w:r>
              <w:rPr>
                <w:rFonts w:ascii="Arial" w:cs="Arial" w:eastAsia="Arial" w:hAnsi="Arial"/>
                <w:sz w:val="19"/>
                <w:szCs w:val="19"/>
                <w:color w:val="FFFFFF"/>
              </w:rPr>
              <w:t>35%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380" w:type="dxa"/>
            <w:vAlign w:val="bottom"/>
          </w:tcPr>
          <w:p>
            <w:pPr>
              <w:jc w:val="center"/>
              <w:ind w:left="185"/>
              <w:spacing w:after="0" w:line="209" w:lineRule="exact"/>
              <w:rPr>
                <w:sz w:val="20"/>
                <w:szCs w:val="20"/>
                <w:color w:val="auto"/>
              </w:rPr>
            </w:pPr>
            <w:r>
              <w:rPr>
                <w:rFonts w:ascii="Arial" w:cs="Arial" w:eastAsia="Arial" w:hAnsi="Arial"/>
                <w:sz w:val="19"/>
                <w:szCs w:val="19"/>
                <w:color w:val="FFFFFF"/>
              </w:rPr>
              <w:t>Industrial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2380" w:type="dxa"/>
            <w:vAlign w:val="bottom"/>
          </w:tcPr>
          <w:p>
            <w:pPr>
              <w:spacing w:after="0"/>
              <w:rPr>
                <w:sz w:val="20"/>
                <w:szCs w:val="20"/>
                <w:color w:val="auto"/>
              </w:rPr>
            </w:pPr>
            <w:r>
              <w:rPr>
                <w:rFonts w:ascii="Arial" w:cs="Arial" w:eastAsia="Arial" w:hAnsi="Arial"/>
                <w:sz w:val="28"/>
                <w:szCs w:val="28"/>
                <w:color w:val="14256B"/>
              </w:rPr>
              <w:t>~20% of sales</w:t>
            </w:r>
          </w:p>
        </w:tc>
        <w:tc>
          <w:tcPr>
            <w:tcW w:w="1380" w:type="dxa"/>
            <w:vAlign w:val="bottom"/>
          </w:tcPr>
          <w:p>
            <w:pPr>
              <w:jc w:val="center"/>
              <w:ind w:left="205"/>
              <w:spacing w:after="0"/>
              <w:rPr>
                <w:sz w:val="20"/>
                <w:szCs w:val="20"/>
                <w:color w:val="auto"/>
              </w:rPr>
            </w:pPr>
            <w:r>
              <w:rPr>
                <w:rFonts w:ascii="Arial" w:cs="Arial" w:eastAsia="Arial" w:hAnsi="Arial"/>
                <w:sz w:val="19"/>
                <w:szCs w:val="19"/>
                <w:color w:val="FFFFFF"/>
              </w:rPr>
              <w:t>Air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0" w:lineRule="exact"/>
              <w:rPr>
                <w:sz w:val="20"/>
                <w:szCs w:val="20"/>
                <w:color w:val="auto"/>
              </w:rPr>
            </w:pPr>
            <w:r>
              <w:rPr>
                <w:rFonts w:ascii="Arial" w:cs="Arial" w:eastAsia="Arial" w:hAnsi="Arial"/>
                <w:sz w:val="18"/>
                <w:szCs w:val="18"/>
                <w:color w:val="14256B"/>
              </w:rPr>
              <w:t>short-cycle or</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0"/>
                <w:szCs w:val="20"/>
                <w:color w:val="auto"/>
              </w:rPr>
            </w:pPr>
            <w:r>
              <w:rPr>
                <w:rFonts w:ascii="Arial" w:cs="Arial" w:eastAsia="Arial" w:hAnsi="Arial"/>
                <w:sz w:val="18"/>
                <w:szCs w:val="18"/>
                <w:color w:val="14256B"/>
              </w:rPr>
              <w:t>recurring revenue</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571500</wp:posOffset>
                </wp:positionH>
                <wp:positionV relativeFrom="paragraph">
                  <wp:posOffset>192405</wp:posOffset>
                </wp:positionV>
                <wp:extent cx="64008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CCCCCC"/>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15.15pt" to="549pt,15.15pt" o:allowincell="f" strokecolor="#CCCCCC" strokeweight="1pt"/>
            </w:pict>
          </mc:Fallback>
        </mc:AlternateConten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26"/>
          <w:szCs w:val="26"/>
          <w:color w:val="273D86"/>
        </w:rPr>
        <w:t>Balanced Revenue Source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-247015</wp:posOffset>
                </wp:positionH>
                <wp:positionV relativeFrom="paragraph">
                  <wp:posOffset>-129540</wp:posOffset>
                </wp:positionV>
                <wp:extent cx="0" cy="205041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50415"/>
                        </a:xfrm>
                        <a:prstGeom prst="line">
                          <a:avLst/>
                        </a:prstGeom>
                        <a:solidFill>
                          <a:srgbClr val="FFFFFF"/>
                        </a:solidFill>
                        <a:ln w="12700">
                          <a:solidFill>
                            <a:srgbClr val="CCCCCC"/>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499pt,-10.1999pt" to="-19.4499pt,151.25pt" o:allowincell="f" strokecolor="#CCCCCC" strokeweight="1pt"/>
            </w:pict>
          </mc:Fallback>
        </mc:AlternateContent>
      </w:r>
    </w:p>
    <w:p>
      <w:pPr>
        <w:spacing w:after="0" w:line="29" w:lineRule="exact"/>
        <w:rPr>
          <w:sz w:val="20"/>
          <w:szCs w:val="20"/>
          <w:color w:val="auto"/>
        </w:rPr>
      </w:pPr>
    </w:p>
    <w:p>
      <w:pPr>
        <w:ind w:left="40"/>
        <w:spacing w:after="0"/>
        <w:rPr>
          <w:sz w:val="20"/>
          <w:szCs w:val="20"/>
          <w:color w:val="auto"/>
        </w:rPr>
      </w:pPr>
      <w:r>
        <w:rPr>
          <w:rFonts w:ascii="Arial" w:cs="Arial" w:eastAsia="Arial" w:hAnsi="Arial"/>
          <w:sz w:val="21"/>
          <w:szCs w:val="21"/>
          <w:color w:val="77A527"/>
        </w:rPr>
        <w:t>MIX OF REVENUE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220" w:type="dxa"/>
            <w:vAlign w:val="bottom"/>
            <w:vMerge w:val="restart"/>
          </w:tcPr>
          <w:p>
            <w:pPr>
              <w:ind w:left="820"/>
              <w:spacing w:after="0"/>
              <w:rPr>
                <w:sz w:val="20"/>
                <w:szCs w:val="20"/>
                <w:color w:val="auto"/>
              </w:rPr>
            </w:pPr>
            <w:r>
              <w:rPr>
                <w:rFonts w:ascii="Arial" w:cs="Arial" w:eastAsia="Arial" w:hAnsi="Arial"/>
                <w:sz w:val="34"/>
                <w:szCs w:val="34"/>
                <w:color w:val="273D86"/>
              </w:rPr>
              <w:t>%</w:t>
            </w:r>
          </w:p>
        </w:tc>
        <w:tc>
          <w:tcPr>
            <w:tcW w:w="3140" w:type="dxa"/>
            <w:vAlign w:val="bottom"/>
          </w:tcPr>
          <w:p>
            <w:pPr>
              <w:ind w:left="100"/>
              <w:spacing w:after="0"/>
              <w:rPr>
                <w:sz w:val="20"/>
                <w:szCs w:val="20"/>
                <w:color w:val="auto"/>
              </w:rPr>
            </w:pPr>
            <w:r>
              <w:rPr>
                <w:rFonts w:ascii="Arial" w:cs="Arial" w:eastAsia="Arial" w:hAnsi="Arial"/>
                <w:sz w:val="20"/>
                <w:szCs w:val="20"/>
                <w:color w:val="auto"/>
              </w:rPr>
              <w:t>of Sales from Aftermarket,</w:t>
            </w:r>
          </w:p>
        </w:tc>
        <w:tc>
          <w:tcPr>
            <w:tcW w:w="0" w:type="dxa"/>
            <w:vAlign w:val="bottom"/>
          </w:tcPr>
          <w:p>
            <w:pPr>
              <w:spacing w:after="0"/>
              <w:rPr>
                <w:sz w:val="1"/>
                <w:szCs w:val="1"/>
                <w:color w:val="auto"/>
              </w:rPr>
            </w:pPr>
          </w:p>
        </w:tc>
      </w:tr>
      <w:tr>
        <w:trPr>
          <w:trHeight w:val="218"/>
        </w:trPr>
        <w:tc>
          <w:tcPr>
            <w:tcW w:w="1220" w:type="dxa"/>
            <w:vAlign w:val="bottom"/>
            <w:vMerge w:val="continue"/>
          </w:tcPr>
          <w:p>
            <w:pPr>
              <w:spacing w:after="0"/>
              <w:rPr>
                <w:sz w:val="18"/>
                <w:szCs w:val="18"/>
                <w:color w:val="auto"/>
              </w:rPr>
            </w:pPr>
          </w:p>
        </w:tc>
        <w:tc>
          <w:tcPr>
            <w:tcW w:w="3140" w:type="dxa"/>
            <w:vAlign w:val="bottom"/>
          </w:tcPr>
          <w:p>
            <w:pPr>
              <w:ind w:left="100"/>
              <w:spacing w:after="0" w:line="218" w:lineRule="exact"/>
              <w:rPr>
                <w:sz w:val="20"/>
                <w:szCs w:val="20"/>
                <w:color w:val="auto"/>
              </w:rPr>
            </w:pPr>
            <w:r>
              <w:rPr>
                <w:rFonts w:ascii="Arial" w:cs="Arial" w:eastAsia="Arial" w:hAnsi="Arial"/>
                <w:sz w:val="20"/>
                <w:szCs w:val="20"/>
                <w:color w:val="auto"/>
              </w:rPr>
              <w:t>Services and Standard Product /</w:t>
            </w:r>
          </w:p>
        </w:tc>
        <w:tc>
          <w:tcPr>
            <w:tcW w:w="0" w:type="dxa"/>
            <w:vAlign w:val="bottom"/>
          </w:tcPr>
          <w:p>
            <w:pPr>
              <w:spacing w:after="0"/>
              <w:rPr>
                <w:sz w:val="1"/>
                <w:szCs w:val="1"/>
                <w:color w:val="auto"/>
              </w:rPr>
            </w:pPr>
          </w:p>
        </w:tc>
      </w:tr>
      <w:tr>
        <w:trPr>
          <w:trHeight w:val="489"/>
        </w:trPr>
        <w:tc>
          <w:tcPr>
            <w:tcW w:w="1220" w:type="dxa"/>
            <w:vAlign w:val="bottom"/>
          </w:tcPr>
          <w:p>
            <w:pPr>
              <w:ind w:left="40"/>
              <w:spacing w:after="0" w:line="489" w:lineRule="exact"/>
              <w:rPr>
                <w:sz w:val="20"/>
                <w:szCs w:val="20"/>
                <w:color w:val="auto"/>
              </w:rPr>
            </w:pPr>
            <w:r>
              <w:rPr>
                <w:rFonts w:ascii="Arial" w:cs="Arial" w:eastAsia="Arial" w:hAnsi="Arial"/>
                <w:sz w:val="56"/>
                <w:szCs w:val="56"/>
                <w:color w:val="273D86"/>
              </w:rPr>
              <w:t>20</w:t>
            </w:r>
          </w:p>
        </w:tc>
        <w:tc>
          <w:tcPr>
            <w:tcW w:w="3140" w:type="dxa"/>
            <w:vAlign w:val="bottom"/>
          </w:tcPr>
          <w:p>
            <w:pPr>
              <w:ind w:left="100"/>
              <w:spacing w:after="0"/>
              <w:rPr>
                <w:sz w:val="20"/>
                <w:szCs w:val="20"/>
                <w:color w:val="auto"/>
              </w:rPr>
            </w:pPr>
            <w:r>
              <w:rPr>
                <w:rFonts w:ascii="Arial" w:cs="Arial" w:eastAsia="Arial" w:hAnsi="Arial"/>
                <w:sz w:val="20"/>
                <w:szCs w:val="20"/>
                <w:color w:val="auto"/>
              </w:rPr>
              <w:t>Quick Shipment Sales</w:t>
            </w:r>
          </w:p>
        </w:tc>
        <w:tc>
          <w:tcPr>
            <w:tcW w:w="0" w:type="dxa"/>
            <w:vAlign w:val="bottom"/>
          </w:tcPr>
          <w:p>
            <w:pPr>
              <w:spacing w:after="0"/>
              <w:rPr>
                <w:sz w:val="1"/>
                <w:szCs w:val="1"/>
                <w:color w:val="auto"/>
              </w:rPr>
            </w:pPr>
          </w:p>
        </w:tc>
      </w:tr>
      <w:tr>
        <w:trPr>
          <w:trHeight w:val="240"/>
        </w:trPr>
        <w:tc>
          <w:tcPr>
            <w:tcW w:w="1220" w:type="dxa"/>
            <w:vAlign w:val="bottom"/>
            <w:vMerge w:val="restart"/>
          </w:tcPr>
          <w:p>
            <w:pPr>
              <w:ind w:left="760"/>
              <w:spacing w:after="0"/>
              <w:rPr>
                <w:sz w:val="20"/>
                <w:szCs w:val="20"/>
                <w:color w:val="auto"/>
              </w:rPr>
            </w:pPr>
            <w:r>
              <w:rPr>
                <w:rFonts w:ascii="Arial" w:cs="Arial" w:eastAsia="Arial" w:hAnsi="Arial"/>
                <w:sz w:val="34"/>
                <w:szCs w:val="34"/>
                <w:color w:val="273D86"/>
              </w:rPr>
              <w:t>%</w:t>
            </w:r>
          </w:p>
        </w:tc>
        <w:tc>
          <w:tcPr>
            <w:tcW w:w="3140" w:type="dxa"/>
            <w:vAlign w:val="bottom"/>
          </w:tcPr>
          <w:p>
            <w:pPr>
              <w:ind w:left="100"/>
              <w:spacing w:after="0"/>
              <w:rPr>
                <w:sz w:val="20"/>
                <w:szCs w:val="20"/>
                <w:color w:val="auto"/>
              </w:rPr>
            </w:pPr>
            <w:r>
              <w:rPr>
                <w:rFonts w:ascii="Arial" w:cs="Arial" w:eastAsia="Arial" w:hAnsi="Arial"/>
                <w:sz w:val="20"/>
                <w:szCs w:val="20"/>
                <w:color w:val="auto"/>
              </w:rPr>
              <w:t>of Sales from Repeat,</w:t>
            </w:r>
          </w:p>
        </w:tc>
        <w:tc>
          <w:tcPr>
            <w:tcW w:w="0" w:type="dxa"/>
            <w:vAlign w:val="bottom"/>
          </w:tcPr>
          <w:p>
            <w:pPr>
              <w:spacing w:after="0"/>
              <w:rPr>
                <w:sz w:val="1"/>
                <w:szCs w:val="1"/>
                <w:color w:val="auto"/>
              </w:rPr>
            </w:pPr>
          </w:p>
        </w:tc>
      </w:tr>
      <w:tr>
        <w:trPr>
          <w:trHeight w:val="218"/>
        </w:trPr>
        <w:tc>
          <w:tcPr>
            <w:tcW w:w="1220" w:type="dxa"/>
            <w:vAlign w:val="bottom"/>
            <w:vMerge w:val="continue"/>
          </w:tcPr>
          <w:p>
            <w:pPr>
              <w:spacing w:after="0"/>
              <w:rPr>
                <w:sz w:val="18"/>
                <w:szCs w:val="18"/>
                <w:color w:val="auto"/>
              </w:rPr>
            </w:pPr>
          </w:p>
        </w:tc>
        <w:tc>
          <w:tcPr>
            <w:tcW w:w="3140" w:type="dxa"/>
            <w:vAlign w:val="bottom"/>
          </w:tcPr>
          <w:p>
            <w:pPr>
              <w:ind w:left="100"/>
              <w:spacing w:after="0" w:line="218" w:lineRule="exact"/>
              <w:rPr>
                <w:sz w:val="20"/>
                <w:szCs w:val="20"/>
                <w:color w:val="auto"/>
              </w:rPr>
            </w:pPr>
            <w:r>
              <w:rPr>
                <w:rFonts w:ascii="Arial" w:cs="Arial" w:eastAsia="Arial" w:hAnsi="Arial"/>
                <w:sz w:val="20"/>
                <w:szCs w:val="20"/>
                <w:color w:val="auto"/>
              </w:rPr>
              <w:t>Standard or Lightly Configured</w:t>
            </w:r>
          </w:p>
        </w:tc>
        <w:tc>
          <w:tcPr>
            <w:tcW w:w="0" w:type="dxa"/>
            <w:vAlign w:val="bottom"/>
          </w:tcPr>
          <w:p>
            <w:pPr>
              <w:spacing w:after="0"/>
              <w:rPr>
                <w:sz w:val="1"/>
                <w:szCs w:val="1"/>
                <w:color w:val="auto"/>
              </w:rPr>
            </w:pPr>
          </w:p>
        </w:tc>
      </w:tr>
      <w:tr>
        <w:trPr>
          <w:trHeight w:val="439"/>
        </w:trPr>
        <w:tc>
          <w:tcPr>
            <w:tcW w:w="1220" w:type="dxa"/>
            <w:vAlign w:val="bottom"/>
          </w:tcPr>
          <w:p>
            <w:pPr>
              <w:spacing w:after="0" w:line="439" w:lineRule="exact"/>
              <w:rPr>
                <w:sz w:val="20"/>
                <w:szCs w:val="20"/>
                <w:color w:val="auto"/>
              </w:rPr>
            </w:pPr>
            <w:r>
              <w:rPr>
                <w:rFonts w:ascii="Arial" w:cs="Arial" w:eastAsia="Arial" w:hAnsi="Arial"/>
                <w:sz w:val="50"/>
                <w:szCs w:val="50"/>
                <w:color w:val="273D86"/>
              </w:rPr>
              <w:t>30</w:t>
            </w:r>
          </w:p>
        </w:tc>
        <w:tc>
          <w:tcPr>
            <w:tcW w:w="3140" w:type="dxa"/>
            <w:vAlign w:val="bottom"/>
          </w:tcPr>
          <w:p>
            <w:pPr>
              <w:ind w:left="100"/>
              <w:spacing w:after="0"/>
              <w:rPr>
                <w:sz w:val="20"/>
                <w:szCs w:val="20"/>
                <w:color w:val="auto"/>
              </w:rPr>
            </w:pPr>
            <w:r>
              <w:rPr>
                <w:rFonts w:ascii="Arial" w:cs="Arial" w:eastAsia="Arial" w:hAnsi="Arial"/>
                <w:sz w:val="20"/>
                <w:szCs w:val="20"/>
                <w:color w:val="auto"/>
              </w:rPr>
              <w:t>Engineered Solutions</w:t>
            </w:r>
          </w:p>
        </w:tc>
        <w:tc>
          <w:tcPr>
            <w:tcW w:w="0" w:type="dxa"/>
            <w:vAlign w:val="bottom"/>
          </w:tcPr>
          <w:p>
            <w:pPr>
              <w:spacing w:after="0"/>
              <w:rPr>
                <w:sz w:val="1"/>
                <w:szCs w:val="1"/>
                <w:color w:val="auto"/>
              </w:rPr>
            </w:pPr>
          </w:p>
        </w:tc>
      </w:tr>
      <w:tr>
        <w:trPr>
          <w:trHeight w:val="240"/>
        </w:trPr>
        <w:tc>
          <w:tcPr>
            <w:tcW w:w="1220" w:type="dxa"/>
            <w:vAlign w:val="bottom"/>
            <w:vMerge w:val="restart"/>
          </w:tcPr>
          <w:p>
            <w:pPr>
              <w:ind w:left="780"/>
              <w:spacing w:after="0"/>
              <w:rPr>
                <w:sz w:val="20"/>
                <w:szCs w:val="20"/>
                <w:color w:val="auto"/>
              </w:rPr>
            </w:pPr>
            <w:r>
              <w:rPr>
                <w:rFonts w:ascii="Arial" w:cs="Arial" w:eastAsia="Arial" w:hAnsi="Arial"/>
                <w:sz w:val="34"/>
                <w:szCs w:val="34"/>
                <w:color w:val="273D86"/>
              </w:rPr>
              <w:t>%</w:t>
            </w:r>
          </w:p>
        </w:tc>
        <w:tc>
          <w:tcPr>
            <w:tcW w:w="3140" w:type="dxa"/>
            <w:vAlign w:val="bottom"/>
          </w:tcPr>
          <w:p>
            <w:pPr>
              <w:ind w:left="100"/>
              <w:spacing w:after="0"/>
              <w:rPr>
                <w:sz w:val="20"/>
                <w:szCs w:val="20"/>
                <w:color w:val="auto"/>
              </w:rPr>
            </w:pPr>
            <w:r>
              <w:rPr>
                <w:rFonts w:ascii="Arial" w:cs="Arial" w:eastAsia="Arial" w:hAnsi="Arial"/>
                <w:sz w:val="20"/>
                <w:szCs w:val="20"/>
                <w:color w:val="auto"/>
              </w:rPr>
              <w:t>of Sales from Customized /</w:t>
            </w:r>
          </w:p>
        </w:tc>
        <w:tc>
          <w:tcPr>
            <w:tcW w:w="0" w:type="dxa"/>
            <w:vAlign w:val="bottom"/>
          </w:tcPr>
          <w:p>
            <w:pPr>
              <w:spacing w:after="0"/>
              <w:rPr>
                <w:sz w:val="1"/>
                <w:szCs w:val="1"/>
                <w:color w:val="auto"/>
              </w:rPr>
            </w:pPr>
          </w:p>
        </w:tc>
      </w:tr>
      <w:tr>
        <w:trPr>
          <w:trHeight w:val="218"/>
        </w:trPr>
        <w:tc>
          <w:tcPr>
            <w:tcW w:w="1220" w:type="dxa"/>
            <w:vAlign w:val="bottom"/>
            <w:vMerge w:val="continue"/>
          </w:tcPr>
          <w:p>
            <w:pPr>
              <w:spacing w:after="0"/>
              <w:rPr>
                <w:sz w:val="18"/>
                <w:szCs w:val="18"/>
                <w:color w:val="auto"/>
              </w:rPr>
            </w:pPr>
          </w:p>
        </w:tc>
        <w:tc>
          <w:tcPr>
            <w:tcW w:w="3140" w:type="dxa"/>
            <w:vAlign w:val="bottom"/>
          </w:tcPr>
          <w:p>
            <w:pPr>
              <w:ind w:left="100"/>
              <w:spacing w:after="0" w:line="218" w:lineRule="exact"/>
              <w:rPr>
                <w:sz w:val="20"/>
                <w:szCs w:val="20"/>
                <w:color w:val="auto"/>
              </w:rPr>
            </w:pPr>
            <w:r>
              <w:rPr>
                <w:rFonts w:ascii="Arial" w:cs="Arial" w:eastAsia="Arial" w:hAnsi="Arial"/>
                <w:sz w:val="20"/>
                <w:szCs w:val="20"/>
                <w:color w:val="auto"/>
              </w:rPr>
              <w:t>Highly Engineered Solutions</w:t>
            </w:r>
          </w:p>
        </w:tc>
        <w:tc>
          <w:tcPr>
            <w:tcW w:w="0" w:type="dxa"/>
            <w:vAlign w:val="bottom"/>
          </w:tcPr>
          <w:p>
            <w:pPr>
              <w:spacing w:after="0"/>
              <w:rPr>
                <w:sz w:val="1"/>
                <w:szCs w:val="1"/>
                <w:color w:val="auto"/>
              </w:rPr>
            </w:pPr>
          </w:p>
        </w:tc>
      </w:tr>
      <w:tr>
        <w:trPr>
          <w:trHeight w:val="791"/>
        </w:trPr>
        <w:tc>
          <w:tcPr>
            <w:tcW w:w="1220" w:type="dxa"/>
            <w:vAlign w:val="bottom"/>
          </w:tcPr>
          <w:p>
            <w:pPr>
              <w:ind w:left="40"/>
              <w:spacing w:after="0"/>
              <w:rPr>
                <w:sz w:val="20"/>
                <w:szCs w:val="20"/>
                <w:color w:val="auto"/>
              </w:rPr>
            </w:pPr>
            <w:r>
              <w:rPr>
                <w:rFonts w:ascii="Arial" w:cs="Arial" w:eastAsia="Arial" w:hAnsi="Arial"/>
                <w:sz w:val="58"/>
                <w:szCs w:val="58"/>
                <w:color w:val="273D86"/>
              </w:rPr>
              <w:t>50</w:t>
            </w:r>
          </w:p>
        </w:tc>
        <w:tc>
          <w:tcPr>
            <w:tcW w:w="3140" w:type="dxa"/>
            <w:vAlign w:val="bottom"/>
          </w:tcPr>
          <w:p>
            <w:pPr>
              <w:ind w:left="100"/>
              <w:spacing w:after="0"/>
              <w:rPr>
                <w:sz w:val="20"/>
                <w:szCs w:val="20"/>
                <w:color w:val="auto"/>
              </w:rPr>
            </w:pPr>
            <w:r>
              <w:rPr>
                <w:rFonts w:ascii="Arial" w:cs="Arial" w:eastAsia="Arial" w:hAnsi="Arial"/>
                <w:sz w:val="20"/>
                <w:szCs w:val="20"/>
                <w:color w:val="auto"/>
              </w:rPr>
              <w:t>&amp; Services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2">
            <w:col w:w="5880" w:space="720"/>
            <w:col w:w="5280"/>
          </w:cols>
          <w:pgMar w:left="0" w:top="623" w:right="0" w:bottom="0" w:gutter="0" w:footer="0" w:header="0"/>
          <w:type w:val="continuous"/>
        </w:sectPr>
      </w:pPr>
    </w:p>
    <w:p>
      <w:pPr>
        <w:ind w:left="900"/>
        <w:spacing w:after="0"/>
        <w:rPr>
          <w:sz w:val="20"/>
          <w:szCs w:val="20"/>
          <w:color w:val="auto"/>
        </w:rPr>
      </w:pPr>
      <w:r>
        <w:rPr>
          <w:rFonts w:ascii="Arial" w:cs="Arial" w:eastAsia="Arial" w:hAnsi="Arial"/>
          <w:sz w:val="26"/>
          <w:szCs w:val="26"/>
          <w:color w:val="273D86"/>
        </w:rPr>
        <w:t>Well-Positioned and Continuing to Build Our Sales and Growth Pipeline*</w:t>
      </w:r>
    </w:p>
    <w:p>
      <w:pPr>
        <w:spacing w:after="0" w:line="94" w:lineRule="exact"/>
        <w:rPr>
          <w:sz w:val="20"/>
          <w:szCs w:val="20"/>
          <w:color w:val="auto"/>
        </w:rPr>
      </w:pPr>
    </w:p>
    <w:p>
      <w:pPr>
        <w:ind w:left="900" w:right="980"/>
        <w:spacing w:after="0" w:line="303" w:lineRule="auto"/>
        <w:rPr>
          <w:sz w:val="20"/>
          <w:szCs w:val="20"/>
          <w:color w:val="auto"/>
        </w:rPr>
      </w:pPr>
      <w:r>
        <w:rPr>
          <w:rFonts w:ascii="Arial" w:cs="Arial" w:eastAsia="Arial" w:hAnsi="Arial"/>
          <w:sz w:val="18"/>
          <w:szCs w:val="18"/>
          <w:color w:val="auto"/>
        </w:rPr>
        <w:t>CECO is strategically aligned to capture growth across long-term secular trends in three major, fast-growing, industrial markets – Power &amp; Energy, Industrial Water, and Industrial Air. CECO’s active sales pipeline reflects this strength.</w:t>
      </w:r>
    </w:p>
    <w:p>
      <w:pPr>
        <w:sectPr>
          <w:pgSz w:w="11880" w:h="15480" w:orient="portrait"/>
          <w:cols w:equalWidth="0" w:num="1">
            <w:col w:w="11880"/>
          </w:cols>
          <w:pgMar w:left="0" w:top="623" w:right="0" w:bottom="0" w:gutter="0" w:footer="0" w:header="0"/>
          <w:type w:val="continuous"/>
        </w:sectPr>
      </w:pPr>
    </w:p>
    <w:p>
      <w:pPr>
        <w:spacing w:after="0" w:line="184"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tcPr>
          <w:p>
            <w:pPr>
              <w:jc w:val="center"/>
              <w:ind w:right="640"/>
              <w:spacing w:after="0"/>
              <w:rPr>
                <w:sz w:val="20"/>
                <w:szCs w:val="20"/>
                <w:color w:val="auto"/>
              </w:rPr>
            </w:pPr>
            <w:r>
              <w:rPr>
                <w:rFonts w:ascii="Arial" w:cs="Arial" w:eastAsia="Arial" w:hAnsi="Arial"/>
                <w:sz w:val="18"/>
                <w:szCs w:val="18"/>
                <w:color w:val="auto"/>
              </w:rPr>
              <w:t>$6.5B</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gridSpan w:val="2"/>
            <w:shd w:val="clear" w:color="auto" w:fill="98B82F"/>
          </w:tcPr>
          <w:p>
            <w:pPr>
              <w:jc w:val="center"/>
              <w:spacing w:after="0"/>
              <w:rPr>
                <w:sz w:val="20"/>
                <w:szCs w:val="20"/>
                <w:color w:val="auto"/>
              </w:rPr>
            </w:pPr>
            <w:r>
              <w:rPr>
                <w:rFonts w:ascii="Arial" w:cs="Arial" w:eastAsia="Arial" w:hAnsi="Arial"/>
                <w:sz w:val="18"/>
                <w:szCs w:val="18"/>
                <w:color w:val="FFFFFF"/>
              </w:rPr>
              <w:t>+38%</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shd w:val="clear" w:color="auto" w:fill="98B82F"/>
          </w:tcPr>
          <w:p>
            <w:pPr>
              <w:jc w:val="center"/>
              <w:spacing w:after="0"/>
              <w:rPr>
                <w:sz w:val="20"/>
                <w:szCs w:val="20"/>
                <w:color w:val="auto"/>
              </w:rPr>
            </w:pPr>
            <w:r>
              <w:rPr>
                <w:rFonts w:ascii="Arial" w:cs="Arial" w:eastAsia="Arial" w:hAnsi="Arial"/>
                <w:sz w:val="18"/>
                <w:szCs w:val="18"/>
                <w:color w:val="FFFFFF"/>
              </w:rPr>
              <w:t>CAGR</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54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7"/>
              </w:rPr>
              <w:t>$1.5B</w:t>
            </w:r>
          </w:p>
        </w:tc>
        <w:tc>
          <w:tcPr>
            <w:tcW w:w="80" w:type="dxa"/>
            <w:vAlign w:val="bottom"/>
          </w:tcPr>
          <w:p>
            <w:pPr>
              <w:spacing w:after="0"/>
              <w:rPr>
                <w:sz w:val="24"/>
                <w:szCs w:val="24"/>
                <w:color w:val="auto"/>
              </w:rPr>
            </w:pPr>
          </w:p>
        </w:tc>
        <w:tc>
          <w:tcPr>
            <w:tcW w:w="1820" w:type="dxa"/>
            <w:vAlign w:val="bottom"/>
            <w:gridSpan w:val="5"/>
          </w:tcPr>
          <w:p>
            <w:pPr>
              <w:jc w:val="center"/>
              <w:ind w:right="80"/>
              <w:spacing w:after="0"/>
              <w:rPr>
                <w:sz w:val="20"/>
                <w:szCs w:val="20"/>
                <w:color w:val="auto"/>
              </w:rPr>
            </w:pPr>
            <w:r>
              <w:rPr>
                <w:rFonts w:ascii="Arial" w:cs="Arial" w:eastAsia="Arial" w:hAnsi="Arial"/>
                <w:sz w:val="20"/>
                <w:szCs w:val="20"/>
                <w:color w:val="14256B"/>
              </w:rPr>
              <w:t>Up 430%</w:t>
            </w:r>
          </w:p>
        </w:tc>
        <w:tc>
          <w:tcPr>
            <w:tcW w:w="560" w:type="dxa"/>
            <w:vAlign w:val="bottom"/>
            <w:shd w:val="clear" w:color="auto" w:fill="98B82F"/>
          </w:tcPr>
          <w:p>
            <w:pPr>
              <w:spacing w:after="0"/>
              <w:rPr>
                <w:sz w:val="24"/>
                <w:szCs w:val="24"/>
                <w:color w:val="auto"/>
              </w:rPr>
            </w:pPr>
          </w:p>
        </w:tc>
        <w:tc>
          <w:tcPr>
            <w:tcW w:w="120" w:type="dxa"/>
            <w:vAlign w:val="bottom"/>
            <w:shd w:val="clear" w:color="auto" w:fill="98B82F"/>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vMerge w:val="restart"/>
          </w:tcPr>
          <w:p>
            <w:pPr>
              <w:jc w:val="center"/>
              <w:ind w:right="80"/>
              <w:spacing w:after="0"/>
              <w:rPr>
                <w:sz w:val="20"/>
                <w:szCs w:val="20"/>
                <w:color w:val="auto"/>
              </w:rPr>
            </w:pPr>
            <w:r>
              <w:rPr>
                <w:rFonts w:ascii="Arial" w:cs="Arial" w:eastAsia="Arial" w:hAnsi="Arial"/>
                <w:sz w:val="20"/>
                <w:szCs w:val="20"/>
                <w:color w:val="14256B"/>
              </w:rPr>
              <w:t>and growing</w:t>
            </w:r>
          </w:p>
        </w:tc>
        <w:tc>
          <w:tcPr>
            <w:tcW w:w="560" w:type="dxa"/>
            <w:vAlign w:val="bottom"/>
            <w:shd w:val="clear" w:color="auto" w:fill="98B82F"/>
          </w:tcPr>
          <w:p>
            <w:pPr>
              <w:spacing w:after="0"/>
              <w:rPr>
                <w:sz w:val="15"/>
                <w:szCs w:val="15"/>
                <w:color w:val="auto"/>
              </w:rPr>
            </w:pPr>
          </w:p>
        </w:tc>
        <w:tc>
          <w:tcPr>
            <w:tcW w:w="120" w:type="dxa"/>
            <w:vAlign w:val="bottom"/>
            <w:shd w:val="clear" w:color="auto" w:fill="98B82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560" w:type="dxa"/>
            <w:vAlign w:val="bottom"/>
            <w:shd w:val="clear" w:color="auto" w:fill="98B82F"/>
          </w:tcPr>
          <w:p>
            <w:pPr>
              <w:spacing w:after="0"/>
              <w:rPr>
                <w:sz w:val="8"/>
                <w:szCs w:val="8"/>
                <w:color w:val="auto"/>
              </w:rPr>
            </w:pPr>
          </w:p>
        </w:tc>
        <w:tc>
          <w:tcPr>
            <w:tcW w:w="120" w:type="dxa"/>
            <w:vAlign w:val="bottom"/>
            <w:shd w:val="clear" w:color="auto" w:fill="98B82F"/>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9"/>
        </w:trPr>
        <w:tc>
          <w:tcPr>
            <w:tcW w:w="540" w:type="dxa"/>
            <w:vAlign w:val="bottom"/>
            <w:tcBorders>
              <w:right w:val="single" w:sz="8" w:color="3E84AE"/>
            </w:tcBorders>
          </w:tcPr>
          <w:p>
            <w:pPr>
              <w:spacing w:after="0"/>
              <w:rPr>
                <w:sz w:val="24"/>
                <w:szCs w:val="24"/>
                <w:color w:val="auto"/>
              </w:rPr>
            </w:pPr>
          </w:p>
        </w:tc>
        <w:tc>
          <w:tcPr>
            <w:tcW w:w="700" w:type="dxa"/>
            <w:vAlign w:val="bottom"/>
            <w:shd w:val="clear" w:color="auto" w:fill="3E84AE"/>
          </w:tcPr>
          <w:p>
            <w:pPr>
              <w:spacing w:after="0"/>
              <w:rPr>
                <w:sz w:val="24"/>
                <w:szCs w:val="24"/>
                <w:color w:val="auto"/>
              </w:rPr>
            </w:pPr>
          </w:p>
        </w:tc>
        <w:tc>
          <w:tcPr>
            <w:tcW w:w="80" w:type="dxa"/>
            <w:vAlign w:val="bottom"/>
            <w:vMerge w:val="restart"/>
          </w:tcPr>
          <w:p>
            <w:pPr>
              <w:spacing w:after="0"/>
              <w:rPr>
                <w:sz w:val="24"/>
                <w:szCs w:val="24"/>
                <w:color w:val="auto"/>
              </w:rPr>
            </w:pPr>
          </w:p>
        </w:tc>
        <w:tc>
          <w:tcPr>
            <w:tcW w:w="1760" w:type="dxa"/>
            <w:vAlign w:val="bottom"/>
            <w:gridSpan w:val="4"/>
            <w:vMerge w:val="restart"/>
          </w:tcPr>
          <w:p>
            <w:pPr>
              <w:ind w:left="40"/>
              <w:spacing w:after="0"/>
              <w:rPr>
                <w:sz w:val="20"/>
                <w:szCs w:val="20"/>
                <w:color w:val="auto"/>
              </w:rPr>
            </w:pPr>
            <w:r>
              <w:rPr>
                <w:rFonts w:ascii="Arial" w:cs="Arial" w:eastAsia="Arial" w:hAnsi="Arial"/>
                <w:sz w:val="24"/>
                <w:szCs w:val="24"/>
                <w:color w:val="14256B"/>
              </w:rPr>
              <w:t>Sales Pipeline</w:t>
            </w:r>
          </w:p>
        </w:tc>
        <w:tc>
          <w:tcPr>
            <w:tcW w:w="60" w:type="dxa"/>
            <w:vAlign w:val="bottom"/>
            <w:vMerge w:val="restart"/>
          </w:tcPr>
          <w:p>
            <w:pPr>
              <w:spacing w:after="0"/>
              <w:rPr>
                <w:sz w:val="24"/>
                <w:szCs w:val="24"/>
                <w:color w:val="auto"/>
              </w:rPr>
            </w:pPr>
          </w:p>
        </w:tc>
        <w:tc>
          <w:tcPr>
            <w:tcW w:w="560" w:type="dxa"/>
            <w:vAlign w:val="bottom"/>
            <w:shd w:val="clear" w:color="auto" w:fill="98B82F"/>
          </w:tcPr>
          <w:p>
            <w:pPr>
              <w:spacing w:after="0"/>
              <w:rPr>
                <w:sz w:val="24"/>
                <w:szCs w:val="24"/>
                <w:color w:val="auto"/>
              </w:rPr>
            </w:pPr>
          </w:p>
        </w:tc>
        <w:tc>
          <w:tcPr>
            <w:tcW w:w="120" w:type="dxa"/>
            <w:vAlign w:val="bottom"/>
            <w:shd w:val="clear" w:color="auto" w:fill="98B82F"/>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vMerge w:val="restart"/>
          </w:tcPr>
          <w:p>
            <w:pPr>
              <w:jc w:val="right"/>
              <w:ind w:right="10"/>
              <w:spacing w:after="0"/>
              <w:rPr>
                <w:sz w:val="20"/>
                <w:szCs w:val="20"/>
                <w:color w:val="auto"/>
              </w:rPr>
            </w:pPr>
            <w:r>
              <w:rPr>
                <w:rFonts w:ascii="Arial" w:cs="Arial" w:eastAsia="Arial" w:hAnsi="Arial"/>
                <w:sz w:val="18"/>
                <w:szCs w:val="18"/>
                <w:color w:val="14256B"/>
              </w:rPr>
              <w:t>2021</w:t>
            </w:r>
          </w:p>
        </w:tc>
        <w:tc>
          <w:tcPr>
            <w:tcW w:w="7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14256B"/>
              </w:rPr>
              <w:t>2025</w:t>
            </w:r>
          </w:p>
        </w:tc>
        <w:tc>
          <w:tcPr>
            <w:tcW w:w="0" w:type="dxa"/>
            <w:vAlign w:val="bottom"/>
          </w:tcPr>
          <w:p>
            <w:pPr>
              <w:spacing w:after="0"/>
              <w:rPr>
                <w:sz w:val="1"/>
                <w:szCs w:val="1"/>
                <w:color w:val="auto"/>
              </w:rPr>
            </w:pPr>
          </w:p>
        </w:tc>
      </w:tr>
      <w:tr>
        <w:trPr>
          <w:trHeight w:val="60"/>
        </w:trPr>
        <w:tc>
          <w:tcPr>
            <w:tcW w:w="540" w:type="dxa"/>
            <w:vAlign w:val="bottom"/>
            <w:vMerge w:val="continue"/>
          </w:tcPr>
          <w:p>
            <w:pPr>
              <w:spacing w:after="0"/>
              <w:rPr>
                <w:sz w:val="5"/>
                <w:szCs w:val="5"/>
                <w:color w:val="auto"/>
              </w:rPr>
            </w:pPr>
          </w:p>
        </w:tc>
        <w:tc>
          <w:tcPr>
            <w:tcW w:w="700" w:type="dxa"/>
            <w:vAlign w:val="bottom"/>
            <w:shd w:val="clear" w:color="auto" w:fill="14256B"/>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60" w:type="dxa"/>
            <w:vAlign w:val="bottom"/>
            <w:tcBorders>
              <w:right w:val="single" w:sz="8" w:color="14256B"/>
            </w:tcBorders>
            <w:shd w:val="clear" w:color="auto" w:fill="14256B"/>
          </w:tcPr>
          <w:p>
            <w:pPr>
              <w:spacing w:after="0"/>
              <w:rPr>
                <w:sz w:val="5"/>
                <w:szCs w:val="5"/>
                <w:color w:val="auto"/>
              </w:rPr>
            </w:pPr>
          </w:p>
        </w:tc>
        <w:tc>
          <w:tcPr>
            <w:tcW w:w="560" w:type="dxa"/>
            <w:vAlign w:val="bottom"/>
            <w:shd w:val="clear" w:color="auto" w:fill="14256B"/>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auto"/>
              </w:rPr>
              <w:t>$1.06B</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shd w:val="clear" w:color="auto" w:fill="3E84AE"/>
          </w:tcPr>
          <w:p>
            <w:pPr>
              <w:jc w:val="right"/>
              <w:ind w:right="33"/>
              <w:spacing w:after="0"/>
              <w:rPr>
                <w:sz w:val="20"/>
                <w:szCs w:val="20"/>
                <w:color w:val="auto"/>
              </w:rPr>
            </w:pPr>
            <w:r>
              <w:rPr>
                <w:rFonts w:ascii="Arial" w:cs="Arial" w:eastAsia="Arial" w:hAnsi="Arial"/>
                <w:sz w:val="18"/>
                <w:szCs w:val="18"/>
                <w:color w:val="FFFFFF"/>
              </w:rPr>
              <w:t>+31%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shd w:val="clear" w:color="auto" w:fill="3E84AE"/>
          </w:tcPr>
          <w:p>
            <w:pPr>
              <w:ind w:left="100"/>
              <w:spacing w:after="0"/>
              <w:rPr>
                <w:sz w:val="20"/>
                <w:szCs w:val="20"/>
                <w:color w:val="auto"/>
              </w:rPr>
            </w:pPr>
            <w:r>
              <w:rPr>
                <w:rFonts w:ascii="Arial" w:cs="Arial" w:eastAsia="Arial" w:hAnsi="Arial"/>
                <w:sz w:val="18"/>
                <w:szCs w:val="18"/>
                <w:color w:val="FFFFFF"/>
              </w:rPr>
              <w:t>CAGR</w:t>
            </w:r>
          </w:p>
        </w:tc>
        <w:tc>
          <w:tcPr>
            <w:tcW w:w="10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shd w:val="clear" w:color="auto" w:fill="3E84A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center"/>
              <w:ind w:right="640"/>
              <w:spacing w:after="0"/>
              <w:rPr>
                <w:sz w:val="20"/>
                <w:szCs w:val="20"/>
                <w:color w:val="auto"/>
              </w:rPr>
            </w:pPr>
            <w:r>
              <w:rPr>
                <w:rFonts w:ascii="Arial" w:cs="Arial" w:eastAsia="Arial" w:hAnsi="Arial"/>
                <w:sz w:val="18"/>
                <w:szCs w:val="18"/>
                <w:color w:val="auto"/>
              </w:rPr>
              <w:t>$774M</w:t>
            </w:r>
          </w:p>
        </w:tc>
        <w:tc>
          <w:tcPr>
            <w:tcW w:w="0" w:type="dxa"/>
            <w:vAlign w:val="bottom"/>
          </w:tcPr>
          <w:p>
            <w:pPr>
              <w:spacing w:after="0"/>
              <w:rPr>
                <w:sz w:val="1"/>
                <w:szCs w:val="1"/>
                <w:color w:val="auto"/>
              </w:rPr>
            </w:pPr>
          </w:p>
        </w:tc>
      </w:tr>
      <w:tr>
        <w:trPr>
          <w:trHeight w:val="29"/>
        </w:trPr>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3E84A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4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rPr>
              <w:t>$361M</w:t>
            </w:r>
          </w:p>
        </w:tc>
        <w:tc>
          <w:tcPr>
            <w:tcW w:w="80" w:type="dxa"/>
            <w:vAlign w:val="bottom"/>
          </w:tcPr>
          <w:p>
            <w:pPr>
              <w:spacing w:after="0"/>
              <w:rPr>
                <w:sz w:val="24"/>
                <w:szCs w:val="2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$324M</w:t>
            </w:r>
          </w:p>
        </w:tc>
        <w:tc>
          <w:tcPr>
            <w:tcW w:w="280" w:type="dxa"/>
            <w:vAlign w:val="bottom"/>
          </w:tcPr>
          <w:p>
            <w:pPr>
              <w:spacing w:after="0"/>
              <w:rPr>
                <w:sz w:val="24"/>
                <w:szCs w:val="24"/>
                <w:color w:val="auto"/>
              </w:rPr>
            </w:pPr>
          </w:p>
        </w:tc>
        <w:tc>
          <w:tcPr>
            <w:tcW w:w="720" w:type="dxa"/>
            <w:vAlign w:val="bottom"/>
            <w:shd w:val="clear" w:color="auto" w:fill="3E84A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right w:val="single" w:sz="8" w:color="98B82F"/>
            </w:tcBorders>
          </w:tcPr>
          <w:p>
            <w:pPr>
              <w:spacing w:after="0"/>
              <w:rPr>
                <w:sz w:val="24"/>
                <w:szCs w:val="24"/>
                <w:color w:val="auto"/>
              </w:rPr>
            </w:pPr>
          </w:p>
        </w:tc>
        <w:tc>
          <w:tcPr>
            <w:tcW w:w="680" w:type="dxa"/>
            <w:vAlign w:val="bottom"/>
            <w:gridSpan w:val="2"/>
            <w:shd w:val="clear" w:color="auto" w:fill="98B82F"/>
          </w:tcPr>
          <w:p>
            <w:pPr>
              <w:jc w:val="center"/>
              <w:spacing w:after="0"/>
              <w:rPr>
                <w:sz w:val="20"/>
                <w:szCs w:val="20"/>
                <w:color w:val="auto"/>
              </w:rPr>
            </w:pPr>
            <w:r>
              <w:rPr>
                <w:rFonts w:ascii="Arial" w:cs="Arial" w:eastAsia="Arial" w:hAnsi="Arial"/>
                <w:sz w:val="18"/>
                <w:szCs w:val="18"/>
                <w:color w:val="FFFFFF"/>
              </w:rPr>
              <w:t>+24%</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700" w:type="dxa"/>
            <w:vAlign w:val="bottom"/>
            <w:tcBorders>
              <w:bottom w:val="single" w:sz="8" w:color="3E84AE"/>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bottom w:val="single" w:sz="8" w:color="3E84AE"/>
            </w:tcBorders>
            <w:shd w:val="clear" w:color="auto" w:fill="3E84A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right w:val="single" w:sz="8" w:color="98B82F"/>
            </w:tcBorders>
          </w:tcPr>
          <w:p>
            <w:pPr>
              <w:spacing w:after="0"/>
              <w:rPr>
                <w:sz w:val="18"/>
                <w:szCs w:val="18"/>
                <w:color w:val="auto"/>
              </w:rPr>
            </w:pPr>
          </w:p>
        </w:tc>
        <w:tc>
          <w:tcPr>
            <w:tcW w:w="680" w:type="dxa"/>
            <w:vAlign w:val="bottom"/>
            <w:tcBorders>
              <w:bottom w:val="single" w:sz="8" w:color="98B82F"/>
            </w:tcBorders>
            <w:gridSpan w:val="2"/>
            <w:shd w:val="clear" w:color="auto" w:fill="98B82F"/>
          </w:tcPr>
          <w:p>
            <w:pPr>
              <w:jc w:val="center"/>
              <w:spacing w:after="0"/>
              <w:rPr>
                <w:sz w:val="20"/>
                <w:szCs w:val="20"/>
                <w:color w:val="auto"/>
              </w:rPr>
            </w:pPr>
            <w:r>
              <w:rPr>
                <w:rFonts w:ascii="Arial" w:cs="Arial" w:eastAsia="Arial" w:hAnsi="Arial"/>
                <w:sz w:val="18"/>
                <w:szCs w:val="18"/>
                <w:color w:val="FFFFFF"/>
              </w:rPr>
              <w:t>CAGR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540" w:type="dxa"/>
            <w:vAlign w:val="bottom"/>
            <w:tcBorders>
              <w:right w:val="single" w:sz="8" w:color="3E84AE"/>
            </w:tcBorders>
          </w:tcPr>
          <w:p>
            <w:pPr>
              <w:spacing w:after="0"/>
              <w:rPr>
                <w:sz w:val="24"/>
                <w:szCs w:val="24"/>
                <w:color w:val="auto"/>
              </w:rPr>
            </w:pPr>
          </w:p>
        </w:tc>
        <w:tc>
          <w:tcPr>
            <w:tcW w:w="700" w:type="dxa"/>
            <w:vAlign w:val="bottom"/>
            <w:shd w:val="clear" w:color="auto" w:fill="3E84AE"/>
          </w:tcPr>
          <w:p>
            <w:pPr>
              <w:spacing w:after="0"/>
              <w:rPr>
                <w:sz w:val="24"/>
                <w:szCs w:val="24"/>
                <w:color w:val="auto"/>
              </w:rPr>
            </w:pPr>
          </w:p>
        </w:tc>
        <w:tc>
          <w:tcPr>
            <w:tcW w:w="80" w:type="dxa"/>
            <w:vAlign w:val="bottom"/>
            <w:tcBorders>
              <w:left w:val="single" w:sz="8" w:color="3E84AE"/>
            </w:tcBorders>
          </w:tcPr>
          <w:p>
            <w:pPr>
              <w:spacing w:after="0"/>
              <w:rPr>
                <w:sz w:val="24"/>
                <w:szCs w:val="24"/>
                <w:color w:val="auto"/>
              </w:rPr>
            </w:pPr>
          </w:p>
        </w:tc>
        <w:tc>
          <w:tcPr>
            <w:tcW w:w="720" w:type="dxa"/>
            <w:vAlign w:val="bottom"/>
            <w:shd w:val="clear" w:color="auto" w:fill="98B82F"/>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shd w:val="clear" w:color="auto" w:fill="3E84AE"/>
          </w:tcPr>
          <w:p>
            <w:pPr>
              <w:spacing w:after="0"/>
              <w:rPr>
                <w:sz w:val="24"/>
                <w:szCs w:val="24"/>
                <w:color w:val="auto"/>
              </w:rPr>
            </w:pPr>
          </w:p>
        </w:tc>
        <w:tc>
          <w:tcPr>
            <w:tcW w:w="100" w:type="dxa"/>
            <w:vAlign w:val="bottom"/>
            <w:tcBorders>
              <w:right w:val="single" w:sz="8" w:color="98B82F"/>
            </w:tcBorders>
            <w:gridSpan w:val="2"/>
          </w:tcPr>
          <w:p>
            <w:pPr>
              <w:spacing w:after="0"/>
              <w:rPr>
                <w:sz w:val="24"/>
                <w:szCs w:val="24"/>
                <w:color w:val="auto"/>
              </w:rPr>
            </w:pPr>
          </w:p>
        </w:tc>
        <w:tc>
          <w:tcPr>
            <w:tcW w:w="680" w:type="dxa"/>
            <w:vAlign w:val="bottom"/>
            <w:gridSpan w:val="2"/>
            <w:shd w:val="clear" w:color="auto" w:fill="98B82F"/>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6"/>
                <w:szCs w:val="16"/>
                <w:color w:val="auto"/>
              </w:rPr>
              <w:t>Orders</w:t>
            </w:r>
          </w:p>
        </w:tc>
        <w:tc>
          <w:tcPr>
            <w:tcW w:w="8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20"/>
                <w:szCs w:val="20"/>
                <w:color w:val="auto"/>
              </w:rPr>
            </w:pPr>
          </w:p>
        </w:tc>
        <w:tc>
          <w:tcPr>
            <w:tcW w:w="820" w:type="dxa"/>
            <w:vAlign w:val="bottom"/>
            <w:gridSpan w:val="3"/>
          </w:tcPr>
          <w:p>
            <w:pPr>
              <w:ind w:left="100"/>
              <w:spacing w:after="0"/>
              <w:rPr>
                <w:sz w:val="20"/>
                <w:szCs w:val="20"/>
                <w:color w:val="auto"/>
              </w:rPr>
            </w:pPr>
            <w:r>
              <w:rPr>
                <w:rFonts w:ascii="Arial" w:cs="Arial" w:eastAsia="Arial" w:hAnsi="Arial"/>
                <w:sz w:val="16"/>
                <w:szCs w:val="16"/>
                <w:color w:val="auto"/>
              </w:rPr>
              <w:t>Orders</w:t>
            </w:r>
          </w:p>
        </w:tc>
        <w:tc>
          <w:tcPr>
            <w:tcW w:w="1300" w:type="dxa"/>
            <w:vAlign w:val="bottom"/>
            <w:gridSpan w:val="3"/>
          </w:tcPr>
          <w:p>
            <w:pPr>
              <w:jc w:val="center"/>
              <w:ind w:right="64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-1657350</wp:posOffset>
            </wp:positionV>
            <wp:extent cx="123825"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extLst>
                    </a:blip>
                    <a:srcRect/>
                    <a:stretch>
                      <a:fillRect/>
                    </a:stretch>
                  </pic:blipFill>
                  <pic:spPr bwMode="auto">
                    <a:xfrm>
                      <a:off x="0" y="0"/>
                      <a:ext cx="123825" cy="13970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-3011170</wp:posOffset>
            </wp:positionV>
            <wp:extent cx="1155700" cy="903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extLst>
                    </a:blip>
                    <a:srcRect/>
                    <a:stretch>
                      <a:fillRect/>
                    </a:stretch>
                  </pic:blipFill>
                  <pic:spPr bwMode="auto">
                    <a:xfrm>
                      <a:off x="0" y="0"/>
                      <a:ext cx="1155700" cy="903605"/>
                    </a:xfrm>
                    <a:prstGeom prst="rect">
                      <a:avLst/>
                    </a:prstGeom>
                    <a:noFill/>
                  </pic:spPr>
                </pic:pic>
              </a:graphicData>
            </a:graphic>
          </wp:anchor>
        </w:drawing>
        <w:drawing>
          <wp:anchor simplePos="0" relativeHeight="251657728" behindDoc="1" locked="0" layoutInCell="0" allowOverlap="1">
            <wp:simplePos x="0" y="0"/>
            <wp:positionH relativeFrom="column">
              <wp:posOffset>1351915</wp:posOffset>
            </wp:positionH>
            <wp:positionV relativeFrom="paragraph">
              <wp:posOffset>-1395730</wp:posOffset>
            </wp:positionV>
            <wp:extent cx="650240" cy="887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650240" cy="887095"/>
                    </a:xfrm>
                    <a:prstGeom prst="rect">
                      <a:avLst/>
                    </a:prstGeom>
                    <a:noFill/>
                  </pic:spPr>
                </pic:pic>
              </a:graphicData>
            </a:graphic>
          </wp:anchor>
        </w:drawing>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2"/>
          <w:szCs w:val="12"/>
          <w:color w:val="auto"/>
        </w:rPr>
        <w:t>*Pipeline defined as total active order pursuits over the next ~18 months.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color w:val="77A527"/>
        </w:rPr>
        <w:t>POWER &amp; ENERGY</w:t>
      </w:r>
    </w:p>
    <w:p>
      <w:pPr>
        <w:spacing w:after="0" w:line="79" w:lineRule="exact"/>
        <w:rPr>
          <w:sz w:val="20"/>
          <w:szCs w:val="20"/>
          <w:color w:val="auto"/>
        </w:rPr>
      </w:pPr>
    </w:p>
    <w:p>
      <w:pPr>
        <w:ind w:right="1340"/>
        <w:spacing w:after="0" w:line="288" w:lineRule="auto"/>
        <w:rPr>
          <w:sz w:val="20"/>
          <w:szCs w:val="20"/>
          <w:color w:val="auto"/>
        </w:rPr>
      </w:pPr>
      <w:r>
        <w:rPr>
          <w:rFonts w:ascii="Arial" w:cs="Arial" w:eastAsia="Arial" w:hAnsi="Arial"/>
          <w:sz w:val="18"/>
          <w:szCs w:val="18"/>
          <w:color w:val="auto"/>
        </w:rPr>
        <w:t>Market Drivers: Demand for electricity is rising due to growth of AI demands, electrification, LNG, nuclear, and geothermal energy.</w:t>
      </w:r>
    </w:p>
    <w:p>
      <w:pPr>
        <w:spacing w:after="0" w:line="3" w:lineRule="exact"/>
        <w:rPr>
          <w:sz w:val="20"/>
          <w:szCs w:val="20"/>
          <w:color w:val="auto"/>
        </w:rPr>
      </w:pPr>
    </w:p>
    <w:p>
      <w:pPr>
        <w:ind w:right="980"/>
        <w:spacing w:after="0" w:line="293" w:lineRule="auto"/>
        <w:rPr>
          <w:sz w:val="20"/>
          <w:szCs w:val="20"/>
          <w:color w:val="auto"/>
        </w:rPr>
      </w:pPr>
      <w:r>
        <w:rPr>
          <w:rFonts w:ascii="Arial" w:cs="Arial" w:eastAsia="Arial" w:hAnsi="Arial"/>
          <w:sz w:val="18"/>
          <w:szCs w:val="18"/>
          <w:color w:val="auto"/>
        </w:rPr>
        <w:t>Key Technologies: SCR/SNCR/VOC Emissions Control, Thermal &amp; Acoustic Management Solutions, Gas and Liquid Separation &amp; Filtration, Combustion &amp; Burner Management</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77A527"/>
        </w:rPr>
        <w:t>INDUSTRIAL WATER</w:t>
      </w:r>
    </w:p>
    <w:p>
      <w:pPr>
        <w:spacing w:after="0" w:line="79" w:lineRule="exact"/>
        <w:rPr>
          <w:sz w:val="20"/>
          <w:szCs w:val="20"/>
          <w:color w:val="auto"/>
        </w:rPr>
      </w:pPr>
    </w:p>
    <w:p>
      <w:pPr>
        <w:ind w:right="1240"/>
        <w:spacing w:after="0" w:line="300" w:lineRule="auto"/>
        <w:rPr>
          <w:sz w:val="20"/>
          <w:szCs w:val="20"/>
          <w:color w:val="auto"/>
        </w:rPr>
      </w:pPr>
      <w:r>
        <w:rPr>
          <w:rFonts w:ascii="Arial" w:cs="Arial" w:eastAsia="Arial" w:hAnsi="Arial"/>
          <w:sz w:val="18"/>
          <w:szCs w:val="18"/>
          <w:color w:val="auto"/>
        </w:rPr>
        <w:t>Market Drivers: Need for water treatment, recycling, desalination, and wastewater infrastructure is increasing.</w:t>
      </w:r>
    </w:p>
    <w:p>
      <w:pPr>
        <w:ind w:right="1380"/>
        <w:spacing w:after="0" w:line="266" w:lineRule="auto"/>
        <w:rPr>
          <w:sz w:val="20"/>
          <w:szCs w:val="20"/>
          <w:color w:val="auto"/>
        </w:rPr>
      </w:pPr>
      <w:r>
        <w:rPr>
          <w:rFonts w:ascii="Arial" w:cs="Arial" w:eastAsia="Arial" w:hAnsi="Arial"/>
          <w:sz w:val="18"/>
          <w:szCs w:val="18"/>
          <w:color w:val="auto"/>
        </w:rPr>
        <w:t>Key Technologies: Dissolved Air Flotation, Oily Water Separation, Ion Exchange, Membrane Water Treatment,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Process Water Supply</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77A527"/>
        </w:rPr>
        <w:t>INDUSTRIAL AIR</w:t>
      </w:r>
    </w:p>
    <w:p>
      <w:pPr>
        <w:spacing w:after="0" w:line="79" w:lineRule="exact"/>
        <w:rPr>
          <w:sz w:val="20"/>
          <w:szCs w:val="20"/>
          <w:color w:val="auto"/>
        </w:rPr>
      </w:pPr>
    </w:p>
    <w:p>
      <w:pPr>
        <w:ind w:right="960"/>
        <w:spacing w:after="0" w:line="288" w:lineRule="auto"/>
        <w:rPr>
          <w:sz w:val="20"/>
          <w:szCs w:val="20"/>
          <w:color w:val="auto"/>
        </w:rPr>
      </w:pPr>
      <w:r>
        <w:rPr>
          <w:rFonts w:ascii="Arial" w:cs="Arial" w:eastAsia="Arial" w:hAnsi="Arial"/>
          <w:sz w:val="18"/>
          <w:szCs w:val="18"/>
          <w:color w:val="auto"/>
        </w:rPr>
        <w:t>Market Drivers: Growth in semiconductors, electronics, energy storage, metals, and construction materials is driving demand for clean, safe air systems.</w:t>
      </w:r>
    </w:p>
    <w:p>
      <w:pPr>
        <w:spacing w:after="0" w:line="3" w:lineRule="exact"/>
        <w:rPr>
          <w:sz w:val="20"/>
          <w:szCs w:val="20"/>
          <w:color w:val="auto"/>
        </w:rPr>
      </w:pPr>
    </w:p>
    <w:p>
      <w:pPr>
        <w:ind w:right="1260"/>
        <w:spacing w:after="0" w:line="319" w:lineRule="auto"/>
        <w:rPr>
          <w:sz w:val="20"/>
          <w:szCs w:val="20"/>
          <w:color w:val="auto"/>
        </w:rPr>
      </w:pPr>
      <w:r>
        <w:rPr>
          <w:rFonts w:ascii="Arial" w:cs="Arial" w:eastAsia="Arial" w:hAnsi="Arial"/>
          <w:sz w:val="18"/>
          <w:szCs w:val="18"/>
          <w:color w:val="auto"/>
        </w:rPr>
        <w:t>Key Technologies: Silencers, Scrubbers, VOC Removal, Thermal Abatement, CatOx, Air Flow Mgmt, Odor Control</w:t>
      </w:r>
    </w:p>
    <w:p>
      <w:pPr>
        <w:spacing w:after="0" w:line="26" w:lineRule="exact"/>
        <w:rPr>
          <w:sz w:val="20"/>
          <w:szCs w:val="20"/>
          <w:color w:val="auto"/>
        </w:rPr>
      </w:pPr>
    </w:p>
    <w:p>
      <w:pPr>
        <w:sectPr>
          <w:pgSz w:w="11880" w:h="15480" w:orient="portrait"/>
          <w:cols w:equalWidth="0" w:num="2">
            <w:col w:w="5340" w:space="460"/>
            <w:col w:w="6080"/>
          </w:cols>
          <w:pgMar w:left="0" w:top="623" w:right="0" w:bottom="0" w:gutter="0" w:footer="0" w:header="0"/>
          <w:type w:val="continuous"/>
        </w:sectPr>
      </w:pPr>
    </w:p>
    <w:p>
      <w:pPr>
        <w:ind w:left="900"/>
        <w:spacing w:after="0"/>
        <w:tabs>
          <w:tab w:leader="none" w:pos="1260" w:val="left"/>
        </w:tabs>
        <w:rPr>
          <w:sz w:val="20"/>
          <w:szCs w:val="20"/>
          <w:color w:val="auto"/>
        </w:rPr>
      </w:pPr>
      <w:r>
        <w:rPr>
          <w:rFonts w:ascii="Arial" w:cs="Arial" w:eastAsia="Arial" w:hAnsi="Arial"/>
          <w:sz w:val="24"/>
          <w:szCs w:val="24"/>
          <w:color w:val="auto"/>
        </w:rPr>
        <w:t>4</w:t>
      </w:r>
      <w:r>
        <w:rPr>
          <w:sz w:val="20"/>
          <w:szCs w:val="20"/>
          <w:color w:val="auto"/>
        </w:rPr>
        <w:tab/>
      </w:r>
      <w:r>
        <w:rPr>
          <w:rFonts w:ascii="Arial" w:cs="Arial" w:eastAsia="Arial" w:hAnsi="Arial"/>
          <w:sz w:val="16"/>
          <w:szCs w:val="16"/>
          <w:color w:val="666666"/>
        </w:rPr>
        <w:t>CECO Environmental | 2025 Annual Report</w:t>
      </w:r>
    </w:p>
    <w:p>
      <w:pPr>
        <w:sectPr>
          <w:pgSz w:w="11880" w:h="15480" w:orient="portrait"/>
          <w:cols w:equalWidth="0" w:num="1">
            <w:col w:w="11880"/>
          </w:cols>
          <w:pgMar w:left="0" w:top="623" w:right="0" w:bottom="0" w:gutter="0" w:footer="0" w:header="0"/>
          <w:type w:val="continuous"/>
        </w:sectPr>
      </w:pPr>
    </w:p>
    <w:bookmarkStart w:id="6" w:name="page7"/>
    <w:bookmarkEnd w:id="6"/>
    <w:p>
      <w:pPr>
        <w:jc w:val="both"/>
        <w:ind w:left="200" w:right="1600"/>
        <w:spacing w:after="0" w:line="226" w:lineRule="auto"/>
        <w:rPr>
          <w:sz w:val="20"/>
          <w:szCs w:val="20"/>
          <w:color w:val="auto"/>
        </w:rPr>
      </w:pPr>
      <w:r>
        <w:rPr>
          <w:rFonts w:ascii="Arial" w:cs="Arial" w:eastAsia="Arial" w:hAnsi="Arial"/>
          <w:sz w:val="76"/>
          <w:szCs w:val="76"/>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257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7543800" cy="2574925"/>
                    </a:xfrm>
                    <a:prstGeom prst="rect">
                      <a:avLst/>
                    </a:prstGeom>
                    <a:noFill/>
                  </pic:spPr>
                </pic:pic>
              </a:graphicData>
            </a:graphic>
          </wp:anchor>
        </w:drawing>
        <w:t>DISCIPLINED CAPITAL ALLOCATION DRIVING VALUE CREATION AND GROWTH</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 w:type="dxa"/>
            <w:vAlign w:val="bottom"/>
            <w:shd w:val="clear" w:color="auto" w:fill="000000"/>
          </w:tcPr>
          <w:p>
            <w:pPr>
              <w:spacing w:after="0"/>
              <w:rPr>
                <w:sz w:val="17"/>
                <w:szCs w:val="17"/>
                <w:color w:val="auto"/>
              </w:rPr>
            </w:pPr>
          </w:p>
        </w:tc>
        <w:tc>
          <w:tcPr>
            <w:tcW w:w="486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486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r>
      <w:tr>
        <w:trPr>
          <w:trHeight w:val="565"/>
        </w:trPr>
        <w:tc>
          <w:tcPr>
            <w:tcW w:w="200" w:type="dxa"/>
            <w:vAlign w:val="bottom"/>
            <w:shd w:val="clear" w:color="auto" w:fill="000000"/>
          </w:tcPr>
          <w:p>
            <w:pPr>
              <w:spacing w:after="0"/>
              <w:rPr>
                <w:sz w:val="24"/>
                <w:szCs w:val="24"/>
                <w:color w:val="auto"/>
              </w:rPr>
            </w:pPr>
          </w:p>
        </w:tc>
        <w:tc>
          <w:tcPr>
            <w:tcW w:w="4860" w:type="dxa"/>
            <w:vAlign w:val="bottom"/>
          </w:tcPr>
          <w:p>
            <w:pPr>
              <w:ind w:left="180"/>
              <w:spacing w:after="0"/>
              <w:rPr>
                <w:sz w:val="20"/>
                <w:szCs w:val="20"/>
                <w:color w:val="auto"/>
              </w:rPr>
            </w:pPr>
            <w:r>
              <w:rPr>
                <w:rFonts w:ascii="Arial" w:cs="Arial" w:eastAsia="Arial" w:hAnsi="Arial"/>
                <w:sz w:val="30"/>
                <w:szCs w:val="30"/>
                <w:color w:val="273D86"/>
              </w:rPr>
              <w:t>HEALTHY BALANCE SHEET</w:t>
            </w:r>
          </w:p>
        </w:tc>
        <w:tc>
          <w:tcPr>
            <w:tcW w:w="360" w:type="dxa"/>
            <w:vAlign w:val="bottom"/>
            <w:shd w:val="clear" w:color="auto" w:fill="000000"/>
          </w:tcPr>
          <w:p>
            <w:pPr>
              <w:spacing w:after="0"/>
              <w:rPr>
                <w:sz w:val="24"/>
                <w:szCs w:val="24"/>
                <w:color w:val="auto"/>
              </w:rPr>
            </w:pPr>
          </w:p>
        </w:tc>
        <w:tc>
          <w:tcPr>
            <w:tcW w:w="4860" w:type="dxa"/>
            <w:vAlign w:val="bottom"/>
          </w:tcPr>
          <w:p>
            <w:pPr>
              <w:ind w:left="180"/>
              <w:spacing w:after="0"/>
              <w:rPr>
                <w:sz w:val="20"/>
                <w:szCs w:val="20"/>
                <w:color w:val="auto"/>
              </w:rPr>
            </w:pPr>
            <w:r>
              <w:rPr>
                <w:rFonts w:ascii="Arial" w:cs="Arial" w:eastAsia="Arial" w:hAnsi="Arial"/>
                <w:sz w:val="30"/>
                <w:szCs w:val="30"/>
                <w:color w:val="273D86"/>
              </w:rPr>
              <w:t>LOW CAPEX</w:t>
            </w:r>
          </w:p>
        </w:tc>
        <w:tc>
          <w:tcPr>
            <w:tcW w:w="200" w:type="dxa"/>
            <w:vAlign w:val="bottom"/>
            <w:shd w:val="clear" w:color="auto" w:fill="000000"/>
          </w:tcPr>
          <w:p>
            <w:pPr>
              <w:spacing w:after="0"/>
              <w:rPr>
                <w:sz w:val="24"/>
                <w:szCs w:val="24"/>
                <w:color w:val="auto"/>
              </w:rPr>
            </w:pPr>
          </w:p>
        </w:tc>
      </w:tr>
      <w:tr>
        <w:trPr>
          <w:trHeight w:val="232"/>
        </w:trPr>
        <w:tc>
          <w:tcPr>
            <w:tcW w:w="200" w:type="dxa"/>
            <w:vAlign w:val="bottom"/>
            <w:shd w:val="clear" w:color="auto" w:fill="000000"/>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that supports both inorganic and</w:t>
            </w:r>
          </w:p>
        </w:tc>
        <w:tc>
          <w:tcPr>
            <w:tcW w:w="360" w:type="dxa"/>
            <w:vAlign w:val="bottom"/>
            <w:shd w:val="clear" w:color="auto" w:fill="000000"/>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operating model delivering</w:t>
            </w:r>
          </w:p>
        </w:tc>
        <w:tc>
          <w:tcPr>
            <w:tcW w:w="200" w:type="dxa"/>
            <w:vAlign w:val="bottom"/>
            <w:shd w:val="clear" w:color="auto" w:fill="000000"/>
          </w:tcPr>
          <w:p>
            <w:pPr>
              <w:spacing w:after="0"/>
              <w:rPr>
                <w:sz w:val="20"/>
                <w:szCs w:val="20"/>
                <w:color w:val="auto"/>
              </w:rPr>
            </w:pPr>
          </w:p>
        </w:tc>
      </w:tr>
      <w:tr>
        <w:trPr>
          <w:trHeight w:val="252"/>
        </w:trPr>
        <w:tc>
          <w:tcPr>
            <w:tcW w:w="200" w:type="dxa"/>
            <w:vAlign w:val="bottom"/>
            <w:shd w:val="clear" w:color="auto" w:fill="000000"/>
          </w:tcPr>
          <w:p>
            <w:pPr>
              <w:spacing w:after="0"/>
              <w:rPr>
                <w:sz w:val="21"/>
                <w:szCs w:val="21"/>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organic growth investments.</w:t>
            </w:r>
          </w:p>
        </w:tc>
        <w:tc>
          <w:tcPr>
            <w:tcW w:w="360" w:type="dxa"/>
            <w:vAlign w:val="bottom"/>
            <w:shd w:val="clear" w:color="auto" w:fill="000000"/>
          </w:tcPr>
          <w:p>
            <w:pPr>
              <w:spacing w:after="0"/>
              <w:rPr>
                <w:sz w:val="21"/>
                <w:szCs w:val="21"/>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robust cash flows.</w:t>
            </w:r>
          </w:p>
        </w:tc>
        <w:tc>
          <w:tcPr>
            <w:tcW w:w="200" w:type="dxa"/>
            <w:vAlign w:val="bottom"/>
            <w:shd w:val="clear" w:color="auto" w:fill="000000"/>
          </w:tcPr>
          <w:p>
            <w:pPr>
              <w:spacing w:after="0"/>
              <w:rPr>
                <w:sz w:val="21"/>
                <w:szCs w:val="21"/>
                <w:color w:val="auto"/>
              </w:rPr>
            </w:pPr>
          </w:p>
        </w:tc>
      </w:tr>
      <w:tr>
        <w:trPr>
          <w:trHeight w:val="124"/>
        </w:trPr>
        <w:tc>
          <w:tcPr>
            <w:tcW w:w="200" w:type="dxa"/>
            <w:vAlign w:val="bottom"/>
            <w:shd w:val="clear" w:color="auto" w:fill="000000"/>
          </w:tcPr>
          <w:p>
            <w:pPr>
              <w:spacing w:after="0"/>
              <w:rPr>
                <w:sz w:val="10"/>
                <w:szCs w:val="10"/>
                <w:color w:val="auto"/>
              </w:rPr>
            </w:pPr>
          </w:p>
        </w:tc>
        <w:tc>
          <w:tcPr>
            <w:tcW w:w="4860" w:type="dxa"/>
            <w:vAlign w:val="bottom"/>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4860" w:type="dxa"/>
            <w:vAlign w:val="bottom"/>
          </w:tcPr>
          <w:p>
            <w:pPr>
              <w:spacing w:after="0"/>
              <w:rPr>
                <w:sz w:val="10"/>
                <w:szCs w:val="10"/>
                <w:color w:val="auto"/>
              </w:rPr>
            </w:pPr>
          </w:p>
        </w:tc>
        <w:tc>
          <w:tcPr>
            <w:tcW w:w="200" w:type="dxa"/>
            <w:vAlign w:val="bottom"/>
            <w:shd w:val="clear" w:color="auto" w:fill="000000"/>
          </w:tcPr>
          <w:p>
            <w:pPr>
              <w:spacing w:after="0"/>
              <w:rPr>
                <w:sz w:val="10"/>
                <w:szCs w:val="10"/>
                <w:color w:val="auto"/>
              </w:rPr>
            </w:pPr>
          </w:p>
        </w:tc>
      </w:tr>
      <w:tr>
        <w:trPr>
          <w:trHeight w:val="201"/>
        </w:trPr>
        <w:tc>
          <w:tcPr>
            <w:tcW w:w="200" w:type="dxa"/>
            <w:vAlign w:val="bottom"/>
            <w:shd w:val="clear" w:color="auto" w:fill="000000"/>
          </w:tcPr>
          <w:p>
            <w:pPr>
              <w:spacing w:after="0"/>
              <w:rPr>
                <w:sz w:val="17"/>
                <w:szCs w:val="17"/>
                <w:color w:val="auto"/>
              </w:rPr>
            </w:pPr>
          </w:p>
        </w:tc>
        <w:tc>
          <w:tcPr>
            <w:tcW w:w="486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486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699250" cy="5792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6699250" cy="5792470"/>
                    </a:xfrm>
                    <a:prstGeom prst="rect">
                      <a:avLst/>
                    </a:prstGeom>
                    <a:noFill/>
                  </pic:spPr>
                </pic:pic>
              </a:graphicData>
            </a:graphic>
          </wp:anchor>
        </w:drawing>
      </w:r>
    </w:p>
    <w:p>
      <w:pPr>
        <w:sectPr>
          <w:pgSz w:w="11880" w:h="15480" w:orient="portrait"/>
          <w:cols w:equalWidth="0" w:num="1">
            <w:col w:w="10480"/>
          </w:cols>
          <w:pgMar w:left="700" w:top="623" w:right="700" w:bottom="0" w:gutter="0" w:footer="0" w:header="0"/>
        </w:sectPr>
      </w:pP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393"/>
        </w:trPr>
        <w:tc>
          <w:tcPr>
            <w:tcW w:w="2260" w:type="dxa"/>
            <w:vAlign w:val="bottom"/>
          </w:tcPr>
          <w:p>
            <w:pPr>
              <w:ind w:left="180"/>
              <w:spacing w:after="0"/>
              <w:rPr>
                <w:sz w:val="20"/>
                <w:szCs w:val="20"/>
                <w:color w:val="auto"/>
              </w:rPr>
            </w:pPr>
            <w:r>
              <w:rPr>
                <w:rFonts w:ascii="Arial" w:cs="Arial" w:eastAsia="Arial" w:hAnsi="Arial"/>
                <w:sz w:val="22"/>
                <w:szCs w:val="22"/>
                <w:color w:val="273D86"/>
              </w:rPr>
              <w:t>Deployed</w:t>
            </w:r>
          </w:p>
        </w:tc>
        <w:tc>
          <w:tcPr>
            <w:tcW w:w="320" w:type="dxa"/>
            <w:vAlign w:val="bottom"/>
          </w:tcPr>
          <w:p>
            <w:pPr>
              <w:spacing w:after="0"/>
              <w:rPr>
                <w:sz w:val="24"/>
                <w:szCs w:val="24"/>
                <w:color w:val="auto"/>
              </w:rPr>
            </w:pPr>
          </w:p>
        </w:tc>
        <w:tc>
          <w:tcPr>
            <w:tcW w:w="3060" w:type="dxa"/>
            <w:vAlign w:val="bottom"/>
          </w:tcPr>
          <w:p>
            <w:pPr>
              <w:ind w:left="180"/>
              <w:spacing w:after="0"/>
              <w:rPr>
                <w:sz w:val="20"/>
                <w:szCs w:val="20"/>
                <w:color w:val="auto"/>
              </w:rPr>
            </w:pPr>
            <w:r>
              <w:rPr>
                <w:rFonts w:ascii="Arial" w:cs="Arial" w:eastAsia="Arial" w:hAnsi="Arial"/>
                <w:sz w:val="22"/>
                <w:szCs w:val="22"/>
                <w:color w:val="273D86"/>
              </w:rPr>
              <w:t>Deployed</w:t>
            </w:r>
          </w:p>
        </w:tc>
      </w:tr>
      <w:tr>
        <w:trPr>
          <w:trHeight w:val="490"/>
        </w:trPr>
        <w:tc>
          <w:tcPr>
            <w:tcW w:w="2260" w:type="dxa"/>
            <w:vAlign w:val="bottom"/>
          </w:tcPr>
          <w:p>
            <w:pPr>
              <w:ind w:left="180"/>
              <w:spacing w:after="0"/>
              <w:rPr>
                <w:sz w:val="20"/>
                <w:szCs w:val="20"/>
                <w:color w:val="auto"/>
              </w:rPr>
            </w:pPr>
            <w:r>
              <w:rPr>
                <w:rFonts w:ascii="Arial" w:cs="Arial" w:eastAsia="Arial" w:hAnsi="Arial"/>
                <w:sz w:val="38"/>
                <w:szCs w:val="38"/>
                <w:color w:val="273D86"/>
              </w:rPr>
              <w:t>$120M</w:t>
            </w:r>
          </w:p>
        </w:tc>
        <w:tc>
          <w:tcPr>
            <w:tcW w:w="320" w:type="dxa"/>
            <w:vAlign w:val="bottom"/>
          </w:tcPr>
          <w:p>
            <w:pPr>
              <w:spacing w:after="0"/>
              <w:rPr>
                <w:sz w:val="24"/>
                <w:szCs w:val="24"/>
                <w:color w:val="auto"/>
              </w:rPr>
            </w:pPr>
          </w:p>
        </w:tc>
        <w:tc>
          <w:tcPr>
            <w:tcW w:w="3060" w:type="dxa"/>
            <w:vAlign w:val="bottom"/>
          </w:tcPr>
          <w:p>
            <w:pPr>
              <w:ind w:left="180"/>
              <w:spacing w:after="0"/>
              <w:rPr>
                <w:sz w:val="20"/>
                <w:szCs w:val="20"/>
                <w:color w:val="auto"/>
              </w:rPr>
            </w:pPr>
            <w:r>
              <w:rPr>
                <w:rFonts w:ascii="Arial" w:cs="Arial" w:eastAsia="Arial" w:hAnsi="Arial"/>
                <w:sz w:val="38"/>
                <w:szCs w:val="38"/>
                <w:color w:val="273D86"/>
              </w:rPr>
              <w:t xml:space="preserve">$11M </w:t>
            </w:r>
            <w:r>
              <w:rPr>
                <w:rFonts w:ascii="Arial" w:cs="Arial" w:eastAsia="Arial" w:hAnsi="Arial"/>
                <w:sz w:val="22"/>
                <w:szCs w:val="22"/>
                <w:color w:val="273D86"/>
              </w:rPr>
              <w:t>CapEx in 2025</w:t>
            </w: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on strategic and</w:t>
            </w:r>
          </w:p>
        </w:tc>
        <w:tc>
          <w:tcPr>
            <w:tcW w:w="32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on U.S. and UK facility</w:t>
            </w: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accretive</w:t>
            </w:r>
          </w:p>
        </w:tc>
        <w:tc>
          <w:tcPr>
            <w:tcW w:w="32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expansions, ERP migration, U.S.</w:t>
            </w: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M&amp;A transactions.</w:t>
            </w:r>
          </w:p>
        </w:tc>
        <w:tc>
          <w:tcPr>
            <w:tcW w:w="320" w:type="dxa"/>
            <w:vAlign w:val="bottom"/>
          </w:tcPr>
          <w:p>
            <w:pPr>
              <w:spacing w:after="0"/>
              <w:rPr>
                <w:sz w:val="18"/>
                <w:szCs w:val="18"/>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HQ move, sales office updates</w:t>
            </w:r>
          </w:p>
        </w:tc>
      </w:tr>
      <w:tr>
        <w:trPr>
          <w:trHeight w:val="252"/>
        </w:trPr>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and Lean implementation.</w:t>
            </w:r>
          </w:p>
        </w:tc>
      </w:tr>
      <w:tr>
        <w:trPr>
          <w:trHeight w:val="124"/>
        </w:trPr>
        <w:tc>
          <w:tcPr>
            <w:tcW w:w="2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273D86"/>
        </w:rPr>
        <w:t>Invested</w:t>
      </w:r>
    </w:p>
    <w:p>
      <w:pPr>
        <w:spacing w:after="0"/>
        <w:rPr>
          <w:sz w:val="20"/>
          <w:szCs w:val="20"/>
          <w:color w:val="auto"/>
        </w:rPr>
      </w:pPr>
      <w:r>
        <w:rPr>
          <w:rFonts w:ascii="Arial" w:cs="Arial" w:eastAsia="Arial" w:hAnsi="Arial"/>
          <w:sz w:val="38"/>
          <w:szCs w:val="38"/>
          <w:color w:val="273D86"/>
        </w:rPr>
        <w:t>$25M</w:t>
      </w:r>
    </w:p>
    <w:p>
      <w:pPr>
        <w:spacing w:after="0" w:line="87" w:lineRule="exact"/>
        <w:rPr>
          <w:sz w:val="20"/>
          <w:szCs w:val="20"/>
          <w:color w:val="auto"/>
        </w:rPr>
      </w:pPr>
    </w:p>
    <w:p>
      <w:pPr>
        <w:ind w:right="740"/>
        <w:spacing w:after="0" w:line="267" w:lineRule="auto"/>
        <w:rPr>
          <w:sz w:val="20"/>
          <w:szCs w:val="20"/>
          <w:color w:val="auto"/>
        </w:rPr>
      </w:pPr>
      <w:r>
        <w:rPr>
          <w:rFonts w:ascii="Arial" w:cs="Arial" w:eastAsia="Arial" w:hAnsi="Arial"/>
          <w:sz w:val="18"/>
          <w:szCs w:val="18"/>
          <w:color w:val="auto"/>
        </w:rPr>
        <w:t>in Commercial Excellence – Sales, Engineering and Project Execution, India expansion, and Operating Excellence – Lean, Sourcing and Productivity.</w:t>
      </w:r>
    </w:p>
    <w:p>
      <w:pPr>
        <w:spacing w:after="0" w:line="303" w:lineRule="exact"/>
        <w:rPr>
          <w:sz w:val="20"/>
          <w:szCs w:val="20"/>
          <w:color w:val="auto"/>
        </w:rPr>
      </w:pPr>
    </w:p>
    <w:p>
      <w:pPr>
        <w:sectPr>
          <w:pgSz w:w="11880" w:h="15480" w:orient="portrait"/>
          <w:cols w:equalWidth="0" w:num="2">
            <w:col w:w="5840" w:space="480"/>
            <w:col w:w="4160"/>
          </w:cols>
          <w:pgMar w:left="700" w:top="623" w:right="700" w:bottom="0" w:gutter="0" w:footer="0" w:header="0"/>
          <w:type w:val="continuous"/>
        </w:sectPr>
      </w:pPr>
    </w:p>
    <w:p>
      <w:pPr>
        <w:spacing w:after="0" w:line="325" w:lineRule="exact"/>
        <w:rPr>
          <w:sz w:val="20"/>
          <w:szCs w:val="20"/>
          <w:color w:val="auto"/>
        </w:rPr>
      </w:pPr>
    </w:p>
    <w:p>
      <w:pPr>
        <w:ind w:left="560" w:right="4960"/>
        <w:spacing w:after="0" w:line="283" w:lineRule="auto"/>
        <w:rPr>
          <w:sz w:val="20"/>
          <w:szCs w:val="20"/>
          <w:color w:val="auto"/>
        </w:rPr>
      </w:pPr>
      <w:r>
        <w:rPr>
          <w:rFonts w:ascii="Arial" w:cs="Arial" w:eastAsia="Arial" w:hAnsi="Arial"/>
          <w:sz w:val="26"/>
          <w:szCs w:val="26"/>
          <w:color w:val="273D86"/>
        </w:rPr>
        <w:t>Strategic Acquisition of Profire Energy Supports Shareholder Value</w:t>
      </w:r>
    </w:p>
    <w:p>
      <w:pPr>
        <w:ind w:left="560" w:right="3880"/>
        <w:spacing w:after="0" w:line="257" w:lineRule="auto"/>
        <w:rPr>
          <w:sz w:val="20"/>
          <w:szCs w:val="20"/>
          <w:color w:val="auto"/>
        </w:rPr>
      </w:pPr>
      <w:r>
        <w:rPr>
          <w:rFonts w:ascii="Arial" w:cs="Arial" w:eastAsia="Arial" w:hAnsi="Arial"/>
          <w:sz w:val="18"/>
          <w:szCs w:val="18"/>
          <w:color w:val="auto"/>
        </w:rPr>
        <w:t>In Q1 2025, CECO Environmental completed the acquisition of Profire Energy, a market leader in intelligent combustion control solutions. This transaction aligned with CECO’s strategy to expand its portfolio of high-margin, mission-critical technologies while unlocking significant synergies through operational efficiencies and global market access. Profire’s established presence in energy and industrial markets, combined with its innovative burner management systems, supports CECO’s drive to deliver enhanced shareholder returns through accelerated growth and profitability.</w:t>
      </w:r>
    </w:p>
    <w:p>
      <w:pPr>
        <w:spacing w:after="0" w:line="318" w:lineRule="exact"/>
        <w:rPr>
          <w:sz w:val="20"/>
          <w:szCs w:val="20"/>
          <w:color w:val="auto"/>
        </w:rPr>
      </w:pPr>
    </w:p>
    <w:p>
      <w:pPr>
        <w:ind w:left="740" w:hanging="180"/>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January 2025 close</w:t>
      </w:r>
    </w:p>
    <w:p>
      <w:pPr>
        <w:spacing w:after="0" w:line="66" w:lineRule="exact"/>
        <w:rPr>
          <w:rFonts w:ascii="Arial" w:cs="Arial" w:eastAsia="Arial" w:hAnsi="Arial"/>
          <w:sz w:val="18"/>
          <w:szCs w:val="18"/>
          <w:color w:val="auto"/>
        </w:rPr>
      </w:pPr>
    </w:p>
    <w:p>
      <w:pPr>
        <w:ind w:left="740" w:hanging="180"/>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U.S.-based</w:t>
      </w:r>
    </w:p>
    <w:p>
      <w:pPr>
        <w:spacing w:after="0" w:line="66" w:lineRule="exact"/>
        <w:rPr>
          <w:rFonts w:ascii="Arial" w:cs="Arial" w:eastAsia="Arial" w:hAnsi="Arial"/>
          <w:sz w:val="18"/>
          <w:szCs w:val="18"/>
          <w:color w:val="auto"/>
        </w:rPr>
      </w:pPr>
    </w:p>
    <w:p>
      <w:pPr>
        <w:ind w:left="740" w:hanging="180"/>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 Revenues: $60M+</w:t>
      </w:r>
    </w:p>
    <w:p>
      <w:pPr>
        <w:spacing w:after="0" w:line="66" w:lineRule="exact"/>
        <w:rPr>
          <w:rFonts w:ascii="Arial" w:cs="Arial" w:eastAsia="Arial" w:hAnsi="Arial"/>
          <w:sz w:val="18"/>
          <w:szCs w:val="18"/>
          <w:color w:val="auto"/>
        </w:rPr>
      </w:pPr>
    </w:p>
    <w:p>
      <w:pPr>
        <w:ind w:left="740" w:right="7280" w:hanging="181"/>
        <w:spacing w:after="0" w:line="28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Adds burner and combustion control solutions</w:t>
      </w:r>
    </w:p>
    <w:p>
      <w:pPr>
        <w:spacing w:after="0" w:line="1" w:lineRule="exact"/>
        <w:rPr>
          <w:rFonts w:ascii="Arial" w:cs="Arial" w:eastAsia="Arial" w:hAnsi="Arial"/>
          <w:sz w:val="18"/>
          <w:szCs w:val="18"/>
          <w:color w:val="auto"/>
        </w:rPr>
      </w:pPr>
    </w:p>
    <w:p>
      <w:pPr>
        <w:ind w:left="740" w:right="7360" w:hanging="181"/>
        <w:spacing w:after="0" w:line="272"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synergies, efficiencies, and short cycle business opportunities</w:t>
      </w:r>
    </w:p>
    <w:p>
      <w:pPr>
        <w:spacing w:after="0" w:line="1" w:lineRule="exact"/>
        <w:rPr>
          <w:rFonts w:ascii="Arial" w:cs="Arial" w:eastAsia="Arial" w:hAnsi="Arial"/>
          <w:sz w:val="18"/>
          <w:szCs w:val="18"/>
          <w:color w:val="auto"/>
        </w:rPr>
      </w:pPr>
    </w:p>
    <w:p>
      <w:pPr>
        <w:ind w:left="740" w:hanging="181"/>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Large installed base</w:t>
      </w:r>
    </w:p>
    <w:p>
      <w:pPr>
        <w:sectPr>
          <w:pgSz w:w="11880" w:h="15480" w:orient="portrait"/>
          <w:cols w:equalWidth="0" w:num="1">
            <w:col w:w="10480"/>
          </w:cols>
          <w:pgMar w:left="700" w:top="623"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0"/>
        <w:spacing w:after="0"/>
        <w:tabs>
          <w:tab w:leader="none" w:pos="10120" w:val="left"/>
        </w:tabs>
        <w:rPr>
          <w:sz w:val="20"/>
          <w:szCs w:val="20"/>
          <w:color w:val="auto"/>
        </w:rPr>
      </w:pPr>
      <w:r>
        <w:rPr>
          <w:rFonts w:ascii="Arial" w:cs="Arial" w:eastAsia="Arial" w:hAnsi="Arial"/>
          <w:sz w:val="16"/>
          <w:szCs w:val="16"/>
          <w:color w:val="666666"/>
        </w:rPr>
        <w:t>CECO Environmental | 2025 Annual Report</w:t>
      </w:r>
      <w:r>
        <w:rPr>
          <w:sz w:val="20"/>
          <w:szCs w:val="20"/>
          <w:color w:val="auto"/>
        </w:rPr>
        <w:tab/>
      </w:r>
      <w:r>
        <w:rPr>
          <w:rFonts w:ascii="Arial" w:cs="Arial" w:eastAsia="Arial" w:hAnsi="Arial"/>
          <w:sz w:val="24"/>
          <w:szCs w:val="24"/>
          <w:color w:val="auto"/>
        </w:rPr>
        <w:t>5</w:t>
      </w:r>
    </w:p>
    <w:p>
      <w:pPr>
        <w:spacing w:after="0" w:line="20" w:lineRule="exact"/>
        <w:rPr>
          <w:sz w:val="20"/>
          <w:szCs w:val="20"/>
          <w:color w:val="auto"/>
        </w:rPr>
      </w:pPr>
    </w:p>
    <w:p>
      <w:pPr>
        <w:sectPr>
          <w:pgSz w:w="11880" w:h="15480" w:orient="portrait"/>
          <w:cols w:equalWidth="0" w:num="1">
            <w:col w:w="10480"/>
          </w:cols>
          <w:pgMar w:left="700" w:top="623" w:right="700" w:bottom="0" w:gutter="0" w:footer="0" w:header="0"/>
          <w:type w:val="continuous"/>
        </w:sectPr>
      </w:pPr>
    </w:p>
    <w:bookmarkStart w:id="7" w:name="page8"/>
    <w:bookmarkEnd w:id="7"/>
    <w:p>
      <w:pPr>
        <w:spacing w:after="0"/>
        <w:rPr>
          <w:sz w:val="20"/>
          <w:szCs w:val="20"/>
          <w:color w:val="auto"/>
        </w:rPr>
      </w:pPr>
      <w:r>
        <w:rPr>
          <w:rFonts w:ascii="Arial" w:cs="Arial" w:eastAsia="Arial" w:hAnsi="Arial"/>
          <w:sz w:val="76"/>
          <w:szCs w:val="76"/>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2019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7543800" cy="2019935"/>
                    </a:xfrm>
                    <a:prstGeom prst="rect">
                      <a:avLst/>
                    </a:prstGeom>
                    <a:noFill/>
                  </pic:spPr>
                </pic:pic>
              </a:graphicData>
            </a:graphic>
          </wp:anchor>
        </w:drawing>
        <w:t>CUSTOMER HIGHLIGHTS</w:t>
      </w:r>
    </w:p>
    <w:p>
      <w:pPr>
        <w:spacing w:after="0" w:line="200" w:lineRule="exact"/>
        <w:rPr>
          <w:sz w:val="20"/>
          <w:szCs w:val="20"/>
          <w:color w:val="auto"/>
        </w:rPr>
      </w:pPr>
    </w:p>
    <w:p>
      <w:pPr>
        <w:spacing w:after="0" w:line="323" w:lineRule="exact"/>
        <w:rPr>
          <w:sz w:val="20"/>
          <w:szCs w:val="20"/>
          <w:color w:val="auto"/>
        </w:rPr>
      </w:pPr>
    </w:p>
    <w:p>
      <w:pPr>
        <w:jc w:val="both"/>
        <w:ind w:left="320"/>
        <w:spacing w:after="0" w:line="322" w:lineRule="auto"/>
        <w:rPr>
          <w:sz w:val="20"/>
          <w:szCs w:val="20"/>
          <w:color w:val="auto"/>
        </w:rPr>
      </w:pPr>
      <w:r>
        <w:rPr>
          <w:rFonts w:ascii="Arial" w:cs="Arial" w:eastAsia="Arial" w:hAnsi="Arial"/>
          <w:sz w:val="24"/>
          <w:szCs w:val="24"/>
          <w:color w:val="FFFFFF"/>
        </w:rPr>
        <w:t>Providing solutions for key emerging industries supports CECO’s mission to protect people, the environment and industrial equipment. These projects represent just a few areas of increased focus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532245" cy="669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6532245" cy="669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80" w:right="420"/>
        <w:spacing w:after="0" w:line="303" w:lineRule="auto"/>
        <w:rPr>
          <w:sz w:val="20"/>
          <w:szCs w:val="20"/>
          <w:color w:val="auto"/>
        </w:rPr>
      </w:pPr>
      <w:r>
        <w:rPr>
          <w:rFonts w:ascii="Arial" w:cs="Arial" w:eastAsia="Arial" w:hAnsi="Arial"/>
          <w:sz w:val="26"/>
          <w:szCs w:val="26"/>
          <w:color w:val="273D86"/>
        </w:rPr>
        <w:t>Enabling Precision Manufacturing in High-Performance Materials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Customer: Zotefoams</w:t>
      </w:r>
    </w:p>
    <w:p>
      <w:pPr>
        <w:spacing w:after="0" w:line="233" w:lineRule="exact"/>
        <w:rPr>
          <w:sz w:val="20"/>
          <w:szCs w:val="20"/>
          <w:color w:val="auto"/>
        </w:rPr>
      </w:pPr>
    </w:p>
    <w:p>
      <w:pPr>
        <w:ind w:left="4680"/>
        <w:spacing w:after="0"/>
        <w:rPr>
          <w:sz w:val="20"/>
          <w:szCs w:val="20"/>
          <w:color w:val="auto"/>
        </w:rPr>
      </w:pPr>
      <w:r>
        <w:rPr>
          <w:rFonts w:ascii="Arial" w:cs="Arial" w:eastAsia="Arial" w:hAnsi="Arial"/>
          <w:sz w:val="18"/>
          <w:szCs w:val="18"/>
          <w:color w:val="273D86"/>
        </w:rPr>
        <w:t>Project Summary</w:t>
      </w:r>
    </w:p>
    <w:p>
      <w:pPr>
        <w:spacing w:after="0" w:line="53" w:lineRule="exact"/>
        <w:rPr>
          <w:sz w:val="20"/>
          <w:szCs w:val="20"/>
          <w:color w:val="auto"/>
        </w:rPr>
      </w:pPr>
    </w:p>
    <w:p>
      <w:pPr>
        <w:ind w:left="4680" w:right="120"/>
        <w:spacing w:after="0" w:line="307" w:lineRule="auto"/>
        <w:rPr>
          <w:sz w:val="20"/>
          <w:szCs w:val="20"/>
          <w:color w:val="auto"/>
        </w:rPr>
      </w:pPr>
      <w:r>
        <w:rPr>
          <w:rFonts w:ascii="Arial" w:cs="Arial" w:eastAsia="Arial" w:hAnsi="Arial"/>
          <w:sz w:val="18"/>
          <w:szCs w:val="18"/>
          <w:color w:val="auto"/>
        </w:rPr>
        <w:t>For more than a decade, CECO’s Burgess-Manning business has partnered with Zotefoams, a global producer of high-performance foams used in performance footwear and aerospace applications. Zotefoams’ proprietary process requires precise pressure management and repeated high-force venting events. Burgess-Manning supplied a Custom Vent Silencer designed to withstand extreme mechanical loads while delivering high acoustic attenuation and controlled blowdown performance.</w:t>
      </w:r>
    </w:p>
    <w:p>
      <w:pPr>
        <w:spacing w:after="0" w:line="136" w:lineRule="exact"/>
        <w:rPr>
          <w:sz w:val="20"/>
          <w:szCs w:val="20"/>
          <w:color w:val="auto"/>
        </w:rPr>
      </w:pPr>
    </w:p>
    <w:p>
      <w:pPr>
        <w:ind w:left="1080" w:right="40"/>
        <w:spacing w:after="0" w:line="327" w:lineRule="auto"/>
        <w:rPr>
          <w:sz w:val="20"/>
          <w:szCs w:val="20"/>
          <w:color w:val="auto"/>
        </w:rPr>
      </w:pPr>
      <w:r>
        <w:rPr>
          <w:rFonts w:ascii="Arial" w:cs="Arial" w:eastAsia="Arial" w:hAnsi="Arial"/>
          <w:sz w:val="18"/>
          <w:szCs w:val="18"/>
          <w:color w:val="auto"/>
        </w:rPr>
        <w:t>Venting events can exceed 150 dB(A), and blowdown duration directly impacts product consistency and batch frequency. Burgess-Manning’s robust designs enhance operator safety, ensure predictable process control, and improve production stability.</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8"/>
          <w:szCs w:val="18"/>
          <w:color w:val="273D86"/>
        </w:rPr>
        <w:t>Customer Impact</w:t>
      </w:r>
    </w:p>
    <w:p>
      <w:pPr>
        <w:spacing w:after="0" w:line="53" w:lineRule="exact"/>
        <w:rPr>
          <w:sz w:val="20"/>
          <w:szCs w:val="20"/>
          <w:color w:val="auto"/>
        </w:rPr>
      </w:pPr>
    </w:p>
    <w:p>
      <w:pPr>
        <w:ind w:left="1080" w:right="180"/>
        <w:spacing w:after="0" w:line="327" w:lineRule="auto"/>
        <w:rPr>
          <w:sz w:val="20"/>
          <w:szCs w:val="20"/>
          <w:color w:val="auto"/>
        </w:rPr>
      </w:pPr>
      <w:r>
        <w:rPr>
          <w:rFonts w:ascii="Arial" w:cs="Arial" w:eastAsia="Arial" w:hAnsi="Arial"/>
          <w:sz w:val="18"/>
          <w:szCs w:val="18"/>
          <w:color w:val="auto"/>
        </w:rPr>
        <w:t>The solution enables consistent foam quality, increased operational uptime, and optimized batch throughput, strengthening Zotefoams’ manufacturing efficiency and supporting reliable delivery into demanding end markets.</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8"/>
          <w:szCs w:val="18"/>
          <w:color w:val="273D86"/>
        </w:rPr>
        <w:t>Equipment Supplied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Custom Vent Silencer for high-force industrial venting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80"/>
        <w:spacing w:after="0"/>
        <w:rPr>
          <w:sz w:val="20"/>
          <w:szCs w:val="20"/>
          <w:color w:val="auto"/>
        </w:rPr>
      </w:pPr>
      <w:r>
        <w:rPr>
          <w:rFonts w:ascii="Arial" w:cs="Arial" w:eastAsia="Arial" w:hAnsi="Arial"/>
          <w:sz w:val="30"/>
          <w:szCs w:val="30"/>
          <w:color w:val="709D23"/>
        </w:rPr>
        <w:t>LEADERSHIP PERSPECTIVE</w:t>
      </w:r>
    </w:p>
    <w:p>
      <w:pPr>
        <w:spacing w:after="0" w:line="129" w:lineRule="exact"/>
        <w:rPr>
          <w:sz w:val="20"/>
          <w:szCs w:val="20"/>
          <w:color w:val="auto"/>
        </w:rPr>
      </w:pPr>
    </w:p>
    <w:p>
      <w:pPr>
        <w:ind w:left="1660" w:right="860" w:hanging="75"/>
        <w:spacing w:after="0" w:line="290" w:lineRule="auto"/>
        <w:rPr>
          <w:sz w:val="20"/>
          <w:szCs w:val="20"/>
          <w:color w:val="auto"/>
        </w:rPr>
      </w:pPr>
      <w:r>
        <w:rPr>
          <w:rFonts w:ascii="Arial" w:cs="Arial" w:eastAsia="Arial" w:hAnsi="Arial"/>
          <w:sz w:val="26"/>
          <w:szCs w:val="26"/>
          <w:color w:val="273D86"/>
        </w:rPr>
        <w:t>“Our partnership with Zotefoams demonstrates how engineered acoustic and pressure management solutions directly improve safety, product quality, and production efficiency in mission-critical processes.”</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26"/>
          <w:szCs w:val="26"/>
          <w:color w:val="273D86"/>
        </w:rPr>
        <w:t>— CECO Senior Executive</w:t>
      </w:r>
    </w:p>
    <w:p>
      <w:pPr>
        <w:sectPr>
          <w:pgSz w:w="11880" w:h="15480" w:orient="portrait"/>
          <w:cols w:equalWidth="0" w:num="1">
            <w:col w:w="9760"/>
          </w:cols>
          <w:pgMar w:left="900" w:top="62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color w:val="auto"/>
        </w:rPr>
        <w:t>6</w:t>
      </w:r>
      <w:r>
        <w:rPr>
          <w:sz w:val="20"/>
          <w:szCs w:val="20"/>
          <w:color w:val="auto"/>
        </w:rPr>
        <w:tab/>
      </w:r>
      <w:r>
        <w:rPr>
          <w:rFonts w:ascii="Arial" w:cs="Arial" w:eastAsia="Arial" w:hAnsi="Arial"/>
          <w:sz w:val="16"/>
          <w:szCs w:val="16"/>
          <w:color w:val="666666"/>
        </w:rPr>
        <w:t>CECO Environmental | 2025 Annual Report</w:t>
      </w:r>
    </w:p>
    <w:p>
      <w:pPr>
        <w:sectPr>
          <w:pgSz w:w="11880" w:h="15480" w:orient="portrait"/>
          <w:cols w:equalWidth="0" w:num="1">
            <w:col w:w="9760"/>
          </w:cols>
          <w:pgMar w:left="900" w:top="623" w:right="1220" w:bottom="0" w:gutter="0" w:footer="0" w:header="0"/>
          <w:type w:val="continuous"/>
        </w:sectPr>
      </w:pPr>
    </w:p>
    <w:bookmarkStart w:id="8" w:name="page9"/>
    <w:bookmarkEnd w:id="8"/>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441960</wp:posOffset>
            </wp:positionH>
            <wp:positionV relativeFrom="page">
              <wp:posOffset>922020</wp:posOffset>
            </wp:positionV>
            <wp:extent cx="6530340" cy="7504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6530340" cy="7504430"/>
                    </a:xfrm>
                    <a:prstGeom prst="rect">
                      <a:avLst/>
                    </a:prstGeom>
                    <a:noFill/>
                  </pic:spPr>
                </pic:pic>
              </a:graphicData>
            </a:graphic>
          </wp:anchor>
        </w:drawing>
      </w:r>
    </w:p>
    <w:p>
      <w:pPr>
        <w:ind w:left="600"/>
        <w:spacing w:after="0"/>
        <w:rPr>
          <w:sz w:val="20"/>
          <w:szCs w:val="20"/>
          <w:color w:val="auto"/>
        </w:rPr>
      </w:pPr>
      <w:r>
        <w:rPr>
          <w:rFonts w:ascii="Arial" w:cs="Arial" w:eastAsia="Arial" w:hAnsi="Arial"/>
          <w:sz w:val="30"/>
          <w:szCs w:val="30"/>
          <w:color w:val="709D23"/>
        </w:rPr>
        <w:t>LEADERSHIP PERSPECTIVE</w:t>
      </w:r>
    </w:p>
    <w:p>
      <w:pPr>
        <w:spacing w:after="0" w:line="129" w:lineRule="exact"/>
        <w:rPr>
          <w:sz w:val="20"/>
          <w:szCs w:val="20"/>
          <w:color w:val="auto"/>
        </w:rPr>
      </w:pPr>
    </w:p>
    <w:p>
      <w:pPr>
        <w:ind w:left="580" w:right="1760" w:hanging="76"/>
        <w:spacing w:after="0" w:line="290" w:lineRule="auto"/>
        <w:rPr>
          <w:sz w:val="20"/>
          <w:szCs w:val="20"/>
          <w:color w:val="auto"/>
        </w:rPr>
      </w:pPr>
      <w:r>
        <w:rPr>
          <w:rFonts w:ascii="Arial" w:cs="Arial" w:eastAsia="Arial" w:hAnsi="Arial"/>
          <w:sz w:val="26"/>
          <w:szCs w:val="26"/>
          <w:color w:val="273D86"/>
        </w:rPr>
        <w:t>“Our integrated Hot SCR solution positions CECO as a leader in emissions control for next-generation natural gas infrastructure, delivering both environmental performance and operational reliability.”</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26"/>
          <w:szCs w:val="26"/>
          <w:color w:val="273D86"/>
        </w:rPr>
        <w:t>— CECO Senior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5500"/>
        <w:spacing w:after="0" w:line="277" w:lineRule="auto"/>
        <w:rPr>
          <w:sz w:val="20"/>
          <w:szCs w:val="20"/>
          <w:color w:val="auto"/>
        </w:rPr>
      </w:pPr>
      <w:r>
        <w:rPr>
          <w:rFonts w:ascii="Arial" w:cs="Arial" w:eastAsia="Arial" w:hAnsi="Arial"/>
          <w:sz w:val="26"/>
          <w:szCs w:val="26"/>
          <w:color w:val="273D86"/>
        </w:rPr>
        <w:t>Transforming Dispatchable Power with Integrated Emissions Management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Customer: U.S. Natural Gas Power Operator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273D86"/>
        </w:rPr>
        <w:t>Project Summary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 U.S. power demand expands, driven by</w:t>
      </w:r>
    </w:p>
    <w:p>
      <w:pPr>
        <w:spacing w:after="0" w:line="53" w:lineRule="exact"/>
        <w:rPr>
          <w:sz w:val="20"/>
          <w:szCs w:val="20"/>
          <w:color w:val="auto"/>
        </w:rPr>
      </w:pPr>
    </w:p>
    <w:p>
      <w:pPr>
        <w:ind w:right="5480"/>
        <w:spacing w:after="0" w:line="311" w:lineRule="auto"/>
        <w:rPr>
          <w:sz w:val="20"/>
          <w:szCs w:val="20"/>
          <w:color w:val="auto"/>
        </w:rPr>
      </w:pPr>
      <w:r>
        <w:rPr>
          <w:rFonts w:ascii="Arial" w:cs="Arial" w:eastAsia="Arial" w:hAnsi="Arial"/>
          <w:sz w:val="18"/>
          <w:szCs w:val="18"/>
          <w:color w:val="auto"/>
        </w:rPr>
        <w:t>AI growth, high-density data centers, and grid constraints, natural gas remains a critical source of dispatchable power. To meet ultra-low emissions and stringent noise standards, operators install integrated emissions control systems downstream of gas turbines.</w:t>
      </w:r>
    </w:p>
    <w:p>
      <w:pPr>
        <w:spacing w:after="0" w:line="130" w:lineRule="exact"/>
        <w:rPr>
          <w:sz w:val="20"/>
          <w:szCs w:val="20"/>
          <w:color w:val="auto"/>
        </w:rPr>
      </w:pPr>
    </w:p>
    <w:p>
      <w:pPr>
        <w:ind w:right="5600"/>
        <w:spacing w:after="0" w:line="301" w:lineRule="auto"/>
        <w:rPr>
          <w:sz w:val="20"/>
          <w:szCs w:val="20"/>
          <w:color w:val="auto"/>
        </w:rPr>
      </w:pPr>
      <w:r>
        <w:rPr>
          <w:rFonts w:ascii="Arial" w:cs="Arial" w:eastAsia="Arial" w:hAnsi="Arial"/>
          <w:sz w:val="18"/>
          <w:szCs w:val="18"/>
          <w:color w:val="auto"/>
        </w:rPr>
        <w:t>Through the Peerless brand, CECO provides a field-validated Hot Selective Catalytic Reduction (HSCR) system for frame-sized turbines, integrated with CO/VOC Oxidation Catalysts, Exhaust Stack and Flue Gas Silencers, and</w:t>
      </w:r>
    </w:p>
    <w:p>
      <w:pPr>
        <w:spacing w:after="0" w:line="2" w:lineRule="exact"/>
        <w:rPr>
          <w:sz w:val="20"/>
          <w:szCs w:val="20"/>
          <w:color w:val="auto"/>
        </w:rPr>
      </w:pPr>
    </w:p>
    <w:p>
      <w:pPr>
        <w:jc w:val="both"/>
        <w:ind w:right="2220"/>
        <w:spacing w:after="0" w:line="354" w:lineRule="auto"/>
        <w:rPr>
          <w:sz w:val="20"/>
          <w:szCs w:val="20"/>
          <w:color w:val="auto"/>
        </w:rPr>
      </w:pPr>
      <w:r>
        <w:rPr>
          <w:rFonts w:ascii="Arial" w:cs="Arial" w:eastAsia="Arial" w:hAnsi="Arial"/>
          <w:sz w:val="18"/>
          <w:szCs w:val="18"/>
          <w:color w:val="auto"/>
        </w:rPr>
        <w:t>Burgess-Manning acoustic solutions. The system delivers optimized thermal integration, minimal pressure drop, and reliable compliance with stringent environmental standards.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273D86"/>
        </w:rPr>
        <w:t>Customer Impact</w:t>
      </w:r>
    </w:p>
    <w:p>
      <w:pPr>
        <w:spacing w:after="0" w:line="53" w:lineRule="exact"/>
        <w:rPr>
          <w:sz w:val="20"/>
          <w:szCs w:val="20"/>
          <w:color w:val="auto"/>
        </w:rPr>
      </w:pPr>
    </w:p>
    <w:p>
      <w:pPr>
        <w:ind w:right="1140"/>
        <w:spacing w:after="0" w:line="327" w:lineRule="auto"/>
        <w:rPr>
          <w:sz w:val="20"/>
          <w:szCs w:val="20"/>
          <w:color w:val="auto"/>
        </w:rPr>
      </w:pPr>
      <w:r>
        <w:rPr>
          <w:rFonts w:ascii="Arial" w:cs="Arial" w:eastAsia="Arial" w:hAnsi="Arial"/>
          <w:sz w:val="18"/>
          <w:szCs w:val="18"/>
          <w:color w:val="auto"/>
        </w:rPr>
        <w:t>Operators achieve ultra-low NOx and CO emissions while maintaining turbine efficiency and dispatch reliability. The integrated design reduces installation complexity, minimizes operational risk, and supports long-term regulatory compliance for mission-critical power generation.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273D86"/>
        </w:rPr>
        <w:t>Equipment Supplied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CO/VOC Catalyst systems, Hot SCR system, Exhaust Stack and Flue Gas Silencers, Acoustic Control</w:t>
      </w:r>
    </w:p>
    <w:p>
      <w:pPr>
        <w:sectPr>
          <w:pgSz w:w="11880" w:h="15480" w:orient="portrait"/>
          <w:cols w:equalWidth="0" w:num="1">
            <w:col w:w="9720"/>
          </w:cols>
          <w:pgMar w:left="1260" w:top="14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40"/>
        <w:spacing w:after="0"/>
        <w:tabs>
          <w:tab w:leader="none" w:pos="9560" w:val="left"/>
        </w:tabs>
        <w:rPr>
          <w:sz w:val="20"/>
          <w:szCs w:val="20"/>
          <w:color w:val="auto"/>
        </w:rPr>
      </w:pPr>
      <w:r>
        <w:rPr>
          <w:rFonts w:ascii="Arial" w:cs="Arial" w:eastAsia="Arial" w:hAnsi="Arial"/>
          <w:sz w:val="16"/>
          <w:szCs w:val="16"/>
          <w:color w:val="666666"/>
        </w:rPr>
        <w:t>CECO Environmental | 2025 Annual Report</w:t>
      </w:r>
      <w:r>
        <w:rPr>
          <w:sz w:val="20"/>
          <w:szCs w:val="20"/>
          <w:color w:val="auto"/>
        </w:rPr>
        <w:tab/>
      </w:r>
      <w:r>
        <w:rPr>
          <w:rFonts w:ascii="Arial" w:cs="Arial" w:eastAsia="Arial" w:hAnsi="Arial"/>
          <w:sz w:val="24"/>
          <w:szCs w:val="24"/>
          <w:color w:val="auto"/>
        </w:rPr>
        <w:t>7</w:t>
      </w:r>
    </w:p>
    <w:p>
      <w:pPr>
        <w:sectPr>
          <w:pgSz w:w="11880" w:h="15480" w:orient="portrait"/>
          <w:cols w:equalWidth="0" w:num="1">
            <w:col w:w="9720"/>
          </w:cols>
          <w:pgMar w:left="1260" w:top="1440" w:right="900" w:bottom="0" w:gutter="0" w:footer="0" w:header="0"/>
          <w:type w:val="continuous"/>
        </w:sectPr>
      </w:pPr>
    </w:p>
    <w:bookmarkStart w:id="9" w:name="page10"/>
    <w:bookmarkEnd w:id="9"/>
    <w:p>
      <w:pPr>
        <w:ind w:left="360" w:right="5320"/>
        <w:spacing w:after="0" w:line="277" w:lineRule="auto"/>
        <w:rPr>
          <w:sz w:val="20"/>
          <w:szCs w:val="20"/>
          <w:color w:val="auto"/>
        </w:rPr>
      </w:pPr>
      <w:r>
        <w:rPr>
          <w:rFonts w:ascii="Arial" w:cs="Arial" w:eastAsia="Arial" w:hAnsi="Arial"/>
          <w:sz w:val="26"/>
          <w:szCs w:val="26"/>
          <w:color w:val="273D86"/>
        </w:rPr>
        <w:drawing>
          <wp:anchor simplePos="0" relativeHeight="251657728" behindDoc="1" locked="0" layoutInCell="0" allowOverlap="1">
            <wp:simplePos x="0" y="0"/>
            <wp:positionH relativeFrom="page">
              <wp:posOffset>441960</wp:posOffset>
            </wp:positionH>
            <wp:positionV relativeFrom="page">
              <wp:posOffset>441960</wp:posOffset>
            </wp:positionV>
            <wp:extent cx="6530340" cy="8171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6530340" cy="8171180"/>
                    </a:xfrm>
                    <a:prstGeom prst="rect">
                      <a:avLst/>
                    </a:prstGeom>
                    <a:noFill/>
                  </pic:spPr>
                </pic:pic>
              </a:graphicData>
            </a:graphic>
          </wp:anchor>
        </w:drawing>
        <w:t>Advancing Critical Separation Technologies for U.S. LNG Infrastructure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Customer: LNG Liquefaction Facility |</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Location: Gulf Coast, Texas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color w:val="273D86"/>
        </w:rPr>
        <w:t>Project Summary</w:t>
      </w:r>
    </w:p>
    <w:p>
      <w:pPr>
        <w:spacing w:after="0" w:line="53" w:lineRule="exact"/>
        <w:rPr>
          <w:sz w:val="20"/>
          <w:szCs w:val="20"/>
          <w:color w:val="auto"/>
        </w:rPr>
      </w:pPr>
    </w:p>
    <w:p>
      <w:pPr>
        <w:ind w:left="360" w:right="5360"/>
        <w:spacing w:after="0" w:line="305" w:lineRule="auto"/>
        <w:rPr>
          <w:sz w:val="20"/>
          <w:szCs w:val="20"/>
          <w:color w:val="auto"/>
        </w:rPr>
      </w:pPr>
      <w:r>
        <w:rPr>
          <w:rFonts w:ascii="Arial" w:cs="Arial" w:eastAsia="Arial" w:hAnsi="Arial"/>
          <w:sz w:val="18"/>
          <w:szCs w:val="18"/>
          <w:color w:val="auto"/>
        </w:rPr>
        <w:t>Peerless is supporting an LNG Liquefaction project with high-performance separation and filtration equipment engineered for demanding U.S. Gulf Coast operating conditions. LNG facilities require reliable removal of contaminants and process particulates to protect critical compression and liquefaction equipment. Peerless’ tailored solutions are designed to deliver high efficiency, stable performance across large-scale LNG production operations. Engineered to meet stringent performance standards, the systems integrate into complex process trains where uptime and asset protection are essential to project economics.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color w:val="273D86"/>
        </w:rPr>
        <w:t>Customer Impact</w:t>
      </w:r>
    </w:p>
    <w:p>
      <w:pPr>
        <w:spacing w:after="0" w:line="53" w:lineRule="exact"/>
        <w:rPr>
          <w:sz w:val="20"/>
          <w:szCs w:val="20"/>
          <w:color w:val="auto"/>
        </w:rPr>
      </w:pPr>
    </w:p>
    <w:p>
      <w:pPr>
        <w:ind w:left="360" w:right="540"/>
        <w:spacing w:after="0" w:line="318" w:lineRule="auto"/>
        <w:rPr>
          <w:sz w:val="20"/>
          <w:szCs w:val="20"/>
          <w:color w:val="auto"/>
        </w:rPr>
      </w:pPr>
      <w:r>
        <w:rPr>
          <w:rFonts w:ascii="Arial" w:cs="Arial" w:eastAsia="Arial" w:hAnsi="Arial"/>
          <w:sz w:val="18"/>
          <w:szCs w:val="18"/>
          <w:color w:val="auto"/>
        </w:rPr>
        <w:t>By ensuring effective contaminant removal and protecting high value rotating and cryogenic equipment, Peerless’ separation technologies assure operational reliability and reduce maintenance frequency to support consistent LNG production. The project reinforces our role in enabling critical energy infrastructure while building long-term partnership opportunities in a growing global LNG market.</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8"/>
          <w:szCs w:val="18"/>
          <w:color w:val="273D86"/>
        </w:rPr>
        <w:t>Equipment Supplied</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Inlet Gas Filtration and Coalescer systems for LNG liquefaction facility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60"/>
        <w:spacing w:after="0"/>
        <w:rPr>
          <w:sz w:val="20"/>
          <w:szCs w:val="20"/>
          <w:color w:val="auto"/>
        </w:rPr>
      </w:pPr>
      <w:r>
        <w:rPr>
          <w:rFonts w:ascii="Arial" w:cs="Arial" w:eastAsia="Arial" w:hAnsi="Arial"/>
          <w:sz w:val="30"/>
          <w:szCs w:val="30"/>
          <w:color w:val="709D23"/>
        </w:rPr>
        <w:t>LEADERSHIP PERSPECTIVE</w:t>
      </w:r>
    </w:p>
    <w:p>
      <w:pPr>
        <w:spacing w:after="0" w:line="129" w:lineRule="exact"/>
        <w:rPr>
          <w:sz w:val="20"/>
          <w:szCs w:val="20"/>
          <w:color w:val="auto"/>
        </w:rPr>
      </w:pPr>
    </w:p>
    <w:p>
      <w:pPr>
        <w:ind w:left="860" w:right="1060" w:hanging="72"/>
        <w:spacing w:after="0" w:line="283" w:lineRule="auto"/>
        <w:rPr>
          <w:sz w:val="20"/>
          <w:szCs w:val="20"/>
          <w:color w:val="auto"/>
        </w:rPr>
      </w:pPr>
      <w:r>
        <w:rPr>
          <w:rFonts w:ascii="Arial" w:cs="Arial" w:eastAsia="Arial" w:hAnsi="Arial"/>
          <w:sz w:val="26"/>
          <w:szCs w:val="26"/>
          <w:color w:val="273D86"/>
        </w:rPr>
        <w:t>“LNG infrastructure demands uncompromising reliability with proven designs. Our systems play a critical role in protecting assets and supporting efficient plant performance. Building on decades of similar experience in Australia, the Middle East and USA, Peerless is positioned as a trusted partner in large-scale energy projects.”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26"/>
          <w:szCs w:val="26"/>
          <w:color w:val="273D86"/>
        </w:rPr>
        <w:t>— CECO Senior Executive</w:t>
      </w:r>
    </w:p>
    <w:p>
      <w:pPr>
        <w:sectPr>
          <w:pgSz w:w="11880" w:h="15480" w:orient="portrait"/>
          <w:cols w:equalWidth="0" w:num="1">
            <w:col w:w="9540"/>
          </w:cols>
          <w:pgMar w:left="900" w:top="14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60" w:val="left"/>
        </w:tabs>
        <w:rPr>
          <w:sz w:val="20"/>
          <w:szCs w:val="20"/>
          <w:color w:val="auto"/>
        </w:rPr>
      </w:pPr>
      <w:r>
        <w:rPr>
          <w:rFonts w:ascii="Arial" w:cs="Arial" w:eastAsia="Arial" w:hAnsi="Arial"/>
          <w:sz w:val="24"/>
          <w:szCs w:val="24"/>
          <w:color w:val="auto"/>
        </w:rPr>
        <w:t>8</w:t>
      </w:r>
      <w:r>
        <w:rPr>
          <w:sz w:val="20"/>
          <w:szCs w:val="20"/>
          <w:color w:val="auto"/>
        </w:rPr>
        <w:tab/>
      </w:r>
      <w:r>
        <w:rPr>
          <w:rFonts w:ascii="Arial" w:cs="Arial" w:eastAsia="Arial" w:hAnsi="Arial"/>
          <w:sz w:val="16"/>
          <w:szCs w:val="16"/>
          <w:color w:val="666666"/>
        </w:rPr>
        <w:t>CECO Environmental | 2025 Annual Report</w:t>
      </w:r>
    </w:p>
    <w:p>
      <w:pPr>
        <w:sectPr>
          <w:pgSz w:w="11880" w:h="15480" w:orient="portrait"/>
          <w:cols w:equalWidth="0" w:num="1">
            <w:col w:w="9540"/>
          </w:cols>
          <w:pgMar w:left="900" w:top="1408" w:right="1440" w:bottom="0" w:gutter="0" w:footer="0" w:header="0"/>
          <w:type w:val="continuous"/>
        </w:sectPr>
      </w:pPr>
    </w:p>
    <w:bookmarkStart w:id="10" w:name="page11"/>
    <w:bookmarkEnd w:id="10"/>
    <w:p>
      <w:pPr>
        <w:ind w:left="1040"/>
        <w:spacing w:after="0"/>
        <w:rPr>
          <w:sz w:val="20"/>
          <w:szCs w:val="20"/>
          <w:color w:val="auto"/>
        </w:rPr>
      </w:pPr>
      <w:r>
        <w:rPr>
          <w:rFonts w:ascii="Arial" w:cs="Arial" w:eastAsia="Arial" w:hAnsi="Arial"/>
          <w:sz w:val="30"/>
          <w:szCs w:val="30"/>
          <w:color w:val="709D23"/>
        </w:rPr>
        <w:drawing>
          <wp:anchor simplePos="0" relativeHeight="251657728" behindDoc="1" locked="0" layoutInCell="0" allowOverlap="1">
            <wp:simplePos x="0" y="0"/>
            <wp:positionH relativeFrom="page">
              <wp:posOffset>571500</wp:posOffset>
            </wp:positionH>
            <wp:positionV relativeFrom="page">
              <wp:posOffset>571500</wp:posOffset>
            </wp:positionV>
            <wp:extent cx="6532245" cy="8454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6532245" cy="8454390"/>
                    </a:xfrm>
                    <a:prstGeom prst="rect">
                      <a:avLst/>
                    </a:prstGeom>
                    <a:noFill/>
                  </pic:spPr>
                </pic:pic>
              </a:graphicData>
            </a:graphic>
          </wp:anchor>
        </w:drawing>
        <w:t>LEADERSHIP PERSPECTIVE</w:t>
      </w:r>
    </w:p>
    <w:p>
      <w:pPr>
        <w:spacing w:after="0" w:line="129" w:lineRule="exact"/>
        <w:rPr>
          <w:sz w:val="20"/>
          <w:szCs w:val="20"/>
          <w:color w:val="auto"/>
        </w:rPr>
      </w:pPr>
    </w:p>
    <w:p>
      <w:pPr>
        <w:ind w:left="1040" w:right="920" w:hanging="72"/>
        <w:spacing w:after="0" w:line="289" w:lineRule="auto"/>
        <w:rPr>
          <w:sz w:val="20"/>
          <w:szCs w:val="20"/>
          <w:color w:val="auto"/>
        </w:rPr>
      </w:pPr>
      <w:r>
        <w:rPr>
          <w:rFonts w:ascii="Arial" w:cs="Arial" w:eastAsia="Arial" w:hAnsi="Arial"/>
          <w:sz w:val="26"/>
          <w:szCs w:val="26"/>
          <w:color w:val="273D86"/>
        </w:rPr>
        <w:t>“This project reflects EIS’s leadership in engineered emissions control systems. Our ability to design and integrate complex oxidizer solutions ensures customers can achieve environmental compliance without compromising operational performance.”</w:t>
      </w:r>
    </w:p>
    <w:p>
      <w:pPr>
        <w:spacing w:after="0" w:line="350" w:lineRule="exact"/>
        <w:rPr>
          <w:sz w:val="20"/>
          <w:szCs w:val="20"/>
          <w:color w:val="auto"/>
        </w:rPr>
      </w:pPr>
    </w:p>
    <w:p>
      <w:pPr>
        <w:ind w:left="980"/>
        <w:spacing w:after="0"/>
        <w:rPr>
          <w:sz w:val="20"/>
          <w:szCs w:val="20"/>
          <w:color w:val="auto"/>
        </w:rPr>
      </w:pPr>
      <w:r>
        <w:rPr>
          <w:rFonts w:ascii="Arial" w:cs="Arial" w:eastAsia="Arial" w:hAnsi="Arial"/>
          <w:sz w:val="26"/>
          <w:szCs w:val="26"/>
          <w:color w:val="273D86"/>
        </w:rPr>
        <w:t>— CECO Senior Executive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right="1900"/>
        <w:spacing w:after="0" w:line="303" w:lineRule="auto"/>
        <w:rPr>
          <w:sz w:val="20"/>
          <w:szCs w:val="20"/>
          <w:color w:val="auto"/>
        </w:rPr>
      </w:pPr>
      <w:r>
        <w:rPr>
          <w:rFonts w:ascii="Arial" w:cs="Arial" w:eastAsia="Arial" w:hAnsi="Arial"/>
          <w:sz w:val="26"/>
          <w:szCs w:val="26"/>
          <w:color w:val="273D86"/>
        </w:rPr>
        <w:t>Transforming Environmental Performance in Advanced Coatings Manufacturing</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Customer: ProAmpac Advanced Coatings | Site: Wrexham, Wales, UK</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273D86"/>
        </w:rPr>
        <w:t>Project Summary</w:t>
      </w:r>
    </w:p>
    <w:p>
      <w:pPr>
        <w:spacing w:after="0" w:line="53" w:lineRule="exact"/>
        <w:rPr>
          <w:sz w:val="20"/>
          <w:szCs w:val="20"/>
          <w:color w:val="auto"/>
        </w:rPr>
      </w:pPr>
    </w:p>
    <w:p>
      <w:pPr>
        <w:ind w:left="540" w:right="920"/>
        <w:spacing w:after="0" w:line="318" w:lineRule="auto"/>
        <w:rPr>
          <w:sz w:val="20"/>
          <w:szCs w:val="20"/>
          <w:color w:val="auto"/>
        </w:rPr>
      </w:pPr>
      <w:r>
        <w:rPr>
          <w:rFonts w:ascii="Arial" w:cs="Arial" w:eastAsia="Arial" w:hAnsi="Arial"/>
          <w:sz w:val="18"/>
          <w:szCs w:val="18"/>
          <w:color w:val="auto"/>
        </w:rPr>
        <w:t>EIS delivered a comprehensive emissions control solution for ProAmpac’s Advanced Coatings facility serving the high precision contract/toll coating and medical device markets. The project required 99% abatement of process volatile organic compounds (VOCs) generated during advanced coating operations.</w:t>
      </w:r>
    </w:p>
    <w:p>
      <w:pPr>
        <w:spacing w:after="0" w:line="123" w:lineRule="exact"/>
        <w:rPr>
          <w:sz w:val="20"/>
          <w:szCs w:val="20"/>
          <w:color w:val="auto"/>
        </w:rPr>
      </w:pPr>
    </w:p>
    <w:p>
      <w:pPr>
        <w:ind w:left="540" w:right="580"/>
        <w:spacing w:after="0" w:line="314" w:lineRule="auto"/>
        <w:rPr>
          <w:sz w:val="20"/>
          <w:szCs w:val="20"/>
          <w:color w:val="auto"/>
        </w:rPr>
      </w:pPr>
      <w:r>
        <w:rPr>
          <w:rFonts w:ascii="Arial" w:cs="Arial" w:eastAsia="Arial" w:hAnsi="Arial"/>
          <w:sz w:val="18"/>
          <w:szCs w:val="18"/>
          <w:color w:val="auto"/>
        </w:rPr>
        <w:t>EIS supplied a Five Can Regenerative Thermal Oxidizer (RTO) integrated with a custom-engineered ducting system to manage complex process exhaust streams. The multi-unit configuration was designed to ensure continuous operation, high thermal efficiency, and regulatory compliance while supporting production scale and flexibility. It was also engineered for reliability in a demanding manufacturing environment where uptime and environmental performance are critical.</w:t>
      </w:r>
    </w:p>
    <w:p>
      <w:pPr>
        <w:spacing w:after="0" w:line="126" w:lineRule="exact"/>
        <w:rPr>
          <w:sz w:val="20"/>
          <w:szCs w:val="20"/>
          <w:color w:val="auto"/>
        </w:rPr>
      </w:pPr>
    </w:p>
    <w:p>
      <w:pPr>
        <w:ind w:left="6220"/>
        <w:spacing w:after="0"/>
        <w:rPr>
          <w:sz w:val="20"/>
          <w:szCs w:val="20"/>
          <w:color w:val="auto"/>
        </w:rPr>
      </w:pPr>
      <w:r>
        <w:rPr>
          <w:rFonts w:ascii="Arial" w:cs="Arial" w:eastAsia="Arial" w:hAnsi="Arial"/>
          <w:sz w:val="18"/>
          <w:szCs w:val="18"/>
          <w:color w:val="273D86"/>
        </w:rPr>
        <w:t>Customer Impact</w:t>
      </w:r>
    </w:p>
    <w:p>
      <w:pPr>
        <w:spacing w:after="0" w:line="53" w:lineRule="exact"/>
        <w:rPr>
          <w:sz w:val="20"/>
          <w:szCs w:val="20"/>
          <w:color w:val="auto"/>
        </w:rPr>
      </w:pPr>
    </w:p>
    <w:p>
      <w:pPr>
        <w:ind w:left="6220" w:right="380"/>
        <w:spacing w:after="0" w:line="306" w:lineRule="auto"/>
        <w:rPr>
          <w:sz w:val="20"/>
          <w:szCs w:val="20"/>
          <w:color w:val="auto"/>
        </w:rPr>
      </w:pPr>
      <w:r>
        <w:rPr>
          <w:rFonts w:ascii="Arial" w:cs="Arial" w:eastAsia="Arial" w:hAnsi="Arial"/>
          <w:sz w:val="18"/>
          <w:szCs w:val="18"/>
          <w:color w:val="auto"/>
        </w:rPr>
        <w:t>The solution enables ProAmpac to meet stringent environmental standards while maintaining stable production for its high value applications. By delivering 99% VOC destruction efficiency with optimized energy recovery, EIS supports both compliance and long-term operating cost control, reinforcing the customer’s position in advanced coatings markets.</w:t>
      </w:r>
    </w:p>
    <w:p>
      <w:pPr>
        <w:spacing w:after="0" w:line="136" w:lineRule="exact"/>
        <w:rPr>
          <w:sz w:val="20"/>
          <w:szCs w:val="20"/>
          <w:color w:val="auto"/>
        </w:rPr>
      </w:pPr>
    </w:p>
    <w:p>
      <w:pPr>
        <w:ind w:left="6220"/>
        <w:spacing w:after="0"/>
        <w:rPr>
          <w:sz w:val="20"/>
          <w:szCs w:val="20"/>
          <w:color w:val="auto"/>
        </w:rPr>
      </w:pPr>
      <w:r>
        <w:rPr>
          <w:rFonts w:ascii="Arial" w:cs="Arial" w:eastAsia="Arial" w:hAnsi="Arial"/>
          <w:sz w:val="18"/>
          <w:szCs w:val="18"/>
          <w:color w:val="273D86"/>
        </w:rPr>
        <w:t>Equipment Supplied</w:t>
      </w:r>
    </w:p>
    <w:p>
      <w:pPr>
        <w:spacing w:after="0" w:line="53" w:lineRule="exact"/>
        <w:rPr>
          <w:sz w:val="20"/>
          <w:szCs w:val="20"/>
          <w:color w:val="auto"/>
        </w:rPr>
      </w:pPr>
    </w:p>
    <w:p>
      <w:pPr>
        <w:jc w:val="both"/>
        <w:ind w:left="6220" w:right="960"/>
        <w:spacing w:after="0" w:line="327" w:lineRule="auto"/>
        <w:rPr>
          <w:sz w:val="20"/>
          <w:szCs w:val="20"/>
          <w:color w:val="auto"/>
        </w:rPr>
      </w:pPr>
      <w:r>
        <w:rPr>
          <w:rFonts w:ascii="Arial" w:cs="Arial" w:eastAsia="Arial" w:hAnsi="Arial"/>
          <w:sz w:val="18"/>
          <w:szCs w:val="18"/>
          <w:color w:val="auto"/>
        </w:rPr>
        <w:t>Five Canister Regenerative Thermal Oxidizer (RTO) and integrated ducting system</w:t>
      </w:r>
    </w:p>
    <w:p>
      <w:pPr>
        <w:sectPr>
          <w:pgSz w:w="11880" w:h="15480" w:orient="portrait"/>
          <w:cols w:equalWidth="0" w:num="1">
            <w:col w:w="9540"/>
          </w:cols>
          <w:pgMar w:left="1440" w:top="122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60"/>
        <w:spacing w:after="0"/>
        <w:tabs>
          <w:tab w:leader="none" w:pos="9380" w:val="left"/>
        </w:tabs>
        <w:rPr>
          <w:sz w:val="20"/>
          <w:szCs w:val="20"/>
          <w:color w:val="auto"/>
        </w:rPr>
      </w:pPr>
      <w:r>
        <w:rPr>
          <w:rFonts w:ascii="Arial" w:cs="Arial" w:eastAsia="Arial" w:hAnsi="Arial"/>
          <w:sz w:val="16"/>
          <w:szCs w:val="16"/>
          <w:color w:val="666666"/>
        </w:rPr>
        <w:t>CECO Environmental | 2025 Annual Report</w:t>
      </w:r>
      <w:r>
        <w:rPr>
          <w:sz w:val="20"/>
          <w:szCs w:val="20"/>
          <w:color w:val="auto"/>
        </w:rPr>
        <w:tab/>
      </w:r>
      <w:r>
        <w:rPr>
          <w:rFonts w:ascii="Arial" w:cs="Arial" w:eastAsia="Arial" w:hAnsi="Arial"/>
          <w:sz w:val="24"/>
          <w:szCs w:val="24"/>
          <w:color w:val="auto"/>
        </w:rPr>
        <w:t>9</w:t>
      </w:r>
    </w:p>
    <w:p>
      <w:pPr>
        <w:sectPr>
          <w:pgSz w:w="11880" w:h="15480" w:orient="portrait"/>
          <w:cols w:equalWidth="0" w:num="1">
            <w:col w:w="9540"/>
          </w:cols>
          <w:pgMar w:left="1440" w:top="1228" w:right="900" w:bottom="0" w:gutter="0" w:footer="0" w:header="0"/>
          <w:type w:val="continuous"/>
        </w:sectPr>
      </w:pPr>
    </w:p>
    <w:bookmarkStart w:id="11" w:name="page12"/>
    <w:bookmarkEnd w:id="11"/>
    <w:p>
      <w:pPr>
        <w:ind w:left="1080" w:right="2420"/>
        <w:spacing w:after="0" w:line="303" w:lineRule="auto"/>
        <w:rPr>
          <w:sz w:val="20"/>
          <w:szCs w:val="20"/>
          <w:color w:val="auto"/>
        </w:rPr>
      </w:pPr>
      <w:r>
        <w:rPr>
          <w:rFonts w:ascii="Arial" w:cs="Arial" w:eastAsia="Arial" w:hAnsi="Arial"/>
          <w:sz w:val="26"/>
          <w:szCs w:val="26"/>
          <w:color w:val="273D86"/>
        </w:rPr>
        <w:drawing>
          <wp:anchor simplePos="0" relativeHeight="251657728" behindDoc="1" locked="0" layoutInCell="0" allowOverlap="1">
            <wp:simplePos x="0" y="0"/>
            <wp:positionH relativeFrom="page">
              <wp:posOffset>0</wp:posOffset>
            </wp:positionH>
            <wp:positionV relativeFrom="page">
              <wp:posOffset>441960</wp:posOffset>
            </wp:positionV>
            <wp:extent cx="7103745" cy="82321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extLst>
                    </a:blip>
                    <a:srcRect/>
                    <a:stretch>
                      <a:fillRect/>
                    </a:stretch>
                  </pic:blipFill>
                  <pic:spPr bwMode="auto">
                    <a:xfrm>
                      <a:off x="0" y="0"/>
                      <a:ext cx="7103745" cy="8232140"/>
                    </a:xfrm>
                    <a:prstGeom prst="rect">
                      <a:avLst/>
                    </a:prstGeom>
                    <a:noFill/>
                  </pic:spPr>
                </pic:pic>
              </a:graphicData>
            </a:graphic>
          </wp:anchor>
        </w:drawing>
        <w:t>Delivering Record-Scale Separation Technology for Global Petrochemicals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Customer: Wison Engineering | End User: Guangxi Huayi MTO Facility | Licensor: UOP</w:t>
      </w:r>
    </w:p>
    <w:p>
      <w:pPr>
        <w:spacing w:after="0" w:line="233" w:lineRule="exact"/>
        <w:rPr>
          <w:sz w:val="20"/>
          <w:szCs w:val="20"/>
          <w:color w:val="auto"/>
        </w:rPr>
      </w:pPr>
    </w:p>
    <w:p>
      <w:pPr>
        <w:ind w:left="1080"/>
        <w:spacing w:after="0"/>
        <w:rPr>
          <w:sz w:val="20"/>
          <w:szCs w:val="20"/>
          <w:color w:val="auto"/>
        </w:rPr>
      </w:pPr>
      <w:r>
        <w:rPr>
          <w:rFonts w:ascii="Arial" w:cs="Arial" w:eastAsia="Arial" w:hAnsi="Arial"/>
          <w:sz w:val="18"/>
          <w:szCs w:val="18"/>
          <w:color w:val="273D86"/>
        </w:rPr>
        <w:t>Project Summary</w:t>
      </w:r>
    </w:p>
    <w:p>
      <w:pPr>
        <w:spacing w:after="0" w:line="53" w:lineRule="exact"/>
        <w:rPr>
          <w:sz w:val="20"/>
          <w:szCs w:val="20"/>
          <w:color w:val="auto"/>
        </w:rPr>
      </w:pPr>
    </w:p>
    <w:p>
      <w:pPr>
        <w:ind w:left="1080" w:right="580"/>
        <w:spacing w:after="0" w:line="327" w:lineRule="auto"/>
        <w:rPr>
          <w:sz w:val="20"/>
          <w:szCs w:val="20"/>
          <w:color w:val="auto"/>
        </w:rPr>
      </w:pPr>
      <w:r>
        <w:rPr>
          <w:rFonts w:ascii="Arial" w:cs="Arial" w:eastAsia="Arial" w:hAnsi="Arial"/>
          <w:sz w:val="18"/>
          <w:szCs w:val="18"/>
          <w:color w:val="auto"/>
        </w:rPr>
        <w:t>CECO supplied 38 Emtrol-Buell high-efficiency cyclones for installation in the world’s largest Methanol-to-Olefins (MTO) reactor at the Guangxi Huayi facility. The 4,528-metric-ton reactor represents a new benchmark in global petrochemical scale and process intensity.</w:t>
      </w:r>
    </w:p>
    <w:p>
      <w:pPr>
        <w:spacing w:after="0" w:line="114" w:lineRule="exact"/>
        <w:rPr>
          <w:sz w:val="20"/>
          <w:szCs w:val="20"/>
          <w:color w:val="auto"/>
        </w:rPr>
      </w:pPr>
    </w:p>
    <w:p>
      <w:pPr>
        <w:ind w:left="1080" w:right="20"/>
        <w:spacing w:after="0" w:line="314" w:lineRule="auto"/>
        <w:rPr>
          <w:sz w:val="20"/>
          <w:szCs w:val="20"/>
          <w:color w:val="auto"/>
        </w:rPr>
      </w:pPr>
      <w:r>
        <w:rPr>
          <w:rFonts w:ascii="Arial" w:cs="Arial" w:eastAsia="Arial" w:hAnsi="Arial"/>
          <w:sz w:val="18"/>
          <w:szCs w:val="18"/>
          <w:color w:val="auto"/>
        </w:rPr>
        <w:t>The scope included 16 reactor cyclones, 8 regenerator cyclones, and 14 reactor surge cyclones. Designed for extreme temperature and erosive catalyst environments, CECO’s cyclone systems deliver critical gas-solid separation performance within both the reactor and regeneration processes. The precision engineering required for units of this size and duty underscores CECO’s capability in complex, large-scale process applications.</w:t>
      </w:r>
    </w:p>
    <w:p>
      <w:pPr>
        <w:spacing w:after="0" w:line="126" w:lineRule="exact"/>
        <w:rPr>
          <w:sz w:val="20"/>
          <w:szCs w:val="20"/>
          <w:color w:val="auto"/>
        </w:rPr>
      </w:pPr>
    </w:p>
    <w:p>
      <w:pPr>
        <w:ind w:left="5360"/>
        <w:spacing w:after="0"/>
        <w:rPr>
          <w:sz w:val="20"/>
          <w:szCs w:val="20"/>
          <w:color w:val="auto"/>
        </w:rPr>
      </w:pPr>
      <w:r>
        <w:rPr>
          <w:rFonts w:ascii="Arial" w:cs="Arial" w:eastAsia="Arial" w:hAnsi="Arial"/>
          <w:sz w:val="18"/>
          <w:szCs w:val="18"/>
          <w:color w:val="273D86"/>
        </w:rPr>
        <w:t>Customer Impact</w:t>
      </w:r>
    </w:p>
    <w:p>
      <w:pPr>
        <w:spacing w:after="0" w:line="53" w:lineRule="exact"/>
        <w:rPr>
          <w:sz w:val="20"/>
          <w:szCs w:val="20"/>
          <w:color w:val="auto"/>
        </w:rPr>
      </w:pPr>
    </w:p>
    <w:p>
      <w:pPr>
        <w:ind w:left="5360"/>
        <w:spacing w:after="0" w:line="301" w:lineRule="auto"/>
        <w:rPr>
          <w:sz w:val="20"/>
          <w:szCs w:val="20"/>
          <w:color w:val="auto"/>
        </w:rPr>
      </w:pPr>
      <w:r>
        <w:rPr>
          <w:rFonts w:ascii="Arial" w:cs="Arial" w:eastAsia="Arial" w:hAnsi="Arial"/>
          <w:sz w:val="18"/>
          <w:szCs w:val="18"/>
          <w:color w:val="auto"/>
        </w:rPr>
        <w:t>The Emtrol-Buell cyclone systems enable efficient catalyst recovery, stable reactor performance, and reduced operational losses, directly supporting plant throughput, product yield, and long-term reliability. By delivering high separation efficiency at record-breaking scale, CECO contributes</w:t>
      </w:r>
    </w:p>
    <w:p>
      <w:pPr>
        <w:spacing w:after="0" w:line="2" w:lineRule="exact"/>
        <w:rPr>
          <w:sz w:val="20"/>
          <w:szCs w:val="20"/>
          <w:color w:val="auto"/>
        </w:rPr>
      </w:pPr>
    </w:p>
    <w:p>
      <w:pPr>
        <w:ind w:left="5360" w:right="160"/>
        <w:spacing w:after="0" w:line="327" w:lineRule="auto"/>
        <w:rPr>
          <w:sz w:val="20"/>
          <w:szCs w:val="20"/>
          <w:color w:val="auto"/>
        </w:rPr>
      </w:pPr>
      <w:r>
        <w:rPr>
          <w:rFonts w:ascii="Arial" w:cs="Arial" w:eastAsia="Arial" w:hAnsi="Arial"/>
          <w:sz w:val="18"/>
          <w:szCs w:val="18"/>
          <w:color w:val="auto"/>
        </w:rPr>
        <w:t>to improved process economics and reduced lifecycle maintenance risks for one of the world’s most advanced MTO facilities.</w:t>
      </w:r>
    </w:p>
    <w:p>
      <w:pPr>
        <w:spacing w:after="0" w:line="114" w:lineRule="exact"/>
        <w:rPr>
          <w:sz w:val="20"/>
          <w:szCs w:val="20"/>
          <w:color w:val="auto"/>
        </w:rPr>
      </w:pPr>
    </w:p>
    <w:p>
      <w:pPr>
        <w:ind w:left="5360"/>
        <w:spacing w:after="0"/>
        <w:rPr>
          <w:sz w:val="20"/>
          <w:szCs w:val="20"/>
          <w:color w:val="auto"/>
        </w:rPr>
      </w:pPr>
      <w:r>
        <w:rPr>
          <w:rFonts w:ascii="Arial" w:cs="Arial" w:eastAsia="Arial" w:hAnsi="Arial"/>
          <w:sz w:val="18"/>
          <w:szCs w:val="18"/>
          <w:color w:val="273D86"/>
        </w:rPr>
        <w:t>Equipment Supplied</w:t>
      </w:r>
    </w:p>
    <w:p>
      <w:pPr>
        <w:spacing w:after="0" w:line="53" w:lineRule="exact"/>
        <w:rPr>
          <w:sz w:val="20"/>
          <w:szCs w:val="20"/>
          <w:color w:val="auto"/>
        </w:rPr>
      </w:pPr>
    </w:p>
    <w:p>
      <w:pPr>
        <w:ind w:left="5360" w:right="880"/>
        <w:spacing w:after="0" w:line="354" w:lineRule="auto"/>
        <w:rPr>
          <w:sz w:val="20"/>
          <w:szCs w:val="20"/>
          <w:color w:val="auto"/>
        </w:rPr>
      </w:pPr>
      <w:r>
        <w:rPr>
          <w:rFonts w:ascii="Arial" w:cs="Arial" w:eastAsia="Arial" w:hAnsi="Arial"/>
          <w:sz w:val="18"/>
          <w:szCs w:val="18"/>
          <w:color w:val="auto"/>
        </w:rPr>
        <w:t>38 Emtrol-Buell cyclones across reactor, regenerator, and surge configurations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580"/>
        <w:spacing w:after="0"/>
        <w:rPr>
          <w:sz w:val="20"/>
          <w:szCs w:val="20"/>
          <w:color w:val="auto"/>
        </w:rPr>
      </w:pPr>
      <w:r>
        <w:rPr>
          <w:rFonts w:ascii="Arial" w:cs="Arial" w:eastAsia="Arial" w:hAnsi="Arial"/>
          <w:sz w:val="30"/>
          <w:szCs w:val="30"/>
          <w:color w:val="709D23"/>
        </w:rPr>
        <w:t>LEADERSHIP PERSPECTIVE</w:t>
      </w:r>
    </w:p>
    <w:p>
      <w:pPr>
        <w:spacing w:after="0" w:line="129" w:lineRule="exact"/>
        <w:rPr>
          <w:sz w:val="20"/>
          <w:szCs w:val="20"/>
          <w:color w:val="auto"/>
        </w:rPr>
      </w:pPr>
    </w:p>
    <w:p>
      <w:pPr>
        <w:ind w:left="1580" w:right="680" w:hanging="70"/>
        <w:spacing w:after="0" w:line="286" w:lineRule="auto"/>
        <w:rPr>
          <w:sz w:val="20"/>
          <w:szCs w:val="20"/>
          <w:color w:val="auto"/>
        </w:rPr>
      </w:pPr>
      <w:r>
        <w:rPr>
          <w:rFonts w:ascii="Arial" w:cs="Arial" w:eastAsia="Arial" w:hAnsi="Arial"/>
          <w:sz w:val="26"/>
          <w:szCs w:val="26"/>
          <w:color w:val="273D86"/>
        </w:rPr>
        <w:t>“Participating in the world’s largest MTO reactor installation reflects CECO’s leadership in high-performance separation technology. Our ability to engineer and deliver mission-critical equipment at this scale reinforces our role as a trusted partner in complex global petrochemical projects.”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26"/>
          <w:szCs w:val="26"/>
          <w:color w:val="273D86"/>
        </w:rPr>
        <w:t>— CECO Senior Executive</w:t>
      </w:r>
    </w:p>
    <w:p>
      <w:pPr>
        <w:sectPr>
          <w:pgSz w:w="11880" w:h="15480" w:orient="portrait"/>
          <w:cols w:equalWidth="0" w:num="1">
            <w:col w:w="9680"/>
          </w:cols>
          <w:pgMar w:left="900" w:top="140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10 </w:t>
      </w:r>
      <w:r>
        <w:rPr>
          <w:rFonts w:ascii="Arial" w:cs="Arial" w:eastAsia="Arial" w:hAnsi="Arial"/>
          <w:sz w:val="16"/>
          <w:szCs w:val="16"/>
          <w:color w:val="666666"/>
        </w:rPr>
        <w:t>CECO Environmental | 2025 Annual Report</w:t>
      </w:r>
    </w:p>
    <w:p>
      <w:pPr>
        <w:sectPr>
          <w:pgSz w:w="11880" w:h="15480" w:orient="portrait"/>
          <w:cols w:equalWidth="0" w:num="1">
            <w:col w:w="9680"/>
          </w:cols>
          <w:pgMar w:left="900" w:top="1408" w:right="1300" w:bottom="0" w:gutter="0" w:footer="0" w:header="0"/>
          <w:type w:val="continuous"/>
        </w:sectPr>
      </w:pPr>
    </w:p>
    <w:bookmarkStart w:id="12" w:name="page13"/>
    <w:bookmarkEnd w:id="12"/>
    <w:p>
      <w:pPr>
        <w:ind w:right="180"/>
        <w:spacing w:after="0" w:line="247" w:lineRule="auto"/>
        <w:rPr>
          <w:sz w:val="20"/>
          <w:szCs w:val="20"/>
          <w:color w:val="auto"/>
        </w:rPr>
      </w:pPr>
      <w:r>
        <w:rPr>
          <w:sz w:val="1"/>
          <w:sz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3068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extLst>
                    </a:blip>
                    <a:srcRect/>
                    <a:stretch>
                      <a:fillRect/>
                    </a:stretch>
                  </pic:blipFill>
                  <pic:spPr bwMode="auto">
                    <a:xfrm>
                      <a:off x="0" y="0"/>
                      <a:ext cx="7543800" cy="3068320"/>
                    </a:xfrm>
                    <a:prstGeom prst="rect">
                      <a:avLst/>
                    </a:prstGeom>
                    <a:noFill/>
                  </pic:spPr>
                </pic:pic>
              </a:graphicData>
            </a:graphic>
          </wp:anchor>
        </w:drawing>
        <w:drawing>
          <wp:inline distT="0" distB="0" distL="0" distR="0">
            <wp:extent cx="296545" cy="542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296545" cy="542925"/>
                    </a:xfrm>
                    <a:prstGeom prst="rect">
                      <a:avLst/>
                    </a:prstGeom>
                    <a:noFill/>
                    <a:ln>
                      <a:noFill/>
                    </a:ln>
                  </pic:spPr>
                </pic:pic>
              </a:graphicData>
            </a:graphic>
          </wp:inline>
        </w:drawing>
      </w:r>
      <w:r>
        <w:rPr>
          <w:rFonts w:ascii="Arial" w:cs="Arial" w:eastAsia="Arial" w:hAnsi="Arial"/>
          <w:sz w:val="76"/>
          <w:szCs w:val="76"/>
          <w:color w:val="FFFFFF"/>
        </w:rPr>
        <w:t xml:space="preserve"> ADVANCING LEADERSHIP </w:t>
      </w:r>
      <w:r>
        <w:rPr>
          <w:sz w:val="1"/>
          <w:szCs w:val="1"/>
          <w:color w:val="auto"/>
        </w:rPr>
        <w:drawing>
          <wp:inline distT="0" distB="0" distL="0" distR="0">
            <wp:extent cx="296545" cy="5429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296545" cy="542925"/>
                    </a:xfrm>
                    <a:prstGeom prst="rect">
                      <a:avLst/>
                    </a:prstGeom>
                    <a:noFill/>
                    <a:ln>
                      <a:noFill/>
                    </a:ln>
                  </pic:spPr>
                </pic:pic>
              </a:graphicData>
            </a:graphic>
          </wp:inline>
        </w:drawing>
      </w:r>
      <w:r>
        <w:rPr>
          <w:rFonts w:ascii="Arial" w:cs="Arial" w:eastAsia="Arial" w:hAnsi="Arial"/>
          <w:sz w:val="76"/>
          <w:szCs w:val="76"/>
          <w:color w:val="FFFFFF"/>
        </w:rPr>
        <w:t xml:space="preserve"> THROUGH OUR PEOPLE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980" w:right="320"/>
        <w:spacing w:after="0" w:line="302" w:lineRule="auto"/>
        <w:rPr>
          <w:sz w:val="20"/>
          <w:szCs w:val="20"/>
          <w:color w:val="auto"/>
        </w:rPr>
      </w:pPr>
      <w:r>
        <w:rPr>
          <w:rFonts w:ascii="Arial" w:cs="Arial" w:eastAsia="Arial" w:hAnsi="Arial"/>
          <w:sz w:val="22"/>
          <w:szCs w:val="22"/>
          <w:color w:val="FFFFFF"/>
        </w:rPr>
        <w:t>CECO’s leadership in environmental solutions is powered by our global team of engineers, technical experts, and operational leaders. As we expand across industrial air, water, and energy transition markets, investing in talent and leadership development remains essential to delivering innovative solutions and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1108710</wp:posOffset>
            </wp:positionV>
            <wp:extent cx="15367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extLst>
                    </a:blip>
                    <a:srcRect/>
                    <a:stretch>
                      <a:fillRect/>
                    </a:stretch>
                  </pic:blipFill>
                  <pic:spPr bwMode="auto">
                    <a:xfrm>
                      <a:off x="0" y="0"/>
                      <a:ext cx="153670" cy="20574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88900</wp:posOffset>
            </wp:positionV>
            <wp:extent cx="7000240" cy="1435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extLst>
                    </a:blip>
                    <a:srcRect/>
                    <a:stretch>
                      <a:fillRect/>
                    </a:stretch>
                  </pic:blipFill>
                  <pic:spPr bwMode="auto">
                    <a:xfrm>
                      <a:off x="0" y="0"/>
                      <a:ext cx="7000240" cy="143573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88900</wp:posOffset>
            </wp:positionV>
            <wp:extent cx="7000240" cy="1435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7000240" cy="143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20"/>
        <w:spacing w:after="0" w:line="302" w:lineRule="exact"/>
        <w:rPr>
          <w:sz w:val="20"/>
          <w:szCs w:val="20"/>
          <w:color w:val="auto"/>
        </w:rPr>
      </w:pPr>
      <w:r>
        <w:rPr>
          <w:sz w:val="1"/>
          <w:szCs w:val="1"/>
          <w:color w:val="auto"/>
        </w:rPr>
        <w:drawing>
          <wp:inline distT="0" distB="0" distL="0" distR="0">
            <wp:extent cx="116205" cy="17716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116205" cy="177165"/>
                    </a:xfrm>
                    <a:prstGeom prst="rect">
                      <a:avLst/>
                    </a:prstGeom>
                    <a:noFill/>
                    <a:ln>
                      <a:noFill/>
                    </a:ln>
                  </pic:spPr>
                </pic:pic>
              </a:graphicData>
            </a:graphic>
          </wp:inline>
        </w:drawing>
      </w:r>
      <w:r>
        <w:rPr>
          <w:rFonts w:ascii="MS PGothic" w:cs="MS PGothic" w:eastAsia="MS PGothic" w:hAnsi="MS PGothic"/>
          <w:sz w:val="16"/>
          <w:szCs w:val="16"/>
          <w:color w:val="273D86"/>
          <w:shd w:val="clear" w:color="auto" w:fill="98B82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4424680</wp:posOffset>
            </wp:positionH>
            <wp:positionV relativeFrom="paragraph">
              <wp:posOffset>-173990</wp:posOffset>
            </wp:positionV>
            <wp:extent cx="116205" cy="177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116205" cy="17716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-10160</wp:posOffset>
            </wp:positionV>
            <wp:extent cx="116205" cy="177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116205" cy="17716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820"/>
        <w:spacing w:after="0" w:line="254" w:lineRule="exact"/>
        <w:tabs>
          <w:tab w:leader="none" w:pos="5160" w:val="left"/>
        </w:tabs>
        <w:rPr>
          <w:sz w:val="20"/>
          <w:szCs w:val="20"/>
          <w:color w:val="auto"/>
        </w:rPr>
      </w:pPr>
      <w:r>
        <w:rPr>
          <w:rFonts w:ascii="MS PGothic" w:cs="MS PGothic" w:eastAsia="MS PGothic" w:hAnsi="MS PGothic"/>
          <w:sz w:val="22"/>
          <w:szCs w:val="22"/>
          <w:color w:val="273D86"/>
        </w:rPr>
        <w:t>★</w:t>
      </w:r>
      <w:r>
        <w:rPr>
          <w:rFonts w:ascii="Arial" w:cs="Arial" w:eastAsia="Arial" w:hAnsi="Arial"/>
          <w:sz w:val="17"/>
          <w:szCs w:val="17"/>
          <w:color w:val="auto"/>
        </w:rPr>
        <w:t xml:space="preserve"> Global Headquarters: Addison, Texas</w:t>
      </w:r>
      <w:r>
        <w:rPr>
          <w:sz w:val="20"/>
          <w:szCs w:val="20"/>
          <w:color w:val="auto"/>
        </w:rPr>
        <w:tab/>
      </w:r>
      <w:r>
        <w:rPr>
          <w:rFonts w:ascii="Arial" w:cs="Arial" w:eastAsia="Arial" w:hAnsi="Arial"/>
          <w:sz w:val="21"/>
          <w:szCs w:val="21"/>
          <w:color w:val="273D86"/>
        </w:rPr>
        <w:t xml:space="preserve">~1,600 </w:t>
      </w:r>
      <w:r>
        <w:rPr>
          <w:rFonts w:ascii="Arial" w:cs="Arial" w:eastAsia="Arial" w:hAnsi="Arial"/>
          <w:sz w:val="17"/>
          <w:szCs w:val="17"/>
          <w:color w:val="000000"/>
        </w:rPr>
        <w:t>Employees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5433060</wp:posOffset>
            </wp:positionH>
            <wp:positionV relativeFrom="paragraph">
              <wp:posOffset>-124460</wp:posOffset>
            </wp:positionV>
            <wp:extent cx="248920" cy="288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extLst>
                    </a:blip>
                    <a:srcRect/>
                    <a:stretch>
                      <a:fillRect/>
                    </a:stretch>
                  </pic:blipFill>
                  <pic:spPr bwMode="auto">
                    <a:xfrm>
                      <a:off x="0" y="0"/>
                      <a:ext cx="248920" cy="288290"/>
                    </a:xfrm>
                    <a:prstGeom prst="rect">
                      <a:avLst/>
                    </a:prstGeom>
                    <a:noFill/>
                  </pic:spPr>
                </pic:pic>
              </a:graphicData>
            </a:graphic>
          </wp:anchor>
        </w:drawing>
      </w:r>
    </w:p>
    <w:p>
      <w:pPr>
        <w:ind w:left="1800"/>
        <w:spacing w:after="0"/>
        <w:tabs>
          <w:tab w:leader="none" w:pos="5160" w:val="left"/>
        </w:tabs>
        <w:rPr>
          <w:sz w:val="20"/>
          <w:szCs w:val="20"/>
          <w:color w:val="auto"/>
        </w:rPr>
      </w:pPr>
      <w:r>
        <w:rPr>
          <w:sz w:val="1"/>
          <w:szCs w:val="1"/>
          <w:color w:val="auto"/>
        </w:rPr>
        <w:drawing>
          <wp:inline distT="0" distB="0" distL="0" distR="0">
            <wp:extent cx="127635" cy="1670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extLst>
                    </a:blip>
                    <a:srcRect/>
                    <a:stretch>
                      <a:fillRect/>
                    </a:stretch>
                  </pic:blipFill>
                  <pic:spPr bwMode="auto">
                    <a:xfrm>
                      <a:off x="0" y="0"/>
                      <a:ext cx="127635" cy="167005"/>
                    </a:xfrm>
                    <a:prstGeom prst="rect">
                      <a:avLst/>
                    </a:prstGeom>
                    <a:noFill/>
                    <a:ln>
                      <a:noFill/>
                    </a:ln>
                  </pic:spPr>
                </pic:pic>
              </a:graphicData>
            </a:graphic>
          </wp:inline>
        </w:drawing>
      </w:r>
      <w:r>
        <w:rPr>
          <w:rFonts w:ascii="Arial" w:cs="Arial" w:eastAsia="Arial" w:hAnsi="Arial"/>
          <w:sz w:val="17"/>
          <w:szCs w:val="17"/>
          <w:color w:val="auto"/>
        </w:rPr>
        <w:t xml:space="preserve"> Sales and Engineering</w:t>
      </w:r>
      <w:r>
        <w:rPr>
          <w:sz w:val="20"/>
          <w:szCs w:val="20"/>
          <w:color w:val="auto"/>
        </w:rPr>
        <w:tab/>
      </w:r>
      <w:r>
        <w:rPr>
          <w:rFonts w:ascii="Arial" w:cs="Arial" w:eastAsia="Arial" w:hAnsi="Arial"/>
          <w:sz w:val="21"/>
          <w:szCs w:val="21"/>
          <w:color w:val="273D86"/>
        </w:rPr>
        <w:t xml:space="preserve">~25% </w:t>
      </w:r>
      <w:r>
        <w:rPr>
          <w:rFonts w:ascii="Arial" w:cs="Arial" w:eastAsia="Arial" w:hAnsi="Arial"/>
          <w:sz w:val="17"/>
          <w:szCs w:val="17"/>
          <w:color w:val="000000"/>
        </w:rPr>
        <w:t>are Engineers/Solution experts</w:t>
      </w:r>
    </w:p>
    <w:p>
      <w:pPr>
        <w:ind w:left="1820"/>
        <w:spacing w:after="0"/>
        <w:tabs>
          <w:tab w:leader="none" w:pos="5160" w:val="left"/>
        </w:tabs>
        <w:rPr>
          <w:sz w:val="20"/>
          <w:szCs w:val="20"/>
          <w:color w:val="auto"/>
        </w:rPr>
      </w:pPr>
      <w:r>
        <w:rPr>
          <w:sz w:val="1"/>
          <w:szCs w:val="1"/>
          <w:color w:val="auto"/>
        </w:rPr>
        <w:drawing>
          <wp:inline distT="0" distB="0" distL="0" distR="0">
            <wp:extent cx="116205" cy="1524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extLst>
                    </a:blip>
                    <a:srcRect/>
                    <a:stretch>
                      <a:fillRect/>
                    </a:stretch>
                  </pic:blipFill>
                  <pic:spPr bwMode="auto">
                    <a:xfrm>
                      <a:off x="0" y="0"/>
                      <a:ext cx="116205" cy="152400"/>
                    </a:xfrm>
                    <a:prstGeom prst="rect">
                      <a:avLst/>
                    </a:prstGeom>
                    <a:noFill/>
                    <a:ln>
                      <a:noFill/>
                    </a:ln>
                  </pic:spPr>
                </pic:pic>
              </a:graphicData>
            </a:graphic>
          </wp:inline>
        </w:drawing>
      </w:r>
      <w:r>
        <w:rPr>
          <w:rFonts w:ascii="Arial" w:cs="Arial" w:eastAsia="Arial" w:hAnsi="Arial"/>
          <w:sz w:val="17"/>
          <w:szCs w:val="17"/>
          <w:color w:val="auto"/>
        </w:rPr>
        <w:t xml:space="preserve"> Manufacturing and Assembly</w:t>
      </w:r>
      <w:r>
        <w:rPr>
          <w:sz w:val="20"/>
          <w:szCs w:val="20"/>
          <w:color w:val="auto"/>
        </w:rPr>
        <w:tab/>
      </w:r>
      <w:r>
        <w:rPr>
          <w:rFonts w:ascii="Arial" w:cs="Arial" w:eastAsia="Arial" w:hAnsi="Arial"/>
          <w:sz w:val="21"/>
          <w:szCs w:val="21"/>
          <w:color w:val="273D86"/>
        </w:rPr>
        <w:t xml:space="preserve">~35% </w:t>
      </w:r>
      <w:r>
        <w:rPr>
          <w:rFonts w:ascii="Arial" w:cs="Arial" w:eastAsia="Arial" w:hAnsi="Arial"/>
          <w:sz w:val="17"/>
          <w:szCs w:val="17"/>
          <w:color w:val="000000"/>
        </w:rPr>
        <w:t>International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-156845</wp:posOffset>
            </wp:positionV>
            <wp:extent cx="7000240" cy="539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700024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26"/>
          <w:szCs w:val="26"/>
          <w:color w:val="273D86"/>
        </w:rPr>
        <w:t>A Global Team Delivering Local Expertise</w:t>
      </w:r>
    </w:p>
    <w:p>
      <w:pPr>
        <w:spacing w:after="0" w:line="138" w:lineRule="exact"/>
        <w:rPr>
          <w:sz w:val="20"/>
          <w:szCs w:val="20"/>
          <w:color w:val="auto"/>
        </w:rPr>
      </w:pPr>
    </w:p>
    <w:p>
      <w:pPr>
        <w:ind w:left="660" w:right="180"/>
        <w:spacing w:after="0" w:line="354" w:lineRule="auto"/>
        <w:rPr>
          <w:sz w:val="20"/>
          <w:szCs w:val="20"/>
          <w:color w:val="auto"/>
        </w:rPr>
      </w:pPr>
      <w:r>
        <w:rPr>
          <w:rFonts w:ascii="Arial" w:cs="Arial" w:eastAsia="Arial" w:hAnsi="Arial"/>
          <w:sz w:val="18"/>
          <w:szCs w:val="18"/>
          <w:color w:val="auto"/>
        </w:rPr>
        <w:t>CECO’s workforce spans North America, Europe, the Middle East, and Asia, enabling our teams to collaborate across regions and deliver solutions that address complex environmental and industrial challenges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207645</wp:posOffset>
            </wp:positionV>
            <wp:extent cx="7101205" cy="2537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extLst>
                    </a:blip>
                    <a:srcRect/>
                    <a:stretch>
                      <a:fillRect/>
                    </a:stretch>
                  </pic:blipFill>
                  <pic:spPr bwMode="auto">
                    <a:xfrm>
                      <a:off x="0" y="0"/>
                      <a:ext cx="7101205" cy="2537460"/>
                    </a:xfrm>
                    <a:prstGeom prst="rect">
                      <a:avLst/>
                    </a:prstGeom>
                    <a:noFill/>
                  </pic:spPr>
                </pic:pic>
              </a:graphicData>
            </a:graphic>
          </wp:anchor>
        </w:drawing>
      </w:r>
    </w:p>
    <w:p>
      <w:pPr>
        <w:sectPr>
          <w:pgSz w:w="11880" w:h="15480" w:orient="portrait"/>
          <w:cols w:equalWidth="0" w:num="1">
            <w:col w:w="10740"/>
          </w:cols>
          <w:pgMar w:left="240" w:top="56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26"/>
          <w:szCs w:val="26"/>
          <w:color w:val="77A527"/>
        </w:rPr>
        <w:t>Leading with Our Values</w:t>
      </w:r>
    </w:p>
    <w:p>
      <w:pPr>
        <w:spacing w:after="0" w:line="138" w:lineRule="exact"/>
        <w:rPr>
          <w:sz w:val="20"/>
          <w:szCs w:val="20"/>
          <w:color w:val="auto"/>
        </w:rPr>
      </w:pPr>
    </w:p>
    <w:p>
      <w:pPr>
        <w:ind w:left="660" w:right="340"/>
        <w:spacing w:after="0" w:line="311" w:lineRule="auto"/>
        <w:rPr>
          <w:sz w:val="20"/>
          <w:szCs w:val="20"/>
          <w:color w:val="auto"/>
        </w:rPr>
      </w:pPr>
      <w:r>
        <w:rPr>
          <w:rFonts w:ascii="Arial" w:cs="Arial" w:eastAsia="Arial" w:hAnsi="Arial"/>
          <w:sz w:val="18"/>
          <w:szCs w:val="18"/>
          <w:color w:val="auto"/>
        </w:rPr>
        <w:t>CECO’s culture is grounded in our “Win – Win Right” values, which define leadership at every level and guide how we operate, serve customers, collaborate as teams, and deliver sustainable results.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273D86"/>
        </w:rPr>
        <w:t>We aim to Win Right</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273D86"/>
        </w:rPr>
        <w:t>in everything we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99"/>
        <w:spacing w:after="0"/>
        <w:rPr>
          <w:sz w:val="20"/>
          <w:szCs w:val="20"/>
          <w:color w:val="auto"/>
        </w:rPr>
      </w:pPr>
      <w:r>
        <w:rPr>
          <w:rFonts w:ascii="Arial" w:cs="Arial" w:eastAsia="Arial" w:hAnsi="Arial"/>
          <w:sz w:val="11"/>
          <w:szCs w:val="11"/>
          <w:b w:val="1"/>
          <w:bCs w:val="1"/>
          <w:color w:val="77A527"/>
        </w:rPr>
        <w:t>CUSTOMER</w:t>
      </w:r>
    </w:p>
    <w:p>
      <w:pPr>
        <w:spacing w:after="0" w:line="14" w:lineRule="exact"/>
        <w:rPr>
          <w:sz w:val="20"/>
          <w:szCs w:val="20"/>
          <w:color w:val="auto"/>
        </w:rPr>
      </w:pPr>
    </w:p>
    <w:p>
      <w:pPr>
        <w:jc w:val="center"/>
        <w:ind w:left="-199"/>
        <w:spacing w:after="0"/>
        <w:rPr>
          <w:sz w:val="20"/>
          <w:szCs w:val="20"/>
          <w:color w:val="auto"/>
        </w:rPr>
      </w:pPr>
      <w:r>
        <w:rPr>
          <w:rFonts w:ascii="Arial" w:cs="Arial" w:eastAsia="Arial" w:hAnsi="Arial"/>
          <w:sz w:val="12"/>
          <w:szCs w:val="12"/>
          <w:b w:val="1"/>
          <w:bCs w:val="1"/>
          <w:color w:val="77A527"/>
        </w:rPr>
        <w:t>FIRST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b w:val="1"/>
          <w:bCs w:val="1"/>
          <w:color w:val="77A527"/>
        </w:rPr>
        <w:t>ACCOUNTABILITY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Arial" w:cs="Arial" w:eastAsia="Arial" w:hAnsi="Arial"/>
          <w:sz w:val="8"/>
          <w:szCs w:val="8"/>
          <w:b w:val="1"/>
          <w:bCs w:val="1"/>
          <w:color w:val="77A527"/>
        </w:rPr>
        <w:t>RELENTLESS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8"/>
          <w:szCs w:val="8"/>
          <w:b w:val="1"/>
          <w:bCs w:val="1"/>
          <w:color w:val="77A527"/>
        </w:rPr>
        <w:t>EXECUTION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33"/>
          <w:szCs w:val="33"/>
          <w:b w:val="1"/>
          <w:bCs w:val="1"/>
          <w:color w:val="14256B"/>
        </w:rPr>
        <w:t>CE</w:t>
      </w:r>
      <w:r>
        <w:rPr>
          <w:rFonts w:ascii="Arial" w:cs="Arial" w:eastAsia="Arial" w:hAnsi="Arial"/>
          <w:sz w:val="33"/>
          <w:szCs w:val="33"/>
          <w:b w:val="1"/>
          <w:bCs w:val="1"/>
          <w:u w:val="single" w:color="auto"/>
          <w:color w:val="14256B"/>
        </w:rPr>
        <w:t>CO V</w:t>
      </w:r>
      <w:r>
        <w:rPr>
          <w:rFonts w:ascii="Arial" w:cs="Arial" w:eastAsia="Arial" w:hAnsi="Arial"/>
          <w:sz w:val="33"/>
          <w:szCs w:val="33"/>
          <w:b w:val="1"/>
          <w:bCs w:val="1"/>
          <w:color w:val="14256B"/>
        </w:rPr>
        <w:t>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80" w:type="dxa"/>
            <w:vAlign w:val="bottom"/>
            <w:gridSpan w:val="3"/>
          </w:tcPr>
          <w:p>
            <w:pPr>
              <w:jc w:val="center"/>
              <w:ind w:right="440"/>
              <w:spacing w:after="0"/>
              <w:rPr>
                <w:sz w:val="20"/>
                <w:szCs w:val="20"/>
                <w:color w:val="auto"/>
              </w:rPr>
            </w:pPr>
            <w:r>
              <w:rPr>
                <w:rFonts w:ascii="Arial" w:cs="Arial" w:eastAsia="Arial" w:hAnsi="Arial"/>
                <w:sz w:val="24"/>
                <w:szCs w:val="24"/>
                <w:b w:val="1"/>
                <w:bCs w:val="1"/>
                <w:color w:val="77A527"/>
                <w:w w:val="85"/>
              </w:rPr>
              <w:t>how we</w:t>
            </w:r>
          </w:p>
        </w:tc>
        <w:tc>
          <w:tcPr>
            <w:tcW w:w="1480" w:type="dxa"/>
            <w:vAlign w:val="bottom"/>
            <w:gridSpan w:val="3"/>
          </w:tcPr>
          <w:p>
            <w:pPr>
              <w:jc w:val="center"/>
              <w:ind w:left="340"/>
              <w:spacing w:after="0"/>
              <w:rPr>
                <w:sz w:val="20"/>
                <w:szCs w:val="20"/>
                <w:color w:val="auto"/>
              </w:rPr>
            </w:pPr>
            <w:r>
              <w:rPr>
                <w:rFonts w:ascii="Arial" w:cs="Arial" w:eastAsia="Arial" w:hAnsi="Arial"/>
                <w:sz w:val="24"/>
                <w:szCs w:val="24"/>
                <w:b w:val="1"/>
                <w:bCs w:val="1"/>
                <w:color w:val="14256B"/>
                <w:w w:val="85"/>
              </w:rPr>
              <w:t>how we</w:t>
            </w:r>
          </w:p>
        </w:tc>
      </w:tr>
      <w:tr>
        <w:trPr>
          <w:trHeight w:val="298"/>
        </w:trPr>
        <w:tc>
          <w:tcPr>
            <w:tcW w:w="16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24"/>
                <w:szCs w:val="24"/>
                <w:b w:val="1"/>
                <w:bCs w:val="1"/>
                <w:color w:val="77A527"/>
                <w:w w:val="85"/>
              </w:rPr>
              <w:t>WIN</w:t>
            </w:r>
          </w:p>
        </w:tc>
        <w:tc>
          <w:tcPr>
            <w:tcW w:w="600" w:type="dxa"/>
            <w:vAlign w:val="bottom"/>
          </w:tcPr>
          <w:p>
            <w:pPr>
              <w:spacing w:after="0"/>
              <w:rPr>
                <w:sz w:val="24"/>
                <w:szCs w:val="24"/>
                <w:color w:val="auto"/>
              </w:rPr>
            </w:pPr>
          </w:p>
        </w:tc>
        <w:tc>
          <w:tcPr>
            <w:tcW w:w="1480" w:type="dxa"/>
            <w:vAlign w:val="bottom"/>
            <w:gridSpan w:val="3"/>
          </w:tcPr>
          <w:p>
            <w:pPr>
              <w:jc w:val="center"/>
              <w:ind w:left="340"/>
              <w:spacing w:after="0"/>
              <w:rPr>
                <w:sz w:val="20"/>
                <w:szCs w:val="20"/>
                <w:color w:val="auto"/>
              </w:rPr>
            </w:pPr>
            <w:r>
              <w:rPr>
                <w:rFonts w:ascii="Arial" w:cs="Arial" w:eastAsia="Arial" w:hAnsi="Arial"/>
                <w:sz w:val="24"/>
                <w:szCs w:val="24"/>
                <w:b w:val="1"/>
                <w:bCs w:val="1"/>
                <w:color w:val="14256B"/>
                <w:w w:val="79"/>
              </w:rPr>
              <w:t>WIN RIGHT</w:t>
            </w:r>
          </w:p>
        </w:tc>
      </w:tr>
      <w:tr>
        <w:trPr>
          <w:trHeight w:val="23"/>
        </w:trPr>
        <w:tc>
          <w:tcPr>
            <w:tcW w:w="160" w:type="dxa"/>
            <w:vAlign w:val="bottom"/>
          </w:tcPr>
          <w:p>
            <w:pPr>
              <w:spacing w:after="0"/>
              <w:rPr>
                <w:sz w:val="2"/>
                <w:szCs w:val="2"/>
                <w:color w:val="auto"/>
              </w:rPr>
            </w:pPr>
          </w:p>
        </w:tc>
        <w:tc>
          <w:tcPr>
            <w:tcW w:w="420" w:type="dxa"/>
            <w:vAlign w:val="bottom"/>
            <w:shd w:val="clear" w:color="auto" w:fill="76A526"/>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shd w:val="clear" w:color="auto" w:fill="14256B"/>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14256B"/>
        </w:rPr>
        <w:t>RESPECT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440"/>
        <w:spacing w:after="0"/>
        <w:rPr>
          <w:sz w:val="20"/>
          <w:szCs w:val="20"/>
          <w:color w:val="auto"/>
        </w:rPr>
      </w:pPr>
      <w:r>
        <w:rPr>
          <w:rFonts w:ascii="Arial" w:cs="Arial" w:eastAsia="Arial" w:hAnsi="Arial"/>
          <w:sz w:val="12"/>
          <w:szCs w:val="12"/>
          <w:b w:val="1"/>
          <w:bCs w:val="1"/>
          <w:color w:val="14256B"/>
        </w:rPr>
        <w:t>INTEGRITY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40"/>
        <w:spacing w:after="0"/>
        <w:rPr>
          <w:sz w:val="20"/>
          <w:szCs w:val="20"/>
          <w:color w:val="auto"/>
        </w:rPr>
      </w:pPr>
      <w:r>
        <w:rPr>
          <w:rFonts w:ascii="Arial" w:cs="Arial" w:eastAsia="Arial" w:hAnsi="Arial"/>
          <w:sz w:val="9"/>
          <w:szCs w:val="9"/>
          <w:b w:val="1"/>
          <w:bCs w:val="1"/>
          <w:color w:val="14256B"/>
        </w:rPr>
        <w:t>TEAMWORK</w:t>
      </w:r>
    </w:p>
    <w:p>
      <w:pPr>
        <w:spacing w:after="0" w:line="268" w:lineRule="exact"/>
        <w:rPr>
          <w:sz w:val="20"/>
          <w:szCs w:val="20"/>
          <w:color w:val="auto"/>
        </w:rPr>
      </w:pPr>
    </w:p>
    <w:p>
      <w:pPr>
        <w:sectPr>
          <w:pgSz w:w="11880" w:h="15480" w:orient="portrait"/>
          <w:cols w:equalWidth="0" w:num="4">
            <w:col w:w="3800" w:space="120"/>
            <w:col w:w="1260" w:space="720"/>
            <w:col w:w="2740" w:space="720"/>
            <w:col w:w="1380"/>
          </w:cols>
          <w:pgMar w:left="240" w:top="565"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060"/>
        <w:spacing w:after="0"/>
        <w:tabs>
          <w:tab w:leader="none" w:pos="10500" w:val="left"/>
        </w:tabs>
        <w:rPr>
          <w:sz w:val="20"/>
          <w:szCs w:val="20"/>
          <w:color w:val="auto"/>
        </w:rPr>
      </w:pPr>
      <w:r>
        <w:rPr>
          <w:rFonts w:ascii="Arial" w:cs="Arial" w:eastAsia="Arial" w:hAnsi="Arial"/>
          <w:sz w:val="16"/>
          <w:szCs w:val="16"/>
          <w:color w:val="666666"/>
        </w:rPr>
        <w:t>CECO Environmental | 2025 Annual Report</w:t>
      </w:r>
      <w:r>
        <w:rPr>
          <w:sz w:val="20"/>
          <w:szCs w:val="20"/>
          <w:color w:val="auto"/>
        </w:rPr>
        <w:tab/>
      </w:r>
      <w:r>
        <w:rPr>
          <w:rFonts w:ascii="Arial" w:cs="Arial" w:eastAsia="Arial" w:hAnsi="Arial"/>
          <w:sz w:val="19"/>
          <w:szCs w:val="19"/>
          <w:color w:val="auto"/>
        </w:rPr>
        <w:t>11</w:t>
      </w:r>
    </w:p>
    <w:p>
      <w:pPr>
        <w:spacing w:after="0" w:line="20" w:lineRule="exact"/>
        <w:rPr>
          <w:sz w:val="20"/>
          <w:szCs w:val="20"/>
          <w:color w:val="auto"/>
        </w:rPr>
      </w:pPr>
    </w:p>
    <w:p>
      <w:pPr>
        <w:sectPr>
          <w:pgSz w:w="11880" w:h="15480" w:orient="portrait"/>
          <w:cols w:equalWidth="0" w:num="1">
            <w:col w:w="10740"/>
          </w:cols>
          <w:pgMar w:left="240" w:top="565" w:right="900" w:bottom="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40" w:right="400"/>
        <w:spacing w:after="0" w:line="279" w:lineRule="auto"/>
        <w:rPr>
          <w:sz w:val="20"/>
          <w:szCs w:val="20"/>
          <w:color w:val="auto"/>
        </w:rPr>
      </w:pPr>
      <w:r>
        <w:rPr>
          <w:rFonts w:ascii="Arial" w:cs="Arial" w:eastAsia="Arial" w:hAnsi="Arial"/>
          <w:sz w:val="22"/>
          <w:szCs w:val="22"/>
          <w:color w:val="77A527"/>
        </w:rPr>
        <w:t>BUILDING LEADERSHIP CAPABILITY</w:t>
      </w:r>
    </w:p>
    <w:p>
      <w:pPr>
        <w:spacing w:after="0" w:line="1" w:lineRule="exact"/>
        <w:rPr>
          <w:sz w:val="20"/>
          <w:szCs w:val="20"/>
          <w:color w:val="auto"/>
        </w:rPr>
      </w:pPr>
    </w:p>
    <w:p>
      <w:pPr>
        <w:ind w:left="140"/>
        <w:spacing w:after="0" w:line="263" w:lineRule="auto"/>
        <w:rPr>
          <w:sz w:val="20"/>
          <w:szCs w:val="20"/>
          <w:color w:val="auto"/>
        </w:rPr>
      </w:pPr>
      <w:r>
        <w:rPr>
          <w:rFonts w:ascii="Arial" w:cs="Arial" w:eastAsia="Arial" w:hAnsi="Arial"/>
          <w:sz w:val="18"/>
          <w:szCs w:val="18"/>
          <w:color w:val="auto"/>
        </w:rPr>
        <w:t>CECO continues to invest in leadership development programs that equip team members with the skills and experiences needed to grow into future leadership roles.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Key initiatives include:</w:t>
      </w:r>
    </w:p>
    <w:p>
      <w:pPr>
        <w:spacing w:after="0" w:line="99" w:lineRule="exact"/>
        <w:rPr>
          <w:sz w:val="20"/>
          <w:szCs w:val="20"/>
          <w:color w:val="auto"/>
        </w:rPr>
      </w:pPr>
    </w:p>
    <w:p>
      <w:pPr>
        <w:ind w:left="320" w:right="420" w:hanging="185"/>
        <w:spacing w:after="0" w:line="302"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Individualized development pathways</w:t>
      </w:r>
    </w:p>
    <w:p>
      <w:pPr>
        <w:spacing w:after="0" w:line="1" w:lineRule="exact"/>
        <w:rPr>
          <w:rFonts w:ascii="Arial" w:cs="Arial" w:eastAsia="Arial" w:hAnsi="Arial"/>
          <w:sz w:val="18"/>
          <w:szCs w:val="18"/>
          <w:color w:val="auto"/>
        </w:rPr>
      </w:pPr>
    </w:p>
    <w:p>
      <w:pPr>
        <w:ind w:left="320" w:hanging="185"/>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collaboration</w:t>
      </w:r>
    </w:p>
    <w:p>
      <w:pPr>
        <w:spacing w:after="0" w:line="99" w:lineRule="exact"/>
        <w:rPr>
          <w:rFonts w:ascii="Arial" w:cs="Arial" w:eastAsia="Arial" w:hAnsi="Arial"/>
          <w:sz w:val="18"/>
          <w:szCs w:val="18"/>
          <w:color w:val="auto"/>
        </w:rPr>
      </w:pPr>
    </w:p>
    <w:p>
      <w:pPr>
        <w:ind w:left="320" w:right="560" w:hanging="185"/>
        <w:spacing w:after="0" w:line="302"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and operational training programs</w:t>
      </w:r>
    </w:p>
    <w:p>
      <w:pPr>
        <w:spacing w:after="0" w:line="1" w:lineRule="exact"/>
        <w:rPr>
          <w:sz w:val="20"/>
          <w:szCs w:val="20"/>
          <w:color w:val="auto"/>
        </w:rPr>
      </w:pPr>
    </w:p>
    <w:p>
      <w:pPr>
        <w:ind w:left="140" w:right="140"/>
        <w:spacing w:after="0" w:line="267" w:lineRule="auto"/>
        <w:rPr>
          <w:sz w:val="20"/>
          <w:szCs w:val="20"/>
          <w:color w:val="auto"/>
        </w:rPr>
      </w:pPr>
      <w:r>
        <w:rPr>
          <w:rFonts w:ascii="Arial" w:cs="Arial" w:eastAsia="Arial" w:hAnsi="Arial"/>
          <w:sz w:val="18"/>
          <w:szCs w:val="18"/>
          <w:color w:val="auto"/>
        </w:rPr>
        <w:t>By strengthening leadership capabilities across the company, CECO ensures the talent needed to support long-term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0"/>
        <w:spacing w:after="0" w:line="279" w:lineRule="auto"/>
        <w:rPr>
          <w:sz w:val="20"/>
          <w:szCs w:val="20"/>
          <w:color w:val="auto"/>
        </w:rPr>
      </w:pPr>
      <w:r>
        <w:rPr>
          <w:rFonts w:ascii="Arial" w:cs="Arial" w:eastAsia="Arial" w:hAnsi="Arial"/>
          <w:sz w:val="22"/>
          <w:szCs w:val="22"/>
          <w:color w:val="77A527"/>
        </w:rPr>
        <w:t>STRENGTHENING THE TALENT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-2261235</wp:posOffset>
            </wp:positionV>
            <wp:extent cx="7543800" cy="49434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extLst>
                    </a:blip>
                    <a:srcRect/>
                    <a:stretch>
                      <a:fillRect/>
                    </a:stretch>
                  </pic:blipFill>
                  <pic:spPr bwMode="auto">
                    <a:xfrm>
                      <a:off x="0" y="0"/>
                      <a:ext cx="7543800" cy="4943475"/>
                    </a:xfrm>
                    <a:prstGeom prst="rect">
                      <a:avLst/>
                    </a:prstGeom>
                    <a:noFill/>
                  </pic:spPr>
                </pic:pic>
              </a:graphicData>
            </a:graphic>
          </wp:anchor>
        </w:drawing>
      </w:r>
    </w:p>
    <w:p>
      <w:pPr>
        <w:ind w:right="80"/>
        <w:spacing w:after="0" w:line="267" w:lineRule="auto"/>
        <w:rPr>
          <w:sz w:val="20"/>
          <w:szCs w:val="20"/>
          <w:color w:val="auto"/>
        </w:rPr>
      </w:pPr>
      <w:r>
        <w:rPr>
          <w:rFonts w:ascii="Arial" w:cs="Arial" w:eastAsia="Arial" w:hAnsi="Arial"/>
          <w:sz w:val="18"/>
          <w:szCs w:val="18"/>
          <w:color w:val="auto"/>
        </w:rPr>
        <w:t>To support our expanding global business, CECO continues to enhance its talent acquisition capabilities.</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Investments in digital recruitment platforms and modern hiring processes enable us to identify and attract top engineering, technical, and operational talent aligned with CECO’s mission and culture.</w:t>
      </w:r>
    </w:p>
    <w:p>
      <w:pPr>
        <w:spacing w:after="0" w:line="262"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These capabilities allow CECO to scale its workforce alongside strategic growth initiatives and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 w:right="380"/>
        <w:spacing w:after="0" w:line="279" w:lineRule="auto"/>
        <w:rPr>
          <w:sz w:val="20"/>
          <w:szCs w:val="20"/>
          <w:color w:val="auto"/>
        </w:rPr>
      </w:pPr>
      <w:r>
        <w:rPr>
          <w:rFonts w:ascii="Arial" w:cs="Arial" w:eastAsia="Arial" w:hAnsi="Arial"/>
          <w:sz w:val="22"/>
          <w:szCs w:val="22"/>
          <w:color w:val="77A527"/>
        </w:rPr>
        <w:t>SUPPORTING WELL-BEING AND INCLUSION</w:t>
      </w:r>
    </w:p>
    <w:p>
      <w:pPr>
        <w:spacing w:after="0" w:line="1" w:lineRule="exact"/>
        <w:rPr>
          <w:sz w:val="20"/>
          <w:szCs w:val="20"/>
          <w:color w:val="auto"/>
        </w:rPr>
      </w:pPr>
    </w:p>
    <w:p>
      <w:pPr>
        <w:ind w:left="5" w:right="280"/>
        <w:spacing w:after="0" w:line="267" w:lineRule="auto"/>
        <w:rPr>
          <w:sz w:val="20"/>
          <w:szCs w:val="20"/>
          <w:color w:val="auto"/>
        </w:rPr>
      </w:pPr>
      <w:r>
        <w:rPr>
          <w:rFonts w:ascii="Arial" w:cs="Arial" w:eastAsia="Arial" w:hAnsi="Arial"/>
          <w:sz w:val="18"/>
          <w:szCs w:val="18"/>
          <w:color w:val="auto"/>
        </w:rPr>
        <w:t>CECO is committed to creating a workplace where employees feel supported, valued, and empowered to contribute.</w:t>
      </w:r>
    </w:p>
    <w:p>
      <w:pPr>
        <w:spacing w:after="0" w:line="33" w:lineRule="exact"/>
        <w:rPr>
          <w:sz w:val="20"/>
          <w:szCs w:val="20"/>
          <w:color w:val="auto"/>
        </w:rPr>
      </w:pPr>
    </w:p>
    <w:p>
      <w:pPr>
        <w:ind w:left="5"/>
        <w:spacing w:after="0"/>
        <w:rPr>
          <w:sz w:val="20"/>
          <w:szCs w:val="20"/>
          <w:color w:val="auto"/>
        </w:rPr>
      </w:pPr>
      <w:r>
        <w:rPr>
          <w:rFonts w:ascii="Arial" w:cs="Arial" w:eastAsia="Arial" w:hAnsi="Arial"/>
          <w:sz w:val="18"/>
          <w:szCs w:val="18"/>
          <w:color w:val="auto"/>
        </w:rPr>
        <w:t>Our initiatives focus on:</w:t>
      </w:r>
    </w:p>
    <w:p>
      <w:pPr>
        <w:spacing w:after="0" w:line="99" w:lineRule="exact"/>
        <w:rPr>
          <w:sz w:val="20"/>
          <w:szCs w:val="20"/>
          <w:color w:val="auto"/>
        </w:rPr>
      </w:pPr>
    </w:p>
    <w:p>
      <w:pPr>
        <w:ind w:left="185" w:right="740" w:hanging="185"/>
        <w:spacing w:after="0" w:line="302"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wellness and work-life balance</w:t>
      </w:r>
    </w:p>
    <w:p>
      <w:pPr>
        <w:spacing w:after="0" w:line="1" w:lineRule="exact"/>
        <w:rPr>
          <w:rFonts w:ascii="Arial" w:cs="Arial" w:eastAsia="Arial" w:hAnsi="Arial"/>
          <w:sz w:val="18"/>
          <w:szCs w:val="18"/>
          <w:color w:val="auto"/>
        </w:rPr>
      </w:pPr>
    </w:p>
    <w:p>
      <w:pPr>
        <w:ind w:left="185" w:right="760" w:hanging="185"/>
        <w:spacing w:after="0" w:line="302"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Fostering collaboration across global teams</w:t>
      </w:r>
    </w:p>
    <w:p>
      <w:pPr>
        <w:spacing w:after="0" w:line="1" w:lineRule="exact"/>
        <w:rPr>
          <w:rFonts w:ascii="Arial" w:cs="Arial" w:eastAsia="Arial" w:hAnsi="Arial"/>
          <w:sz w:val="18"/>
          <w:szCs w:val="18"/>
          <w:color w:val="auto"/>
        </w:rPr>
      </w:pPr>
    </w:p>
    <w:p>
      <w:pPr>
        <w:ind w:left="185" w:right="420" w:hanging="185"/>
        <w:spacing w:after="0" w:line="302"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Encouraging open dialogue and diverse perspectives</w:t>
      </w:r>
    </w:p>
    <w:p>
      <w:pPr>
        <w:spacing w:after="0" w:line="1" w:lineRule="exact"/>
        <w:rPr>
          <w:sz w:val="20"/>
          <w:szCs w:val="20"/>
          <w:color w:val="auto"/>
        </w:rPr>
      </w:pPr>
    </w:p>
    <w:p>
      <w:pPr>
        <w:ind w:left="5" w:right="240"/>
        <w:spacing w:after="0" w:line="267" w:lineRule="auto"/>
        <w:rPr>
          <w:sz w:val="20"/>
          <w:szCs w:val="20"/>
          <w:color w:val="auto"/>
        </w:rPr>
      </w:pPr>
      <w:r>
        <w:rPr>
          <w:rFonts w:ascii="Arial" w:cs="Arial" w:eastAsia="Arial" w:hAnsi="Arial"/>
          <w:sz w:val="18"/>
          <w:szCs w:val="18"/>
          <w:color w:val="auto"/>
        </w:rPr>
        <w:t>By cultivating a supportive workplace, CECO strengthens engagement and enables our people to perform at their best.</w:t>
      </w:r>
    </w:p>
    <w:p>
      <w:pPr>
        <w:spacing w:after="0" w:line="200" w:lineRule="exact"/>
        <w:rPr>
          <w:sz w:val="20"/>
          <w:szCs w:val="20"/>
          <w:color w:val="auto"/>
        </w:rPr>
      </w:pPr>
    </w:p>
    <w:p>
      <w:pPr>
        <w:sectPr>
          <w:pgSz w:w="11880" w:h="15480" w:orient="portrait"/>
          <w:cols w:equalWidth="0" w:num="3">
            <w:col w:w="3060" w:space="520"/>
            <w:col w:w="2840" w:space="595"/>
            <w:col w:w="2905"/>
          </w:cols>
          <w:pgMar w:left="900" w:top="1440" w:right="1060" w:bottom="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26"/>
          <w:szCs w:val="26"/>
          <w:color w:val="273D86"/>
        </w:rPr>
        <w:t>Looking Ahead</w:t>
      </w:r>
    </w:p>
    <w:p>
      <w:pPr>
        <w:spacing w:after="0" w:line="138" w:lineRule="exact"/>
        <w:rPr>
          <w:sz w:val="20"/>
          <w:szCs w:val="20"/>
          <w:color w:val="auto"/>
        </w:rPr>
      </w:pPr>
    </w:p>
    <w:p>
      <w:pPr>
        <w:ind w:right="260"/>
        <w:spacing w:after="0" w:line="327" w:lineRule="auto"/>
        <w:rPr>
          <w:sz w:val="20"/>
          <w:szCs w:val="20"/>
          <w:color w:val="auto"/>
        </w:rPr>
      </w:pPr>
      <w:r>
        <w:rPr>
          <w:rFonts w:ascii="Arial" w:cs="Arial" w:eastAsia="Arial" w:hAnsi="Arial"/>
          <w:sz w:val="18"/>
          <w:szCs w:val="18"/>
          <w:color w:val="auto"/>
        </w:rPr>
        <w:t>As CECO advances its leadership across environmental solutions markets, our people remain at the center of our strategy. By investing in leadership development, strengthening our global workforce, and reinforcing our values-driven culture, we are building an organization capable of delivering sustainable growth for years to come.</w:t>
      </w:r>
    </w:p>
    <w:p>
      <w:pPr>
        <w:spacing w:after="0" w:line="79" w:lineRule="exact"/>
        <w:rPr>
          <w:sz w:val="20"/>
          <w:szCs w:val="20"/>
          <w:color w:val="auto"/>
        </w:rPr>
      </w:pPr>
    </w:p>
    <w:p>
      <w:pPr>
        <w:spacing w:after="0"/>
        <w:rPr>
          <w:sz w:val="20"/>
          <w:szCs w:val="20"/>
          <w:color w:val="auto"/>
        </w:rPr>
      </w:pPr>
      <w:r>
        <w:rPr>
          <w:rFonts w:ascii="Arial" w:cs="Arial" w:eastAsia="Arial" w:hAnsi="Arial"/>
          <w:sz w:val="26"/>
          <w:szCs w:val="26"/>
          <w:color w:val="273D86"/>
        </w:rPr>
        <w:t>New CECO Offices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CECO continues to invest in modern work environments that support collaboration, innovation, and global teamwork.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144145</wp:posOffset>
            </wp:positionV>
            <wp:extent cx="6410325" cy="1227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extLst>
                    </a:blip>
                    <a:srcRect/>
                    <a:stretch>
                      <a:fillRect/>
                    </a:stretch>
                  </pic:blipFill>
                  <pic:spPr bwMode="auto">
                    <a:xfrm>
                      <a:off x="0" y="0"/>
                      <a:ext cx="6410325" cy="122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spacing w:after="0"/>
        <w:tabs>
          <w:tab w:leader="none" w:pos="4320" w:val="left"/>
          <w:tab w:leader="none" w:pos="8220" w:val="left"/>
        </w:tabs>
        <w:rPr>
          <w:sz w:val="20"/>
          <w:szCs w:val="20"/>
          <w:color w:val="auto"/>
        </w:rPr>
      </w:pPr>
      <w:r>
        <w:rPr>
          <w:rFonts w:ascii="Arial" w:cs="Arial" w:eastAsia="Arial" w:hAnsi="Arial"/>
          <w:sz w:val="18"/>
          <w:szCs w:val="18"/>
          <w:color w:val="FFFFFF"/>
        </w:rPr>
        <w:t>DUBAI</w:t>
      </w:r>
      <w:r>
        <w:rPr>
          <w:sz w:val="20"/>
          <w:szCs w:val="20"/>
          <w:color w:val="auto"/>
        </w:rPr>
        <w:tab/>
      </w:r>
      <w:r>
        <w:rPr>
          <w:rFonts w:ascii="Arial" w:cs="Arial" w:eastAsia="Arial" w:hAnsi="Arial"/>
          <w:sz w:val="18"/>
          <w:szCs w:val="18"/>
          <w:color w:val="FFFFFF"/>
        </w:rPr>
        <w:t>NETHERLANDS</w:t>
      </w:r>
      <w:r>
        <w:rPr>
          <w:sz w:val="20"/>
          <w:szCs w:val="20"/>
          <w:color w:val="auto"/>
        </w:rPr>
        <w:tab/>
      </w:r>
      <w:r>
        <w:rPr>
          <w:rFonts w:ascii="Arial" w:cs="Arial" w:eastAsia="Arial" w:hAnsi="Arial"/>
          <w:sz w:val="17"/>
          <w:szCs w:val="17"/>
          <w:color w:val="FFFFFF"/>
        </w:rPr>
        <w:t>PUNE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191135</wp:posOffset>
            </wp:positionV>
            <wp:extent cx="4227195" cy="12274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
                      <a:extLst>
                        <a:ext uri="{28A0092B-C50C-407E-A947-70E740481C1C}"/>
                      </a:extLst>
                    </a:blip>
                    <a:srcRect/>
                    <a:stretch>
                      <a:fillRect/>
                    </a:stretch>
                  </pic:blipFill>
                  <pic:spPr bwMode="auto">
                    <a:xfrm>
                      <a:off x="0" y="0"/>
                      <a:ext cx="4227195" cy="122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760"/>
        <w:spacing w:after="0"/>
        <w:tabs>
          <w:tab w:leader="none" w:pos="6240" w:val="left"/>
        </w:tabs>
        <w:rPr>
          <w:sz w:val="20"/>
          <w:szCs w:val="20"/>
          <w:color w:val="auto"/>
        </w:rPr>
      </w:pPr>
      <w:r>
        <w:rPr>
          <w:rFonts w:ascii="Arial" w:cs="Arial" w:eastAsia="Arial" w:hAnsi="Arial"/>
          <w:sz w:val="18"/>
          <w:szCs w:val="18"/>
          <w:color w:val="FFFFFF"/>
        </w:rPr>
        <w:t>SINGAPORE</w:t>
      </w:r>
      <w:r>
        <w:rPr>
          <w:sz w:val="20"/>
          <w:szCs w:val="20"/>
          <w:color w:val="auto"/>
        </w:rPr>
        <w:tab/>
      </w:r>
      <w:r>
        <w:rPr>
          <w:rFonts w:ascii="Arial" w:cs="Arial" w:eastAsia="Arial" w:hAnsi="Arial"/>
          <w:sz w:val="18"/>
          <w:szCs w:val="18"/>
          <w:color w:val="FFFFFF"/>
        </w:rPr>
        <w:t>SHANGHAI</w:t>
      </w:r>
    </w:p>
    <w:p>
      <w:pPr>
        <w:sectPr>
          <w:pgSz w:w="11880" w:h="15480" w:orient="portrait"/>
          <w:cols w:equalWidth="0" w:num="1">
            <w:col w:w="9920"/>
          </w:cols>
          <w:pgMar w:left="900" w:top="1440" w:right="1060" w:bottom="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12 </w:t>
      </w:r>
      <w:r>
        <w:rPr>
          <w:rFonts w:ascii="Arial" w:cs="Arial" w:eastAsia="Arial" w:hAnsi="Arial"/>
          <w:sz w:val="16"/>
          <w:szCs w:val="16"/>
          <w:color w:val="666666"/>
        </w:rPr>
        <w:t>CECO Environmental | 2025 Annual Report</w:t>
      </w:r>
    </w:p>
    <w:p>
      <w:pPr>
        <w:sectPr>
          <w:pgSz w:w="11880" w:h="15480" w:orient="portrait"/>
          <w:cols w:equalWidth="0" w:num="1">
            <w:col w:w="9920"/>
          </w:cols>
          <w:pgMar w:left="900" w:top="1440" w:right="1060" w:bottom="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mc:AlternateContent>
          <mc:Choice Requires="wps">
            <w:drawing>
              <wp:anchor simplePos="0" relativeHeight="251657728" behindDoc="1" locked="0" layoutInCell="0" allowOverlap="1">
                <wp:simplePos x="0" y="0"/>
                <wp:positionH relativeFrom="page">
                  <wp:posOffset>377190</wp:posOffset>
                </wp:positionH>
                <wp:positionV relativeFrom="page">
                  <wp:posOffset>434340</wp:posOffset>
                </wp:positionV>
                <wp:extent cx="678942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9420" cy="4763"/>
                        </a:xfrm>
                        <a:prstGeom prst="line">
                          <a:avLst/>
                        </a:prstGeom>
                        <a:solidFill>
                          <a:srgbClr val="FFFFFF"/>
                        </a:solidFill>
                        <a:ln w="9429">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7pt,34.2pt" to="564.3pt,34.2pt" o:allowincell="f" strokecolor="#000000" strokeweight="0.7424pt">
                <w10:wrap anchorx="page" anchory="page"/>
              </v:line>
            </w:pict>
          </mc:Fallback>
        </mc:AlternateContent>
        <mc:AlternateContent>
          <mc:Choice Requires="wps">
            <w:drawing>
              <wp:anchor simplePos="0" relativeHeight="251657728" behindDoc="1" locked="0" layoutInCell="0" allowOverlap="1">
                <wp:simplePos x="0" y="0"/>
                <wp:positionH relativeFrom="page">
                  <wp:posOffset>377190</wp:posOffset>
                </wp:positionH>
                <wp:positionV relativeFrom="page">
                  <wp:posOffset>453390</wp:posOffset>
                </wp:positionV>
                <wp:extent cx="678942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9420" cy="4763"/>
                        </a:xfrm>
                        <a:prstGeom prst="line">
                          <a:avLst/>
                        </a:prstGeom>
                        <a:solidFill>
                          <a:srgbClr val="FFFFFF"/>
                        </a:solidFill>
                        <a:ln w="9429">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7pt,35.7pt" to="564.3pt,35.7pt" o:allowincell="f" strokecolor="#000000" strokeweight="0.7424pt">
                <w10:wrap anchorx="page" anchory="page"/>
              </v:line>
            </w:pict>
          </mc:Fallback>
        </mc:AlternateContent>
        <w:t>UNITED STATES</w:t>
      </w:r>
    </w:p>
    <w:p>
      <w:pPr>
        <w:jc w:val="center"/>
        <w:spacing w:after="0" w:line="237"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2711450</wp:posOffset>
                </wp:positionH>
                <wp:positionV relativeFrom="paragraph">
                  <wp:posOffset>160655</wp:posOffset>
                </wp:positionV>
                <wp:extent cx="135826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26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12.65pt" to="320.45pt,12.65pt" o:allowincell="f" strokecolor="#000000" strokeweight="0.495pt"/>
            </w:pict>
          </mc:Fallback>
        </mc:AlternateConten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2711450</wp:posOffset>
                </wp:positionH>
                <wp:positionV relativeFrom="paragraph">
                  <wp:posOffset>64135</wp:posOffset>
                </wp:positionV>
                <wp:extent cx="135826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26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5.05pt" to="320.45pt,5.05pt" o:allowincell="f" strokecolor="#000000" strokeweight="0.495pt"/>
            </w:pict>
          </mc:Fallback>
        </mc:AlternateConten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2" w:lineRule="exact"/>
        <w:rPr>
          <w:sz w:val="20"/>
          <w:szCs w:val="20"/>
          <w:color w:val="auto"/>
        </w:rPr>
      </w:pPr>
    </w:p>
    <w:p>
      <w:pPr>
        <w:ind w:left="2600" w:hanging="302"/>
        <w:spacing w:after="0"/>
        <w:tabs>
          <w:tab w:leader="none" w:pos="2600" w:val="left"/>
        </w:tabs>
        <w:numPr>
          <w:ilvl w:val="0"/>
          <w:numId w:val="7"/>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 w:lineRule="exact"/>
        <w:rPr>
          <w:sz w:val="20"/>
          <w:szCs w:val="20"/>
          <w:color w:val="auto"/>
        </w:rPr>
      </w:pPr>
    </w:p>
    <w:p>
      <w:pPr>
        <w:ind w:left="2480" w:hanging="288"/>
        <w:spacing w:after="0"/>
        <w:tabs>
          <w:tab w:leader="none" w:pos="2480" w:val="left"/>
        </w:tabs>
        <w:numPr>
          <w:ilvl w:val="0"/>
          <w:numId w:val="8"/>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1" w:lineRule="exact"/>
        <w:rPr>
          <w:sz w:val="20"/>
          <w:szCs w:val="20"/>
          <w:color w:val="auto"/>
        </w:rPr>
      </w:pPr>
    </w:p>
    <w:p>
      <w:pPr>
        <w:ind w:left="360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3662045</wp:posOffset>
                </wp:positionH>
                <wp:positionV relativeFrom="paragraph">
                  <wp:posOffset>13335</wp:posOffset>
                </wp:positionV>
                <wp:extent cx="54356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56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35pt,1.05pt" to="331.15pt,1.05pt" o:allowincell="f" strokecolor="#000000" strokeweight="0.495pt"/>
            </w:pict>
          </mc:Fallback>
        </mc:AlternateContent>
        <mc:AlternateContent>
          <mc:Choice Requires="wps">
            <w:drawing>
              <wp:anchor simplePos="0" relativeHeight="251657728" behindDoc="1" locked="0" layoutInCell="0" allowOverlap="1">
                <wp:simplePos x="0" y="0"/>
                <wp:positionH relativeFrom="column">
                  <wp:posOffset>4476750</wp:posOffset>
                </wp:positionH>
                <wp:positionV relativeFrom="paragraph">
                  <wp:posOffset>13335</wp:posOffset>
                </wp:positionV>
                <wp:extent cx="54356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56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5pt,1.05pt" to="395.3pt,1.05pt" o:allowincell="f" strokecolor="#000000" strokeweight="0.495pt"/>
            </w:pict>
          </mc:Fallback>
        </mc:AlternateConten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0-7099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2711450</wp:posOffset>
                </wp:positionH>
                <wp:positionV relativeFrom="paragraph">
                  <wp:posOffset>69850</wp:posOffset>
                </wp:positionV>
                <wp:extent cx="135826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26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5.5pt" to="320.45pt,5.5pt" o:allowincell="f" strokecolor="#000000" strokeweight="0.495pt"/>
            </w:pict>
          </mc:Fallback>
        </mc:AlternateConten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CECO ENVIRONMENTAL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2711450</wp:posOffset>
                </wp:positionH>
                <wp:positionV relativeFrom="paragraph">
                  <wp:posOffset>494665</wp:posOffset>
                </wp:positionV>
                <wp:extent cx="135826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26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38.95pt" to="320.45pt,38.95pt" o:allowincell="f" strokecolor="#000000" strokeweight="0.495pt"/>
            </w:pict>
          </mc:Fallback>
        </mc:AlternateContent>
        <w:drawing>
          <wp:anchor simplePos="0" relativeHeight="251657728" behindDoc="1" locked="0" layoutInCell="0" allowOverlap="1">
            <wp:simplePos x="0" y="0"/>
            <wp:positionH relativeFrom="column">
              <wp:posOffset>2983865</wp:posOffset>
            </wp:positionH>
            <wp:positionV relativeFrom="paragraph">
              <wp:posOffset>99060</wp:posOffset>
            </wp:positionV>
            <wp:extent cx="794385" cy="2133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4">
                      <a:extLst>
                        <a:ext uri="{28A0092B-C50C-407E-A947-70E740481C1C}"/>
                      </a:extLst>
                    </a:blip>
                    <a:srcRect/>
                    <a:stretch>
                      <a:fillRect/>
                    </a:stretch>
                  </pic:blipFill>
                  <pic:spPr bwMode="auto">
                    <a:xfrm>
                      <a:off x="0" y="0"/>
                      <a:ext cx="794385" cy="213360"/>
                    </a:xfrm>
                    <a:prstGeom prst="rect">
                      <a:avLst/>
                    </a:prstGeom>
                    <a:noFill/>
                  </pic:spPr>
                </pic:pic>
              </a:graphicData>
            </a:graphic>
          </wp:anchor>
        </w:drawing>
        <w:drawing>
          <wp:anchor simplePos="0" relativeHeight="251657728" behindDoc="1" locked="0" layoutInCell="0" allowOverlap="1">
            <wp:simplePos x="0" y="0"/>
            <wp:positionH relativeFrom="column">
              <wp:posOffset>2999105</wp:posOffset>
            </wp:positionH>
            <wp:positionV relativeFrom="paragraph">
              <wp:posOffset>343535</wp:posOffset>
            </wp:positionV>
            <wp:extent cx="771525" cy="61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5">
                      <a:extLst>
                        <a:ext uri="{28A0092B-C50C-407E-A947-70E740481C1C}"/>
                      </a:extLst>
                    </a:blip>
                    <a:srcRect/>
                    <a:stretch>
                      <a:fillRect/>
                    </a:stretch>
                  </pic:blipFill>
                  <pic:spPr bwMode="auto">
                    <a:xfrm>
                      <a:off x="0" y="0"/>
                      <a:ext cx="771525" cy="6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380" w:type="dxa"/>
            <w:vAlign w:val="bottom"/>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tcPr>
          <w:p>
            <w:pPr>
              <w:jc w:val="right"/>
              <w:ind w:right="1721"/>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82"/>
        </w:trPr>
        <w:tc>
          <w:tcPr>
            <w:tcW w:w="740" w:type="dxa"/>
            <w:vAlign w:val="bottom"/>
          </w:tcPr>
          <w:p>
            <w:pPr>
              <w:spacing w:after="0"/>
              <w:rPr>
                <w:sz w:val="15"/>
                <w:szCs w:val="15"/>
                <w:color w:val="auto"/>
              </w:rPr>
            </w:pPr>
          </w:p>
        </w:tc>
        <w:tc>
          <w:tcPr>
            <w:tcW w:w="3380" w:type="dxa"/>
            <w:vAlign w:val="bottom"/>
          </w:tcPr>
          <w:p>
            <w:pPr>
              <w:jc w:val="center"/>
              <w:ind w:left="281"/>
              <w:spacing w:after="0" w:line="181" w:lineRule="exact"/>
              <w:rPr>
                <w:sz w:val="20"/>
                <w:szCs w:val="20"/>
                <w:color w:val="auto"/>
              </w:rPr>
            </w:pPr>
            <w:r>
              <w:rPr>
                <w:rFonts w:ascii="Times New Roman" w:cs="Times New Roman" w:eastAsia="Times New Roman" w:hAnsi="Times New Roman"/>
                <w:sz w:val="16"/>
                <w:szCs w:val="16"/>
                <w:b w:val="1"/>
                <w:bCs w:val="1"/>
                <w:color w:val="auto"/>
                <w:w w:val="98"/>
              </w:rPr>
              <w:t>(State or other jurisdiction of</w:t>
            </w: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jc w:val="center"/>
              <w:ind w:right="1121"/>
              <w:spacing w:after="0" w:line="181"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7"/>
        </w:trPr>
        <w:tc>
          <w:tcPr>
            <w:tcW w:w="740" w:type="dxa"/>
            <w:vAlign w:val="bottom"/>
          </w:tcPr>
          <w:p>
            <w:pPr>
              <w:spacing w:after="0"/>
              <w:rPr>
                <w:sz w:val="18"/>
                <w:szCs w:val="18"/>
                <w:color w:val="auto"/>
              </w:rPr>
            </w:pPr>
          </w:p>
        </w:tc>
        <w:tc>
          <w:tcPr>
            <w:tcW w:w="3380" w:type="dxa"/>
            <w:vAlign w:val="bottom"/>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8"/>
              </w:rPr>
              <w:t>incorporation or organization)</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jc w:val="center"/>
              <w:ind w:right="1141"/>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215"/>
        </w:trPr>
        <w:tc>
          <w:tcPr>
            <w:tcW w:w="740" w:type="dxa"/>
            <w:vAlign w:val="bottom"/>
          </w:tcPr>
          <w:p>
            <w:pPr>
              <w:spacing w:after="0"/>
              <w:rPr>
                <w:sz w:val="18"/>
                <w:szCs w:val="18"/>
                <w:color w:val="auto"/>
              </w:rPr>
            </w:pPr>
          </w:p>
        </w:tc>
        <w:tc>
          <w:tcPr>
            <w:tcW w:w="3380" w:type="dxa"/>
            <w:vAlign w:val="bottom"/>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9"/>
              </w:rPr>
              <w:t>5080 Spectrum Drive</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182"/>
        </w:trPr>
        <w:tc>
          <w:tcPr>
            <w:tcW w:w="740" w:type="dxa"/>
            <w:vAlign w:val="bottom"/>
          </w:tcPr>
          <w:p>
            <w:pPr>
              <w:spacing w:after="0"/>
              <w:rPr>
                <w:sz w:val="15"/>
                <w:szCs w:val="15"/>
                <w:color w:val="auto"/>
              </w:rPr>
            </w:pPr>
          </w:p>
        </w:tc>
        <w:tc>
          <w:tcPr>
            <w:tcW w:w="3380" w:type="dxa"/>
            <w:vAlign w:val="bottom"/>
          </w:tcPr>
          <w:p>
            <w:pPr>
              <w:jc w:val="center"/>
              <w:ind w:left="301"/>
              <w:spacing w:after="0" w:line="182" w:lineRule="exact"/>
              <w:rPr>
                <w:sz w:val="20"/>
                <w:szCs w:val="20"/>
                <w:color w:val="auto"/>
              </w:rPr>
            </w:pPr>
            <w:r>
              <w:rPr>
                <w:rFonts w:ascii="Times New Roman" w:cs="Times New Roman" w:eastAsia="Times New Roman" w:hAnsi="Times New Roman"/>
                <w:sz w:val="16"/>
                <w:szCs w:val="16"/>
                <w:b w:val="1"/>
                <w:bCs w:val="1"/>
                <w:color w:val="auto"/>
                <w:w w:val="98"/>
              </w:rPr>
              <w:t>Suite 800E</w:t>
            </w: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380" w:type="dxa"/>
            <w:vAlign w:val="bottom"/>
          </w:tcPr>
          <w:p>
            <w:pPr>
              <w:jc w:val="center"/>
              <w:ind w:left="301"/>
              <w:spacing w:after="0" w:line="183" w:lineRule="exact"/>
              <w:rPr>
                <w:sz w:val="20"/>
                <w:szCs w:val="20"/>
                <w:color w:val="auto"/>
              </w:rPr>
            </w:pPr>
            <w:r>
              <w:rPr>
                <w:rFonts w:ascii="Times New Roman" w:cs="Times New Roman" w:eastAsia="Times New Roman" w:hAnsi="Times New Roman"/>
                <w:sz w:val="16"/>
                <w:szCs w:val="16"/>
                <w:b w:val="1"/>
                <w:bCs w:val="1"/>
                <w:color w:val="auto"/>
                <w:w w:val="99"/>
              </w:rPr>
              <w:t>Addison, Texas</w:t>
            </w: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jc w:val="right"/>
              <w:ind w:right="1901"/>
              <w:spacing w:after="0" w:line="183" w:lineRule="exact"/>
              <w:rPr>
                <w:sz w:val="20"/>
                <w:szCs w:val="20"/>
                <w:color w:val="auto"/>
              </w:rPr>
            </w:pPr>
            <w:r>
              <w:rPr>
                <w:rFonts w:ascii="Times New Roman" w:cs="Times New Roman" w:eastAsia="Times New Roman" w:hAnsi="Times New Roman"/>
                <w:sz w:val="16"/>
                <w:szCs w:val="16"/>
                <w:b w:val="1"/>
                <w:bCs w:val="1"/>
                <w:color w:val="auto"/>
              </w:rPr>
              <w:t>75001</w:t>
            </w:r>
          </w:p>
        </w:tc>
      </w:tr>
      <w:tr>
        <w:trPr>
          <w:trHeight w:val="217"/>
        </w:trPr>
        <w:tc>
          <w:tcPr>
            <w:tcW w:w="740" w:type="dxa"/>
            <w:vAlign w:val="bottom"/>
          </w:tcPr>
          <w:p>
            <w:pPr>
              <w:spacing w:after="0"/>
              <w:rPr>
                <w:sz w:val="18"/>
                <w:szCs w:val="18"/>
                <w:color w:val="auto"/>
              </w:rPr>
            </w:pPr>
          </w:p>
        </w:tc>
        <w:tc>
          <w:tcPr>
            <w:tcW w:w="3380" w:type="dxa"/>
            <w:vAlign w:val="bottom"/>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Pr>
          <w:p>
            <w:pPr>
              <w:jc w:val="center"/>
              <w:ind w:right="1121"/>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42"/>
        </w:trPr>
        <w:tc>
          <w:tcPr>
            <w:tcW w:w="740" w:type="dxa"/>
            <w:vAlign w:val="bottom"/>
          </w:tcPr>
          <w:p>
            <w:pPr>
              <w:spacing w:after="0"/>
              <w:rPr>
                <w:sz w:val="21"/>
                <w:szCs w:val="21"/>
                <w:color w:val="auto"/>
              </w:rPr>
            </w:pPr>
          </w:p>
        </w:tc>
        <w:tc>
          <w:tcPr>
            <w:tcW w:w="9500" w:type="dxa"/>
            <w:vAlign w:val="bottom"/>
            <w:gridSpan w:val="4"/>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 (214) 357-6181</w:t>
            </w:r>
          </w:p>
        </w:tc>
      </w:tr>
      <w:tr>
        <w:trPr>
          <w:trHeight w:val="226"/>
        </w:trPr>
        <w:tc>
          <w:tcPr>
            <w:tcW w:w="740" w:type="dxa"/>
            <w:vAlign w:val="bottom"/>
          </w:tcPr>
          <w:p>
            <w:pPr>
              <w:spacing w:after="0"/>
              <w:rPr>
                <w:sz w:val="19"/>
                <w:szCs w:val="19"/>
                <w:color w:val="auto"/>
              </w:rPr>
            </w:pPr>
          </w:p>
        </w:tc>
        <w:tc>
          <w:tcPr>
            <w:tcW w:w="6360" w:type="dxa"/>
            <w:vAlign w:val="bottom"/>
            <w:tcBorders>
              <w:bottom w:val="single" w:sz="8" w:color="auto"/>
            </w:tcBorders>
            <w:gridSpan w:val="3"/>
          </w:tcPr>
          <w:p>
            <w:pPr>
              <w:jc w:val="center"/>
              <w:ind w:left="2761"/>
              <w:spacing w:after="0"/>
              <w:rPr>
                <w:sz w:val="20"/>
                <w:szCs w:val="20"/>
                <w:color w:val="auto"/>
              </w:rPr>
            </w:pPr>
            <w:r>
              <w:rPr>
                <w:rFonts w:ascii="Times New Roman" w:cs="Times New Roman" w:eastAsia="Times New Roman" w:hAnsi="Times New Roman"/>
                <w:sz w:val="16"/>
                <w:szCs w:val="16"/>
                <w:b w:val="1"/>
                <w:bCs w:val="1"/>
                <w:color w:val="auto"/>
                <w:w w:val="98"/>
              </w:rPr>
              <w:t>Securities registered under Section 12(b) of the Act:</w:t>
            </w:r>
          </w:p>
        </w:tc>
        <w:tc>
          <w:tcPr>
            <w:tcW w:w="3140" w:type="dxa"/>
            <w:vAlign w:val="bottom"/>
            <w:tcBorders>
              <w:bottom w:val="single" w:sz="8" w:color="auto"/>
            </w:tcBorders>
          </w:tcPr>
          <w:p>
            <w:pPr>
              <w:spacing w:after="0"/>
              <w:rPr>
                <w:sz w:val="19"/>
                <w:szCs w:val="19"/>
                <w:color w:val="auto"/>
              </w:rPr>
            </w:pPr>
          </w:p>
        </w:tc>
      </w:tr>
      <w:tr>
        <w:trPr>
          <w:trHeight w:val="226"/>
        </w:trPr>
        <w:tc>
          <w:tcPr>
            <w:tcW w:w="740" w:type="dxa"/>
            <w:vAlign w:val="bottom"/>
            <w:tcBorders>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13"/>
        </w:trPr>
        <w:tc>
          <w:tcPr>
            <w:tcW w:w="74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$0.01 per share</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CECO</w:t>
            </w:r>
          </w:p>
        </w:tc>
        <w:tc>
          <w:tcPr>
            <w:tcW w:w="320" w:type="dxa"/>
            <w:vAlign w:val="bottom"/>
          </w:tcPr>
          <w:p>
            <w:pPr>
              <w:spacing w:after="0"/>
              <w:rPr>
                <w:sz w:val="18"/>
                <w:szCs w:val="18"/>
                <w:color w:val="auto"/>
              </w:rPr>
            </w:pPr>
          </w:p>
        </w:tc>
        <w:tc>
          <w:tcPr>
            <w:tcW w:w="3140" w:type="dxa"/>
            <w:vAlign w:val="bottom"/>
            <w:tcBorders>
              <w:right w:val="single" w:sz="8" w:color="auto"/>
            </w:tcBorders>
          </w:tcPr>
          <w:p>
            <w:pPr>
              <w:jc w:val="center"/>
              <w:ind w:right="241"/>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r>
        <w:trPr>
          <w:trHeight w:val="58"/>
        </w:trPr>
        <w:tc>
          <w:tcPr>
            <w:tcW w:w="740" w:type="dxa"/>
            <w:vAlign w:val="bottom"/>
            <w:tcBorders>
              <w:right w:val="single" w:sz="8" w:color="auto"/>
            </w:tcBorders>
          </w:tcPr>
          <w:p>
            <w:pPr>
              <w:spacing w:after="0"/>
              <w:rPr>
                <w:sz w:val="5"/>
                <w:szCs w:val="5"/>
                <w:color w:val="auto"/>
              </w:rPr>
            </w:pPr>
          </w:p>
        </w:tc>
        <w:tc>
          <w:tcPr>
            <w:tcW w:w="338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3460" w:type="dxa"/>
            <w:vAlign w:val="bottom"/>
            <w:tcBorders>
              <w:bottom w:val="single" w:sz="8" w:color="auto"/>
              <w:right w:val="single" w:sz="8" w:color="auto"/>
            </w:tcBorders>
            <w:gridSpan w:val="2"/>
          </w:tcPr>
          <w:p>
            <w:pPr>
              <w:spacing w:after="0"/>
              <w:rPr>
                <w:sz w:val="5"/>
                <w:szCs w:val="5"/>
                <w:color w:val="auto"/>
              </w:rPr>
            </w:pPr>
          </w:p>
        </w:tc>
      </w:tr>
      <w:tr>
        <w:trPr>
          <w:trHeight w:val="222"/>
        </w:trPr>
        <w:tc>
          <w:tcPr>
            <w:tcW w:w="740" w:type="dxa"/>
            <w:vAlign w:val="bottom"/>
          </w:tcPr>
          <w:p>
            <w:pPr>
              <w:spacing w:after="0"/>
              <w:rPr>
                <w:sz w:val="19"/>
                <w:szCs w:val="19"/>
                <w:color w:val="auto"/>
              </w:rPr>
            </w:pPr>
          </w:p>
        </w:tc>
        <w:tc>
          <w:tcPr>
            <w:tcW w:w="9500" w:type="dxa"/>
            <w:vAlign w:val="bottom"/>
            <w:gridSpan w:val="4"/>
          </w:tcPr>
          <w:p>
            <w:pPr>
              <w:ind w:left="2960"/>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tc>
      </w:tr>
      <w:tr>
        <w:trPr>
          <w:trHeight w:val="198"/>
        </w:trPr>
        <w:tc>
          <w:tcPr>
            <w:tcW w:w="10240" w:type="dxa"/>
            <w:vAlign w:val="bottom"/>
            <w:gridSpan w:val="5"/>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r>
        <w:trPr>
          <w:trHeight w:val="241"/>
        </w:trPr>
        <w:tc>
          <w:tcPr>
            <w:tcW w:w="7100" w:type="dxa"/>
            <w:vAlign w:val="bottom"/>
            <w:gridSpan w:val="4"/>
          </w:tcPr>
          <w:p>
            <w:pPr>
              <w:spacing w:after="0"/>
              <w:rPr>
                <w:sz w:val="20"/>
                <w:szCs w:val="20"/>
                <w:color w:val="auto"/>
              </w:rPr>
            </w:pPr>
            <w:r>
              <w:rPr>
                <w:rFonts w:ascii="Times New Roman" w:cs="Times New Roman" w:eastAsia="Times New Roman" w:hAnsi="Times New Roman"/>
                <w:sz w:val="15"/>
                <w:szCs w:val="15"/>
                <w:color w:val="auto"/>
                <w:w w:val="98"/>
              </w:rPr>
              <w:t>Indicate by check mark if the registrant is not required to file reports pursuant to Section 13 or Section 15(d) of the Act.</w:t>
            </w:r>
          </w:p>
        </w:tc>
        <w:tc>
          <w:tcPr>
            <w:tcW w:w="3140" w:type="dxa"/>
            <w:vAlign w:val="bottom"/>
          </w:tcPr>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17" w:lineRule="exact"/>
        <w:rPr>
          <w:sz w:val="20"/>
          <w:szCs w:val="20"/>
          <w:color w:val="auto"/>
        </w:rPr>
      </w:pPr>
    </w:p>
    <w:p>
      <w:pPr>
        <w:ind w:right="8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 w:lineRule="exact"/>
        <w:rPr>
          <w:sz w:val="20"/>
          <w:szCs w:val="20"/>
          <w:color w:val="auto"/>
        </w:rPr>
      </w:pPr>
    </w:p>
    <w:p>
      <w:pPr>
        <w:ind w:right="80"/>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8"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28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28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28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17" w:lineRule="exact"/>
        <w:rPr>
          <w:sz w:val="20"/>
          <w:szCs w:val="20"/>
          <w:color w:val="auto"/>
        </w:rPr>
      </w:pPr>
    </w:p>
    <w:p>
      <w:pPr>
        <w:ind w:right="360"/>
        <w:spacing w:after="0" w:line="20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8" w:lineRule="exact"/>
        <w:rPr>
          <w:sz w:val="20"/>
          <w:szCs w:val="20"/>
          <w:color w:val="auto"/>
        </w:rPr>
      </w:pPr>
    </w:p>
    <w:p>
      <w:pPr>
        <w:ind w:right="20"/>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8" w:lineRule="exact"/>
        <w:rPr>
          <w:sz w:val="20"/>
          <w:szCs w:val="20"/>
          <w:color w:val="auto"/>
        </w:rPr>
      </w:pPr>
    </w:p>
    <w:p>
      <w:pPr>
        <w:ind w:right="40"/>
        <w:spacing w:after="0" w:line="20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8"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 w:lineRule="exact"/>
        <w:rPr>
          <w:sz w:val="20"/>
          <w:szCs w:val="20"/>
          <w:color w:val="auto"/>
        </w:rPr>
      </w:pPr>
    </w:p>
    <w:p>
      <w:pPr>
        <w:spacing w:after="0" w:line="173" w:lineRule="exact"/>
        <w:tabs>
          <w:tab w:leader="none" w:pos="746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8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The aggregate market value of voting and non-voting common stock held by non-affiliates of the registrant was $832.7 million based upon the closing market price and shares of common stock outstanding as of June 28, 2025,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As of February 18, 2026, the registrant had 35,665,813 shares of common stock, par value $0.01 per share, outstanding.</w:t>
      </w:r>
    </w:p>
    <w:p>
      <w:pPr>
        <w:spacing w:after="0" w:line="5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0" w:lineRule="exact"/>
        <w:rPr>
          <w:sz w:val="20"/>
          <w:szCs w:val="20"/>
          <w:color w:val="auto"/>
        </w:rPr>
      </w:pPr>
    </w:p>
    <w:p>
      <w:pPr>
        <w:ind w:right="260" w:firstLine="485"/>
        <w:spacing w:after="0" w:line="273" w:lineRule="auto"/>
        <w:rPr>
          <w:sz w:val="20"/>
          <w:szCs w:val="20"/>
          <w:color w:val="auto"/>
        </w:rPr>
      </w:pPr>
      <w:r>
        <w:rPr>
          <w:rFonts w:ascii="Times New Roman" w:cs="Times New Roman" w:eastAsia="Times New Roman" w:hAnsi="Times New Roman"/>
          <w:sz w:val="15"/>
          <w:szCs w:val="15"/>
          <w:color w:val="auto"/>
        </w:rPr>
        <w:t>Portions of the definitive Proxy Statement for the 2026 Annual Meeting of Stockholders, which is to be filed with the Securities and Exchange Commission within 120 days of the fiscal year ended December 31, 2025, are incorporated by reference into Part III of this Annual Report to the extent described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66675</wp:posOffset>
                </wp:positionV>
                <wp:extent cx="678942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9420" cy="4763"/>
                        </a:xfrm>
                        <a:prstGeom prst="line">
                          <a:avLst/>
                        </a:prstGeom>
                        <a:solidFill>
                          <a:srgbClr val="FFFFFF"/>
                        </a:solidFill>
                        <a:ln w="9429">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5.25pt" to="534.3pt,5.25pt" o:allowincell="f" strokecolor="#000000" strokeweight="0.7424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85725</wp:posOffset>
                </wp:positionV>
                <wp:extent cx="678942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9420" cy="4763"/>
                        </a:xfrm>
                        <a:prstGeom prst="line">
                          <a:avLst/>
                        </a:prstGeom>
                        <a:solidFill>
                          <a:srgbClr val="FFFFFF"/>
                        </a:solidFill>
                        <a:ln w="9429">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6.75pt" to="534.3pt,6.75pt" o:allowincell="f" strokecolor="#000000" strokeweight="0.7424pt"/>
            </w:pict>
          </mc:Fallback>
        </mc:AlternateContent>
      </w:r>
    </w:p>
    <w:p>
      <w:pPr>
        <w:sectPr>
          <w:pgSz w:w="11880" w:h="15480" w:orient="portrait"/>
          <w:cols w:equalWidth="0" w:num="1">
            <w:col w:w="10680"/>
          </w:cols>
          <w:pgMar w:left="600" w:top="752" w:right="600" w:bottom="696" w:gutter="0" w:footer="0" w:header="0"/>
        </w:sectPr>
      </w:pPr>
    </w:p>
    <w:bookmarkStart w:id="15" w:name="page16"/>
    <w:bookmarkEnd w:id="15"/>
    <w:p>
      <w:pPr>
        <w:ind w:left="412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ind w:left="3820"/>
        <w:spacing w:after="0" w:line="238" w:lineRule="auto"/>
        <w:rPr>
          <w:sz w:val="20"/>
          <w:szCs w:val="20"/>
          <w:color w:val="auto"/>
        </w:rPr>
      </w:pPr>
      <w:r>
        <w:rPr>
          <w:rFonts w:ascii="Times New Roman" w:cs="Times New Roman" w:eastAsia="Times New Roman" w:hAnsi="Times New Roman"/>
          <w:sz w:val="20"/>
          <w:szCs w:val="20"/>
          <w:color w:val="auto"/>
        </w:rPr>
        <w:t>ANNUAL REPORT ON FORM 10-K</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For the year ended December 31, 2025</w:t>
      </w:r>
    </w:p>
    <w:p>
      <w:pPr>
        <w:spacing w:after="0" w:line="11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2" w:lineRule="exact"/>
        <w:rPr>
          <w:sz w:val="20"/>
          <w:szCs w:val="20"/>
          <w:color w:val="auto"/>
        </w:rPr>
      </w:pPr>
    </w:p>
    <w:p>
      <w:pPr>
        <w:spacing w:after="0"/>
        <w:tabs>
          <w:tab w:leader="none" w:pos="2240" w:val="left"/>
          <w:tab w:leader="none" w:pos="10240" w:val="left"/>
        </w:tabs>
        <w:rPr>
          <w:sz w:val="20"/>
          <w:szCs w:val="20"/>
          <w:color w:val="auto"/>
        </w:rPr>
      </w:pPr>
      <w:r>
        <w:rPr>
          <w:rFonts w:ascii="Times New Roman" w:cs="Times New Roman" w:eastAsia="Times New Roman" w:hAnsi="Times New Roman"/>
          <w:sz w:val="16"/>
          <w:szCs w:val="16"/>
          <w:b w:val="1"/>
          <w:bCs w:val="1"/>
          <w:color w:val="auto"/>
        </w:rPr>
        <w:t>Item</w:t>
      </w:r>
      <w:r>
        <w:rPr>
          <w:sz w:val="20"/>
          <w:szCs w:val="20"/>
          <w:color w:val="auto"/>
        </w:rPr>
        <w:tab/>
      </w: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5"/>
          <w:szCs w:val="15"/>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13335</wp:posOffset>
                </wp:positionV>
                <wp:extent cx="128968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68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05pt" to="101.25pt,1.05pt" o:allowincell="f" strokecolor="#000000" strokeweight="0.495pt"/>
            </w:pict>
          </mc:Fallback>
        </mc:AlternateContent>
        <mc:AlternateContent>
          <mc:Choice Requires="wps">
            <w:drawing>
              <wp:anchor simplePos="0" relativeHeight="251657728" behindDoc="1" locked="0" layoutInCell="0" allowOverlap="1">
                <wp:simplePos x="0" y="0"/>
                <wp:positionH relativeFrom="column">
                  <wp:posOffset>1285875</wp:posOffset>
                </wp:positionH>
                <wp:positionV relativeFrom="paragraph">
                  <wp:posOffset>13335</wp:posOffset>
                </wp:positionV>
                <wp:extent cx="1504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49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25pt,1.05pt" to="113.1pt,1.05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1436370</wp:posOffset>
                </wp:positionH>
                <wp:positionV relativeFrom="paragraph">
                  <wp:posOffset>13335</wp:posOffset>
                </wp:positionV>
                <wp:extent cx="49498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982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1pt,1.05pt" to="502.85pt,1.05pt" o:allowincell="f" strokecolor="#000000" strokeweight="0.495pt"/>
            </w:pict>
          </mc:Fallback>
        </mc:AlternateContent>
        <mc:AlternateContent>
          <mc:Choice Requires="wps">
            <w:drawing>
              <wp:anchor simplePos="0" relativeHeight="251657728" behindDoc="1" locked="0" layoutInCell="0" allowOverlap="1">
                <wp:simplePos x="0" y="0"/>
                <wp:positionH relativeFrom="column">
                  <wp:posOffset>6386195</wp:posOffset>
                </wp:positionH>
                <wp:positionV relativeFrom="paragraph">
                  <wp:posOffset>13335</wp:posOffset>
                </wp:positionV>
                <wp:extent cx="6921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85pt,1.05pt" to="508.3pt,1.05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6455410</wp:posOffset>
                </wp:positionH>
                <wp:positionV relativeFrom="paragraph">
                  <wp:posOffset>13335</wp:posOffset>
                </wp:positionV>
                <wp:extent cx="3302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8.3pt,1.05pt" to="534.3pt,1.05pt" o:allowincell="f" strokecolor="#000000" strokeweight="0.495pt"/>
            </w:pict>
          </mc:Fallback>
        </mc:AlternateConten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w:t>
      </w:r>
    </w:p>
    <w:p>
      <w:pPr>
        <w:spacing w:after="0" w:line="118" w:lineRule="exact"/>
        <w:rPr>
          <w:sz w:val="20"/>
          <w:szCs w:val="20"/>
          <w:color w:val="auto"/>
        </w:rPr>
      </w:pPr>
    </w:p>
    <w:p>
      <w:pPr>
        <w:spacing w:after="0"/>
        <w:tabs>
          <w:tab w:leader="none" w:pos="2240" w:val="left"/>
          <w:tab w:leader="dot" w:pos="105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3</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11</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23</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w:t>
      </w:r>
      <w:r>
        <w:rPr>
          <w:sz w:val="20"/>
          <w:szCs w:val="20"/>
          <w:color w:val="auto"/>
        </w:rPr>
        <w:tab/>
      </w:r>
      <w:r>
        <w:rPr>
          <w:rFonts w:ascii="Times New Roman" w:cs="Times New Roman" w:eastAsia="Times New Roman" w:hAnsi="Times New Roman"/>
          <w:sz w:val="20"/>
          <w:szCs w:val="20"/>
          <w:color w:val="auto"/>
        </w:rPr>
        <w:t>23</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24</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24</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w:t>
      </w:r>
    </w:p>
    <w:p>
      <w:pPr>
        <w:spacing w:after="0" w:line="13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the Registrant’s Common Equity, Related Stockholder Matters and Issuer Purchases of</w:t>
      </w:r>
    </w:p>
    <w:p>
      <w:pPr>
        <w:jc w:val="right"/>
        <w:spacing w:after="0"/>
        <w:tabs>
          <w:tab w:leader="dot" w:pos="18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26</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27</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28</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40</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40</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82</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82</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86</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86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III.</w:t>
      </w:r>
    </w:p>
    <w:p>
      <w:pPr>
        <w:spacing w:after="0" w:line="133"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87</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87</w:t>
      </w:r>
    </w:p>
    <w:p>
      <w:pPr>
        <w:spacing w:after="0" w:line="132"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w:t>
      </w:r>
    </w:p>
    <w:p>
      <w:pPr>
        <w:jc w:val="right"/>
        <w:spacing w:after="0"/>
        <w:tabs>
          <w:tab w:leader="dot" w:pos="180" w:val="left"/>
        </w:tabs>
        <w:rPr>
          <w:sz w:val="20"/>
          <w:szCs w:val="20"/>
          <w:color w:val="auto"/>
        </w:rPr>
      </w:pPr>
      <w:r>
        <w:rPr>
          <w:rFonts w:ascii="Times New Roman" w:cs="Times New Roman" w:eastAsia="Times New Roman" w:hAnsi="Times New Roman"/>
          <w:sz w:val="20"/>
          <w:szCs w:val="20"/>
          <w:color w:val="auto"/>
        </w:rPr>
        <w:t>Matters</w:t>
      </w:r>
      <w:r>
        <w:rPr>
          <w:sz w:val="20"/>
          <w:szCs w:val="20"/>
          <w:color w:val="auto"/>
        </w:rPr>
        <w:tab/>
      </w:r>
      <w:r>
        <w:rPr>
          <w:rFonts w:ascii="Times New Roman" w:cs="Times New Roman" w:eastAsia="Times New Roman" w:hAnsi="Times New Roman"/>
          <w:sz w:val="20"/>
          <w:szCs w:val="20"/>
          <w:color w:val="auto"/>
        </w:rPr>
        <w:t>87</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88</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w:t>
      </w:r>
      <w:r>
        <w:rPr>
          <w:sz w:val="20"/>
          <w:szCs w:val="20"/>
          <w:color w:val="auto"/>
        </w:rPr>
        <w:tab/>
      </w:r>
      <w:r>
        <w:rPr>
          <w:rFonts w:ascii="Times New Roman" w:cs="Times New Roman" w:eastAsia="Times New Roman" w:hAnsi="Times New Roman"/>
          <w:sz w:val="20"/>
          <w:szCs w:val="20"/>
          <w:color w:val="auto"/>
        </w:rPr>
        <w:t>88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IV.</w:t>
      </w:r>
    </w:p>
    <w:p>
      <w:pPr>
        <w:spacing w:after="0" w:line="133"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89</w:t>
      </w:r>
    </w:p>
    <w:p>
      <w:pPr>
        <w:spacing w:after="0" w:line="134" w:lineRule="exact"/>
        <w:rPr>
          <w:sz w:val="20"/>
          <w:szCs w:val="20"/>
          <w:color w:val="auto"/>
        </w:rPr>
      </w:pPr>
    </w:p>
    <w:p>
      <w:pPr>
        <w:spacing w:after="0"/>
        <w:tabs>
          <w:tab w:leader="none" w:pos="2240" w:val="left"/>
          <w:tab w:leader="dot" w:pos="1046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92</w:t>
      </w:r>
    </w:p>
    <w:p>
      <w:pPr>
        <w:spacing w:after="0" w:line="134"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93</w:t>
      </w:r>
    </w:p>
    <w:p>
      <w:pPr>
        <w:sectPr>
          <w:pgSz w:w="11880" w:h="15480" w:orient="portrait"/>
          <w:cols w:equalWidth="0" w:num="1">
            <w:col w:w="10680"/>
          </w:cols>
          <w:pgMar w:left="600" w:top="815" w:right="60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216" w:lineRule="exact"/>
        <w:rPr>
          <w:sz w:val="20"/>
          <w:szCs w:val="20"/>
          <w:color w:val="auto"/>
        </w:rPr>
      </w:pPr>
    </w:p>
    <w:p>
      <w:pPr>
        <w:ind w:left="700" w:right="40" w:hanging="350"/>
        <w:spacing w:after="0" w:line="242"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recent acquisitions and the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98" w:lineRule="exact"/>
        <w:rPr>
          <w:rFonts w:ascii="Arial" w:cs="Arial" w:eastAsia="Arial" w:hAnsi="Arial"/>
          <w:sz w:val="20"/>
          <w:szCs w:val="20"/>
          <w:color w:val="auto"/>
        </w:rPr>
      </w:pPr>
    </w:p>
    <w:p>
      <w:pPr>
        <w:ind w:left="700" w:right="60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dependence on fixed price contracts and the risks associated therewith, including actual costs exceeding estimates and method of accounting for revenue;</w:t>
      </w:r>
    </w:p>
    <w:p>
      <w:pPr>
        <w:spacing w:after="0" w:line="62"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growth on our infrastructure, resources and existing sales;</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expand operations in both new and existing markets;</w:t>
      </w:r>
    </w:p>
    <w:p>
      <w:pPr>
        <w:spacing w:after="0" w:line="129" w:lineRule="exact"/>
        <w:rPr>
          <w:rFonts w:ascii="Arial" w:cs="Arial" w:eastAsia="Arial" w:hAnsi="Arial"/>
          <w:sz w:val="20"/>
          <w:szCs w:val="20"/>
          <w:color w:val="auto"/>
        </w:rPr>
      </w:pPr>
    </w:p>
    <w:p>
      <w:pPr>
        <w:ind w:left="700" w:right="74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contract delay or cancellation as a result of on-going or worsening supply chain challenges, or other customer-driven project delays relating to supply chain challenges or other customer considerations;</w:t>
      </w:r>
    </w:p>
    <w:p>
      <w:pPr>
        <w:spacing w:after="0" w:line="62" w:lineRule="exact"/>
        <w:rPr>
          <w:rFonts w:ascii="Arial" w:cs="Arial" w:eastAsia="Arial" w:hAnsi="Arial"/>
          <w:sz w:val="20"/>
          <w:szCs w:val="20"/>
          <w:color w:val="auto"/>
        </w:rPr>
      </w:pPr>
    </w:p>
    <w:p>
      <w:pPr>
        <w:ind w:left="700" w:right="6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liabilities arising from faulty services or products that could result in significant professional or product liability, warranty or other claims;</w:t>
      </w:r>
    </w:p>
    <w:p>
      <w:pPr>
        <w:spacing w:after="0" w:line="62"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or developments with respect to any litigation or investigation;</w:t>
      </w:r>
    </w:p>
    <w:p>
      <w:pPr>
        <w:spacing w:after="0" w:line="129" w:lineRule="exact"/>
        <w:rPr>
          <w:rFonts w:ascii="Arial" w:cs="Arial" w:eastAsia="Arial" w:hAnsi="Arial"/>
          <w:sz w:val="20"/>
          <w:szCs w:val="20"/>
          <w:color w:val="auto"/>
        </w:rPr>
      </w:pPr>
    </w:p>
    <w:p>
      <w:pPr>
        <w:ind w:left="700" w:right="28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meet timely completion or performance standards that could result in higher cost and reduced profits or, in some cases, losses on projects;</w:t>
      </w:r>
    </w:p>
    <w:p>
      <w:pPr>
        <w:spacing w:after="0" w:line="62" w:lineRule="exact"/>
        <w:rPr>
          <w:rFonts w:ascii="Arial" w:cs="Arial" w:eastAsia="Arial" w:hAnsi="Arial"/>
          <w:sz w:val="20"/>
          <w:szCs w:val="20"/>
          <w:color w:val="auto"/>
        </w:rPr>
      </w:pPr>
    </w:p>
    <w:p>
      <w:pPr>
        <w:ind w:left="700" w:right="34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fluctuations in prices for manufactured components and raw materials, including as a result of tariffs and surcharges, and rising energy costs;</w:t>
      </w:r>
    </w:p>
    <w:p>
      <w:pPr>
        <w:spacing w:after="0" w:line="62"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inflationary pressures relating to rising raw material costs and the cost of labor;</w:t>
      </w:r>
    </w:p>
    <w:p>
      <w:pPr>
        <w:spacing w:after="0" w:line="129" w:lineRule="exact"/>
        <w:rPr>
          <w:rFonts w:ascii="Arial" w:cs="Arial" w:eastAsia="Arial" w:hAnsi="Arial"/>
          <w:sz w:val="20"/>
          <w:szCs w:val="20"/>
          <w:color w:val="auto"/>
        </w:rPr>
      </w:pPr>
    </w:p>
    <w:p>
      <w:pPr>
        <w:ind w:left="700" w:right="4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substantial amount of debt incurred in connection with our strategic transactions and our ability to repay or refinance it or incur additional debt in the future;</w:t>
      </w:r>
    </w:p>
    <w:p>
      <w:pPr>
        <w:spacing w:after="0" w:line="62"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federal, state or local government regulations, including with respect to tax policy;</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repurchase shares of our common stock and the amounts and timing of repurchases, if any;</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realize the expected benefits of our restructuring program;</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economic and political conditions generally;</w:t>
      </w:r>
    </w:p>
    <w:p>
      <w:pPr>
        <w:spacing w:after="0" w:line="129" w:lineRule="exact"/>
        <w:rPr>
          <w:rFonts w:ascii="Arial" w:cs="Arial" w:eastAsia="Arial" w:hAnsi="Arial"/>
          <w:sz w:val="20"/>
          <w:szCs w:val="20"/>
          <w:color w:val="auto"/>
        </w:rPr>
      </w:pPr>
    </w:p>
    <w:p>
      <w:pPr>
        <w:ind w:left="700" w:right="16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optimize our business portfolio by identifying acquisition targets, executing upon any strategic acquisitions or divestitures, integrating acquired businesses and realizing the synergies from strategic transactions;</w:t>
      </w:r>
    </w:p>
    <w:p>
      <w:pPr>
        <w:spacing w:after="0" w:line="62" w:lineRule="exact"/>
        <w:rPr>
          <w:rFonts w:ascii="Arial" w:cs="Arial" w:eastAsia="Arial" w:hAnsi="Arial"/>
          <w:sz w:val="20"/>
          <w:szCs w:val="20"/>
          <w:color w:val="auto"/>
        </w:rPr>
      </w:pPr>
    </w:p>
    <w:p>
      <w:pPr>
        <w:ind w:left="700" w:right="24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62" w:lineRule="exact"/>
        <w:rPr>
          <w:rFonts w:ascii="Arial" w:cs="Arial" w:eastAsia="Arial" w:hAnsi="Arial"/>
          <w:sz w:val="20"/>
          <w:szCs w:val="20"/>
          <w:color w:val="auto"/>
        </w:rPr>
      </w:pPr>
    </w:p>
    <w:p>
      <w:pPr>
        <w:ind w:left="700" w:right="460" w:hanging="350"/>
        <w:spacing w:after="0" w:line="274" w:lineRule="auto"/>
        <w:tabs>
          <w:tab w:leader="none" w:pos="7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remediate our material weaknesses, or any other material weakness that we may identify in the future, that could result in material misstatements in our financial statements;</w:t>
      </w:r>
    </w:p>
    <w:p>
      <w:pPr>
        <w:sectPr>
          <w:pgSz w:w="11880" w:h="15480" w:orient="portrait"/>
          <w:cols w:equalWidth="0" w:num="1">
            <w:col w:w="10660"/>
          </w:cols>
          <w:pgMar w:left="600" w:top="815" w:right="620" w:bottom="112"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10660"/>
          </w:cols>
          <w:pgMar w:left="600" w:top="815" w:right="620" w:bottom="112" w:gutter="0" w:footer="0" w:header="0"/>
          <w:type w:val="continuous"/>
        </w:sectPr>
      </w:pPr>
    </w:p>
    <w:bookmarkStart w:id="17" w:name="page18"/>
    <w:bookmarkEnd w:id="17"/>
    <w:p>
      <w:pPr>
        <w:jc w:val="both"/>
        <w:ind w:left="700" w:right="680" w:hanging="350"/>
        <w:spacing w:after="0" w:line="255" w:lineRule="auto"/>
        <w:tabs>
          <w:tab w:leader="none" w:pos="7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the proposed transaction with Thermon Group Holdings, Inc. (“Thermon”) may not be completed on the anticipated terms or timeline, or at all, including as a result of the failure to obtain required regulatory or stockholder approvals;</w:t>
      </w:r>
    </w:p>
    <w:p>
      <w:pPr>
        <w:spacing w:after="0" w:line="82" w:lineRule="exact"/>
        <w:rPr>
          <w:rFonts w:ascii="Arial" w:cs="Arial" w:eastAsia="Arial" w:hAnsi="Arial"/>
          <w:sz w:val="20"/>
          <w:szCs w:val="20"/>
          <w:color w:val="auto"/>
        </w:rPr>
      </w:pPr>
    </w:p>
    <w:p>
      <w:pPr>
        <w:ind w:left="700" w:right="440" w:hanging="350"/>
        <w:spacing w:after="0" w:line="255" w:lineRule="auto"/>
        <w:tabs>
          <w:tab w:leader="none" w:pos="7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the announcement or pendency of the proposed transaction could disrupt our business, including our relationships with customers, suppliers and employees, and could divert management’s attention from ongoing business operations;</w:t>
      </w:r>
    </w:p>
    <w:p>
      <w:pPr>
        <w:spacing w:after="0" w:line="82" w:lineRule="exact"/>
        <w:rPr>
          <w:rFonts w:ascii="Arial" w:cs="Arial" w:eastAsia="Arial" w:hAnsi="Arial"/>
          <w:sz w:val="20"/>
          <w:szCs w:val="20"/>
          <w:color w:val="auto"/>
        </w:rPr>
      </w:pPr>
    </w:p>
    <w:p>
      <w:pPr>
        <w:ind w:left="700" w:right="460" w:hanging="350"/>
        <w:spacing w:after="0" w:line="274" w:lineRule="auto"/>
        <w:tabs>
          <w:tab w:leader="none" w:pos="7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we may be unable to successfully integrate Thermon’s business or realize anticipated benefits, synergies or growth opportunities;</w:t>
      </w:r>
    </w:p>
    <w:p>
      <w:pPr>
        <w:spacing w:after="0" w:line="62" w:lineRule="exact"/>
        <w:rPr>
          <w:rFonts w:ascii="Arial" w:cs="Arial" w:eastAsia="Arial" w:hAnsi="Arial"/>
          <w:sz w:val="20"/>
          <w:szCs w:val="20"/>
          <w:color w:val="auto"/>
        </w:rPr>
      </w:pPr>
    </w:p>
    <w:p>
      <w:pPr>
        <w:ind w:left="700" w:hanging="350"/>
        <w:spacing w:after="0"/>
        <w:tabs>
          <w:tab w:leader="none" w:pos="7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transaction-related costs and expenses may be greater than expected; and</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risk of litigation or regulatory proceedings arising in connection with the proposed transaction.</w:t>
      </w: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ectPr>
          <w:pgSz w:w="11880" w:h="15480" w:orient="portrait"/>
          <w:cols w:equalWidth="0" w:num="1">
            <w:col w:w="10640"/>
          </w:cols>
          <w:pgMar w:left="600" w:top="832" w:right="640"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640"/>
          </w:cols>
          <w:pgMar w:left="600" w:top="832" w:right="640" w:bottom="112" w:gutter="0" w:footer="0" w:header="0"/>
          <w:type w:val="continuous"/>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3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CECO Environmental Corp. (“CECO”, “we”, “us”, “our” or the “Company”) is a leading environmentally focused, diversified industrial company, serving the broad landscape of industrial air, industrial water and energy transition markets globally by providing innovative technology and application expertise. We help companies grow their businesses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industrial and produced water and wastewater treatment, and a wide range of other industrial end markets.</w:t>
      </w:r>
    </w:p>
    <w:p>
      <w:pPr>
        <w:spacing w:after="0" w:line="200" w:lineRule="exact"/>
        <w:rPr>
          <w:sz w:val="20"/>
          <w:szCs w:val="20"/>
          <w:color w:val="auto"/>
        </w:rPr>
      </w:pPr>
    </w:p>
    <w:p>
      <w:pPr>
        <w:ind w:right="780"/>
        <w:spacing w:after="0" w:line="256" w:lineRule="auto"/>
        <w:rPr>
          <w:sz w:val="20"/>
          <w:szCs w:val="20"/>
          <w:color w:val="auto"/>
        </w:rPr>
      </w:pPr>
      <w:r>
        <w:rPr>
          <w:rFonts w:ascii="Times New Roman" w:cs="Times New Roman" w:eastAsia="Times New Roman" w:hAnsi="Times New Roman"/>
          <w:sz w:val="20"/>
          <w:szCs w:val="20"/>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8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19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With an installed base of operating systems and equipment in excess of $10 billion, we are targeting to grow a higher share of recurring revenue from aftermarket products and installed base value-added services, which we believe will provide greater customer retention and loyalty, and increased business resiliency.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 and Plan of Merger with Thermon Group Holdings, Inc.</w:t>
      </w:r>
    </w:p>
    <w:p>
      <w:pPr>
        <w:spacing w:after="0" w:line="22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CECO will acquire Thermon in a cash and stock transaction. The acquisition will be effected pursuant to a two-step merger transaction as contemplated by the Merger Agreement (the “Merger”). The consummation of the Merger is subject to the satisfaction or waiver of customary closing conditions, including, among others, approval by the Company’s stockholders and Thermon’s stockholders, the expiration or termination of the applicable waiting period under the Hart-Scott-Rodino Antitrust Improvements Act of 1976, as amended, the effectiveness of a registration statement on Form S-4 to be filed by the Company, and other customary regulatory approvals and conditions.</w:t>
      </w:r>
    </w:p>
    <w:p>
      <w:pPr>
        <w:spacing w:after="0" w:line="19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We expect to fund any cash portion of the Merger Consideration and related transaction costs with available cash and borrowings under our existing and/or committed credit facilities. We expect to incur significant costs in connection with the transaction, including legal, accounting, financial advisory and other expenses, and additional costs may be incurred in connection with integration planning and execution. For a description of risks related to the proposed transaction, see “Part I—Item 1A. Risk Factors—Risks Related to the Proposed Transaction with Thermon Group Holdings, Inc.” and for additional details regarding the proposed transaction, see Note 17 to the Consolidated Financial Statements contained in Part II,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Industry Overview</w:t>
      </w:r>
    </w:p>
    <w:p>
      <w:pPr>
        <w:spacing w:after="0" w:line="23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We serve a growing multi-billion dollar global industrial market that is highly fragmented and comprised of many industrial sectors and niche applications. Our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production, polysilicon production, battery recycling, metals processing and production, produced water treatment, electric vehicle and battery production, desalination water transport, ultra-high purity water treatment for electrolysis and electronics production, naval/marine vessel oily water treatment, aluminum beverage can production, lightweight, high-strength metals production, and datacenter acoustics management.</w:t>
      </w:r>
    </w:p>
    <w:p>
      <w:pPr>
        <w:sectPr>
          <w:pgSz w:w="11880" w:h="15480" w:orient="portrait"/>
          <w:cols w:equalWidth="0" w:num="1">
            <w:col w:w="10660"/>
          </w:cols>
          <w:pgMar w:left="600" w:top="815" w:right="620"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660"/>
          </w:cols>
          <w:pgMar w:left="600" w:top="815" w:right="620" w:bottom="112"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t>We believe demand for our products and services will continue to be driven by the following factors:</w:t>
      </w:r>
    </w:p>
    <w:p>
      <w:pPr>
        <w:spacing w:after="0" w:line="250" w:lineRule="exact"/>
        <w:rPr>
          <w:sz w:val="20"/>
          <w:szCs w:val="20"/>
          <w:color w:val="auto"/>
        </w:rPr>
      </w:pPr>
    </w:p>
    <w:p>
      <w:pPr>
        <w:ind w:left="960" w:right="20" w:hanging="481"/>
        <w:spacing w:after="0" w:line="244"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Global focus on the environment: </w:t>
      </w:r>
      <w:r>
        <w:rPr>
          <w:rFonts w:ascii="Times New Roman" w:cs="Times New Roman" w:eastAsia="Times New Roman" w:hAnsi="Times New Roman"/>
          <w:sz w:val="20"/>
          <w:szCs w:val="20"/>
          <w:color w:val="auto"/>
        </w:rPr>
        <w:t>Increased demand for efficient solutions and reduced air and water emissions remains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forefront of 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 environment. We believe that through our air and water quality and emissions control offerings, companies want to work with us to protect people and our planet from the harmful effects of industrial processes.</w:t>
      </w:r>
    </w:p>
    <w:p>
      <w:pPr>
        <w:spacing w:after="0" w:line="95" w:lineRule="exact"/>
        <w:rPr>
          <w:rFonts w:ascii="Arial" w:cs="Arial" w:eastAsia="Arial" w:hAnsi="Arial"/>
          <w:sz w:val="20"/>
          <w:szCs w:val="20"/>
          <w:color w:val="auto"/>
        </w:rPr>
      </w:pPr>
    </w:p>
    <w:p>
      <w:pPr>
        <w:ind w:left="960" w:right="80" w:hanging="481"/>
        <w:spacing w:after="0" w:line="262" w:lineRule="auto"/>
        <w:tabs>
          <w:tab w:leader="none" w:pos="96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Increasingly stringent regulatory environment: </w:t>
      </w:r>
      <w:r>
        <w:rPr>
          <w:rFonts w:ascii="Times New Roman" w:cs="Times New Roman" w:eastAsia="Times New Roman" w:hAnsi="Times New Roman"/>
          <w:sz w:val="19"/>
          <w:szCs w:val="19"/>
          <w:color w:val="auto"/>
        </w:rPr>
        <w:t>The adoption of increasingly stringent environmental regulations globally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requires businesses 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78" w:lineRule="exact"/>
        <w:rPr>
          <w:rFonts w:ascii="Arial" w:cs="Arial" w:eastAsia="Arial" w:hAnsi="Arial"/>
          <w:sz w:val="19"/>
          <w:szCs w:val="19"/>
          <w:color w:val="auto"/>
        </w:rPr>
      </w:pPr>
    </w:p>
    <w:p>
      <w:pPr>
        <w:ind w:left="960" w:hanging="481"/>
        <w:spacing w:after="0" w:line="274"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Favorable investment climate for net-zero technologies: </w:t>
      </w:r>
      <w:r>
        <w:rPr>
          <w:rFonts w:ascii="Times New Roman" w:cs="Times New Roman" w:eastAsia="Times New Roman" w:hAnsi="Times New Roman"/>
          <w:sz w:val="20"/>
          <w:szCs w:val="20"/>
          <w:color w:val="auto"/>
        </w:rPr>
        <w:t>Our businesses are positively impacted by capital expenditures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technologies to address climate change and improve environmental outcomes.</w:t>
      </w:r>
    </w:p>
    <w:p>
      <w:pPr>
        <w:spacing w:after="0" w:line="62" w:lineRule="exact"/>
        <w:rPr>
          <w:rFonts w:ascii="Arial" w:cs="Arial" w:eastAsia="Arial" w:hAnsi="Arial"/>
          <w:sz w:val="20"/>
          <w:szCs w:val="20"/>
          <w:color w:val="auto"/>
        </w:rPr>
      </w:pPr>
    </w:p>
    <w:p>
      <w:pPr>
        <w:ind w:left="960" w:right="120" w:hanging="481"/>
        <w:spacing w:after="0" w:line="244"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Emerging market industrialization: </w:t>
      </w:r>
      <w:r>
        <w:rPr>
          <w:rFonts w:ascii="Times New Roman" w:cs="Times New Roman" w:eastAsia="Times New Roman" w:hAnsi="Times New Roman"/>
          <w:sz w:val="20"/>
          <w:szCs w:val="20"/>
          <w:color w:val="auto"/>
        </w:rPr>
        <w:t>The rapid expansion of manufacturing in emerging economies, and the growing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environmental focus in such emerging economies, increases the demand for our industrial air treatment and pollution controls for newly constructed and upgraded facilities. For investments in semiconductor and electronics production, sources of ultra-pure water are required as are emission controls and scrubbers. We expect that more rigorous regulations being introduced to protect the workforce, environment, and operating equipment will favorably impact demand for our products and solutions.</w:t>
      </w:r>
    </w:p>
    <w:p>
      <w:pPr>
        <w:spacing w:after="0" w:line="95" w:lineRule="exact"/>
        <w:rPr>
          <w:rFonts w:ascii="Arial" w:cs="Arial" w:eastAsia="Arial" w:hAnsi="Arial"/>
          <w:sz w:val="20"/>
          <w:szCs w:val="20"/>
          <w:color w:val="auto"/>
        </w:rPr>
      </w:pPr>
    </w:p>
    <w:p>
      <w:pPr>
        <w:ind w:left="960" w:right="220" w:hanging="481"/>
        <w:spacing w:after="0" w:line="249"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Developed market industrial re-shoring: </w:t>
      </w:r>
      <w:r>
        <w:rPr>
          <w:rFonts w:ascii="Times New Roman" w:cs="Times New Roman" w:eastAsia="Times New Roman" w:hAnsi="Times New Roman"/>
          <w:sz w:val="20"/>
          <w:szCs w:val="20"/>
          <w:color w:val="auto"/>
        </w:rPr>
        <w:t>The industries in which we operate have historically embraced a global supply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chain which has provided certain advantages by offshoring select production and services. Today many companies are relocating their global supply chains to resume in-region. We believe the re-shoring of manufacturing operations is a driver of our business growth.</w:t>
      </w:r>
    </w:p>
    <w:p>
      <w:pPr>
        <w:spacing w:after="0" w:line="88" w:lineRule="exact"/>
        <w:rPr>
          <w:rFonts w:ascii="Arial" w:cs="Arial" w:eastAsia="Arial" w:hAnsi="Arial"/>
          <w:sz w:val="20"/>
          <w:szCs w:val="20"/>
          <w:color w:val="auto"/>
        </w:rPr>
      </w:pPr>
    </w:p>
    <w:p>
      <w:pPr>
        <w:ind w:left="960" w:right="20" w:hanging="481"/>
        <w:spacing w:after="0" w:line="243"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Expansion and renewal of infrastructure: </w:t>
      </w:r>
      <w:r>
        <w:rPr>
          <w:rFonts w:ascii="Times New Roman" w:cs="Times New Roman" w:eastAsia="Times New Roman" w:hAnsi="Times New Roman"/>
          <w:sz w:val="20"/>
          <w:szCs w:val="20"/>
          <w:color w:val="auto"/>
        </w:rPr>
        <w:t>There is a growing trend to better manage and reduce air and water emissions,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our products and solutions equipment will serve. Recent legislation, including the 2022 Creating Helpful Incentives to Produce Semiconductors (CHIPS) and Science Act, 2022 Inflation Reduction Act, and 2021 Infrastructure Investment and Jobs Act in the United States, as well as the 2020 European Green Deal, 2021 Fit for 55 package, and 2022 REPowerEU, have dedicated government funds to improving environmental outcomes. As industrial capital expenditures grow, corporations are seeking to make these investments while minimizing environmental impact. This spending serves as a driver of increased interest for our portfolio of products and solutions.</w:t>
      </w:r>
    </w:p>
    <w:p>
      <w:pPr>
        <w:spacing w:after="0" w:line="96" w:lineRule="exact"/>
        <w:rPr>
          <w:rFonts w:ascii="Arial" w:cs="Arial" w:eastAsia="Arial" w:hAnsi="Arial"/>
          <w:sz w:val="20"/>
          <w:szCs w:val="20"/>
          <w:color w:val="auto"/>
        </w:rPr>
      </w:pPr>
    </w:p>
    <w:p>
      <w:pPr>
        <w:ind w:left="960" w:right="20" w:hanging="481"/>
        <w:spacing w:after="0" w:line="249"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Water scarcity: </w:t>
      </w:r>
      <w:r>
        <w:rPr>
          <w:rFonts w:ascii="Times New Roman" w:cs="Times New Roman" w:eastAsia="Times New Roman" w:hAnsi="Times New Roman"/>
          <w:sz w:val="20"/>
          <w:szCs w:val="20"/>
          <w:color w:val="auto"/>
        </w:rPr>
        <w:t>There are increasing risks associated with water quality and water access around the globe. Protecting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water resources is crucial for the health and resiliency of our communities, ecosystems, and customers. We expect that more rigorous regulations are being, and will continue to be, introduced to protect water as a natural resource. We are well positioned to deliver solutions to our customers to meet this growing need.</w:t>
      </w:r>
    </w:p>
    <w:p>
      <w:pPr>
        <w:spacing w:after="0" w:line="88" w:lineRule="exact"/>
        <w:rPr>
          <w:rFonts w:ascii="Arial" w:cs="Arial" w:eastAsia="Arial" w:hAnsi="Arial"/>
          <w:sz w:val="20"/>
          <w:szCs w:val="20"/>
          <w:color w:val="auto"/>
        </w:rPr>
      </w:pPr>
    </w:p>
    <w:p>
      <w:pPr>
        <w:ind w:left="960" w:right="60" w:hanging="481"/>
        <w:spacing w:after="0" w:line="241"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Increased demand for electrical power generation: </w:t>
      </w:r>
      <w:r>
        <w:rPr>
          <w:rFonts w:ascii="Times New Roman" w:cs="Times New Roman" w:eastAsia="Times New Roman" w:hAnsi="Times New Roman"/>
          <w:sz w:val="20"/>
          <w:szCs w:val="20"/>
          <w:color w:val="auto"/>
        </w:rPr>
        <w:t>An accelerating shift away from traditional fossil fuel powered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electricity generation and transportation towards cleaner and sustainable forms of power generation and mass “electrification”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that we provide, as will the production facilities and producers of the lightweight materials, batteries, and electronics required to build and operate the new vehicles being deployed.</w:t>
      </w:r>
    </w:p>
    <w:p>
      <w:pPr>
        <w:spacing w:after="0" w:line="96" w:lineRule="exact"/>
        <w:rPr>
          <w:rFonts w:ascii="Arial" w:cs="Arial" w:eastAsia="Arial" w:hAnsi="Arial"/>
          <w:sz w:val="20"/>
          <w:szCs w:val="20"/>
          <w:color w:val="auto"/>
        </w:rPr>
      </w:pPr>
    </w:p>
    <w:p>
      <w:pPr>
        <w:ind w:left="960" w:right="20" w:hanging="481"/>
        <w:spacing w:after="0" w:line="244" w:lineRule="auto"/>
        <w:tabs>
          <w:tab w:leader="none" w:pos="9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Expanding natural gas infrastructure: </w:t>
      </w:r>
      <w:r>
        <w:rPr>
          <w:rFonts w:ascii="Times New Roman" w:cs="Times New Roman" w:eastAsia="Times New Roman" w:hAnsi="Times New Roman"/>
          <w:sz w:val="20"/>
          <w:szCs w:val="20"/>
          <w:color w:val="auto"/>
        </w:rPr>
        <w:t>The International Energy Association projects a pronounced shift in Organization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Economic 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ectPr>
          <w:pgSz w:w="11880" w:h="15480" w:orient="portrait"/>
          <w:cols w:equalWidth="0" w:num="1">
            <w:col w:w="10680"/>
          </w:cols>
          <w:pgMar w:left="600" w:top="818" w:right="600"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680"/>
          </w:cols>
          <w:pgMar w:left="600" w:top="818" w:right="600" w:bottom="112" w:gutter="0" w:footer="0" w:header="0"/>
          <w:type w:val="continuous"/>
        </w:sectPr>
      </w:pPr>
    </w:p>
    <w:bookmarkStart w:id="20" w:name="page21"/>
    <w:bookmarkEnd w:id="20"/>
    <w:p>
      <w:pPr>
        <w:ind w:left="960" w:right="80" w:hanging="481"/>
        <w:spacing w:after="0" w:line="242" w:lineRule="auto"/>
        <w:tabs>
          <w:tab w:leader="none" w:pos="96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Hydrocarbon processing: </w:t>
      </w:r>
      <w:r>
        <w:rPr>
          <w:rFonts w:ascii="Times New Roman" w:cs="Times New Roman" w:eastAsia="Times New Roman" w:hAnsi="Times New Roman"/>
          <w:sz w:val="20"/>
          <w:szCs w:val="20"/>
          <w:color w:val="auto"/>
        </w:rPr>
        <w:t>Hydrocarbon processing involves the production, refining, and processing of hydrocarbons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organic chemicals (petrochemicals)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 environmental regulations, wastewater discharge, and emission controls requirements, and the adaptation of production processes will require new or modified catalyst recovery and regeneration systems, which we provide.</w:t>
      </w:r>
    </w:p>
    <w:p>
      <w:pPr>
        <w:spacing w:after="0" w:line="20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Mission and Strategy</w:t>
      </w:r>
    </w:p>
    <w:p>
      <w:pPr>
        <w:spacing w:after="0" w:line="23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0"/>
          <w:szCs w:val="20"/>
          <w:color w:val="auto"/>
        </w:rPr>
        <w:t>Our mission is to help companies grow their business with safe, clean, and more efficient solutions that help protect their people, the environment, and their industrial equipment and facilities.</w:t>
      </w:r>
    </w:p>
    <w:p>
      <w:pPr>
        <w:spacing w:after="0" w:line="16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0"/>
          <w:szCs w:val="20"/>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18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0"/>
          <w:szCs w:val="20"/>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16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We constantly look for opportunities to apply our technology and expertise to new customers and in new geographies in our existing end markets, and to enter new end markets with our existing set of products and solutions. Acquisitions are a key part of our growth model and we are continuously seeking out value-added, accretive additions to the CECO portfolio aligned with our strategic focus in industrial air, industrial water, and the energy transition.</w:t>
      </w:r>
    </w:p>
    <w:p>
      <w:pPr>
        <w:spacing w:after="0" w:line="190"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20"/>
          <w:szCs w:val="20"/>
          <w:color w:val="auto"/>
        </w:rPr>
        <w:t>We intend to continue to expand our customer base and end markets and have continued to pursue potential attractive growth opportunities both domestically and internationally.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Segments</w:t>
      </w:r>
    </w:p>
    <w:p>
      <w:pPr>
        <w:spacing w:after="0" w:line="23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0"/>
          <w:szCs w:val="20"/>
          <w:color w:val="auto"/>
        </w:rPr>
        <w:t>Our reportable segments continue to be focused on attractive end markets, and each segment is aligned to generate profitable growth for the Company with a compelling technology and solution set to benefit customers.</w:t>
      </w:r>
    </w:p>
    <w:p>
      <w:pPr>
        <w:spacing w:after="0" w:line="180" w:lineRule="exact"/>
        <w:rPr>
          <w:sz w:val="20"/>
          <w:szCs w:val="20"/>
          <w:color w:val="auto"/>
        </w:rPr>
      </w:pPr>
    </w:p>
    <w:p>
      <w:pPr>
        <w:ind w:left="700" w:hanging="350"/>
        <w:spacing w:after="0" w:line="246" w:lineRule="auto"/>
        <w:tabs>
          <w:tab w:leader="none" w:pos="7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Engineered Systems segment: </w:t>
      </w:r>
      <w:r>
        <w:rPr>
          <w:rFonts w:ascii="Times New Roman" w:cs="Times New Roman" w:eastAsia="Times New Roman" w:hAnsi="Times New Roman"/>
          <w:sz w:val="20"/>
          <w:szCs w:val="20"/>
          <w:color w:val="auto"/>
        </w:rPr>
        <w:t>Our Engineered Systems segment serves the power generation, hydrocarbon processing,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water/wastewater 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210" w:lineRule="exact"/>
        <w:rPr>
          <w:rFonts w:ascii="Arial" w:cs="Arial" w:eastAsia="Arial" w:hAnsi="Arial"/>
          <w:sz w:val="20"/>
          <w:szCs w:val="20"/>
          <w:color w:val="auto"/>
        </w:rPr>
      </w:pPr>
    </w:p>
    <w:p>
      <w:pPr>
        <w:ind w:left="700" w:right="160" w:hanging="350"/>
        <w:spacing w:after="0" w:line="243" w:lineRule="auto"/>
        <w:tabs>
          <w:tab w:leader="none" w:pos="7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Industrial Process Solutions segment: </w:t>
      </w:r>
      <w:r>
        <w:rPr>
          <w:rFonts w:ascii="Times New Roman" w:cs="Times New Roman" w:eastAsia="Times New Roman" w:hAnsi="Times New Roman"/>
          <w:sz w:val="20"/>
          <w:szCs w:val="20"/>
          <w:color w:val="auto"/>
        </w:rPr>
        <w:t>Our Industrial Process Solutions segment serves the broad industrial sector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Strengths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Leading market position as a complete solution provider</w:t>
      </w:r>
    </w:p>
    <w:p>
      <w:pPr>
        <w:sectPr>
          <w:pgSz w:w="11880" w:h="15480" w:orient="portrait"/>
          <w:cols w:equalWidth="0" w:num="1">
            <w:col w:w="10680"/>
          </w:cols>
          <w:pgMar w:left="600" w:top="832" w:right="600"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680"/>
          </w:cols>
          <w:pgMar w:left="600" w:top="832" w:right="600" w:bottom="112" w:gutter="0" w:footer="0" w:header="0"/>
          <w:type w:val="continuous"/>
        </w:sectPr>
      </w:pPr>
    </w:p>
    <w:bookmarkStart w:id="21" w:name="page22"/>
    <w:bookmarkEnd w:id="21"/>
    <w:p>
      <w:pPr>
        <w:ind w:right="100"/>
        <w:spacing w:after="0" w:line="245" w:lineRule="auto"/>
        <w:rPr>
          <w:sz w:val="20"/>
          <w:szCs w:val="20"/>
          <w:color w:val="auto"/>
        </w:rPr>
      </w:pPr>
      <w:r>
        <w:rPr>
          <w:rFonts w:ascii="Times New Roman" w:cs="Times New Roman" w:eastAsia="Times New Roman" w:hAnsi="Times New Roman"/>
          <w:sz w:val="20"/>
          <w:szCs w:val="20"/>
          <w:color w:val="auto"/>
        </w:rPr>
        <w:t>We believe we are a leading provider of critical solutions in industrial air quality, industrial water treatment, and energy transition solutions. The multi-billion-dollar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Long-standing experience and customer relationships in growing industry</w:t>
      </w:r>
    </w:p>
    <w:p>
      <w:pPr>
        <w:spacing w:after="0" w:line="23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We have serviced the needs of our target markets for over 50 years. Our extensive experience and expertise in providing diversified solutions enhances our overall customer relationships and provides us with a competitive advantage in our markets relative to other companies in the industry. We believe this is evidenced by our strong relationships with many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Diversified equipment and solution portfolio and broad customer base</w:t>
      </w:r>
    </w:p>
    <w:p>
      <w:pPr>
        <w:spacing w:after="0" w:line="23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global diversity of our offerings, footprint, and customer base provides us 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its systems become necessary.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Experienced management and engineering team</w:t>
      </w:r>
    </w:p>
    <w:p>
      <w:pPr>
        <w:spacing w:after="0" w:line="23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Our management team has substantial experience in delivering highly-engineered solutions for industrial air quality, industrial water treatment, and energy transition applications. The collective experience of our teams enables us to pursue our strategy, and to successfully execute on our strategic and growth priorities. Our team includes approximately 520 engineers, designers, solution experts, and project managers whose industry experience and technical expertise enable them to have a deep understanding of the solutions that will best suit our customers' needs. The experience and stability of our senior management, operating and engineering teams have been crucial to our recent growth and to developing and maintaining customer relationships, and increasing our market position.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Innovative solutions</w:t>
      </w:r>
    </w:p>
    <w:p>
      <w:pPr>
        <w:spacing w:after="0" w:line="23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We leverage our engineering and manufacturing expertise, fabrication partner network, and strong customer relationships to develop 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Disciplined acquisition program with successful integration</w:t>
      </w:r>
    </w:p>
    <w:p>
      <w:pPr>
        <w:spacing w:after="0" w:line="23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 believe that we have demonstrated an ability to successfully acquire and integrate 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together with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Products and Services</w:t>
      </w:r>
    </w:p>
    <w:p>
      <w:pPr>
        <w:spacing w:after="0" w:line="23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9"/>
          <w:szCs w:val="19"/>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w:t>
      </w:r>
    </w:p>
    <w:p>
      <w:pPr>
        <w:sectPr>
          <w:pgSz w:w="11880" w:h="15480" w:orient="portrait"/>
          <w:cols w:equalWidth="0" w:num="1">
            <w:col w:w="10680"/>
          </w:cols>
          <w:pgMar w:left="600" w:top="818" w:right="600" w:bottom="112"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680"/>
          </w:cols>
          <w:pgMar w:left="600" w:top="818" w:right="600" w:bottom="112" w:gutter="0" w:footer="0" w:header="0"/>
          <w:type w:val="continuous"/>
        </w:sectPr>
      </w:pPr>
    </w:p>
    <w:bookmarkStart w:id="22" w:name="page23"/>
    <w:bookmarkEnd w:id="22"/>
    <w:p>
      <w:pPr>
        <w:ind w:right="740"/>
        <w:spacing w:after="0" w:line="302" w:lineRule="auto"/>
        <w:rPr>
          <w:sz w:val="20"/>
          <w:szCs w:val="20"/>
          <w:color w:val="auto"/>
        </w:rPr>
      </w:pPr>
      <w:r>
        <w:rPr>
          <w:rFonts w:ascii="Times New Roman" w:cs="Times New Roman" w:eastAsia="Times New Roman" w:hAnsi="Times New Roman"/>
          <w:sz w:val="19"/>
          <w:szCs w:val="19"/>
          <w:color w:val="auto"/>
        </w:rPr>
        <w:t>fluid handling equipment, and plant engineering services and engineered design build fabrication. Our products and solutions primarily compete on the basis of performance, track record, speed of delivery, quality, price, and customer service.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Project Design and Research and Development</w:t>
      </w:r>
    </w:p>
    <w:p>
      <w:pPr>
        <w:spacing w:after="0" w:line="234"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9"/>
          <w:szCs w:val="19"/>
          <w:color w:val="auto"/>
        </w:rPr>
        <w:t>Our strategy is to produce and supply differentiated, specialized, or configured products and solutions that are often tailored to the specifications of a customer or application. We start by understanding our customers’ needs, then by focusing our new product 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176"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Marketing, and Support</w:t>
      </w:r>
    </w:p>
    <w:p>
      <w:pPr>
        <w:spacing w:after="0" w:line="2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9"/>
          <w:szCs w:val="19"/>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 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19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We sell and market our products and services with our own direct sales force in key regions including the United States, Netherlands, United Kingdom, Germany, Canada, United Arab Emirates, India, China, Republic of Korea, and Singapore. Our direct sales and business development teams will work in conjunction with outside sales representatives in the North America, South America, Europe, Middle East, Southeast and East Asia, and India regions, when appropriate. We expect to continue expanding our sales and support capabilities and our network of outside sales representatives in key regions domestically and internationally.</w:t>
      </w:r>
    </w:p>
    <w:p>
      <w:pPr>
        <w:spacing w:after="0" w:line="17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9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customer service organization and sales force provide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Quality Assurance</w:t>
      </w:r>
    </w:p>
    <w:p>
      <w:pPr>
        <w:spacing w:after="0" w:line="23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For our offerings,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Customers</w:t>
      </w:r>
    </w:p>
    <w:p>
      <w:pPr>
        <w:spacing w:after="0" w:line="23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0"/>
          <w:szCs w:val="20"/>
          <w:color w:val="auto"/>
        </w:rPr>
        <w:t>We are not dependent upon any single customer, and no customer contributed 10% or more of our consolidated revenues for the years ended December 31, 2025, 2024, or 2023.</w:t>
      </w:r>
    </w:p>
    <w:p>
      <w:pPr>
        <w:sectPr>
          <w:pgSz w:w="11880" w:h="15480" w:orient="portrait"/>
          <w:cols w:equalWidth="0" w:num="1">
            <w:col w:w="10660"/>
          </w:cols>
          <w:pgMar w:left="600" w:top="818" w:right="620" w:bottom="112"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660"/>
          </w:cols>
          <w:pgMar w:left="600" w:top="818" w:right="620" w:bottom="112"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Suppliers and Subcontractors</w:t>
      </w:r>
    </w:p>
    <w:p>
      <w:pPr>
        <w:spacing w:after="0" w:line="234"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and tracking major materials industry indices and projections. On contract work, we try to mitigate the risk of higher prices by including the current price in our estimate and generally include price inflation clauses for protection.</w:t>
      </w:r>
    </w:p>
    <w:p>
      <w:pPr>
        <w:spacing w:after="0" w:line="19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We continue to monitor developments in tariff policy and evaluate the potential impact on the purchase of raw materials and supplies as additional information becomes available. Tariff policy remains subject to uncertainty, and any actions taken in response will be based on our evaluation of available information at the time. We are also engaging with external trade policy advisors and assessing potential supply chain exposures.</w:t>
      </w:r>
    </w:p>
    <w:p>
      <w:pPr>
        <w:spacing w:after="0" w:line="19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business model focuses on effective management of subcontractors and flow of raw and finished materials, which allows us to optimize working capital levels through reduction in certain assets and reduce capital expenditures.</w:t>
      </w:r>
    </w:p>
    <w:p>
      <w:pPr>
        <w:spacing w:after="0" w:line="19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While we believe we have good relationships with our suppliers and subcontractors, we could experience shortages of raw materials and additional inflationary pressures for certain materials and labor. Although we have secured raw materials from existing and alternate suppliers and have taken other actions to mitigate supply disruptions, we cannot guarantee that we can continue to do so in the future. In this event, our business, results, and financial condition could be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Backlog</w:t>
      </w:r>
    </w:p>
    <w:p>
      <w:pPr>
        <w:spacing w:after="0" w:line="23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Backlog (i.e., unfulfilled or remaining performance obligations) represents the sales we expect to recognize for our products and services for which control has not yet transferred to the customer. Backlog was $793.1 million as of December 31, 2025, as compared to $540.9 million as of December 31, 2024, an increase of $252.2 million or 46.6 percent. Backlog is adjusted on a quarterly basis for fluctuations in foreign currency exchange rates. Substantially all backlog is expected to be delivered within 18 - 24 months, with a majority within 12 months. Backlog is not defined by United States generally accepted accounting principles ("GAAP") and our methodology for calculating backlog may not be consistent with methodologies used by other companies.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3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as well as our being on the customer’s approved vendor list.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20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Due to the size and shipping weight of many of our projects, localized manufacturing/fabrication capabilities are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86" w:lineRule="exact"/>
        <w:rPr>
          <w:sz w:val="20"/>
          <w:szCs w:val="20"/>
          <w:color w:val="auto"/>
        </w:rPr>
      </w:pPr>
    </w:p>
    <w:p>
      <w:pPr>
        <w:ind w:left="960" w:hanging="481"/>
        <w:spacing w:after="0"/>
        <w:tabs>
          <w:tab w:leader="none" w:pos="9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track record and reputation;</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comprehensive portfolio of solutions;</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brand recognition;</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high design standard;</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quality customer service and support; and</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and operational stability.</w:t>
      </w:r>
    </w:p>
    <w:p>
      <w:pPr>
        <w:sectPr>
          <w:pgSz w:w="11880" w:h="15480" w:orient="portrait"/>
          <w:cols w:equalWidth="0" w:num="1">
            <w:col w:w="10640"/>
          </w:cols>
          <w:pgMar w:left="600" w:top="820" w:right="640"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640"/>
          </w:cols>
          <w:pgMar w:left="600" w:top="820" w:right="640" w:bottom="112"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We believe we compete favorably with respect to these factors.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Regulations</w:t>
      </w:r>
    </w:p>
    <w:p>
      <w:pPr>
        <w:spacing w:after="0" w:line="234"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20"/>
          <w:szCs w:val="20"/>
          <w:color w:val="auto"/>
        </w:rPr>
        <w:t>We believe our operations are in compliance with applicable environmental laws and regulations. We believe that changes in environmental laws and regulations create opportunities given the nature of our business.</w:t>
      </w:r>
    </w:p>
    <w:p>
      <w:pPr>
        <w:spacing w:after="0" w:line="16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Our business is subject to numerous evolving laws and regulations. While there are not currently regulations proposed or pending that we believe will result in material capital, operating, or other costs to the business at this time, such regulations could be proposed and/or passed into law in 2026 or beyond. Other regulations currently in place could be withdrawn and replaced with more stringent requirements in 2026 or beyond. New laws and regulations and the costs of compliance with such new laws and regulations can only be broadly appraised until their implementation becomes more defined through regulatory guidance and enforcement.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w:t>
      </w:r>
    </w:p>
    <w:p>
      <w:pPr>
        <w:spacing w:after="0" w:line="234"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9"/>
          <w:szCs w:val="19"/>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22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We have employees located throughout the globe. CECO has approximately 1,540 employees across 10 countries. Of our United States employees, approximately 140 are unionized in our Tennessee, North Carolina, and Ohio facilities. Outside the United States, we enter into employment contracts and/or agreements in those countries where such relationships are mandatory or customary. The provisions of these agreements correspond in each case with the required or customary terms in the subject jurisdiction. We have historically maintained good employee relations and have successfully concluded all of our recent negotiations without a work stoppage. However, we cannot predict the outcome of future contract negotiations.</w:t>
      </w:r>
    </w:p>
    <w:p>
      <w:pPr>
        <w:spacing w:after="0" w:line="18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Our strong employee base, along with our uncompromising commitment to our values of customer first, accountability, relentless execution, respect, integrity and teamwork, provide the foundation of our Company’s success. Employee safety and managing the risks associated with our workplace, is of paramount importance to CECO.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 CECO’s foundational commitment to safety is demonstrated by our world-class recordable and loss time rates. We currently share scorecard information monthly with our team members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2025, CECO’s domestic Total Recordable Incident Rate (“TRIR”) was 1.98% as compared to our benchmark industry average TRIR of 2.68%.</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leads to problem solving, development, performance, and profitable business success.</w:t>
      </w:r>
    </w:p>
    <w:p>
      <w:pPr>
        <w:spacing w:after="0" w:line="18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invest in programs and processes that develop our employees’ capabilities to ensure that we have the talent we need to execute our strategic business plans. Our Performance Management Program ensures that all leaders have clear priorities, and that their performance relative to these priorities is linked to their total rewards package. We administer an annual code of conduct training that includes, but is not limited to, the following subject matter areas: anti-corruption, anti-discrimination, anti-harassment, data privacy, appropriate use of company assets, protecting confidential information, and how to report code violations. Each employee takes this annual training and follow up communications are conducted to ensure completion of the course by all employees. We also monitor timely completion of our mandated sexual anti-harassment and workplace violence prevention training courses both domestically and internationally for impacted employees.</w:t>
      </w:r>
    </w:p>
    <w:p>
      <w:pPr>
        <w:sectPr>
          <w:pgSz w:w="11880" w:h="15480" w:orient="portrait"/>
          <w:cols w:equalWidth="0" w:num="1">
            <w:col w:w="10680"/>
          </w:cols>
          <w:pgMar w:left="600" w:top="818" w:right="600" w:bottom="112"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680"/>
          </w:cols>
          <w:pgMar w:left="600" w:top="818" w:right="600" w:bottom="112" w:gutter="0" w:footer="0" w:header="0"/>
          <w:type w:val="continuous"/>
        </w:sectPr>
      </w:pPr>
    </w:p>
    <w:bookmarkStart w:id="25" w:name="page26"/>
    <w:bookmarkEnd w:id="25"/>
    <w:p>
      <w:pPr>
        <w:ind w:right="260"/>
        <w:spacing w:after="0" w:line="250" w:lineRule="auto"/>
        <w:rPr>
          <w:sz w:val="20"/>
          <w:szCs w:val="20"/>
          <w:color w:val="auto"/>
        </w:rPr>
      </w:pPr>
      <w:r>
        <w:rPr>
          <w:rFonts w:ascii="Times New Roman" w:cs="Times New Roman" w:eastAsia="Times New Roman" w:hAnsi="Times New Roman"/>
          <w:sz w:val="20"/>
          <w:szCs w:val="20"/>
          <w:color w:val="auto"/>
        </w:rPr>
        <w:t>We believe our management team has the experience necessary to effectively execute our strategy. Our business leaders have significant industry experience and are supported by an experienced and talented management team that is dedicated to maintaining and expanding our position as a global leader in our markets. For discussion of the risks related to attracting and retention of management and executive employees, refer to “Part I, Item 1A. Risk Factors” of this Annual Report on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 of CECO</w:t>
      </w:r>
    </w:p>
    <w:p>
      <w:pPr>
        <w:spacing w:after="0" w:line="23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0"/>
          <w:szCs w:val="20"/>
          <w:color w:val="auto"/>
        </w:rPr>
        <w:t>The following are the executive officers of the Company as of February 18, 2026. All officers serve for a one-year term or until their successors are elected and qualified.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Todd Gleason </w:t>
      </w:r>
      <w:r>
        <w:rPr>
          <w:rFonts w:ascii="Times New Roman" w:cs="Times New Roman" w:eastAsia="Times New Roman" w:hAnsi="Times New Roman"/>
          <w:sz w:val="20"/>
          <w:szCs w:val="20"/>
          <w:color w:val="auto"/>
        </w:rPr>
        <w:t>(55) has served as a director and Chief Executive Officer since July 2020 and is responsible for driving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strategic vision and aligning the organization for optimal value creation. Prior to joining the Company, Mr. Gleason most recently, from April 2015 to July 2020, served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Master of Science degrees in Management and Public Policy from Carnegie Mellon University and a Bachelors of Arts in International Studies and History from Wesleyan University. Mr. Gleason currently serves on the board of directors of NSF, whose stated mission is to protect human and planet health through their leading test and measurement, consulting, training and certification, and development of industry leading standards. Previously, Mr. Gleason served on the board of Faradyne, a strategic joint venture between Pentair and Xylem.</w:t>
      </w:r>
    </w:p>
    <w:p>
      <w:pPr>
        <w:spacing w:after="0" w:line="2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Peter Johansson </w:t>
      </w:r>
      <w:r>
        <w:rPr>
          <w:rFonts w:ascii="Times New Roman" w:cs="Times New Roman" w:eastAsia="Times New Roman" w:hAnsi="Times New Roman"/>
          <w:sz w:val="20"/>
          <w:szCs w:val="20"/>
          <w:color w:val="auto"/>
        </w:rPr>
        <w:t>(61) has served as SVP, Chief Financial Officer since August 2022. From April 2020 to August 2022, Mr. Johansson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had been an independent strategy and business development consultant and joined CECO as a consultant in October 2021. From June 2014 through March 2020, he was EVP, Strategy, Corporate Development &amp; Marketing for Accudyne Industries, LLC (“Accudyne”), where he was responsible for the formulation and execution of growth, value creation, business development, product line, and M&amp;A strategies, and deployment of a product-line based operating model for an industry-leading portfolio of industrial air and gas compressors, broad pump solutions, rotary mixers, and valves. Prior to joining Accudyne, Mr. Johansson led the corporate, product-line, and M&amp;A growth strategy and implementation of a differentiated business line operating model for IDEX Corporation. He has also held senior business, strategic business development, commercial, and engineering leadership roles with ITT Inc., Trane Technologies PLC, WABCO Holdings, Inc., and Honeywell International, Inc. and its predecessor AlliedSignal Inc. Mr. Johansson earned a Bachelor of Science degree in Mechanical Engineering from Southern Methodist University of Dallas, Texas. He received his Master of Science degree in Mechanical Engineering from California State University at Fullerton, and his MBA from UCLA’s Anderson Graduate School of Management.</w:t>
      </w:r>
    </w:p>
    <w:p>
      <w:pPr>
        <w:spacing w:after="0" w:line="19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Alyson Gregory Richter </w:t>
      </w:r>
      <w:r>
        <w:rPr>
          <w:rFonts w:ascii="Times New Roman" w:cs="Times New Roman" w:eastAsia="Times New Roman" w:hAnsi="Times New Roman"/>
          <w:sz w:val="20"/>
          <w:szCs w:val="20"/>
          <w:color w:val="auto"/>
        </w:rPr>
        <w:t>(47) has served as General Counsel and Corporate Secretary since January 2026. Ms. Richter has been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since 2020, and has served in various roles of increasing responsibility, most recently as Associate Counsel and Director of Corporate Compliance. Prior to joining the Company, she served in various roles with Project Transformation North Texas and Alon USA Energy, Inc., as well as with the law firms of Taber Estes Thorne &amp; Carr, Koons Fuller, and Vinson and Elkins. Ms. Richter received her Bachelor of Arts degree in Spanish from The University of Texas at Austin, and Juris Doctorate from The University of Texas School of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 xml:space="preserve">We use the Investor Relations section of our website, </w:t>
      </w:r>
      <w:r>
        <w:rPr>
          <w:rFonts w:ascii="Times New Roman" w:cs="Times New Roman" w:eastAsia="Times New Roman" w:hAnsi="Times New Roman"/>
          <w:sz w:val="19"/>
          <w:szCs w:val="19"/>
          <w:u w:val="single" w:color="auto"/>
          <w:color w:val="auto"/>
        </w:rPr>
        <w:t>www.cecoenviro.com</w:t>
      </w:r>
      <w:r>
        <w:rPr>
          <w:rFonts w:ascii="Times New Roman" w:cs="Times New Roman" w:eastAsia="Times New Roman" w:hAnsi="Times New Roman"/>
          <w:sz w:val="19"/>
          <w:szCs w:val="19"/>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Times New Roman" w:cs="Times New Roman" w:eastAsia="Times New Roman" w:hAnsi="Times New Roman"/>
          <w:sz w:val="19"/>
          <w:szCs w:val="19"/>
          <w:u w:val="single" w:color="auto"/>
          <w:color w:val="auto"/>
        </w:rPr>
        <w:t>www.sec.gov,</w:t>
      </w:r>
      <w:r>
        <w:rPr>
          <w:rFonts w:ascii="Times New Roman" w:cs="Times New Roman" w:eastAsia="Times New Roman" w:hAnsi="Times New Roman"/>
          <w:sz w:val="19"/>
          <w:szCs w:val="19"/>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680"/>
          </w:cols>
          <w:pgMar w:left="600" w:top="818" w:right="600" w:bottom="66"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business may be adversely affected by global economic conditions.</w:t>
      </w:r>
    </w:p>
    <w:p>
      <w:pPr>
        <w:spacing w:after="0" w:line="23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9"/>
          <w:szCs w:val="19"/>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57" w:lineRule="exact"/>
        <w:rPr>
          <w:sz w:val="20"/>
          <w:szCs w:val="20"/>
          <w:color w:val="auto"/>
        </w:rPr>
      </w:pPr>
    </w:p>
    <w:p>
      <w:pPr>
        <w:ind w:left="700" w:hanging="350"/>
        <w:spacing w:after="0"/>
        <w:tabs>
          <w:tab w:leader="none" w:pos="7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customers or potential customers may reduce or delay their procurement or new product development;</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key suppliers may have difficulties resulting in delays for our material purchases;</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vendors, suppliers and other third parties may fail to perform their contractual obligations; and</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customers may become insolvent and/or unable to obtain credit to finance purchases of our products and services.</w:t>
      </w:r>
    </w:p>
    <w:p>
      <w:pPr>
        <w:spacing w:after="0" w:line="23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0"/>
          <w:szCs w:val="20"/>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dependence upon fixed-price contracts could adversely affect our operating results.</w:t>
      </w:r>
    </w:p>
    <w:p>
      <w:pPr>
        <w:spacing w:after="0" w:line="2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19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0"/>
          <w:szCs w:val="20"/>
          <w:i w:val="1"/>
          <w:iCs w:val="1"/>
          <w:color w:val="auto"/>
        </w:rPr>
        <w:t>Accounting for contract revenue may result in material adjustments that would adversely affect our financial condition and results of operations.</w:t>
      </w:r>
    </w:p>
    <w:p>
      <w:pPr>
        <w:spacing w:after="0" w:line="17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202"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9"/>
          <w:szCs w:val="19"/>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 on management’s reasonable assumptions and our historical experience and are only estimates. Variation of actual results from these</w:t>
      </w:r>
    </w:p>
    <w:p>
      <w:pPr>
        <w:sectPr>
          <w:pgSz w:w="11880" w:h="15480" w:orient="portrait"/>
          <w:cols w:equalWidth="0" w:num="1">
            <w:col w:w="10680"/>
          </w:cols>
          <w:pgMar w:left="600" w:top="815" w:right="600" w:bottom="66"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680"/>
          </w:cols>
          <w:pgMar w:left="600" w:top="815" w:right="600" w:bottom="66" w:gutter="0" w:footer="0" w:header="0"/>
          <w:type w:val="continuous"/>
        </w:sectPr>
      </w:pPr>
    </w:p>
    <w:bookmarkStart w:id="27" w:name="page28"/>
    <w:bookmarkEnd w:id="27"/>
    <w:p>
      <w:pPr>
        <w:jc w:val="both"/>
        <w:ind w:right="280"/>
        <w:spacing w:after="0" w:line="256" w:lineRule="auto"/>
        <w:rPr>
          <w:sz w:val="20"/>
          <w:szCs w:val="20"/>
          <w:color w:val="auto"/>
        </w:rPr>
      </w:pPr>
      <w:r>
        <w:rPr>
          <w:rFonts w:ascii="Times New Roman" w:cs="Times New Roman" w:eastAsia="Times New Roman" w:hAnsi="Times New Roman"/>
          <w:sz w:val="20"/>
          <w:szCs w:val="20"/>
          <w:color w:val="auto"/>
        </w:rPr>
        <w:t>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inability to deliver our backlog on time could affect our future sales and profitability, and our relationships with our customers.</w:t>
      </w:r>
    </w:p>
    <w:p>
      <w:pPr>
        <w:spacing w:after="0" w:line="23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backlog was $793.1 million at December 31, 2025, and $540.9 million at December 31, 2024.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Volatility of oil and natural gas prices can adversely affect demand for our products and services.</w:t>
      </w:r>
    </w:p>
    <w:p>
      <w:pPr>
        <w:spacing w:after="0" w:line="232"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20"/>
          <w:szCs w:val="20"/>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20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0"/>
          <w:szCs w:val="20"/>
          <w:i w:val="1"/>
          <w:iCs w:val="1"/>
          <w:color w:val="auto"/>
        </w:rPr>
        <w:t>Increasing costs for manufactured components, raw materials, transportation, health care and energy prices may adversely affect our profitability.</w:t>
      </w:r>
    </w:p>
    <w:p>
      <w:pPr>
        <w:spacing w:after="0" w:line="17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and increases in the price of these items could materially increase our operating costs and materially adversely affect our profit margins. Similarly, transportation, steel and health care costs have risen steadily over the past few years and could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financial performance may vary significantly from period to period.</w:t>
      </w:r>
    </w:p>
    <w:p>
      <w:pPr>
        <w:spacing w:after="0" w:line="23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Customers may cancel or delay projects. As a result, our backlog may not be indicative of our future revenue.</w:t>
      </w:r>
    </w:p>
    <w:p>
      <w:pPr>
        <w:spacing w:after="0" w:line="23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 example, in a year-long project as opposed to a three-month project, more time is available for the customer to experience a softening in its business, which may cause the customer to cancel a project.</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680"/>
          </w:cols>
          <w:pgMar w:left="600" w:top="818" w:right="600" w:bottom="66"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i w:val="1"/>
          <w:iCs w:val="1"/>
          <w:color w:val="auto"/>
        </w:rPr>
        <w:t>We face significant competition in the markets we serve.</w:t>
      </w:r>
    </w:p>
    <w:p>
      <w:pPr>
        <w:spacing w:after="0" w:line="23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All of the product and solution categories in which we compete are highly fragmented and competitive. We compete in industrial markets against a number of local, regional and national manufacturers and suppliers in each of our product or service lines. Our products primarily compete on the basis of performance, quality, reliability, lead time, on-time delivery, and safety supported by advanced engineering and operational excellence. We must also be responsive to any technological developments, including expanded use of data analytics, artificial intelligence, and machine learning, and related changing customer requirements. Any failure by us to compete effectively in the markets we serve could have a material adverse effect on our financial condition, results of operations and cash flows.</w:t>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8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9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w:t>
      </w:r>
    </w:p>
    <w:p>
      <w:pPr>
        <w:spacing w:after="0" w:line="18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0"/>
          <w:szCs w:val="20"/>
          <w:i w:val="1"/>
          <w:iCs w:val="1"/>
          <w:color w:val="auto"/>
        </w:rPr>
        <w:t>Liability to customers under warranties may adversely affect our reputation, our ability to obtain future business and our results of operations.</w:t>
      </w:r>
    </w:p>
    <w:p>
      <w:pPr>
        <w:spacing w:after="0" w:line="1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Model and Capital Structure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gross profit may be affected by shifts in our product mix.</w:t>
      </w:r>
    </w:p>
    <w:p>
      <w:pPr>
        <w:spacing w:after="0" w:line="2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manufacturing operations are dependent on third-party suppliers.</w:t>
      </w:r>
    </w:p>
    <w:p>
      <w:pPr>
        <w:spacing w:after="0" w:line="2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ensure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fires or other natural disasters could</w:t>
      </w:r>
    </w:p>
    <w:p>
      <w:pPr>
        <w:sectPr>
          <w:pgSz w:w="11880" w:h="15480" w:orient="portrait"/>
          <w:cols w:equalWidth="0" w:num="1">
            <w:col w:w="10660"/>
          </w:cols>
          <w:pgMar w:left="600" w:top="821" w:right="620" w:bottom="66"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660"/>
          </w:cols>
          <w:pgMar w:left="600" w:top="821" w:right="620" w:bottom="66" w:gutter="0" w:footer="0" w:header="0"/>
          <w:type w:val="continuous"/>
        </w:sectPr>
      </w:pPr>
    </w:p>
    <w:bookmarkStart w:id="29" w:name="page30"/>
    <w:bookmarkEnd w:id="29"/>
    <w:p>
      <w:pPr>
        <w:ind w:right="140"/>
        <w:spacing w:after="0" w:line="256" w:lineRule="auto"/>
        <w:rPr>
          <w:sz w:val="20"/>
          <w:szCs w:val="20"/>
          <w:color w:val="auto"/>
        </w:rPr>
      </w:pPr>
      <w:r>
        <w:rPr>
          <w:rFonts w:ascii="Times New Roman" w:cs="Times New Roman" w:eastAsia="Times New Roman" w:hAnsi="Times New Roman"/>
          <w:sz w:val="20"/>
          <w:szCs w:val="20"/>
          <w:color w:val="auto"/>
        </w:rPr>
        <w:t>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use of subcontractors could potentially harm our profitability and business reputation.</w:t>
      </w:r>
    </w:p>
    <w:p>
      <w:pPr>
        <w:spacing w:after="0" w:line="23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use the same subcontractors that we use and could potentially influence our ability to hire these subcontractors. If we were to lose relationships with key subcontractors, our business could be adversely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 significant portion of our accounts receivable are related to larger contracts, which increases our exposure to credit risk.</w:t>
      </w:r>
    </w:p>
    <w:p>
      <w:pPr>
        <w:spacing w:after="0" w:line="23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Significant portions of our sales are to customers who place large orders for custom products and whose activities are related to the power generation and oil and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billing terms can increase our exposure to working capital and credit risk.</w:t>
      </w:r>
    </w:p>
    <w:p>
      <w:pPr>
        <w:spacing w:after="0" w:line="23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products are generally sold under contracts that allow us to bill upon the completion of certain agreed-upon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201"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0"/>
          <w:szCs w:val="20"/>
          <w:i w:val="1"/>
          <w:iCs w:val="1"/>
          <w:color w:val="auto"/>
        </w:rPr>
        <w:t>Currency fluctuations may reduce profits on our foreign sales or increase our costs, either of which could adversely affect our financial results.</w:t>
      </w:r>
    </w:p>
    <w:p>
      <w:pPr>
        <w:spacing w:after="0" w:line="17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Given that approximately 34% of our 2025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20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0"/>
          <w:szCs w:val="20"/>
          <w:i w:val="1"/>
          <w:iCs w:val="1"/>
          <w:color w:val="auto"/>
        </w:rPr>
        <w:t>If our goodwill or indefinite lived intangibles become impaired, we may be required to recognize charges that would adversely impact our results of operations.</w:t>
      </w:r>
    </w:p>
    <w:p>
      <w:pPr>
        <w:spacing w:after="0" w:line="1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As of December 31, 2025, goodwill and indefinite lived intangibles were $297.9 million, or 33.3%,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680"/>
          </w:cols>
          <w:pgMar w:left="600" w:top="818" w:right="600" w:bottom="66" w:gutter="0" w:footer="0" w:header="0"/>
          <w:type w:val="continuous"/>
        </w:sectPr>
      </w:pPr>
    </w:p>
    <w:bookmarkStart w:id="30" w:name="page31"/>
    <w:bookmarkEnd w:id="30"/>
    <w:p>
      <w:pPr>
        <w:ind w:right="60"/>
        <w:spacing w:after="0" w:line="275" w:lineRule="auto"/>
        <w:rPr>
          <w:sz w:val="20"/>
          <w:szCs w:val="20"/>
          <w:color w:val="auto"/>
        </w:rPr>
      </w:pPr>
      <w:r>
        <w:rPr>
          <w:rFonts w:ascii="Times New Roman" w:cs="Times New Roman" w:eastAsia="Times New Roman" w:hAnsi="Times New Roman"/>
          <w:sz w:val="20"/>
          <w:szCs w:val="20"/>
          <w:color w:val="auto"/>
        </w:rPr>
        <w:t>write-down of goodwill or intangible assets resulting from future periodic evaluations could adversely materially impact our results of operations.</w:t>
      </w:r>
    </w:p>
    <w:p>
      <w:pPr>
        <w:spacing w:after="0" w:line="16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0"/>
          <w:szCs w:val="20"/>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7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20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0"/>
          <w:szCs w:val="20"/>
          <w:i w:val="1"/>
          <w:iCs w:val="1"/>
          <w:color w:val="auto"/>
        </w:rPr>
        <w:t>We are party to asbestos-containing product litigation that could adversely affect our financial condition, results of operations and cash flows.</w:t>
      </w:r>
    </w:p>
    <w:p>
      <w:pPr>
        <w:spacing w:after="0" w:line="17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Our subsidiary Met-Pro Technologies LLC (“Met-Pro”), relative to its former Dean Pump division, has been named in asbestos-related lawsuits filed against a large number of industrial companies including, in particular, those in the pump and fluid handling industries. While we divested of the fluid handling business (also known as the Global Pump Solutions business) in the first quarter of 2025, we retained historical asbestos liabilities and the related legacy insurance policies. In management’s opinion, the complaints typically have been vague, general and speculative, alleging that Met-Pro, along with the numerous other defendants, sold asbestos-containing products and engaged in other related actions which caused injuries (including mesothelioma and death) and loss to the plaintiffs. Our insurers have hired attorneys who, together with us, are vigorously defending these cases. Many cases have been dismissed after the plaintiff fails to identify or produce evidence of exposure to Met-Pro’s products. In those cases, where evidence has been produced, our experience has been that the exposure levels are low and our position has been that its products were not a cause of death, injury or loss. We have been dismissed from a large number of these cases, with a small number of these dismissals resulting in immaterial settlements. We also presently believe that none of the pending cases will have a material impact upon our results of operations, liquidity or financial condition.</w:t>
      </w:r>
    </w:p>
    <w:p>
      <w:pPr>
        <w:spacing w:after="0" w:line="19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See Note 12 to the Consolidated Financial Statements contained in Part II, Item 8 of this Annual Report on Form 10-K for information regarding the asbestos-related litigation in which we are involved.</w:t>
      </w:r>
    </w:p>
    <w:p>
      <w:pPr>
        <w:spacing w:after="0" w:line="169"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9"/>
          <w:szCs w:val="19"/>
          <w:i w:val="1"/>
          <w:iCs w:val="1"/>
          <w:color w:val="auto"/>
        </w:rPr>
        <w:t>We have $214.2 million of indebtedness as of December 31, 2025, and incurrence of additional indebtedness could adversely affect our ability to operate our business, remain in compliance with debt covenants, make payments on our debt and limit our growth.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outstanding indebtedness could have important consequences for investors, including the following:</w:t>
      </w:r>
    </w:p>
    <w:p>
      <w:pPr>
        <w:spacing w:after="0" w:line="250" w:lineRule="exact"/>
        <w:rPr>
          <w:sz w:val="20"/>
          <w:szCs w:val="20"/>
          <w:color w:val="auto"/>
        </w:rPr>
      </w:pPr>
    </w:p>
    <w:p>
      <w:pPr>
        <w:ind w:left="700" w:right="40" w:hanging="350"/>
        <w:spacing w:after="0" w:line="249" w:lineRule="auto"/>
        <w:tabs>
          <w:tab w:leader="none" w:pos="7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88" w:lineRule="exact"/>
        <w:rPr>
          <w:rFonts w:ascii="Arial" w:cs="Arial" w:eastAsia="Arial" w:hAnsi="Arial"/>
          <w:sz w:val="20"/>
          <w:szCs w:val="20"/>
          <w:color w:val="auto"/>
        </w:rPr>
      </w:pPr>
    </w:p>
    <w:p>
      <w:pPr>
        <w:ind w:left="700" w:right="80" w:hanging="350"/>
        <w:spacing w:after="0" w:line="274" w:lineRule="auto"/>
        <w:tabs>
          <w:tab w:leader="none" w:pos="7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62" w:lineRule="exact"/>
        <w:rPr>
          <w:rFonts w:ascii="Arial" w:cs="Arial" w:eastAsia="Arial" w:hAnsi="Arial"/>
          <w:sz w:val="20"/>
          <w:szCs w:val="20"/>
          <w:color w:val="auto"/>
        </w:rPr>
      </w:pPr>
    </w:p>
    <w:p>
      <w:pPr>
        <w:ind w:left="700" w:right="640" w:hanging="350"/>
        <w:spacing w:after="0" w:line="274" w:lineRule="auto"/>
        <w:tabs>
          <w:tab w:leader="none" w:pos="7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of our interest expense may increase because a substantial portion of our borrowings is at variable rates of interest, which, if interest rates increase, could result in higher interest expense;</w:t>
      </w:r>
    </w:p>
    <w:p>
      <w:pPr>
        <w:spacing w:after="0" w:line="62" w:lineRule="exact"/>
        <w:rPr>
          <w:rFonts w:ascii="Arial" w:cs="Arial" w:eastAsia="Arial" w:hAnsi="Arial"/>
          <w:sz w:val="20"/>
          <w:szCs w:val="20"/>
          <w:color w:val="auto"/>
        </w:rPr>
      </w:pPr>
    </w:p>
    <w:p>
      <w:pPr>
        <w:ind w:left="700" w:right="40" w:hanging="350"/>
        <w:spacing w:after="0" w:line="301" w:lineRule="auto"/>
        <w:tabs>
          <w:tab w:leader="none" w:pos="70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39"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a higher level of debt than some of our competitors, which could put us at a competitive disadvantage;</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more vulnerable to economic downturns and adverse developments in our industry or the economy in general; and</w:t>
      </w:r>
    </w:p>
    <w:p>
      <w:pPr>
        <w:spacing w:after="0" w:line="141" w:lineRule="exact"/>
        <w:rPr>
          <w:rFonts w:ascii="Arial" w:cs="Arial" w:eastAsia="Arial" w:hAnsi="Arial"/>
          <w:sz w:val="19"/>
          <w:szCs w:val="19"/>
          <w:color w:val="auto"/>
        </w:rPr>
      </w:pPr>
    </w:p>
    <w:p>
      <w:pPr>
        <w:ind w:left="700" w:right="120" w:hanging="350"/>
        <w:spacing w:after="0" w:line="274" w:lineRule="auto"/>
        <w:tabs>
          <w:tab w:leader="none" w:pos="7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our debt level could limit our flexibility in planning for, or reacting to, changes in our business and the industry in which we operate.</w:t>
      </w:r>
    </w:p>
    <w:p>
      <w:pPr>
        <w:spacing w:after="0" w:line="16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w:t>
      </w:r>
    </w:p>
    <w:p>
      <w:pPr>
        <w:sectPr>
          <w:pgSz w:w="11880" w:h="15480" w:orient="portrait"/>
          <w:cols w:equalWidth="0" w:num="1">
            <w:col w:w="10680"/>
          </w:cols>
          <w:pgMar w:left="600" w:top="818" w:right="600" w:bottom="66"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680"/>
          </w:cols>
          <w:pgMar w:left="600" w:top="818" w:right="600" w:bottom="66" w:gutter="0" w:footer="0" w:header="0"/>
          <w:type w:val="continuous"/>
        </w:sectPr>
      </w:pPr>
    </w:p>
    <w:bookmarkStart w:id="31" w:name="page32"/>
    <w:bookmarkEnd w:id="31"/>
    <w:p>
      <w:pPr>
        <w:ind w:right="320"/>
        <w:spacing w:after="0" w:line="275" w:lineRule="auto"/>
        <w:rPr>
          <w:sz w:val="20"/>
          <w:szCs w:val="20"/>
          <w:color w:val="auto"/>
        </w:rPr>
      </w:pPr>
      <w:r>
        <w:rPr>
          <w:rFonts w:ascii="Times New Roman" w:cs="Times New Roman" w:eastAsia="Times New Roman" w:hAnsi="Times New Roman"/>
          <w:sz w:val="20"/>
          <w:szCs w:val="20"/>
          <w:color w:val="auto"/>
        </w:rPr>
        <w:t>future debt, sell assets, borrow more money or raise equity. We may not be able to refinance our existing or future debt, sell assets, borrow more money or raise equity on terms acceptable to us, if at all.</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88"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0"/>
          <w:szCs w:val="20"/>
          <w:i w:val="1"/>
          <w:iCs w:val="1"/>
          <w:color w:val="auto"/>
        </w:rPr>
        <w:t>We might be unable to protect our intellectual property rights and our products could infringe the intellectual property rights of others, which could expose us to costly disputes.</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205"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0"/>
          <w:szCs w:val="20"/>
          <w:i w:val="1"/>
          <w:iCs w:val="1"/>
          <w:color w:val="auto"/>
        </w:rPr>
        <w:t>We have made and may make future acquisitions or divestitures, which involve numerous risks that could impact our financial condition, results of operations and cash flows.</w:t>
      </w:r>
    </w:p>
    <w:p>
      <w:pPr>
        <w:spacing w:after="0" w:line="17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9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7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0"/>
          <w:szCs w:val="20"/>
          <w:i w:val="1"/>
          <w:iCs w:val="1"/>
          <w:color w:val="auto"/>
        </w:rPr>
        <w:t>Societal responses to climate change could adversely affect our business and performance, including indirectly through impacts on our customers.</w:t>
      </w:r>
    </w:p>
    <w:p>
      <w:pPr>
        <w:spacing w:after="0" w:line="17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 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on us could be a drop in demand for our products and services, particularly in oil and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20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0"/>
          <w:szCs w:val="20"/>
          <w:i w:val="1"/>
          <w:iCs w:val="1"/>
          <w:color w:val="auto"/>
        </w:rPr>
        <w:t>Global climate change and related emphasis on environmental, social and governance ("ESG") matters by various stakeholders could negatively affect our business.</w:t>
      </w:r>
    </w:p>
    <w:p>
      <w:pPr>
        <w:spacing w:after="0" w:line="17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Customer, investor and employee expectations relating to ESG have been rapidly evolving. In addition, certain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680"/>
          </w:cols>
          <w:pgMar w:left="600" w:top="818" w:right="600" w:bottom="66" w:gutter="0" w:footer="0" w:header="0"/>
          <w:type w:val="continuous"/>
        </w:sectPr>
      </w:pPr>
    </w:p>
    <w:bookmarkStart w:id="32" w:name="page33"/>
    <w:bookmarkEnd w:id="32"/>
    <w:p>
      <w:pPr>
        <w:ind w:right="340"/>
        <w:spacing w:after="0" w:line="275" w:lineRule="auto"/>
        <w:rPr>
          <w:sz w:val="20"/>
          <w:szCs w:val="20"/>
          <w:color w:val="auto"/>
        </w:rPr>
      </w:pPr>
      <w:r>
        <w:rPr>
          <w:rFonts w:ascii="Times New Roman" w:cs="Times New Roman" w:eastAsia="Times New Roman" w:hAnsi="Times New Roman"/>
          <w:sz w:val="20"/>
          <w:szCs w:val="20"/>
          <w:color w:val="auto"/>
        </w:rPr>
        <w:t>to attract and retain top talent. In addition, our adoption of certain standards or mandated compliance to certain requirements could necessitate additional investments that could impact our profitability.</w:t>
      </w:r>
    </w:p>
    <w:p>
      <w:pPr>
        <w:spacing w:after="0" w:line="16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Climate changes, such as extreme weather conditions, create financial risk to our business. Global physical climate changes, including unseasonable weather conditions, could result in reduced demand or product obsolescence for certain of our customers’ products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Human Capital Management</w:t>
      </w:r>
    </w:p>
    <w:p>
      <w:pPr>
        <w:spacing w:after="0" w:line="242"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0"/>
          <w:szCs w:val="20"/>
          <w:i w:val="1"/>
          <w:iCs w:val="1"/>
          <w:color w:val="auto"/>
        </w:rPr>
        <w:t>The loss of key personnel or inability to attract and retain additional personnel could affect our ability to successfully grow our business.</w:t>
      </w:r>
    </w:p>
    <w:p>
      <w:pPr>
        <w:spacing w:after="0" w:line="17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Our future success depends upon the continued service of our executive officers and other key business leaders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competition for talent, particularly engineering talent, increasingly attempt to hire, and to varying degrees have been successful in hiring, our employees. If we are unable to attract and retain qualified employees, our business may be harmed.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Work stoppages or similar difficulties could significantly disrupt our operations.</w:t>
      </w:r>
    </w:p>
    <w:p>
      <w:pPr>
        <w:spacing w:after="0" w:line="23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Approximately 250 of our approximately 1,540 employees are represented by international or independent labor unions under various union contracts, which, for our covered employees in the United States, are set to renegotiate collective bargaining agreements in the first half of 2026. It is possible that our workforce will become more unionized in the future. Although we consider our employee relations to generally be good, our existing labor agreements may not prevent a strike or work stoppage at one or more of our facilities, which may have a material adverse effect on our business. Unionization activities could also increase our costs, which could have an adverse effect on our profitability.</w:t>
      </w:r>
    </w:p>
    <w:p>
      <w:pPr>
        <w:spacing w:after="0" w:line="19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color w:val="auto"/>
        </w:rPr>
        <w:t>Additionally, a work stoppage at one of our suppliers could adversely affect our operations if an alternative source of supply were not readily available. Work stoppages by employees of our customers also could result in reduced demand for our products.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Technology and Cybersecurity Risks</w:t>
      </w:r>
    </w:p>
    <w:p>
      <w:pPr>
        <w:spacing w:after="0" w:line="24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0"/>
          <w:szCs w:val="20"/>
          <w:i w:val="1"/>
          <w:iCs w:val="1"/>
          <w:color w:val="auto"/>
        </w:rPr>
        <w:t>Our dependence on information systems and the failure of such systems, could significantly disrupt our business and negatively affect our financial condition, results of operations and cash flows.</w:t>
      </w:r>
    </w:p>
    <w:p>
      <w:pPr>
        <w:spacing w:after="0" w:line="170"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whether caused by natural disasters, telecommunications outages, cyberattacks, criminal acts, or other cybersecurity incidents, we may have limited ability to control the timing and effectiveness of system restoration. Any resulting disruption to our operations could materially and adversely affect our business, financial condition, and results of operations.</w:t>
      </w:r>
    </w:p>
    <w:p>
      <w:pPr>
        <w:spacing w:after="0" w:line="18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auto"/>
        </w:rPr>
        <w:t>In addition to risks posed by our direct third-party suppliers, we are exposed to fourth-party cybersecurity risks, which arise from the subcontractors and service providers engaged by those suppliers. These entities often have access to critical systems or sensitive data through interconnected supply chains, creating vulnerabilities beyond our immediate control. A security breach or operational failure at a fourth-party provider could compromise our data integrity, disrupt services, or lead to regulatory non-compliance, even if our direct suppliers maintain strong security practices. Because visibility and oversight of these extended relationships are limited, the likelihood of undetected vulnerabilities increases, amplifying potential financial, operational, and reputational impacts.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Artificial Intelligence integration by third-party suppliers could pose a risk to our systems, networks, and products.</w:t>
      </w:r>
    </w:p>
    <w:p>
      <w:pPr>
        <w:spacing w:after="0" w:line="2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Our reliance on third-party suppliers introduces additional risks as these suppliers increasingly incorporate artificial intelligence ("AI") technologies into their products and services. While AI tools may enhance functionality and efficiency, they can also create operational complexities and unforeseen limitations. These changes may affect suppliers’ ability to maintain consistent service levels, ensure reliability, and deliver the expected user experience. Furthermore, AI-driven processes may introduce new cybersecurity vulnerabilities, compliance challenges, and ethical considerations that could impact our business operations. Because we have limited</w:t>
      </w:r>
    </w:p>
    <w:p>
      <w:pPr>
        <w:sectPr>
          <w:pgSz w:w="11880" w:h="15480" w:orient="portrait"/>
          <w:cols w:equalWidth="0" w:num="1">
            <w:col w:w="10680"/>
          </w:cols>
          <w:pgMar w:left="600" w:top="818" w:right="600" w:bottom="66"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680"/>
          </w:cols>
          <w:pgMar w:left="600" w:top="818" w:right="600" w:bottom="66" w:gutter="0" w:footer="0" w:header="0"/>
          <w:type w:val="continuous"/>
        </w:sectPr>
      </w:pPr>
    </w:p>
    <w:bookmarkStart w:id="33" w:name="page34"/>
    <w:bookmarkEnd w:id="33"/>
    <w:p>
      <w:pPr>
        <w:spacing w:after="0" w:line="275" w:lineRule="auto"/>
        <w:rPr>
          <w:sz w:val="20"/>
          <w:szCs w:val="20"/>
          <w:color w:val="auto"/>
        </w:rPr>
      </w:pPr>
      <w:r>
        <w:rPr>
          <w:rFonts w:ascii="Times New Roman" w:cs="Times New Roman" w:eastAsia="Times New Roman" w:hAnsi="Times New Roman"/>
          <w:sz w:val="20"/>
          <w:szCs w:val="20"/>
          <w:color w:val="auto"/>
        </w:rPr>
        <w:t>control over how suppliers implement and manage AI technologies, any deficiencies or failures in these systems could result in service disruptions, data integrity issues, or reputational harm.</w:t>
      </w:r>
    </w:p>
    <w:p>
      <w:pPr>
        <w:spacing w:after="0" w:line="16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0"/>
          <w:szCs w:val="20"/>
          <w:i w:val="1"/>
          <w:iCs w:val="1"/>
          <w:color w:val="auto"/>
        </w:rPr>
        <w:t>Increased information technology cybersecurity threats and more sophisticated and targeted computer crime could pose a risk to our systems, networks, and products.</w:t>
      </w:r>
    </w:p>
    <w:p>
      <w:pPr>
        <w:spacing w:after="0" w:line="17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Increased global information technology cybersecurity threats and more sophisticated and targeted computer crime, including utilization of generative artificial intelligence,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18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Compliance and International Operations Risks</w:t>
      </w:r>
    </w:p>
    <w:p>
      <w:pPr>
        <w:spacing w:after="0" w:line="242"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20"/>
          <w:szCs w:val="20"/>
          <w:i w:val="1"/>
          <w:iCs w:val="1"/>
          <w:color w:val="auto"/>
        </w:rPr>
        <w:t>Disruptions in the political, regulatory, economic and social conditions of the countries in which we conduct business could negatively impact our business, financial condition and profits.</w:t>
      </w:r>
    </w:p>
    <w:p>
      <w:pPr>
        <w:spacing w:after="0" w:line="17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We operate and do business in many countries in addition to the United States. For the year ended December 31, 2025, approximately 34%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local, economic, political, and social conditions, including potential hyperinflationary conditions and political instability in certain countries; tax-related risks, including the imposition of taxes and the lack of beneficial treaties, that result in a higher effective tax rate for us; imposition of limitations on the remittance of dividends and payments by foreign subsidiaries; difficulties in enforcing agreements and collecting receivables through certain foreign local systems; domestic and foreign customs, tariffs, and quotas or other trade barriers; risk of nationalization of private enterprises by foreign governments; managing and obtaining support and distribution channels for overseas operations; hiring and retaining qualified management personnel for our overseas operations; and the results of new trade agreements and changes in membership to international coalitions or unions.</w:t>
      </w:r>
    </w:p>
    <w:p>
      <w:pPr>
        <w:spacing w:after="0" w:line="18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94"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9"/>
          <w:szCs w:val="19"/>
          <w:color w:val="auto"/>
        </w:rPr>
        <w:t>In addition, compliance with foreign and domestic legal and regulatory requirements, including import, export, defense regulations and foreign exchange controls and anti-corruption laws, as discussed below, such as the FCPA (as defined below), the U.K. Bribery</w:t>
      </w:r>
    </w:p>
    <w:p>
      <w:pPr>
        <w:sectPr>
          <w:pgSz w:w="11880" w:h="15480" w:orient="portrait"/>
          <w:cols w:equalWidth="0" w:num="1">
            <w:col w:w="10680"/>
          </w:cols>
          <w:pgMar w:left="600" w:top="818" w:right="600" w:bottom="66"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680"/>
          </w:cols>
          <w:pgMar w:left="600" w:top="818" w:right="600" w:bottom="66" w:gutter="0" w:footer="0" w:header="0"/>
          <w:type w:val="continuous"/>
        </w:sectPr>
      </w:pPr>
    </w:p>
    <w:bookmarkStart w:id="34" w:name="page35"/>
    <w:bookmarkEnd w:id="34"/>
    <w:p>
      <w:pPr>
        <w:ind w:right="140"/>
        <w:spacing w:after="0" w:line="250" w:lineRule="auto"/>
        <w:rPr>
          <w:sz w:val="20"/>
          <w:szCs w:val="20"/>
          <w:color w:val="auto"/>
        </w:rPr>
      </w:pPr>
      <w:r>
        <w:rPr>
          <w:rFonts w:ascii="Times New Roman" w:cs="Times New Roman" w:eastAsia="Times New Roman" w:hAnsi="Times New Roman"/>
          <w:sz w:val="20"/>
          <w:szCs w:val="20"/>
          <w:color w:val="auto"/>
        </w:rPr>
        <w:t>Act (as defined below),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w:t>
      </w:r>
    </w:p>
    <w:p>
      <w:pPr>
        <w:spacing w:after="0" w:line="18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0"/>
          <w:szCs w:val="20"/>
          <w:color w:val="auto"/>
        </w:rPr>
        <w:t>The occurrence of one or more of the foregoing factors could have a material adverse effect on our international operations or upon our financial condition, results of operations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could be adversely affected by violations of the U.S. Foreign Corrupt Practices Act and similar anti-bribery laws worldwide.</w:t>
      </w:r>
    </w:p>
    <w:p>
      <w:pPr>
        <w:spacing w:after="0" w:line="22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The U.S. Foreign Corrupt Practices Act ("FCPA"), the U.K. Bribery Act of 2010 ("U.K. Bribery Act"), and similar anti-bribery laws in other jurisdictions generally prohibit companies and their intermediaries from making improper payments for the purpose of obtaining or retaining business. 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there is no assurance that our internal control policies and procedures will protect us from acts committed by our employees or agents. If we are found to be liable for FCPA, U.K. Bribery Act or other similar violations, either due to our own acts or due to the acts of others, we could be subject to civil and criminal penalties or other sanctions, which could have a material adverse impact on our business, financial condition, and profits.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business can be significantly affected by changes in regulatory standards.</w:t>
      </w:r>
    </w:p>
    <w:p>
      <w:pPr>
        <w:spacing w:after="0" w:line="22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20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0"/>
          <w:szCs w:val="20"/>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7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9"/>
          <w:szCs w:val="19"/>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91" w:lineRule="exact"/>
        <w:rPr>
          <w:sz w:val="20"/>
          <w:szCs w:val="20"/>
          <w:color w:val="auto"/>
        </w:rPr>
      </w:pPr>
    </w:p>
    <w:p>
      <w:pPr>
        <w:ind w:right="1040"/>
        <w:spacing w:after="0" w:line="271" w:lineRule="auto"/>
        <w:rPr>
          <w:sz w:val="20"/>
          <w:szCs w:val="20"/>
          <w:color w:val="auto"/>
        </w:rPr>
      </w:pPr>
      <w:r>
        <w:rPr>
          <w:rFonts w:ascii="Times New Roman" w:cs="Times New Roman" w:eastAsia="Times New Roman" w:hAnsi="Times New Roman"/>
          <w:sz w:val="20"/>
          <w:szCs w:val="20"/>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7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Trump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 international trade agreements, and any resulting negative sentiments towards the United States as a result thereof, would likely have an adverse effect on our international operations or upon our business, financial condition, results of operations and cash flows.</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680"/>
          </w:cols>
          <w:pgMar w:left="600" w:top="818" w:right="600" w:bottom="66"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0"/>
          <w:szCs w:val="20"/>
          <w:i w:val="1"/>
          <w:iCs w:val="1"/>
          <w:color w:val="auto"/>
        </w:rPr>
        <w:t>The market price of our common stock may be volatile or may decline regardless of our operating performance and investors may not be able to resell shares they purchase at their purchase price.</w:t>
      </w:r>
    </w:p>
    <w:p>
      <w:pPr>
        <w:spacing w:after="0" w:line="17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2025, the price of our common stock on the NASDAQ ranged from $17.97 to $62.51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91" w:lineRule="exact"/>
        <w:rPr>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variations in operating results;</w:t>
      </w:r>
    </w:p>
    <w:p>
      <w:pPr>
        <w:spacing w:after="0" w:line="129" w:lineRule="exact"/>
        <w:rPr>
          <w:rFonts w:ascii="Arial" w:cs="Arial" w:eastAsia="Arial" w:hAnsi="Arial"/>
          <w:sz w:val="20"/>
          <w:szCs w:val="20"/>
          <w:color w:val="auto"/>
        </w:rPr>
      </w:pPr>
    </w:p>
    <w:p>
      <w:pPr>
        <w:jc w:val="both"/>
        <w:ind w:left="700" w:right="20" w:hanging="350"/>
        <w:spacing w:after="0" w:line="255" w:lineRule="auto"/>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82"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other domestic and international macroeconomic factors unrelated to our performance;</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health epidemics and other outbreaks;</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meet the expectations of the investment community;</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industry trends and the business success of our customers;</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loss of key customers;</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technological advances by us or our competitors;</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current events affecting the political and economic environment in the United States;</w:t>
      </w:r>
    </w:p>
    <w:p>
      <w:pPr>
        <w:spacing w:after="0" w:line="129" w:lineRule="exact"/>
        <w:rPr>
          <w:rFonts w:ascii="Arial" w:cs="Arial" w:eastAsia="Arial" w:hAnsi="Arial"/>
          <w:sz w:val="20"/>
          <w:szCs w:val="20"/>
          <w:color w:val="auto"/>
        </w:rPr>
      </w:pPr>
    </w:p>
    <w:p>
      <w:pPr>
        <w:ind w:left="700" w:right="1040" w:hanging="350"/>
        <w:spacing w:after="0" w:line="274" w:lineRule="auto"/>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conditions or trends in our industry, including demand for our products and services, technological advances and governmental regulations;</w:t>
      </w:r>
    </w:p>
    <w:p>
      <w:pPr>
        <w:spacing w:after="0" w:line="62"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or other proceedings involving or affecting us; and</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our key personnel.</w:t>
      </w:r>
    </w:p>
    <w:p>
      <w:pPr>
        <w:spacing w:after="0" w:line="23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0"/>
          <w:szCs w:val="20"/>
          <w:color w:val="auto"/>
        </w:rPr>
        <w:t>The realization of any of these risks and other factors beyond our control could cause the market price of our common stock to decline significantly.</w:t>
      </w:r>
    </w:p>
    <w:p>
      <w:pPr>
        <w:spacing w:after="0" w:line="169"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0"/>
          <w:szCs w:val="20"/>
          <w:i w:val="1"/>
          <w:iCs w:val="1"/>
          <w:color w:val="auto"/>
        </w:rPr>
        <w:t>We are not currently paying dividends and cannot make assurances that we will pay dividends on our common stock and our indebtedness could limit our ability to pay dividends.</w:t>
      </w:r>
    </w:p>
    <w:p>
      <w:pPr>
        <w:spacing w:after="0" w:line="17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ability to issue preferred stock could adversely affect the rights of holders of our common stock.</w:t>
      </w:r>
    </w:p>
    <w:p>
      <w:pPr>
        <w:spacing w:after="0" w:line="2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Certain provisions in our charter documents have anti-takeover effects.</w:t>
      </w:r>
    </w:p>
    <w:p>
      <w:pPr>
        <w:spacing w:after="0" w:line="2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ectPr>
          <w:pgSz w:w="11880" w:h="15480" w:orient="portrait"/>
          <w:cols w:equalWidth="0" w:num="1">
            <w:col w:w="10680"/>
          </w:cols>
          <w:pgMar w:left="600" w:top="815" w:right="600" w:bottom="66"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680"/>
          </w:cols>
          <w:pgMar w:left="600" w:top="815" w:right="600" w:bottom="66"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Risks Related to Internal Control over Financial Reporting</w:t>
      </w:r>
    </w:p>
    <w:p>
      <w:pPr>
        <w:spacing w:after="0" w:line="2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i w:val="1"/>
          <w:iCs w:val="1"/>
          <w:color w:val="auto"/>
        </w:rPr>
        <w:t>We have identified material weaknesses in our internal control over financial reporting. If we are unable to remediate these material weaknesses and maintain adequate internal controls, we may not be able to accurately report our financial results in a timely manner, which may adversely affect investor confidence in us and materially and adversely affect our business.</w:t>
      </w:r>
    </w:p>
    <w:p>
      <w:pPr>
        <w:spacing w:after="0" w:line="18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95"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20"/>
          <w:szCs w:val="20"/>
          <w:color w:val="auto"/>
        </w:rPr>
        <w:t>We continue to devote substantial time and resources to the documentation and testing of our controls, and to plan for and the implementation of remedial efforts in those instances where remediation is indicated.</w:t>
      </w:r>
    </w:p>
    <w:p>
      <w:pPr>
        <w:spacing w:after="0" w:line="16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As disclosed in Item 9A. "Controls and Procedures" in this Annual Report on Form 10-K, we have identified material weaknesses in our internal control over financial reporting related to various control deficiencies at the Verantis Environmental Solutions Group business that we acquired in December 2024, as well our assessment of completeness and accuracy of information used in the execution of controls relating to balance sheet reconciliations. The material weaknesses did not result in any misstatements to our consolidated financial statements; however, they could result in a misstatement of account balances or disclosures that would result in a material misstatement to the annual or interim financial statements that would not be prevented or detected.</w:t>
      </w:r>
    </w:p>
    <w:p>
      <w:pPr>
        <w:spacing w:after="0" w:line="19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To address these material weaknesses, we have developed a remediation plan that includes updating control documentation, expanding education and training, and ensuring that controls are prepared and reviewed at the appropriate level of precision; hiring accounting and finance personnel with the requisite skills and expertise to perform control activities related to the financial close process and augmenting our internal resources by engaging external consultants with technical experience in accounting, financial reporting, and internal controls, until we add sufficient in-house skills to our staff; focusing on enhancing our information technology controls, specifically the assessment and integration of such controls at newly acquired entities; and developing an enhanced monitoring program to evaluate and assess whether controls are present and functioning in a timely manner and holding individuals accountable for their internal control responsibilities. As of December 31, 2025, these remediation efforts are ongoing.</w:t>
      </w:r>
    </w:p>
    <w:p>
      <w:pPr>
        <w:spacing w:after="0" w:line="204"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The actions that we are taking are subject to ongoing senior management review, as well as Audit Committee oversight. We will not be able to conclude whether the steps we are taking will fully remediate material weaknesses in our internal control over financial reporting until we have completed our remediation efforts and subsequent evaluation of their effectiveness. Until these material weaknesses are remediated, we plan to continue to perform additional analyses and other procedures to ensure that our consolidated financial statements are prepared in accordance with GAAP.</w:t>
      </w:r>
    </w:p>
    <w:p>
      <w:pPr>
        <w:spacing w:after="0" w:line="19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If we are unable to remediate these material weaknesses, or if we fail to develop and maintain adequate internal controls in the future, including remediating any material weaknesses or deficiencies in our internal controls,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8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0"/>
          <w:szCs w:val="20"/>
          <w:i w:val="1"/>
          <w:iCs w:val="1"/>
          <w:color w:val="auto"/>
        </w:rPr>
        <w:t>There are inherent limitations in all internal control systems over financial reporting, and misstatements due to error or fraud may occur and not be detected.</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w:t>
      </w:r>
    </w:p>
    <w:p>
      <w:pPr>
        <w:sectPr>
          <w:pgSz w:w="11880" w:h="15480" w:orient="portrait"/>
          <w:cols w:equalWidth="0" w:num="1">
            <w:col w:w="10680"/>
          </w:cols>
          <w:pgMar w:left="600" w:top="815" w:right="600" w:bottom="66"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680"/>
          </w:cols>
          <w:pgMar w:left="600" w:top="815" w:right="600" w:bottom="66" w:gutter="0" w:footer="0" w:header="0"/>
          <w:type w:val="continuous"/>
        </w:sectPr>
      </w:pPr>
    </w:p>
    <w:bookmarkStart w:id="37" w:name="page38"/>
    <w:bookmarkEnd w:id="37"/>
    <w:p>
      <w:pPr>
        <w:ind w:right="140"/>
        <w:spacing w:after="0" w:line="276" w:lineRule="auto"/>
        <w:rPr>
          <w:sz w:val="20"/>
          <w:szCs w:val="20"/>
          <w:color w:val="auto"/>
        </w:rPr>
      </w:pPr>
      <w:r>
        <w:rPr>
          <w:rFonts w:ascii="Times New Roman" w:cs="Times New Roman" w:eastAsia="Times New Roman" w:hAnsi="Times New Roman"/>
          <w:sz w:val="19"/>
          <w:szCs w:val="19"/>
          <w:color w:val="auto"/>
        </w:rPr>
        <w:t>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5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If we are not able to establish and maintain effective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Proposed Transaction with Thermon Group Holdings, Inc.</w:t>
      </w:r>
    </w:p>
    <w:p>
      <w:pPr>
        <w:spacing w:after="0" w:line="232"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0"/>
          <w:szCs w:val="20"/>
          <w:i w:val="1"/>
          <w:iCs w:val="1"/>
          <w:color w:val="auto"/>
        </w:rPr>
        <w:t>The proposed transaction may not be completed on the anticipated timeline, or at all, which could adversely affect our business, financial condition, results of operations and the market price of our common stock.</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the parties agreed to effect a two-step merger transaction contemplated thereby (the “Merger”). Although we expect to complete the Merger in 2026, there can be no assurances as to the exact timing of the closing or that the Merger will be completed at all. The consummation of the Merger is subject to the satisfaction or waiver of a number of conditions contained in the related Merger Agreement, including, among others, approval by the Company’s and Thermon’s stockholders, the expiration or termination of the applicable waiting period under the Hart-Scott-Rodino Antitrust Improvements Act of 1976, as amended, the effectiveness of a registration statement on Form S-4 to be filed by the Company, approval for listing on Nasdaq of the shares of Company common stock to be issued in the transaction, and other customary regulatory approvals and conditions. Such conditions, some of which are beyond our control, may not be satisfied or waived in a timely manner or at all and therefore make the completion and timing of the Merger uncertain. In addition, the Merger Agreement contains certain termination rights for both parties, which if exercised will also result in the Merger not being consummated. Any such termination or any failure to otherwise complete the Merger could result in various consequences, including, among others: our business being adversely impacted by the failure to pursue other beneficial opportunities due to the time and resources committed by our management to the Merger, without realizing any of the benefits of completing the Merger; incurring significant legal, accounting and other expenses relating to the Merger without realizing any of its anticipated benefits; the market price of our common stock being adversely impacted to the extent that the current market price reflects a market assumption that the Merger will be completed; and negative reactions from the financial markets and customers that may occur if the anticipated benefits of the Merger are not realized. Such consequences could have a material adverse effect on our business, financial condition, or results of operations.</w:t>
      </w:r>
    </w:p>
    <w:p>
      <w:pPr>
        <w:spacing w:after="0" w:line="200" w:lineRule="exact"/>
        <w:rPr>
          <w:sz w:val="20"/>
          <w:szCs w:val="20"/>
          <w:color w:val="auto"/>
        </w:rPr>
      </w:pPr>
    </w:p>
    <w:p>
      <w:pPr>
        <w:spacing w:after="0" w:line="212"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0"/>
          <w:szCs w:val="20"/>
          <w:i w:val="1"/>
          <w:iCs w:val="1"/>
          <w:color w:val="auto"/>
        </w:rPr>
        <w:t>The Merger Agreement restricts our ability to pursue alternative transactions and may require us to pay a termination fee under certain circumstances.</w:t>
      </w:r>
    </w:p>
    <w:p>
      <w:pPr>
        <w:spacing w:after="0" w:line="160" w:lineRule="exact"/>
        <w:rPr>
          <w:sz w:val="20"/>
          <w:szCs w:val="20"/>
          <w:color w:val="auto"/>
        </w:rPr>
      </w:pPr>
    </w:p>
    <w:p>
      <w:pPr>
        <w:ind w:right="480"/>
        <w:spacing w:after="0" w:line="246" w:lineRule="auto"/>
        <w:rPr>
          <w:sz w:val="20"/>
          <w:szCs w:val="20"/>
          <w:color w:val="auto"/>
        </w:rPr>
      </w:pPr>
      <w:r>
        <w:rPr>
          <w:rFonts w:ascii="Times New Roman" w:cs="Times New Roman" w:eastAsia="Times New Roman" w:hAnsi="Times New Roman"/>
          <w:sz w:val="20"/>
          <w:szCs w:val="20"/>
          <w:color w:val="auto"/>
        </w:rPr>
        <w:t>The Merger Agreement contains customary non-solicitation provisions that limit our ability to solicit or engage in discussions regarding alternative acquisition proposals, subject to certain fiduciary exceptions. If the Merger Agreement is terminated under certain specified circumstances, including in connection with a competing acquisition proposal, we may be required to pay a termination fee to Thermon. These provisions could discourage other potential strategic transactions that may be favorable to the Company and its stockholders.</w:t>
      </w:r>
    </w:p>
    <w:p>
      <w:pPr>
        <w:spacing w:after="0" w:line="19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0"/>
          <w:szCs w:val="20"/>
          <w:i w:val="1"/>
          <w:iCs w:val="1"/>
          <w:color w:val="auto"/>
        </w:rPr>
        <w:t>Even if the Merger is completed, we may be unable to successfully integrate Thermon’s business or realize the anticipated benefits of the proposed transaction, which may have a material adverse effect on our business, financial condition or results of operations.</w:t>
      </w:r>
    </w:p>
    <w:p>
      <w:pPr>
        <w:spacing w:after="0" w:line="16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The success of the Merger depends in part on whether we can complete the integration of the Thermon assets that we have not previously operated into our existing business in an efficient and effective manner, and there can be no assurance that we will be able to successfully integrate or otherwise realize the anticipated benefits of the Merger. The integration process may result in the disruption of ongoing business and there could be potential unknown liabilities and unforeseen expenses associated with the Merger that were not discovered in the course of performing due diligence. The integration may also require significant time and focus from management following the Merger that may disrupt our business and results of operations. Potential risks or difficulties include, among others:</w:t>
      </w:r>
    </w:p>
    <w:p>
      <w:pPr>
        <w:spacing w:after="0" w:line="97" w:lineRule="exact"/>
        <w:rPr>
          <w:sz w:val="20"/>
          <w:szCs w:val="20"/>
          <w:color w:val="auto"/>
        </w:rPr>
      </w:pPr>
    </w:p>
    <w:p>
      <w:pPr>
        <w:ind w:left="960" w:hanging="481"/>
        <w:spacing w:after="0"/>
        <w:tabs>
          <w:tab w:leader="none" w:pos="9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complexities associated with integrating our existing systems, technologies and other workflows with new assets;</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retain the services of key management and personnel;</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the accuracy of our assessments of the assets acquired in the Merger;</w:t>
      </w:r>
    </w:p>
    <w:p>
      <w:pPr>
        <w:spacing w:after="0" w:line="129" w:lineRule="exact"/>
        <w:rPr>
          <w:rFonts w:ascii="Arial" w:cs="Arial" w:eastAsia="Arial" w:hAnsi="Arial"/>
          <w:sz w:val="20"/>
          <w:szCs w:val="20"/>
          <w:color w:val="auto"/>
        </w:rPr>
      </w:pPr>
    </w:p>
    <w:p>
      <w:pPr>
        <w:ind w:left="960" w:hanging="481"/>
        <w:spacing w:after="0"/>
        <w:tabs>
          <w:tab w:leader="none" w:pos="9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business relationships with new third party contractors and other service providers with whom we have no</w:t>
      </w:r>
    </w:p>
    <w:p>
      <w:pPr>
        <w:sectPr>
          <w:pgSz w:w="11880" w:h="15480" w:orient="portrait"/>
          <w:cols w:equalWidth="0" w:num="1">
            <w:col w:w="10680"/>
          </w:cols>
          <w:pgMar w:left="600" w:top="818" w:right="600" w:bottom="66"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680"/>
          </w:cols>
          <w:pgMar w:left="600" w:top="818" w:right="600" w:bottom="66" w:gutter="0" w:footer="0" w:header="0"/>
          <w:type w:val="continuous"/>
        </w:sectPr>
      </w:pPr>
    </w:p>
    <w:bookmarkStart w:id="38" w:name="page39"/>
    <w:bookmarkEnd w:id="38"/>
    <w:p>
      <w:pPr>
        <w:ind w:left="960"/>
        <w:spacing w:after="0"/>
        <w:rPr>
          <w:sz w:val="20"/>
          <w:szCs w:val="20"/>
          <w:color w:val="auto"/>
        </w:rPr>
      </w:pPr>
      <w:r>
        <w:rPr>
          <w:rFonts w:ascii="Times New Roman" w:cs="Times New Roman" w:eastAsia="Times New Roman" w:hAnsi="Times New Roman"/>
          <w:sz w:val="20"/>
          <w:szCs w:val="20"/>
          <w:color w:val="auto"/>
        </w:rPr>
        <w:t>prior experience; and</w:t>
      </w:r>
    </w:p>
    <w:p>
      <w:pPr>
        <w:spacing w:after="0" w:line="131" w:lineRule="exact"/>
        <w:rPr>
          <w:sz w:val="20"/>
          <w:szCs w:val="20"/>
          <w:color w:val="auto"/>
        </w:rPr>
      </w:pPr>
    </w:p>
    <w:p>
      <w:pPr>
        <w:ind w:left="960" w:hanging="481"/>
        <w:spacing w:after="0"/>
        <w:tabs>
          <w:tab w:leader="none" w:pos="96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unknown liabilities and unforeseen expenses, delays or regulatory conditions associated with the Merger.</w:t>
      </w:r>
    </w:p>
    <w:p>
      <w:pPr>
        <w:spacing w:after="0" w:line="22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Any of these issues could adversely affect our ability to maintain relationships with customers, suppliers, employees, and other constituencies. We may fail to realize the anticipated benefits expected from the Merger. The success of the Merger will depend, in significant part, on our ability to successfully complete the integration of the acquired assets, grow the revenue, and realize the anticipated strategic benefits from the Merger. The anticipated benefits of the Merger may not be realized fully or at all or may take longer to realize than expected. Actual operating, technological, strategic, and revenue opportunities, if achieved at all, may be less significant than expected or may take longer to achieve than anticipated. If we are not able to realize the anticipated benefits expected from the Merger within the anticipated timing or at all, our business and operating results may be adversely affected.</w:t>
      </w:r>
    </w:p>
    <w:p>
      <w:pPr>
        <w:spacing w:after="0" w:line="195"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0"/>
          <w:szCs w:val="20"/>
          <w:i w:val="1"/>
          <w:iCs w:val="1"/>
          <w:color w:val="auto"/>
        </w:rPr>
        <w:t>The issuance of shares of the Company’s common stock in connection with the merger will dilute existing stockholders and may adversely affect the market price of our common stock.</w:t>
      </w:r>
    </w:p>
    <w:p>
      <w:pPr>
        <w:spacing w:after="0" w:line="16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In connection with the Merger, we expect to issue a substantial number of shares of our common stock to the stockholders of Thermon, the actual number of which will be determined at closing based on the number of shares and equity awards of Thermon outstanding at that time and subject to proration and election procedures set forth in the Merger Agreement. The issuance of these additional shares will dilute the ownership interest of the Company’s existing stockholders and may dilute earnings per share. Any such dilution, or any delay in achieving accretion to earnings per share, could cause the market price of our common stock to decline or increase at a reduced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have incurred additional costs in connection with the Merger, which will continue during 2026.</w:t>
      </w:r>
    </w:p>
    <w:p>
      <w:pPr>
        <w:spacing w:after="0" w:line="22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We have incurred and expect to incur significant costs in connection with the Merger, including legal, accounting, financial advisory and other expenses, and we may incur additional costs in connection with integration. Although we expect that the elimination of any duplicative costs, as well as the realization of expected benefits related to the integration of the Thermon assets, should allow us to offset these transaction costs over time, this net benefit may not be achieved in the near term or at all. We also expect to fund any cash portion of the Merger Consideration and related transaction costs with available cash and borrowings under our existing credit facilities, which may increase our indebtedness and reduce financial flexibility</w:t>
      </w:r>
    </w:p>
    <w:p>
      <w:pPr>
        <w:spacing w:after="0" w:line="189"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0"/>
          <w:szCs w:val="20"/>
          <w:i w:val="1"/>
          <w:iCs w:val="1"/>
          <w:color w:val="auto"/>
        </w:rPr>
        <w:t>Securities class action and derivative lawsuits may be brought against us in connection with the Merger, which could result in substantial costs.</w:t>
      </w:r>
    </w:p>
    <w:p>
      <w:pPr>
        <w:spacing w:after="0" w:line="1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our liquidity and financial condition.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The Company’s Board of Directors (the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The Company’s cybersecurity policies, standards, and processes are being integrated into the Company’s ERM program and based on recognized frameworks and industry standards, including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Company and customer systems, information, and products.</w:t>
      </w:r>
    </w:p>
    <w:p>
      <w:pPr>
        <w:spacing w:after="0" w:line="20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color w:val="auto"/>
        </w:rPr>
        <w:t>The Company has engaged third-party cybersecurity service providers and leverages leading technologies and expertise to monitor, maintain, and provide 24/7 managed detection and response capabilities for coordination, escalation and remediation of alerts associated with information technology systems utilized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ectPr>
          <w:pgSz w:w="11880" w:h="15480" w:orient="portrait"/>
          <w:cols w:equalWidth="0" w:num="1">
            <w:col w:w="10680"/>
          </w:cols>
          <w:pgMar w:left="600" w:top="818" w:right="600" w:bottom="66"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680"/>
          </w:cols>
          <w:pgMar w:left="600" w:top="818" w:right="600" w:bottom="66" w:gutter="0" w:footer="0" w:header="0"/>
          <w:type w:val="continuous"/>
        </w:sectPr>
      </w:pPr>
    </w:p>
    <w:bookmarkStart w:id="39" w:name="page40"/>
    <w:bookmarkEnd w:id="39"/>
    <w:p>
      <w:pPr>
        <w:ind w:right="60"/>
        <w:spacing w:after="0" w:line="258" w:lineRule="auto"/>
        <w:rPr>
          <w:sz w:val="20"/>
          <w:szCs w:val="20"/>
          <w:color w:val="auto"/>
        </w:rPr>
      </w:pPr>
      <w:r>
        <w:rPr>
          <w:rFonts w:ascii="Times New Roman" w:cs="Times New Roman" w:eastAsia="Times New Roman" w:hAnsi="Times New Roman"/>
          <w:sz w:val="19"/>
          <w:szCs w:val="19"/>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Additionally, the Company maintains processes to evaluate and oversee cybersecurity risks associated with the use of third-party service providers, including risk assessments conducted as part of our vendor management program. The results of such assessments, audits and reviews are reported to the Audit Committee and the Board, and the Company adjusts its cybersecurity program as necessary based on the information provided by these assessments, audits, and reviews.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3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Board, in coordination with the Audit Committee, oversees the Company’s ERM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and third-party and independent reviews.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the Company's Head of IT and Digital Strategy (the "Head of IT").</w:t>
      </w:r>
    </w:p>
    <w:p>
      <w:pPr>
        <w:spacing w:after="0" w:line="20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Company has a team of cybersecurity professionals reporting to the Head of IT, the head of the Company’s cybersecurity team, dedicated to managing threats and incidents in real time and the reporting of any such incidents. The Head of IT reports to the Chief Financial Officer. Through regular and ongoing communications, the Head of IT and the Executive Leadership Team, which includes our Chief Executive Officer, Chief Financial Officer, and General Counsel, manage the prevention, detection, mitigation and remediation of cybersecurity threats and incidents and escalate any such threats and incidents to the Audit Committee when appropriate.</w:t>
      </w:r>
    </w:p>
    <w:p>
      <w:pPr>
        <w:spacing w:after="0" w:line="195" w:lineRule="exact"/>
        <w:rPr>
          <w:sz w:val="20"/>
          <w:szCs w:val="20"/>
          <w:color w:val="auto"/>
        </w:rPr>
      </w:pPr>
    </w:p>
    <w:p>
      <w:pPr>
        <w:ind w:right="1120"/>
        <w:spacing w:after="0" w:line="275" w:lineRule="auto"/>
        <w:rPr>
          <w:sz w:val="20"/>
          <w:szCs w:val="20"/>
          <w:color w:val="auto"/>
        </w:rPr>
      </w:pPr>
      <w:r>
        <w:rPr>
          <w:rFonts w:ascii="Times New Roman" w:cs="Times New Roman" w:eastAsia="Times New Roman" w:hAnsi="Times New Roman"/>
          <w:sz w:val="20"/>
          <w:szCs w:val="20"/>
          <w:color w:val="auto"/>
        </w:rPr>
        <w:t>The Head of IT has served in various leadership roles in information technology for over 25 years. The Head of IT holds undergraduate and graduate degrees in engineering.</w:t>
      </w:r>
    </w:p>
    <w:p>
      <w:pPr>
        <w:spacing w:after="0" w:line="166"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9"/>
          <w:szCs w:val="19"/>
          <w:color w:val="auto"/>
        </w:rPr>
        <w:t>Cybersecurity threats, including those as a result of any previous cybersecurity incidents, have not materially affected or are reasonably likely to materially affect the Company, including its business strategy, results of operations or financial condition. For more information on our cybersecurity related risks, refer to "Part I, Item 1A. Risk Factors" of this Annual Report on Form 10-K.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9"/>
          <w:szCs w:val="19"/>
          <w:color w:val="auto"/>
        </w:rPr>
        <w:t>The Company has 51 principal operating facilities across 13 states and 10 countries. The Company’s executive offices are located in Addison,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Owned</w:t>
            </w:r>
          </w:p>
        </w:tc>
        <w:tc>
          <w:tcPr>
            <w:tcW w:w="24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Leased</w:t>
            </w:r>
          </w:p>
        </w:tc>
        <w:tc>
          <w:tcPr>
            <w:tcW w:w="240" w:type="dxa"/>
            <w:vAlign w:val="bottom"/>
          </w:tcPr>
          <w:p>
            <w:pPr>
              <w:spacing w:after="0"/>
              <w:rPr>
                <w:sz w:val="21"/>
                <w:szCs w:val="21"/>
                <w:color w:val="auto"/>
              </w:rPr>
            </w:pPr>
          </w:p>
        </w:tc>
        <w:tc>
          <w:tcPr>
            <w:tcW w:w="5740" w:type="dxa"/>
            <w:vAlign w:val="bottom"/>
            <w:tcBorders>
              <w:bottom w:val="single" w:sz="8" w:color="auto"/>
            </w:tcBorders>
            <w:gridSpan w:val="3"/>
          </w:tcPr>
          <w:p>
            <w:pPr>
              <w:ind w:left="1980"/>
              <w:spacing w:after="0"/>
              <w:rPr>
                <w:sz w:val="20"/>
                <w:szCs w:val="20"/>
                <w:color w:val="auto"/>
              </w:rPr>
            </w:pPr>
            <w:r>
              <w:rPr>
                <w:rFonts w:ascii="Times New Roman" w:cs="Times New Roman" w:eastAsia="Times New Roman" w:hAnsi="Times New Roman"/>
                <w:sz w:val="20"/>
                <w:szCs w:val="20"/>
                <w:b w:val="1"/>
                <w:bCs w:val="1"/>
                <w:color w:val="auto"/>
              </w:rPr>
              <w:t>Location of Facilities</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E6E6E6"/>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E6E6E6"/>
            </w:tcBorders>
          </w:tcPr>
          <w:p>
            <w:pPr>
              <w:spacing w:after="0"/>
              <w:rPr>
                <w:sz w:val="20"/>
                <w:szCs w:val="20"/>
                <w:color w:val="auto"/>
              </w:rPr>
            </w:pPr>
          </w:p>
        </w:tc>
        <w:tc>
          <w:tcPr>
            <w:tcW w:w="28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20"/>
                <w:szCs w:val="20"/>
                <w:b w:val="1"/>
                <w:bCs w:val="1"/>
                <w:color w:val="auto"/>
              </w:rPr>
              <w:t>States</w:t>
            </w:r>
          </w:p>
        </w:tc>
        <w:tc>
          <w:tcPr>
            <w:tcW w:w="140" w:type="dxa"/>
            <w:vAlign w:val="bottom"/>
            <w:tcBorders>
              <w:bottom w:val="single" w:sz="8" w:color="E6E6E6"/>
            </w:tcBorders>
          </w:tcPr>
          <w:p>
            <w:pPr>
              <w:spacing w:after="0"/>
              <w:rPr>
                <w:sz w:val="20"/>
                <w:szCs w:val="20"/>
                <w:color w:val="auto"/>
              </w:rPr>
            </w:pPr>
          </w:p>
        </w:tc>
        <w:tc>
          <w:tcPr>
            <w:tcW w:w="28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b w:val="1"/>
                <w:bCs w:val="1"/>
                <w:color w:val="auto"/>
              </w:rPr>
              <w:t>Countries</w:t>
            </w:r>
          </w:p>
        </w:tc>
        <w:tc>
          <w:tcPr>
            <w:tcW w:w="0" w:type="dxa"/>
            <w:vAlign w:val="bottom"/>
          </w:tcPr>
          <w:p>
            <w:pPr>
              <w:spacing w:after="0"/>
              <w:rPr>
                <w:sz w:val="1"/>
                <w:szCs w:val="1"/>
                <w:color w:val="auto"/>
              </w:rPr>
            </w:pPr>
          </w:p>
        </w:tc>
      </w:tr>
      <w:tr>
        <w:trPr>
          <w:trHeight w:val="215"/>
        </w:trPr>
        <w:tc>
          <w:tcPr>
            <w:tcW w:w="28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Engineered Systems Segment</w:t>
            </w:r>
          </w:p>
        </w:tc>
        <w:tc>
          <w:tcPr>
            <w:tcW w:w="140" w:type="dxa"/>
            <w:vAlign w:val="bottom"/>
            <w:shd w:val="clear" w:color="auto" w:fill="E6E6E6"/>
          </w:tcPr>
          <w:p>
            <w:pPr>
              <w:spacing w:after="0"/>
              <w:rPr>
                <w:sz w:val="18"/>
                <w:szCs w:val="18"/>
                <w:color w:val="auto"/>
              </w:rPr>
            </w:pPr>
          </w:p>
        </w:tc>
        <w:tc>
          <w:tcPr>
            <w:tcW w:w="7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w:t>
            </w:r>
          </w:p>
        </w:tc>
        <w:tc>
          <w:tcPr>
            <w:tcW w:w="2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27</w:t>
            </w:r>
          </w:p>
        </w:tc>
        <w:tc>
          <w:tcPr>
            <w:tcW w:w="240" w:type="dxa"/>
            <w:vAlign w:val="bottom"/>
            <w:shd w:val="clear" w:color="auto" w:fill="E6E6E6"/>
          </w:tcPr>
          <w:p>
            <w:pPr>
              <w:spacing w:after="0"/>
              <w:rPr>
                <w:sz w:val="18"/>
                <w:szCs w:val="18"/>
                <w:color w:val="auto"/>
              </w:rPr>
            </w:pPr>
          </w:p>
        </w:tc>
        <w:tc>
          <w:tcPr>
            <w:tcW w:w="28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Arizona, California, Colorado,</w:t>
            </w:r>
          </w:p>
        </w:tc>
        <w:tc>
          <w:tcPr>
            <w:tcW w:w="140" w:type="dxa"/>
            <w:vAlign w:val="bottom"/>
            <w:shd w:val="clear" w:color="auto" w:fill="E6E6E6"/>
          </w:tcPr>
          <w:p>
            <w:pPr>
              <w:spacing w:after="0"/>
              <w:rPr>
                <w:sz w:val="18"/>
                <w:szCs w:val="18"/>
                <w:color w:val="auto"/>
              </w:rPr>
            </w:pPr>
          </w:p>
        </w:tc>
        <w:tc>
          <w:tcPr>
            <w:tcW w:w="2800" w:type="dxa"/>
            <w:vAlign w:val="bottom"/>
            <w:shd w:val="clear" w:color="auto" w:fill="E6E6E6"/>
          </w:tcPr>
          <w:p>
            <w:pPr>
              <w:ind w:left="40"/>
              <w:spacing w:after="0" w:line="215" w:lineRule="exact"/>
              <w:rPr>
                <w:sz w:val="20"/>
                <w:szCs w:val="20"/>
                <w:color w:val="auto"/>
              </w:rPr>
            </w:pPr>
            <w:r>
              <w:rPr>
                <w:rFonts w:ascii="Times New Roman" w:cs="Times New Roman" w:eastAsia="Times New Roman" w:hAnsi="Times New Roman"/>
                <w:sz w:val="20"/>
                <w:szCs w:val="20"/>
                <w:color w:val="auto"/>
              </w:rPr>
              <w:t>Canada, China, India,</w:t>
            </w:r>
          </w:p>
        </w:tc>
        <w:tc>
          <w:tcPr>
            <w:tcW w:w="0" w:type="dxa"/>
            <w:vAlign w:val="bottom"/>
          </w:tcPr>
          <w:p>
            <w:pPr>
              <w:spacing w:after="0"/>
              <w:rPr>
                <w:sz w:val="1"/>
                <w:szCs w:val="1"/>
                <w:color w:val="auto"/>
              </w:rPr>
            </w:pPr>
          </w:p>
        </w:tc>
      </w:tr>
      <w:tr>
        <w:trPr>
          <w:trHeight w:val="228"/>
        </w:trPr>
        <w:tc>
          <w:tcPr>
            <w:tcW w:w="28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80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Connecticut, Florida, New York,</w:t>
            </w:r>
          </w:p>
        </w:tc>
        <w:tc>
          <w:tcPr>
            <w:tcW w:w="140" w:type="dxa"/>
            <w:vAlign w:val="bottom"/>
            <w:shd w:val="clear" w:color="auto" w:fill="E6E6E6"/>
          </w:tcPr>
          <w:p>
            <w:pPr>
              <w:spacing w:after="0"/>
              <w:rPr>
                <w:sz w:val="19"/>
                <w:szCs w:val="19"/>
                <w:color w:val="auto"/>
              </w:rPr>
            </w:pPr>
          </w:p>
        </w:tc>
        <w:tc>
          <w:tcPr>
            <w:tcW w:w="280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Netherlands, Republic of Korea,</w:t>
            </w:r>
          </w:p>
        </w:tc>
        <w:tc>
          <w:tcPr>
            <w:tcW w:w="0" w:type="dxa"/>
            <w:vAlign w:val="bottom"/>
          </w:tcPr>
          <w:p>
            <w:pPr>
              <w:spacing w:after="0"/>
              <w:rPr>
                <w:sz w:val="1"/>
                <w:szCs w:val="1"/>
                <w:color w:val="auto"/>
              </w:rPr>
            </w:pPr>
          </w:p>
        </w:tc>
      </w:tr>
      <w:tr>
        <w:trPr>
          <w:trHeight w:val="228"/>
        </w:trPr>
        <w:tc>
          <w:tcPr>
            <w:tcW w:w="28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80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Ohio, Oklahoma, Pennsylvania,</w:t>
            </w:r>
          </w:p>
        </w:tc>
        <w:tc>
          <w:tcPr>
            <w:tcW w:w="140" w:type="dxa"/>
            <w:vAlign w:val="bottom"/>
            <w:shd w:val="clear" w:color="auto" w:fill="E6E6E6"/>
          </w:tcPr>
          <w:p>
            <w:pPr>
              <w:spacing w:after="0"/>
              <w:rPr>
                <w:sz w:val="19"/>
                <w:szCs w:val="19"/>
                <w:color w:val="auto"/>
              </w:rPr>
            </w:pPr>
          </w:p>
        </w:tc>
        <w:tc>
          <w:tcPr>
            <w:tcW w:w="280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United Arab Emirates, United</w:t>
            </w:r>
          </w:p>
        </w:tc>
        <w:tc>
          <w:tcPr>
            <w:tcW w:w="0" w:type="dxa"/>
            <w:vAlign w:val="bottom"/>
          </w:tcPr>
          <w:p>
            <w:pPr>
              <w:spacing w:after="0"/>
              <w:rPr>
                <w:sz w:val="1"/>
                <w:szCs w:val="1"/>
                <w:color w:val="auto"/>
              </w:rPr>
            </w:pPr>
          </w:p>
        </w:tc>
      </w:tr>
      <w:tr>
        <w:trPr>
          <w:trHeight w:val="249"/>
        </w:trPr>
        <w:tc>
          <w:tcPr>
            <w:tcW w:w="28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2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Texas, Utah</w:t>
            </w:r>
          </w:p>
        </w:tc>
        <w:tc>
          <w:tcPr>
            <w:tcW w:w="140" w:type="dxa"/>
            <w:vAlign w:val="bottom"/>
            <w:shd w:val="clear" w:color="auto" w:fill="E6E6E6"/>
          </w:tcPr>
          <w:p>
            <w:pPr>
              <w:spacing w:after="0"/>
              <w:rPr>
                <w:sz w:val="21"/>
                <w:szCs w:val="21"/>
                <w:color w:val="auto"/>
              </w:rPr>
            </w:pPr>
          </w:p>
        </w:tc>
        <w:tc>
          <w:tcPr>
            <w:tcW w:w="2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Kingdom, United States</w:t>
            </w:r>
          </w:p>
        </w:tc>
        <w:tc>
          <w:tcPr>
            <w:tcW w:w="0" w:type="dxa"/>
            <w:vAlign w:val="bottom"/>
          </w:tcPr>
          <w:p>
            <w:pPr>
              <w:spacing w:after="0"/>
              <w:rPr>
                <w:sz w:val="1"/>
                <w:szCs w:val="1"/>
                <w:color w:val="auto"/>
              </w:rPr>
            </w:pPr>
          </w:p>
        </w:tc>
      </w:tr>
      <w:tr>
        <w:trPr>
          <w:trHeight w:val="220"/>
        </w:trPr>
        <w:tc>
          <w:tcPr>
            <w:tcW w:w="28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Industrial Process Solutions</w:t>
            </w:r>
          </w:p>
        </w:tc>
        <w:tc>
          <w:tcPr>
            <w:tcW w:w="140" w:type="dxa"/>
            <w:vAlign w:val="bottom"/>
          </w:tcPr>
          <w:p>
            <w:pPr>
              <w:spacing w:after="0"/>
              <w:rPr>
                <w:sz w:val="19"/>
                <w:szCs w:val="19"/>
                <w:color w:val="auto"/>
              </w:rPr>
            </w:pPr>
          </w:p>
        </w:tc>
        <w:tc>
          <w:tcPr>
            <w:tcW w:w="7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7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18</w:t>
            </w:r>
          </w:p>
        </w:tc>
        <w:tc>
          <w:tcPr>
            <w:tcW w:w="240" w:type="dxa"/>
            <w:vAlign w:val="bottom"/>
          </w:tcPr>
          <w:p>
            <w:pPr>
              <w:spacing w:after="0"/>
              <w:rPr>
                <w:sz w:val="19"/>
                <w:szCs w:val="19"/>
                <w:color w:val="auto"/>
              </w:rPr>
            </w:pPr>
          </w:p>
        </w:tc>
        <w:tc>
          <w:tcPr>
            <w:tcW w:w="28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California, Michigan, New York,</w:t>
            </w:r>
          </w:p>
        </w:tc>
        <w:tc>
          <w:tcPr>
            <w:tcW w:w="140" w:type="dxa"/>
            <w:vAlign w:val="bottom"/>
          </w:tcPr>
          <w:p>
            <w:pPr>
              <w:spacing w:after="0"/>
              <w:rPr>
                <w:sz w:val="19"/>
                <w:szCs w:val="19"/>
                <w:color w:val="auto"/>
              </w:rPr>
            </w:pPr>
          </w:p>
        </w:tc>
        <w:tc>
          <w:tcPr>
            <w:tcW w:w="28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Germany, Singapore, United</w:t>
            </w:r>
          </w:p>
        </w:tc>
        <w:tc>
          <w:tcPr>
            <w:tcW w:w="0" w:type="dxa"/>
            <w:vAlign w:val="bottom"/>
          </w:tcPr>
          <w:p>
            <w:pPr>
              <w:spacing w:after="0"/>
              <w:rPr>
                <w:sz w:val="1"/>
                <w:szCs w:val="1"/>
                <w:color w:val="auto"/>
              </w:rPr>
            </w:pPr>
          </w:p>
        </w:tc>
      </w:tr>
      <w:tr>
        <w:trPr>
          <w:trHeight w:val="249"/>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Segment</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North Carolina, Ohio, Tennessee</w:t>
            </w:r>
          </w:p>
        </w:tc>
        <w:tc>
          <w:tcPr>
            <w:tcW w:w="29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Kingdom, United States</w:t>
            </w:r>
          </w:p>
        </w:tc>
        <w:tc>
          <w:tcPr>
            <w:tcW w:w="0" w:type="dxa"/>
            <w:vAlign w:val="bottom"/>
          </w:tcPr>
          <w:p>
            <w:pPr>
              <w:spacing w:after="0"/>
              <w:rPr>
                <w:sz w:val="1"/>
                <w:szCs w:val="1"/>
                <w:color w:val="auto"/>
              </w:rPr>
            </w:pPr>
          </w:p>
        </w:tc>
      </w:tr>
      <w:tr>
        <w:trPr>
          <w:trHeight w:val="242"/>
        </w:trPr>
        <w:tc>
          <w:tcPr>
            <w:tcW w:w="28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Corporate</w:t>
            </w:r>
          </w:p>
        </w:tc>
        <w:tc>
          <w:tcPr>
            <w:tcW w:w="140" w:type="dxa"/>
            <w:vAlign w:val="bottom"/>
            <w:shd w:val="clear" w:color="auto" w:fill="E6E6E6"/>
          </w:tcPr>
          <w:p>
            <w:pPr>
              <w:spacing w:after="0"/>
              <w:rPr>
                <w:sz w:val="21"/>
                <w:szCs w:val="21"/>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shd w:val="clear" w:color="auto" w:fill="E6E6E6"/>
          </w:tcPr>
          <w:p>
            <w:pPr>
              <w:spacing w:after="0"/>
              <w:rPr>
                <w:sz w:val="21"/>
                <w:szCs w:val="21"/>
                <w:color w:val="auto"/>
              </w:rPr>
            </w:pPr>
          </w:p>
        </w:tc>
        <w:tc>
          <w:tcPr>
            <w:tcW w:w="28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Ohio, Texas</w:t>
            </w:r>
          </w:p>
        </w:tc>
        <w:tc>
          <w:tcPr>
            <w:tcW w:w="140" w:type="dxa"/>
            <w:vAlign w:val="bottom"/>
            <w:shd w:val="clear" w:color="auto" w:fill="E6E6E6"/>
          </w:tcPr>
          <w:p>
            <w:pPr>
              <w:spacing w:after="0"/>
              <w:rPr>
                <w:sz w:val="21"/>
                <w:szCs w:val="21"/>
                <w:color w:val="auto"/>
              </w:rPr>
            </w:pPr>
          </w:p>
        </w:tc>
        <w:tc>
          <w:tcPr>
            <w:tcW w:w="28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0"/>
          <w:szCs w:val="20"/>
          <w:color w:val="auto"/>
        </w:rPr>
        <w:t>See Note 12 to the Consolidated Financial Statements contained in Part II, Item 8 of this Annual Report on Form 10-K for information regarding legal proceedings in which we are involved.</w:t>
      </w:r>
    </w:p>
    <w:p>
      <w:pPr>
        <w:sectPr>
          <w:pgSz w:w="11880" w:h="15480" w:orient="portrait"/>
          <w:cols w:equalWidth="0" w:num="1">
            <w:col w:w="10680"/>
          </w:cols>
          <w:pgMar w:left="600" w:top="818" w:right="600" w:bottom="66"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680"/>
          </w:cols>
          <w:pgMar w:left="600" w:top="818" w:right="600" w:bottom="66"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840"/>
          </w:cols>
          <w:pgMar w:left="600" w:top="815" w:right="14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840"/>
          </w:cols>
          <w:pgMar w:left="600" w:top="815" w:right="1440" w:bottom="66" w:gutter="0" w:footer="0" w:header="0"/>
          <w:type w:val="continuous"/>
        </w:sectPr>
      </w:pPr>
    </w:p>
    <w:bookmarkStart w:id="41" w:name="page42"/>
    <w:bookmarkEnd w:id="41"/>
    <w:p>
      <w:pPr>
        <w:ind w:left="49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traded on The Nasdaq Global Select Market under the symbol “CECO.”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38"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20"/>
          <w:szCs w:val="20"/>
          <w:color w:val="auto"/>
        </w:rPr>
        <w:t>The following graph sets forth the cumulative total return to CECO’s stockholders during the five years ended December 31, 2025, as well as the following indices: Russell 2000 Index, Standard and Poor’s (“S&amp;P”) 600 Small Cap Industrial Machinery Index, and S&amp;P 500 Index. The following graph assumes $100 was invested on December 31, 2020,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6789420" cy="3573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6">
                      <a:extLst>
                        <a:ext uri="{28A0092B-C50C-407E-A947-70E740481C1C}"/>
                      </a:extLst>
                    </a:blip>
                    <a:srcRect/>
                    <a:stretch>
                      <a:fillRect/>
                    </a:stretch>
                  </pic:blipFill>
                  <pic:spPr bwMode="auto">
                    <a:xfrm>
                      <a:off x="0" y="0"/>
                      <a:ext cx="6789420" cy="357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3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The approximate number of registered stockholders of record of our common stock as of February 18, 2026 was 230, although there is a larger number of beneficial owners.</w:t>
      </w:r>
    </w:p>
    <w:p>
      <w:pPr>
        <w:sectPr>
          <w:pgSz w:w="11880" w:h="15480" w:orient="portrait"/>
          <w:cols w:equalWidth="0" w:num="1">
            <w:col w:w="10660"/>
          </w:cols>
          <w:pgMar w:left="600" w:top="815" w:right="62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660"/>
          </w:cols>
          <w:pgMar w:left="600" w:top="815" w:right="620" w:bottom="66" w:gutter="0" w:footer="0" w:header="0"/>
          <w:type w:val="continuous"/>
        </w:sectPr>
      </w:pPr>
    </w:p>
    <w:bookmarkStart w:id="42" w:name="page43"/>
    <w:bookmarkEnd w:id="42"/>
    <w:p>
      <w:pPr>
        <w:ind w:left="6"/>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table provides information about our purchases of our equity securities for the quarter ended December 31, 2025.</w:t>
      </w:r>
    </w:p>
    <w:p>
      <w:pPr>
        <w:spacing w:after="0" w:line="232"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4800" w:type="dxa"/>
            <w:vAlign w:val="bottom"/>
          </w:tcPr>
          <w:p>
            <w:pPr>
              <w:spacing w:after="0"/>
              <w:rPr>
                <w:sz w:val="21"/>
                <w:szCs w:val="21"/>
                <w:color w:val="auto"/>
              </w:rPr>
            </w:pPr>
          </w:p>
        </w:tc>
        <w:tc>
          <w:tcPr>
            <w:tcW w:w="4580" w:type="dxa"/>
            <w:vAlign w:val="bottom"/>
            <w:tcBorders>
              <w:bottom w:val="single" w:sz="8" w:color="auto"/>
            </w:tcBorders>
            <w:gridSpan w:val="8"/>
          </w:tcPr>
          <w:p>
            <w:pPr>
              <w:ind w:left="1280"/>
              <w:spacing w:after="0"/>
              <w:rPr>
                <w:sz w:val="20"/>
                <w:szCs w:val="20"/>
                <w:color w:val="auto"/>
              </w:rPr>
            </w:pPr>
            <w:r>
              <w:rPr>
                <w:rFonts w:ascii="Times New Roman" w:cs="Times New Roman" w:eastAsia="Times New Roman" w:hAnsi="Times New Roman"/>
                <w:sz w:val="20"/>
                <w:szCs w:val="20"/>
                <w:b w:val="1"/>
                <w:bCs w:val="1"/>
                <w:color w:val="auto"/>
                <w:w w:val="99"/>
              </w:rPr>
              <w:t>Issuer's Purchases of Equity Securities</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8"/>
        </w:trPr>
        <w:tc>
          <w:tcPr>
            <w:tcW w:w="4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20"/>
                <w:szCs w:val="20"/>
                <w:b w:val="1"/>
                <w:bCs w:val="1"/>
                <w:color w:val="auto"/>
              </w:rPr>
              <w:t>Total Number</w:t>
            </w:r>
          </w:p>
        </w:tc>
        <w:tc>
          <w:tcPr>
            <w:tcW w:w="12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20"/>
                <w:szCs w:val="20"/>
                <w:b w:val="1"/>
                <w:bCs w:val="1"/>
                <w:color w:val="auto"/>
                <w:w w:val="98"/>
              </w:rPr>
              <w:t>Approximate</w:t>
            </w:r>
          </w:p>
        </w:tc>
        <w:tc>
          <w:tcPr>
            <w:tcW w:w="60" w:type="dxa"/>
            <w:vAlign w:val="bottom"/>
          </w:tcPr>
          <w:p>
            <w:pPr>
              <w:spacing w:after="0"/>
              <w:rPr>
                <w:sz w:val="17"/>
                <w:szCs w:val="17"/>
                <w:color w:val="auto"/>
              </w:rPr>
            </w:pPr>
          </w:p>
        </w:tc>
      </w:tr>
      <w:tr>
        <w:trPr>
          <w:trHeight w:val="228"/>
        </w:trPr>
        <w:tc>
          <w:tcPr>
            <w:tcW w:w="4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8"/>
              </w:rPr>
              <w:t>of Shares</w:t>
            </w:r>
          </w:p>
        </w:tc>
        <w:tc>
          <w:tcPr>
            <w:tcW w:w="12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Dollar Value</w:t>
            </w:r>
          </w:p>
        </w:tc>
        <w:tc>
          <w:tcPr>
            <w:tcW w:w="60" w:type="dxa"/>
            <w:vAlign w:val="bottom"/>
          </w:tcPr>
          <w:p>
            <w:pPr>
              <w:spacing w:after="0"/>
              <w:rPr>
                <w:sz w:val="19"/>
                <w:szCs w:val="19"/>
                <w:color w:val="auto"/>
              </w:rPr>
            </w:pPr>
          </w:p>
        </w:tc>
      </w:tr>
      <w:tr>
        <w:trPr>
          <w:trHeight w:val="228"/>
        </w:trPr>
        <w:tc>
          <w:tcPr>
            <w:tcW w:w="4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7"/>
              </w:rPr>
              <w:t>Purchased as</w:t>
            </w:r>
          </w:p>
        </w:tc>
        <w:tc>
          <w:tcPr>
            <w:tcW w:w="160" w:type="dxa"/>
            <w:vAlign w:val="bottom"/>
          </w:tcPr>
          <w:p>
            <w:pPr>
              <w:spacing w:after="0"/>
              <w:rPr>
                <w:sz w:val="19"/>
                <w:szCs w:val="19"/>
                <w:color w:val="auto"/>
              </w:rPr>
            </w:pPr>
          </w:p>
        </w:tc>
        <w:tc>
          <w:tcPr>
            <w:tcW w:w="1080" w:type="dxa"/>
            <w:vAlign w:val="bottom"/>
          </w:tcPr>
          <w:p>
            <w:pPr>
              <w:jc w:val="center"/>
              <w:ind w:right="41"/>
              <w:spacing w:after="0" w:line="228" w:lineRule="exact"/>
              <w:rPr>
                <w:sz w:val="20"/>
                <w:szCs w:val="20"/>
                <w:color w:val="auto"/>
              </w:rPr>
            </w:pPr>
            <w:r>
              <w:rPr>
                <w:rFonts w:ascii="Times New Roman" w:cs="Times New Roman" w:eastAsia="Times New Roman" w:hAnsi="Times New Roman"/>
                <w:sz w:val="20"/>
                <w:szCs w:val="20"/>
                <w:b w:val="1"/>
                <w:bCs w:val="1"/>
                <w:color w:val="auto"/>
                <w:w w:val="98"/>
              </w:rPr>
              <w:t>of Shares</w:t>
            </w:r>
          </w:p>
        </w:tc>
        <w:tc>
          <w:tcPr>
            <w:tcW w:w="60" w:type="dxa"/>
            <w:vAlign w:val="bottom"/>
          </w:tcPr>
          <w:p>
            <w:pPr>
              <w:spacing w:after="0"/>
              <w:rPr>
                <w:sz w:val="19"/>
                <w:szCs w:val="19"/>
                <w:color w:val="auto"/>
              </w:rPr>
            </w:pPr>
          </w:p>
        </w:tc>
      </w:tr>
      <w:tr>
        <w:trPr>
          <w:trHeight w:val="228"/>
        </w:trPr>
        <w:tc>
          <w:tcPr>
            <w:tcW w:w="4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7"/>
              </w:rPr>
              <w:t>Part of</w:t>
            </w:r>
          </w:p>
        </w:tc>
        <w:tc>
          <w:tcPr>
            <w:tcW w:w="12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That May Yet</w:t>
            </w:r>
          </w:p>
        </w:tc>
        <w:tc>
          <w:tcPr>
            <w:tcW w:w="60" w:type="dxa"/>
            <w:vAlign w:val="bottom"/>
          </w:tcPr>
          <w:p>
            <w:pPr>
              <w:spacing w:after="0"/>
              <w:rPr>
                <w:sz w:val="19"/>
                <w:szCs w:val="19"/>
                <w:color w:val="auto"/>
              </w:rPr>
            </w:pPr>
          </w:p>
        </w:tc>
      </w:tr>
      <w:tr>
        <w:trPr>
          <w:trHeight w:val="228"/>
        </w:trPr>
        <w:tc>
          <w:tcPr>
            <w:tcW w:w="4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9"/>
              </w:rPr>
              <w:t>Publicly</w:t>
            </w:r>
          </w:p>
        </w:tc>
        <w:tc>
          <w:tcPr>
            <w:tcW w:w="12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Be Purchased</w:t>
            </w:r>
          </w:p>
        </w:tc>
        <w:tc>
          <w:tcPr>
            <w:tcW w:w="60" w:type="dxa"/>
            <w:vAlign w:val="bottom"/>
          </w:tcPr>
          <w:p>
            <w:pPr>
              <w:spacing w:after="0"/>
              <w:rPr>
                <w:sz w:val="19"/>
                <w:szCs w:val="19"/>
                <w:color w:val="auto"/>
              </w:rPr>
            </w:pPr>
          </w:p>
        </w:tc>
      </w:tr>
      <w:tr>
        <w:trPr>
          <w:trHeight w:val="228"/>
        </w:trPr>
        <w:tc>
          <w:tcPr>
            <w:tcW w:w="4800" w:type="dxa"/>
            <w:vAlign w:val="bottom"/>
          </w:tcPr>
          <w:p>
            <w:pPr>
              <w:spacing w:after="0"/>
              <w:rPr>
                <w:sz w:val="19"/>
                <w:szCs w:val="19"/>
                <w:color w:val="auto"/>
              </w:rPr>
            </w:pPr>
          </w:p>
        </w:tc>
        <w:tc>
          <w:tcPr>
            <w:tcW w:w="1640" w:type="dxa"/>
            <w:vAlign w:val="bottom"/>
            <w:gridSpan w:val="3"/>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rPr>
              <w:t>Total Number</w:t>
            </w:r>
          </w:p>
        </w:tc>
        <w:tc>
          <w:tcPr>
            <w:tcW w:w="146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Average Price</w:t>
            </w:r>
          </w:p>
        </w:tc>
        <w:tc>
          <w:tcPr>
            <w:tcW w:w="14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rPr>
              <w:t>Announced</w:t>
            </w:r>
          </w:p>
        </w:tc>
        <w:tc>
          <w:tcPr>
            <w:tcW w:w="16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7"/>
              </w:rPr>
              <w:t>Under the</w:t>
            </w:r>
          </w:p>
        </w:tc>
        <w:tc>
          <w:tcPr>
            <w:tcW w:w="60" w:type="dxa"/>
            <w:vAlign w:val="bottom"/>
          </w:tcPr>
          <w:p>
            <w:pPr>
              <w:spacing w:after="0"/>
              <w:rPr>
                <w:sz w:val="19"/>
                <w:szCs w:val="19"/>
                <w:color w:val="auto"/>
              </w:rPr>
            </w:pPr>
          </w:p>
        </w:tc>
      </w:tr>
      <w:tr>
        <w:trPr>
          <w:trHeight w:val="228"/>
        </w:trPr>
        <w:tc>
          <w:tcPr>
            <w:tcW w:w="4800" w:type="dxa"/>
            <w:vAlign w:val="bottom"/>
          </w:tcPr>
          <w:p>
            <w:pPr>
              <w:spacing w:after="0"/>
              <w:rPr>
                <w:sz w:val="19"/>
                <w:szCs w:val="19"/>
                <w:color w:val="auto"/>
              </w:rPr>
            </w:pPr>
          </w:p>
        </w:tc>
        <w:tc>
          <w:tcPr>
            <w:tcW w:w="1640" w:type="dxa"/>
            <w:vAlign w:val="bottom"/>
            <w:gridSpan w:val="3"/>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8"/>
              </w:rPr>
              <w:t>of Shares</w:t>
            </w:r>
          </w:p>
        </w:tc>
        <w:tc>
          <w:tcPr>
            <w:tcW w:w="180" w:type="dxa"/>
            <w:vAlign w:val="bottom"/>
          </w:tcPr>
          <w:p>
            <w:pPr>
              <w:spacing w:after="0"/>
              <w:rPr>
                <w:sz w:val="19"/>
                <w:szCs w:val="19"/>
                <w:color w:val="auto"/>
              </w:rPr>
            </w:pPr>
          </w:p>
        </w:tc>
        <w:tc>
          <w:tcPr>
            <w:tcW w:w="1280" w:type="dxa"/>
            <w:vAlign w:val="bottom"/>
            <w:gridSpan w:val="2"/>
          </w:tcPr>
          <w:p>
            <w:pPr>
              <w:ind w:left="80"/>
              <w:spacing w:after="0" w:line="228" w:lineRule="exact"/>
              <w:rPr>
                <w:sz w:val="20"/>
                <w:szCs w:val="20"/>
                <w:color w:val="auto"/>
              </w:rPr>
            </w:pPr>
            <w:r>
              <w:rPr>
                <w:rFonts w:ascii="Times New Roman" w:cs="Times New Roman" w:eastAsia="Times New Roman" w:hAnsi="Times New Roman"/>
                <w:sz w:val="20"/>
                <w:szCs w:val="20"/>
                <w:b w:val="1"/>
                <w:bCs w:val="1"/>
                <w:color w:val="auto"/>
              </w:rPr>
              <w:t>Paid per</w:t>
            </w:r>
          </w:p>
        </w:tc>
        <w:tc>
          <w:tcPr>
            <w:tcW w:w="14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9"/>
              </w:rPr>
              <w:t>Plans or</w:t>
            </w:r>
          </w:p>
        </w:tc>
        <w:tc>
          <w:tcPr>
            <w:tcW w:w="160" w:type="dxa"/>
            <w:vAlign w:val="bottom"/>
          </w:tcPr>
          <w:p>
            <w:pPr>
              <w:spacing w:after="0"/>
              <w:rPr>
                <w:sz w:val="19"/>
                <w:szCs w:val="19"/>
                <w:color w:val="auto"/>
              </w:rPr>
            </w:pPr>
          </w:p>
        </w:tc>
        <w:tc>
          <w:tcPr>
            <w:tcW w:w="1080" w:type="dxa"/>
            <w:vAlign w:val="bottom"/>
          </w:tcPr>
          <w:p>
            <w:pPr>
              <w:jc w:val="center"/>
              <w:ind w:right="41"/>
              <w:spacing w:after="0" w:line="228" w:lineRule="exact"/>
              <w:rPr>
                <w:sz w:val="20"/>
                <w:szCs w:val="20"/>
                <w:color w:val="auto"/>
              </w:rPr>
            </w:pPr>
            <w:r>
              <w:rPr>
                <w:rFonts w:ascii="Times New Roman" w:cs="Times New Roman" w:eastAsia="Times New Roman" w:hAnsi="Times New Roman"/>
                <w:sz w:val="20"/>
                <w:szCs w:val="20"/>
                <w:b w:val="1"/>
                <w:bCs w:val="1"/>
                <w:color w:val="auto"/>
                <w:w w:val="99"/>
              </w:rPr>
              <w:t>Plans or</w:t>
            </w:r>
          </w:p>
        </w:tc>
        <w:tc>
          <w:tcPr>
            <w:tcW w:w="60" w:type="dxa"/>
            <w:vAlign w:val="bottom"/>
          </w:tcPr>
          <w:p>
            <w:pPr>
              <w:spacing w:after="0"/>
              <w:rPr>
                <w:sz w:val="19"/>
                <w:szCs w:val="19"/>
                <w:color w:val="auto"/>
              </w:rPr>
            </w:pPr>
          </w:p>
        </w:tc>
      </w:tr>
      <w:tr>
        <w:trPr>
          <w:trHeight w:val="252"/>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Period (amounts in thousands, except per share data)</w:t>
            </w:r>
          </w:p>
        </w:tc>
        <w:tc>
          <w:tcPr>
            <w:tcW w:w="1640" w:type="dxa"/>
            <w:vAlign w:val="bottom"/>
            <w:gridSpan w:val="3"/>
          </w:tcPr>
          <w:p>
            <w:pPr>
              <w:jc w:val="center"/>
              <w:ind w:right="220"/>
              <w:spacing w:after="0" w:line="252" w:lineRule="exact"/>
              <w:rPr>
                <w:sz w:val="20"/>
                <w:szCs w:val="20"/>
                <w:color w:val="auto"/>
              </w:rPr>
            </w:pPr>
            <w:r>
              <w:rPr>
                <w:rFonts w:ascii="Times New Roman" w:cs="Times New Roman" w:eastAsia="Times New Roman" w:hAnsi="Times New Roman"/>
                <w:sz w:val="20"/>
                <w:szCs w:val="20"/>
                <w:b w:val="1"/>
                <w:bCs w:val="1"/>
                <w:color w:val="auto"/>
                <w:w w:val="95"/>
              </w:rPr>
              <w:t>Purchased</w:t>
            </w:r>
            <w:r>
              <w:rPr>
                <w:rFonts w:ascii="Times New Roman" w:cs="Times New Roman" w:eastAsia="Times New Roman" w:hAnsi="Times New Roman"/>
                <w:sz w:val="25"/>
                <w:szCs w:val="25"/>
                <w:b w:val="1"/>
                <w:bCs w:val="1"/>
                <w:color w:val="auto"/>
                <w:w w:val="95"/>
                <w:vertAlign w:val="superscript"/>
              </w:rPr>
              <w:t>1</w:t>
            </w:r>
          </w:p>
        </w:tc>
        <w:tc>
          <w:tcPr>
            <w:tcW w:w="1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Share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Programs</w:t>
            </w:r>
          </w:p>
        </w:tc>
        <w:tc>
          <w:tcPr>
            <w:tcW w:w="160" w:type="dxa"/>
            <w:vAlign w:val="bottom"/>
          </w:tcPr>
          <w:p>
            <w:pPr>
              <w:spacing w:after="0"/>
              <w:rPr>
                <w:sz w:val="21"/>
                <w:szCs w:val="21"/>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9"/>
              </w:rPr>
              <w:t>Programs</w:t>
            </w:r>
          </w:p>
        </w:tc>
        <w:tc>
          <w:tcPr>
            <w:tcW w:w="60" w:type="dxa"/>
            <w:vAlign w:val="bottom"/>
          </w:tcPr>
          <w:p>
            <w:pPr>
              <w:spacing w:after="0"/>
              <w:rPr>
                <w:sz w:val="21"/>
                <w:szCs w:val="21"/>
                <w:color w:val="auto"/>
              </w:rPr>
            </w:pPr>
          </w:p>
        </w:tc>
      </w:tr>
      <w:tr>
        <w:trPr>
          <w:trHeight w:val="223"/>
        </w:trPr>
        <w:tc>
          <w:tcPr>
            <w:tcW w:w="4800" w:type="dxa"/>
            <w:vAlign w:val="bottom"/>
            <w:tcBorders>
              <w:top w:val="single" w:sz="8" w:color="E6E6E6"/>
            </w:tcBorders>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October 1, 2025 - October 31, 2025</w:t>
            </w:r>
          </w:p>
        </w:tc>
        <w:tc>
          <w:tcPr>
            <w:tcW w:w="1420" w:type="dxa"/>
            <w:vAlign w:val="bottom"/>
            <w:tcBorders>
              <w:top w:val="single" w:sz="8" w:color="auto"/>
            </w:tcBorders>
            <w:shd w:val="clear" w:color="auto" w:fill="E6E6E6"/>
          </w:tcPr>
          <w:p>
            <w:pPr>
              <w:ind w:left="122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shd w:val="clear" w:color="auto" w:fill="E6E6E6"/>
          </w:tcPr>
          <w:p>
            <w:pPr>
              <w:ind w:left="86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top w:val="single" w:sz="8" w:color="E6E6E6"/>
            </w:tcBorders>
            <w:shd w:val="clear" w:color="auto" w:fill="E6E6E6"/>
          </w:tcPr>
          <w:p>
            <w:pPr>
              <w:spacing w:after="0"/>
              <w:rPr>
                <w:sz w:val="19"/>
                <w:szCs w:val="19"/>
                <w:color w:val="auto"/>
              </w:rPr>
            </w:pPr>
          </w:p>
        </w:tc>
        <w:tc>
          <w:tcPr>
            <w:tcW w:w="1260" w:type="dxa"/>
            <w:vAlign w:val="bottom"/>
            <w:tcBorders>
              <w:top w:val="single" w:sz="8" w:color="auto"/>
            </w:tcBorders>
            <w:shd w:val="clear" w:color="auto" w:fill="E6E6E6"/>
          </w:tcPr>
          <w:p>
            <w:pPr>
              <w:ind w:left="106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shd w:val="clear" w:color="auto" w:fill="E6E6E6"/>
          </w:tcPr>
          <w:p>
            <w:pPr>
              <w:ind w:left="88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Borders>
              <w:top w:val="single" w:sz="8" w:color="E6E6E6"/>
            </w:tcBorders>
            <w:shd w:val="clear" w:color="auto" w:fill="E6E6E6"/>
          </w:tcPr>
          <w:p>
            <w:pPr>
              <w:spacing w:after="0"/>
              <w:rPr>
                <w:sz w:val="19"/>
                <w:szCs w:val="19"/>
                <w:color w:val="auto"/>
              </w:rPr>
            </w:pPr>
          </w:p>
        </w:tc>
      </w:tr>
      <w:tr>
        <w:trPr>
          <w:trHeight w:val="228"/>
        </w:trPr>
        <w:tc>
          <w:tcPr>
            <w:tcW w:w="48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November 1, 2025 - November 30, 2025</w:t>
            </w:r>
          </w:p>
        </w:tc>
        <w:tc>
          <w:tcPr>
            <w:tcW w:w="1420" w:type="dxa"/>
            <w:vAlign w:val="bottom"/>
          </w:tcPr>
          <w:p>
            <w:pPr>
              <w:ind w:left="122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86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1260" w:type="dxa"/>
            <w:vAlign w:val="bottom"/>
          </w:tcPr>
          <w:p>
            <w:pPr>
              <w:ind w:left="106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ind w:left="88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tcPr>
          <w:p>
            <w:pPr>
              <w:spacing w:after="0"/>
              <w:rPr>
                <w:sz w:val="19"/>
                <w:szCs w:val="19"/>
                <w:color w:val="auto"/>
              </w:rPr>
            </w:pPr>
          </w:p>
        </w:tc>
      </w:tr>
      <w:tr>
        <w:trPr>
          <w:trHeight w:val="228"/>
        </w:trPr>
        <w:tc>
          <w:tcPr>
            <w:tcW w:w="480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December 1, 2025 - December 31, 2025</w:t>
            </w:r>
          </w:p>
        </w:tc>
        <w:tc>
          <w:tcPr>
            <w:tcW w:w="1640" w:type="dxa"/>
            <w:vAlign w:val="bottom"/>
            <w:gridSpan w:val="3"/>
            <w:shd w:val="clear" w:color="auto" w:fill="E6E6E6"/>
          </w:tcPr>
          <w:p>
            <w:pPr>
              <w:ind w:left="122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ind w:left="8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2"/>
            <w:shd w:val="clear" w:color="auto" w:fill="E6E6E6"/>
          </w:tcPr>
          <w:p>
            <w:pPr>
              <w:ind w:left="10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6E6E6"/>
          </w:tcPr>
          <w:p>
            <w:pPr>
              <w:spacing w:after="0"/>
              <w:rPr>
                <w:sz w:val="19"/>
                <w:szCs w:val="19"/>
                <w:color w:val="auto"/>
              </w:rPr>
            </w:pPr>
          </w:p>
        </w:tc>
        <w:tc>
          <w:tcPr>
            <w:tcW w:w="1080" w:type="dxa"/>
            <w:vAlign w:val="bottom"/>
            <w:shd w:val="clear" w:color="auto" w:fill="E6E6E6"/>
          </w:tcPr>
          <w:p>
            <w:pPr>
              <w:ind w:left="88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60" w:type="dxa"/>
            <w:vAlign w:val="bottom"/>
            <w:shd w:val="clear" w:color="auto" w:fill="E6E6E6"/>
          </w:tcPr>
          <w:p>
            <w:pPr>
              <w:spacing w:after="0"/>
              <w:rPr>
                <w:sz w:val="19"/>
                <w:szCs w:val="19"/>
                <w:color w:val="auto"/>
              </w:rPr>
            </w:pPr>
          </w:p>
        </w:tc>
      </w:tr>
      <w:tr>
        <w:trPr>
          <w:trHeight w:val="223"/>
        </w:trPr>
        <w:tc>
          <w:tcPr>
            <w:tcW w:w="48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420" w:type="dxa"/>
            <w:vAlign w:val="bottom"/>
            <w:tcBorders>
              <w:top w:val="single" w:sz="8" w:color="auto"/>
              <w:bottom w:val="single" w:sz="8" w:color="auto"/>
            </w:tcBorders>
          </w:tcPr>
          <w:p>
            <w:pPr>
              <w:ind w:left="122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tcPr>
          <w:p>
            <w:pPr>
              <w:ind w:left="86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106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 w:right="240" w:hanging="6"/>
        <w:spacing w:after="0" w:line="275" w:lineRule="auto"/>
        <w:tabs>
          <w:tab w:leader="none" w:pos="28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10, 2022, the Board of Directors authorized a $20.0 million share repurchase program as described within Note 9 to the Consolidated Financial Statements. The program expired on April 30, 2025.</w:t>
      </w:r>
    </w:p>
    <w:p>
      <w:pPr>
        <w:spacing w:after="0" w:line="1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Not applicable.</w:t>
      </w:r>
    </w:p>
    <w:p>
      <w:pPr>
        <w:spacing w:after="0" w:line="2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686"/>
          </w:cols>
          <w:pgMar w:left="594" w:top="815"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686"/>
          </w:cols>
          <w:pgMar w:left="594" w:top="815" w:right="600" w:bottom="66"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Overview</w:t>
      </w:r>
    </w:p>
    <w:p>
      <w:pPr>
        <w:spacing w:after="0" w:line="23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CECO is an environmentally focused, diversified industrial company, serving the broad landscape of industrial air, industrial water and energy transition markets globally by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Industry Trends and Corporate Strategy</w:t>
      </w:r>
    </w:p>
    <w:p>
      <w:pPr>
        <w:spacing w:after="0" w:line="2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9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1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selective catalytic reduction ("SCR") systems for natural-gas-fired power plants. Increases in global natural gas, installed miles of new pipeline, including future CO2 and hydrogen pipelines, and liquified natural gas demand and supply all stand to drive the need for our products.</w:t>
      </w:r>
    </w:p>
    <w:p>
      <w:pPr>
        <w:spacing w:after="0" w:line="20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 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202"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9"/>
          <w:szCs w:val="19"/>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ectPr>
          <w:pgSz w:w="11880" w:h="15480" w:orient="portrait"/>
          <w:cols w:equalWidth="0" w:num="1">
            <w:col w:w="10660"/>
          </w:cols>
          <w:pgMar w:left="600" w:top="815" w:right="620" w:bottom="66"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660"/>
          </w:cols>
          <w:pgMar w:left="600" w:top="815" w:right="620" w:bottom="66" w:gutter="0" w:footer="0" w:header="0"/>
          <w:type w:val="continuous"/>
        </w:sectPr>
      </w:pPr>
    </w:p>
    <w:bookmarkStart w:id="44" w:name="page45"/>
    <w:bookmarkEnd w:id="44"/>
    <w:p>
      <w:pPr>
        <w:ind w:right="80"/>
        <w:spacing w:after="0" w:line="250" w:lineRule="auto"/>
        <w:rPr>
          <w:sz w:val="20"/>
          <w:szCs w:val="20"/>
          <w:color w:val="auto"/>
        </w:rPr>
      </w:pPr>
      <w:r>
        <w:rPr>
          <w:rFonts w:ascii="Times New Roman" w:cs="Times New Roman" w:eastAsia="Times New Roman" w:hAnsi="Times New Roman"/>
          <w:sz w:val="20"/>
          <w:szCs w:val="20"/>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19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 While the primary focuses of our capital allocation strategy is organic growth and portfolio management, the Company closely monitors its leverage and debt repayment strategies.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Pressures</w:t>
      </w:r>
    </w:p>
    <w:p>
      <w:pPr>
        <w:spacing w:after="0" w:line="23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senior management team monitors and manages the Company's ability to operate effectively as the result of market pressures. Against the current backdrop of a rapidly evolving global commercial environment, we believe we are comparatively well-positioned as we execute and manufacture a majority of our business in the same regions in which we sell, with our cost and revenue bases largely aligned as a result. Recently, international trade has been impacted by geopolitical tariff considerations. To mitigate potential tariff-related impacts, we have worked strategically with customers and suppliers to optimize terms and pricing, sourcing locations, and logistics routes and schedules. While we will continue to take a proactive approach on our efforts to mitigate the impacts of tariffs, our business and results could be adversely affected by further policy developments. We could experience shortages of raw materials and additional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and/or inflationary pressures, our business, results and financial condition could be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Proposed Transaction with Thermon Group Holdings, Inc.</w:t>
      </w:r>
    </w:p>
    <w:p>
      <w:pPr>
        <w:spacing w:after="0" w:line="23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CECO will acquire Thermon in a cash and stock transaction. The acquisition will be effected pursuant to a two-step merger transaction as contemplated by the Merger Agreement (the “Merger”). The consummation of the Merger is subject to the satisfaction or waiver of customary closing conditions, including, among others, approval by the Company’s stockholders and Thermon’s stockholders, the expiration or termination of the applicable waiting period under the Hart-Scott-Rodino Antitrust Improvements Act of 1976, as amended, the effectiveness of a registration statement on Form S-4 to be filed by the Company, and other customary regulatory approvals and conditions.</w:t>
      </w:r>
    </w:p>
    <w:p>
      <w:pPr>
        <w:spacing w:after="0" w:line="20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We expect to fund any cash portion of the Merger Consideration and related transaction costs with available cash and borrowings under our existing and/or committed credit facilities. We expect to incur significant costs in connection with the transaction, including legal, accounting, financial advisory and other expenses, and additional costs may be incurred in connection with integration planning and execution. For a description of risks related to the proposed transaction, see "Part I—Item 1A. Risk Factors—Risks Related to the Proposed Transaction with Thermon Group Holdings, Inc." and for additional details regarding the proposed transaction, see Note 17 to the Consolidated Financial Statements contained in Part II, Item 8 of this Annual Report on Form 10-K.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Operations Overview</w:t>
      </w:r>
    </w:p>
    <w:p>
      <w:pPr>
        <w:spacing w:after="0" w:line="238"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20"/>
          <w:szCs w:val="20"/>
          <w:color w:val="auto"/>
        </w:rPr>
        <w:t>Our segments consist of like end-market and end-market adjacent platforms.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leverage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19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Our operations management team has distinct industry expertise coupled with strong leadership skills resulting in a customer-first mindset across the business. Our operations management team works closely with our Chief Executive Officer on global fulfillment strategies, operational excellence, resource allocation, and employee development.</w:t>
      </w:r>
    </w:p>
    <w:p>
      <w:pPr>
        <w:sectPr>
          <w:pgSz w:w="11880" w:h="15480" w:orient="portrait"/>
          <w:cols w:equalWidth="0" w:num="1">
            <w:col w:w="10680"/>
          </w:cols>
          <w:pgMar w:left="600" w:top="818" w:right="600" w:bottom="66"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680"/>
          </w:cols>
          <w:pgMar w:left="600" w:top="818" w:right="600" w:bottom="66" w:gutter="0" w:footer="0" w:header="0"/>
          <w:type w:val="continuous"/>
        </w:sectPr>
      </w:pPr>
    </w:p>
    <w:bookmarkStart w:id="45" w:name="page46"/>
    <w:bookmarkEnd w:id="45"/>
    <w:p>
      <w:pPr>
        <w:ind w:right="120"/>
        <w:spacing w:after="0" w:line="246" w:lineRule="auto"/>
        <w:rPr>
          <w:sz w:val="20"/>
          <w:szCs w:val="20"/>
          <w:color w:val="auto"/>
        </w:rPr>
      </w:pPr>
      <w:r>
        <w:rPr>
          <w:rFonts w:ascii="Times New Roman" w:cs="Times New Roman" w:eastAsia="Times New Roman" w:hAnsi="Times New Roman"/>
          <w:sz w:val="20"/>
          <w:szCs w:val="20"/>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19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0"/>
          <w:szCs w:val="20"/>
          <w:color w:val="auto"/>
        </w:rPr>
        <w:t>In support of the segments, centralized teams provide back-office functions for scale, efficiency, and compliance. These key functions include: accounting, treasury, tax, payroll, human resources and total rewards management, legal, information technology, marketing, and internal control over financial reporting. We have excellent collaboration between our segments and our centralized service teams ensuring optimal efficiency and alignment on growth and improvement initiatives.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reportable segments are:</w:t>
      </w:r>
    </w:p>
    <w:p>
      <w:pPr>
        <w:spacing w:after="0" w:line="250" w:lineRule="exact"/>
        <w:rPr>
          <w:sz w:val="20"/>
          <w:szCs w:val="20"/>
          <w:color w:val="auto"/>
        </w:rPr>
      </w:pPr>
    </w:p>
    <w:p>
      <w:pPr>
        <w:ind w:left="700" w:right="240" w:hanging="350"/>
        <w:spacing w:after="0" w:line="246" w:lineRule="auto"/>
        <w:tabs>
          <w:tab w:leader="none" w:pos="7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Engineered Systems segment: </w:t>
      </w:r>
      <w:r>
        <w:rPr>
          <w:rFonts w:ascii="Times New Roman" w:cs="Times New Roman" w:eastAsia="Times New Roman" w:hAnsi="Times New Roman"/>
          <w:sz w:val="20"/>
          <w:szCs w:val="20"/>
          <w:color w:val="auto"/>
        </w:rPr>
        <w:t>Our Engineered Systems segment serves the power generation, hydrocarbon transport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processing, water/wastewater treatment, oily water separation and treatment, marine and naval, and natural gas and natural gas liquids infrastructure, treatment and transport sectors. We seek to address the global demand for contaminant removal and environmental protection solutions with its highly engineered platforms including emissions management, fluid bed cyclones, thermal acoustics, separation and filtration, and dampers and expansion joints.</w:t>
      </w:r>
    </w:p>
    <w:p>
      <w:pPr>
        <w:spacing w:after="0" w:line="210" w:lineRule="exact"/>
        <w:rPr>
          <w:rFonts w:ascii="Arial" w:cs="Arial" w:eastAsia="Arial" w:hAnsi="Arial"/>
          <w:sz w:val="20"/>
          <w:szCs w:val="20"/>
          <w:color w:val="auto"/>
        </w:rPr>
      </w:pPr>
    </w:p>
    <w:p>
      <w:pPr>
        <w:ind w:left="700" w:right="60" w:hanging="350"/>
        <w:spacing w:after="0" w:line="242" w:lineRule="auto"/>
        <w:tabs>
          <w:tab w:leader="none" w:pos="7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Industrial Process Solutions segment: </w:t>
      </w:r>
      <w:r>
        <w:rPr>
          <w:rFonts w:ascii="Times New Roman" w:cs="Times New Roman" w:eastAsia="Times New Roman" w:hAnsi="Times New Roman"/>
          <w:sz w:val="20"/>
          <w:szCs w:val="20"/>
          <w:color w:val="auto"/>
        </w:rPr>
        <w:t>Our Industrial Process Solutions segment serves the broad industrial sector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solutions for contamination control, exhaust air treatment, VOC abatement, process filtration and fluid handling in applications such as aluminum beverage can production, vehicle production, food and beverage processing, semiconductor fabrication, electronics production, steel and aluminum processing, engineered wood products manufacturing, chemical processing, general manufacturing and machining, coating and surface treatment, battery production and recycling, and wind and solar power components manufacturing end markets. We assist our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9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Our contracts are obtained either through customer upselling based on our leading brands and significant install base,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cost of sales is principally driven by a number of factors, including material and subcontract prices and labor cost and availability.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these factors may have a material impact on our overall gross profit margins.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break down costs of sales into five categories, as follows:</w:t>
      </w:r>
    </w:p>
    <w:p>
      <w:pPr>
        <w:spacing w:after="0" w:line="250" w:lineRule="exact"/>
        <w:rPr>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Subcontracts: </w:t>
      </w:r>
      <w:r>
        <w:rPr>
          <w:rFonts w:ascii="Times New Roman" w:cs="Times New Roman" w:eastAsia="Times New Roman" w:hAnsi="Times New Roman"/>
          <w:sz w:val="20"/>
          <w:szCs w:val="20"/>
          <w:color w:val="auto"/>
        </w:rPr>
        <w:t>Electrical work, concrete work, subcomponents and other subcontracts necessary to produce our products;</w:t>
      </w:r>
    </w:p>
    <w:p>
      <w:pPr>
        <w:spacing w:after="0" w:line="129"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Labor: </w:t>
      </w:r>
      <w:r>
        <w:rPr>
          <w:rFonts w:ascii="Times New Roman" w:cs="Times New Roman" w:eastAsia="Times New Roman" w:hAnsi="Times New Roman"/>
          <w:sz w:val="20"/>
          <w:szCs w:val="20"/>
          <w:color w:val="auto"/>
        </w:rPr>
        <w:t>Our direct labor both in the shop and in the field;</w:t>
      </w:r>
    </w:p>
    <w:p>
      <w:pPr>
        <w:spacing w:after="0" w:line="129" w:lineRule="exact"/>
        <w:rPr>
          <w:rFonts w:ascii="Arial" w:cs="Arial" w:eastAsia="Arial" w:hAnsi="Arial"/>
          <w:sz w:val="20"/>
          <w:szCs w:val="20"/>
          <w:color w:val="auto"/>
        </w:rPr>
      </w:pPr>
    </w:p>
    <w:p>
      <w:pPr>
        <w:ind w:left="700" w:right="260" w:hanging="350"/>
        <w:spacing w:after="0" w:line="274" w:lineRule="auto"/>
        <w:tabs>
          <w:tab w:leader="none" w:pos="7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Material: </w:t>
      </w:r>
      <w:r>
        <w:rPr>
          <w:rFonts w:ascii="Times New Roman" w:cs="Times New Roman" w:eastAsia="Times New Roman" w:hAnsi="Times New Roman"/>
          <w:sz w:val="20"/>
          <w:szCs w:val="20"/>
          <w:color w:val="auto"/>
        </w:rPr>
        <w:t>Raw materials that we buy to build our products, fans, motors, control panels and other equipment necessary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turnkey systems; and</w:t>
      </w:r>
    </w:p>
    <w:p>
      <w:pPr>
        <w:spacing w:after="0" w:line="62" w:lineRule="exact"/>
        <w:rPr>
          <w:rFonts w:ascii="Arial" w:cs="Arial" w:eastAsia="Arial" w:hAnsi="Arial"/>
          <w:sz w:val="20"/>
          <w:szCs w:val="20"/>
          <w:color w:val="auto"/>
        </w:rPr>
      </w:pPr>
    </w:p>
    <w:p>
      <w:pPr>
        <w:ind w:left="700" w:hanging="350"/>
        <w:spacing w:after="0"/>
        <w:tabs>
          <w:tab w:leader="none" w:pos="7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Factory overhead: </w:t>
      </w:r>
      <w:r>
        <w:rPr>
          <w:rFonts w:ascii="Times New Roman" w:cs="Times New Roman" w:eastAsia="Times New Roman" w:hAnsi="Times New Roman"/>
          <w:sz w:val="20"/>
          <w:szCs w:val="20"/>
          <w:color w:val="auto"/>
        </w:rPr>
        <w:t>Costs of facilities and supervision wages necessary to produce our products.</w:t>
      </w:r>
    </w:p>
    <w:p>
      <w:pPr>
        <w:spacing w:after="0" w:line="23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quickly, which also reduces gross margin percentage. As material cost inflation occurs, we seek to pass this cost onto our customers as price increases.</w:t>
      </w:r>
    </w:p>
    <w:p>
      <w:pPr>
        <w:spacing w:after="0" w:line="202"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9"/>
          <w:szCs w:val="19"/>
          <w:color w:val="auto"/>
        </w:rPr>
        <w:t>Selling and administrative expense principally includes sales and engineering payroll and related fringes, advertising and marketing expenditures as well as all corporate and administrative functions and other costs that support our operations. Variable compensation based on the Company’s performance is included in selling and administrative expense. An advantage of our operating model is that as revenue grows, we have significant operating leverage on our fixed selling and administrative cost structure.</w:t>
      </w:r>
    </w:p>
    <w:p>
      <w:pPr>
        <w:sectPr>
          <w:pgSz w:w="11880" w:h="15480" w:orient="portrait"/>
          <w:cols w:equalWidth="0" w:num="1">
            <w:col w:w="10660"/>
          </w:cols>
          <w:pgMar w:left="600" w:top="818" w:right="620" w:bottom="66"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660"/>
          </w:cols>
          <w:pgMar w:left="600" w:top="818" w:right="620" w:bottom="66"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Note Regarding Use of Non-GAAP Financial Measures</w:t>
      </w:r>
    </w:p>
    <w:p>
      <w:pPr>
        <w:spacing w:after="0" w:line="238"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8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As a result, the Company provides financial information in this MD&amp;A that was not prepared in accordance with GAAP and should not be considered as an alternative to the information prepared in accordance with GAAP. We believe these non-GAAP measures are useful to investors and management in evaluating the Company's ongoing financial performance, and the Company believes they provide greater transparency to investors as supplemental information to its GAAP results.</w:t>
      </w:r>
    </w:p>
    <w:p>
      <w:pPr>
        <w:spacing w:after="0" w:line="19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 Company has provided the non-GAAP financial measures including non-GAAP operating income, non-GAAP operating margin, and non-GAAP net income as a result of adjustments for items that the Company believes are not indicative of its ongoing operations. These items include charges associated with the Company’s acquisitions, divestiture, and the items described below in “Consolidated Results.” The Company believes that these items are not necessarily indicative of the Company’s ongoing operations and their exclusion provides individuals with additional information to better compare the Company's results over multiple periods. The Company utilizes this information to evaluate its ongoing financial performance.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Results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consolidated statements of income for the years ended December 31, 2025, 2024 and 2023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8"/>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1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2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E6E6E6"/>
            </w:tcBorders>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E6E6E6"/>
            </w:tcBorders>
          </w:tcPr>
          <w:p>
            <w:pPr>
              <w:spacing w:after="0"/>
              <w:rPr>
                <w:sz w:val="20"/>
                <w:szCs w:val="20"/>
                <w:color w:val="auto"/>
              </w:rPr>
            </w:pPr>
          </w:p>
        </w:tc>
      </w:tr>
      <w:tr>
        <w:trPr>
          <w:trHeight w:val="236"/>
        </w:trPr>
        <w:tc>
          <w:tcPr>
            <w:tcW w:w="5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sales</w:t>
            </w:r>
          </w:p>
        </w:tc>
        <w:tc>
          <w:tcPr>
            <w:tcW w:w="6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774.4</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557.9</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544.8</w:t>
            </w:r>
          </w:p>
        </w:tc>
        <w:tc>
          <w:tcPr>
            <w:tcW w:w="200" w:type="dxa"/>
            <w:vAlign w:val="bottom"/>
            <w:shd w:val="clear" w:color="auto" w:fill="E6E6E6"/>
          </w:tcPr>
          <w:p>
            <w:pPr>
              <w:spacing w:after="0"/>
              <w:rPr>
                <w:sz w:val="20"/>
                <w:szCs w:val="20"/>
                <w:color w:val="auto"/>
              </w:rPr>
            </w:pPr>
          </w:p>
        </w:tc>
      </w:tr>
      <w:tr>
        <w:trPr>
          <w:trHeight w:val="242"/>
        </w:trPr>
        <w:tc>
          <w:tcPr>
            <w:tcW w:w="51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6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505.2</w:t>
            </w:r>
          </w:p>
        </w:tc>
        <w:tc>
          <w:tcPr>
            <w:tcW w:w="220" w:type="dxa"/>
            <w:vAlign w:val="bottom"/>
            <w:tcBorders>
              <w:bottom w:val="single" w:sz="8" w:color="E6E6E6"/>
            </w:tcBorders>
          </w:tcPr>
          <w:p>
            <w:pPr>
              <w:spacing w:after="0"/>
              <w:rPr>
                <w:sz w:val="21"/>
                <w:szCs w:val="21"/>
                <w:color w:val="auto"/>
              </w:rPr>
            </w:pPr>
          </w:p>
        </w:tc>
        <w:tc>
          <w:tcPr>
            <w:tcW w:w="14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361.8</w:t>
            </w:r>
          </w:p>
        </w:tc>
        <w:tc>
          <w:tcPr>
            <w:tcW w:w="22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373.8</w:t>
            </w:r>
          </w:p>
        </w:tc>
        <w:tc>
          <w:tcPr>
            <w:tcW w:w="200" w:type="dxa"/>
            <w:vAlign w:val="bottom"/>
            <w:tcBorders>
              <w:bottom w:val="single" w:sz="8" w:color="E6E6E6"/>
            </w:tcBorders>
          </w:tcPr>
          <w:p>
            <w:pPr>
              <w:spacing w:after="0"/>
              <w:rPr>
                <w:sz w:val="21"/>
                <w:szCs w:val="21"/>
                <w:color w:val="auto"/>
              </w:rPr>
            </w:pPr>
          </w:p>
        </w:tc>
      </w:tr>
      <w:tr>
        <w:trPr>
          <w:trHeight w:val="236"/>
        </w:trPr>
        <w:tc>
          <w:tcPr>
            <w:tcW w:w="5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6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269.2</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196.1</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171.0</w:t>
            </w:r>
          </w:p>
        </w:tc>
        <w:tc>
          <w:tcPr>
            <w:tcW w:w="200" w:type="dxa"/>
            <w:vAlign w:val="bottom"/>
            <w:shd w:val="clear" w:color="auto" w:fill="E6E6E6"/>
          </w:tcPr>
          <w:p>
            <w:pPr>
              <w:spacing w:after="0"/>
              <w:rPr>
                <w:sz w:val="20"/>
                <w:szCs w:val="20"/>
                <w:color w:val="auto"/>
              </w:rPr>
            </w:pPr>
          </w:p>
        </w:tc>
      </w:tr>
      <w:tr>
        <w:trPr>
          <w:trHeight w:val="242"/>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Percent of sales</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34.8%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31.4%</w:t>
            </w:r>
          </w:p>
        </w:tc>
      </w:tr>
      <w:tr>
        <w:trPr>
          <w:trHeight w:val="242"/>
        </w:trPr>
        <w:tc>
          <w:tcPr>
            <w:tcW w:w="5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Selling and administrative expenses</w:t>
            </w:r>
          </w:p>
        </w:tc>
        <w:tc>
          <w:tcPr>
            <w:tcW w:w="9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200.8</w:t>
            </w:r>
          </w:p>
        </w:tc>
        <w:tc>
          <w:tcPr>
            <w:tcW w:w="22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146.7</w:t>
            </w:r>
          </w:p>
        </w:tc>
        <w:tc>
          <w:tcPr>
            <w:tcW w:w="220" w:type="dxa"/>
            <w:vAlign w:val="bottom"/>
            <w:shd w:val="clear" w:color="auto" w:fill="E6E6E6"/>
          </w:tcPr>
          <w:p>
            <w:pPr>
              <w:spacing w:after="0"/>
              <w:rPr>
                <w:sz w:val="21"/>
                <w:szCs w:val="21"/>
                <w:color w:val="auto"/>
              </w:rPr>
            </w:pP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200" w:type="dxa"/>
            <w:vAlign w:val="bottom"/>
            <w:shd w:val="clear" w:color="auto" w:fill="E6E6E6"/>
          </w:tcPr>
          <w:p>
            <w:pPr>
              <w:spacing w:after="0"/>
              <w:rPr>
                <w:sz w:val="21"/>
                <w:szCs w:val="21"/>
                <w:color w:val="auto"/>
              </w:rPr>
            </w:pPr>
          </w:p>
        </w:tc>
      </w:tr>
      <w:tr>
        <w:trPr>
          <w:trHeight w:val="242"/>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Percent of sales</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25.9%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26.3%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22.6%</w:t>
            </w:r>
          </w:p>
        </w:tc>
      </w:tr>
      <w:tr>
        <w:trPr>
          <w:trHeight w:val="242"/>
        </w:trPr>
        <w:tc>
          <w:tcPr>
            <w:tcW w:w="5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Amortization expenses</w:t>
            </w:r>
          </w:p>
        </w:tc>
        <w:tc>
          <w:tcPr>
            <w:tcW w:w="9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2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20" w:type="dxa"/>
            <w:vAlign w:val="bottom"/>
            <w:shd w:val="clear" w:color="auto" w:fill="E6E6E6"/>
          </w:tcPr>
          <w:p>
            <w:pPr>
              <w:spacing w:after="0"/>
              <w:rPr>
                <w:sz w:val="21"/>
                <w:szCs w:val="21"/>
                <w:color w:val="auto"/>
              </w:rPr>
            </w:pP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00" w:type="dxa"/>
            <w:vAlign w:val="bottom"/>
            <w:shd w:val="clear" w:color="auto" w:fill="E6E6E6"/>
          </w:tcPr>
          <w:p>
            <w:pPr>
              <w:spacing w:after="0"/>
              <w:rPr>
                <w:sz w:val="21"/>
                <w:szCs w:val="21"/>
                <w:color w:val="auto"/>
              </w:rPr>
            </w:pPr>
          </w:p>
        </w:tc>
      </w:tr>
      <w:tr>
        <w:trPr>
          <w:trHeight w:val="242"/>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Acquisition and integration expenses</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Pr>
          <w:p>
            <w:pPr>
              <w:spacing w:after="0"/>
              <w:rPr>
                <w:sz w:val="21"/>
                <w:szCs w:val="21"/>
                <w:color w:val="auto"/>
              </w:rPr>
            </w:pPr>
          </w:p>
        </w:tc>
      </w:tr>
      <w:tr>
        <w:trPr>
          <w:trHeight w:val="242"/>
        </w:trPr>
        <w:tc>
          <w:tcPr>
            <w:tcW w:w="5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Gain on sale of Global Pump Solutions business</w:t>
            </w:r>
          </w:p>
        </w:tc>
        <w:tc>
          <w:tcPr>
            <w:tcW w:w="6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(63.7)</w:t>
            </w:r>
          </w:p>
        </w:tc>
        <w:tc>
          <w:tcPr>
            <w:tcW w:w="14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51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Other operating expense</w:t>
            </w:r>
          </w:p>
        </w:tc>
        <w:tc>
          <w:tcPr>
            <w:tcW w:w="6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20" w:type="dxa"/>
            <w:vAlign w:val="bottom"/>
            <w:tcBorders>
              <w:bottom w:val="single" w:sz="8" w:color="E6E6E6"/>
            </w:tcBorders>
          </w:tcPr>
          <w:p>
            <w:pPr>
              <w:spacing w:after="0"/>
              <w:rPr>
                <w:sz w:val="21"/>
                <w:szCs w:val="21"/>
                <w:color w:val="auto"/>
              </w:rPr>
            </w:pPr>
          </w:p>
        </w:tc>
        <w:tc>
          <w:tcPr>
            <w:tcW w:w="14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20" w:type="dxa"/>
            <w:vAlign w:val="bottom"/>
            <w:tcBorders>
              <w:bottom w:val="single" w:sz="8" w:color="E6E6E6"/>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Borders>
              <w:bottom w:val="single" w:sz="8" w:color="E6E6E6"/>
            </w:tcBorders>
          </w:tcPr>
          <w:p>
            <w:pPr>
              <w:spacing w:after="0"/>
              <w:rPr>
                <w:sz w:val="21"/>
                <w:szCs w:val="21"/>
                <w:color w:val="auto"/>
              </w:rPr>
            </w:pPr>
          </w:p>
        </w:tc>
      </w:tr>
      <w:tr>
        <w:trPr>
          <w:trHeight w:val="236"/>
        </w:trPr>
        <w:tc>
          <w:tcPr>
            <w:tcW w:w="5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6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20" w:type="dxa"/>
            <w:vAlign w:val="bottom"/>
            <w:shd w:val="clear" w:color="auto" w:fill="E6E6E6"/>
          </w:tcPr>
          <w:p>
            <w:pPr>
              <w:spacing w:after="0"/>
              <w:rPr>
                <w:sz w:val="20"/>
                <w:szCs w:val="20"/>
                <w:color w:val="auto"/>
              </w:rPr>
            </w:pP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200" w:type="dxa"/>
            <w:vAlign w:val="bottom"/>
            <w:shd w:val="clear" w:color="auto" w:fill="E6E6E6"/>
          </w:tcPr>
          <w:p>
            <w:pPr>
              <w:spacing w:after="0"/>
              <w:rPr>
                <w:sz w:val="20"/>
                <w:szCs w:val="20"/>
                <w:color w:val="auto"/>
              </w:rPr>
            </w:pPr>
          </w:p>
        </w:tc>
      </w:tr>
      <w:tr>
        <w:trPr>
          <w:trHeight w:val="242"/>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Percent of sales</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13.7%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6.4%</w:t>
            </w:r>
          </w:p>
        </w:tc>
      </w:tr>
      <w:tr>
        <w:trPr>
          <w:trHeight w:val="242"/>
        </w:trPr>
        <w:tc>
          <w:tcPr>
            <w:tcW w:w="5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expense (income)</w:t>
            </w:r>
          </w:p>
        </w:tc>
        <w:tc>
          <w:tcPr>
            <w:tcW w:w="9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2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20" w:type="dxa"/>
            <w:vAlign w:val="bottom"/>
            <w:shd w:val="clear" w:color="auto" w:fill="E6E6E6"/>
          </w:tcPr>
          <w:p>
            <w:pPr>
              <w:spacing w:after="0"/>
              <w:rPr>
                <w:sz w:val="21"/>
                <w:szCs w:val="21"/>
                <w:color w:val="auto"/>
              </w:rPr>
            </w:pP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(0.4)</w:t>
            </w:r>
          </w:p>
        </w:tc>
      </w:tr>
      <w:tr>
        <w:trPr>
          <w:trHeight w:val="242"/>
        </w:trPr>
        <w:tc>
          <w:tcPr>
            <w:tcW w:w="51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6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220" w:type="dxa"/>
            <w:vAlign w:val="bottom"/>
            <w:tcBorders>
              <w:bottom w:val="single" w:sz="8" w:color="E6E6E6"/>
            </w:tcBorders>
          </w:tcPr>
          <w:p>
            <w:pPr>
              <w:spacing w:after="0"/>
              <w:rPr>
                <w:sz w:val="21"/>
                <w:szCs w:val="21"/>
                <w:color w:val="auto"/>
              </w:rPr>
            </w:pPr>
          </w:p>
        </w:tc>
        <w:tc>
          <w:tcPr>
            <w:tcW w:w="14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2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00" w:type="dxa"/>
            <w:vAlign w:val="bottom"/>
            <w:tcBorders>
              <w:bottom w:val="single" w:sz="8" w:color="E6E6E6"/>
            </w:tcBorders>
          </w:tcPr>
          <w:p>
            <w:pPr>
              <w:spacing w:after="0"/>
              <w:rPr>
                <w:sz w:val="21"/>
                <w:szCs w:val="21"/>
                <w:color w:val="auto"/>
              </w:rPr>
            </w:pPr>
          </w:p>
        </w:tc>
      </w:tr>
      <w:tr>
        <w:trPr>
          <w:trHeight w:val="236"/>
        </w:trPr>
        <w:tc>
          <w:tcPr>
            <w:tcW w:w="5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6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200" w:type="dxa"/>
            <w:vAlign w:val="bottom"/>
            <w:shd w:val="clear" w:color="auto" w:fill="E6E6E6"/>
          </w:tcPr>
          <w:p>
            <w:pPr>
              <w:spacing w:after="0"/>
              <w:rPr>
                <w:sz w:val="20"/>
                <w:szCs w:val="20"/>
                <w:color w:val="auto"/>
              </w:rPr>
            </w:pPr>
          </w:p>
        </w:tc>
      </w:tr>
      <w:tr>
        <w:trPr>
          <w:trHeight w:val="242"/>
        </w:trPr>
        <w:tc>
          <w:tcPr>
            <w:tcW w:w="51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6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220" w:type="dxa"/>
            <w:vAlign w:val="bottom"/>
            <w:tcBorders>
              <w:bottom w:val="single" w:sz="8" w:color="E6E6E6"/>
            </w:tcBorders>
          </w:tcPr>
          <w:p>
            <w:pPr>
              <w:spacing w:after="0"/>
              <w:rPr>
                <w:sz w:val="21"/>
                <w:szCs w:val="21"/>
                <w:color w:val="auto"/>
              </w:rPr>
            </w:pPr>
          </w:p>
        </w:tc>
        <w:tc>
          <w:tcPr>
            <w:tcW w:w="14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20" w:type="dxa"/>
            <w:vAlign w:val="bottom"/>
            <w:tcBorders>
              <w:bottom w:val="single" w:sz="8" w:color="E6E6E6"/>
            </w:tcBorders>
          </w:tcPr>
          <w:p>
            <w:pPr>
              <w:spacing w:after="0"/>
              <w:rPr>
                <w:sz w:val="21"/>
                <w:szCs w:val="21"/>
                <w:color w:val="auto"/>
              </w:rPr>
            </w:pPr>
          </w:p>
        </w:tc>
        <w:tc>
          <w:tcPr>
            <w:tcW w:w="1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0" w:type="dxa"/>
            <w:vAlign w:val="bottom"/>
            <w:tcBorders>
              <w:bottom w:val="single" w:sz="8" w:color="E6E6E6"/>
            </w:tcBorders>
          </w:tcPr>
          <w:p>
            <w:pPr>
              <w:spacing w:after="0"/>
              <w:rPr>
                <w:sz w:val="21"/>
                <w:szCs w:val="21"/>
                <w:color w:val="auto"/>
              </w:rPr>
            </w:pPr>
          </w:p>
        </w:tc>
      </w:tr>
      <w:tr>
        <w:trPr>
          <w:trHeight w:val="236"/>
        </w:trPr>
        <w:tc>
          <w:tcPr>
            <w:tcW w:w="5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Net income</w:t>
            </w:r>
          </w:p>
        </w:tc>
        <w:tc>
          <w:tcPr>
            <w:tcW w:w="6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200" w:type="dxa"/>
            <w:vAlign w:val="bottom"/>
            <w:shd w:val="clear" w:color="auto" w:fill="E6E6E6"/>
          </w:tcPr>
          <w:p>
            <w:pPr>
              <w:spacing w:after="0"/>
              <w:rPr>
                <w:sz w:val="20"/>
                <w:szCs w:val="20"/>
                <w:color w:val="auto"/>
              </w:rPr>
            </w:pPr>
          </w:p>
        </w:tc>
      </w:tr>
      <w:tr>
        <w:trPr>
          <w:trHeight w:val="242"/>
        </w:trPr>
        <w:tc>
          <w:tcPr>
            <w:tcW w:w="51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6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tcBorders>
              <w:bottom w:val="single" w:sz="8" w:color="E6E6E6"/>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tcBorders>
              <w:bottom w:val="single" w:sz="8" w:color="E6E6E6"/>
            </w:tcBorders>
          </w:tcPr>
          <w:p>
            <w:pPr>
              <w:spacing w:after="0"/>
              <w:rPr>
                <w:sz w:val="21"/>
                <w:szCs w:val="21"/>
                <w:color w:val="auto"/>
              </w:rPr>
            </w:pPr>
          </w:p>
        </w:tc>
      </w:tr>
      <w:tr>
        <w:trPr>
          <w:trHeight w:val="236"/>
        </w:trPr>
        <w:tc>
          <w:tcPr>
            <w:tcW w:w="5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Net income attributable to CECO Environmental Corp.</w:t>
            </w:r>
          </w:p>
        </w:tc>
        <w:tc>
          <w:tcPr>
            <w:tcW w:w="620" w:type="dxa"/>
            <w:vAlign w:val="bottom"/>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220" w:type="dxa"/>
            <w:vAlign w:val="bottom"/>
            <w:shd w:val="clear" w:color="auto" w:fill="E6E6E6"/>
          </w:tcPr>
          <w:p>
            <w:pPr>
              <w:spacing w:after="0"/>
              <w:rPr>
                <w:sz w:val="20"/>
                <w:szCs w:val="20"/>
                <w:color w:val="auto"/>
              </w:rPr>
            </w:pPr>
          </w:p>
        </w:tc>
        <w:tc>
          <w:tcPr>
            <w:tcW w:w="420" w:type="dxa"/>
            <w:vAlign w:val="bottom"/>
            <w:tcBorders>
              <w:bottom w:val="single" w:sz="8" w:color="auto"/>
            </w:tcBorders>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20" w:type="dxa"/>
            <w:vAlign w:val="bottom"/>
            <w:shd w:val="clear" w:color="auto" w:fill="E6E6E6"/>
          </w:tcPr>
          <w:p>
            <w:pPr>
              <w:spacing w:after="0"/>
              <w:rPr>
                <w:sz w:val="20"/>
                <w:szCs w:val="20"/>
                <w:color w:val="auto"/>
              </w:rPr>
            </w:pPr>
          </w:p>
        </w:tc>
        <w:tc>
          <w:tcPr>
            <w:tcW w:w="400" w:type="dxa"/>
            <w:vAlign w:val="bottom"/>
            <w:tcBorders>
              <w:bottom w:val="single" w:sz="8" w:color="auto"/>
            </w:tcBorders>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00" w:type="dxa"/>
            <w:vAlign w:val="bottom"/>
            <w:shd w:val="clear" w:color="auto" w:fill="E6E6E6"/>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815"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680"/>
          </w:cols>
          <w:pgMar w:left="600" w:top="815" w:right="600" w:bottom="66"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Measures</w:t>
      </w:r>
    </w:p>
    <w:p>
      <w:pPr>
        <w:spacing w:after="0" w:line="23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To compare operating performance between the years ended December 31, 2025, 2024 and 2023 the Company has adjusted GAAP operating income to exclude (1) amortization of intangible assets, (2) acquisition and integration expenses, which include legal, accounting, and other expenses, (3) gain on the sale of the Global Pump Solutions business, and (4) other non-recurring expenses, including fair value adjustment of earn-out liabilities from the acquisitions of WK Group, restructuring expenses primarily relating to severance, facility exits, and associated legal expenses, asbestos litigation expenses relating to future settlement payments, and third party professional consulting fees associated with Enterprise Resource Planning system implementations.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8"/>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1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6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E6E6E6"/>
            </w:tcBorders>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E6E6E6"/>
            </w:tcBorders>
          </w:tcPr>
          <w:p>
            <w:pPr>
              <w:spacing w:after="0"/>
              <w:rPr>
                <w:sz w:val="20"/>
                <w:szCs w:val="20"/>
                <w:color w:val="auto"/>
              </w:rPr>
            </w:pPr>
          </w:p>
        </w:tc>
        <w:tc>
          <w:tcPr>
            <w:tcW w:w="12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E6E6E6"/>
            </w:tcBorders>
          </w:tcPr>
          <w:p>
            <w:pPr>
              <w:spacing w:after="0"/>
              <w:rPr>
                <w:sz w:val="20"/>
                <w:szCs w:val="20"/>
                <w:color w:val="auto"/>
              </w:rPr>
            </w:pPr>
          </w:p>
        </w:tc>
      </w:tr>
      <w:tr>
        <w:trPr>
          <w:trHeight w:val="236"/>
        </w:trPr>
        <w:tc>
          <w:tcPr>
            <w:tcW w:w="51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income as reported in accordance with GAAP</w:t>
            </w:r>
          </w:p>
        </w:tc>
        <w:tc>
          <w:tcPr>
            <w:tcW w:w="66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2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200" w:type="dxa"/>
            <w:vAlign w:val="bottom"/>
            <w:shd w:val="clear" w:color="auto" w:fill="E6E6E6"/>
          </w:tcPr>
          <w:p>
            <w:pPr>
              <w:spacing w:after="0"/>
              <w:rPr>
                <w:sz w:val="20"/>
                <w:szCs w:val="20"/>
                <w:color w:val="auto"/>
              </w:rPr>
            </w:pPr>
          </w:p>
        </w:tc>
      </w:tr>
      <w:tr>
        <w:trPr>
          <w:trHeight w:val="242"/>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Operating margin in accordance with GAAP</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13.7%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6.4%</w:t>
            </w:r>
          </w:p>
        </w:tc>
      </w:tr>
      <w:tr>
        <w:trPr>
          <w:trHeight w:val="242"/>
        </w:trPr>
        <w:tc>
          <w:tcPr>
            <w:tcW w:w="51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Amortization expenses</w:t>
            </w:r>
          </w:p>
        </w:tc>
        <w:tc>
          <w:tcPr>
            <w:tcW w:w="6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00" w:type="dxa"/>
            <w:vAlign w:val="bottom"/>
            <w:shd w:val="clear" w:color="auto" w:fill="E6E6E6"/>
          </w:tcPr>
          <w:p>
            <w:pPr>
              <w:spacing w:after="0"/>
              <w:rPr>
                <w:sz w:val="21"/>
                <w:szCs w:val="21"/>
                <w:color w:val="auto"/>
              </w:rPr>
            </w:pPr>
          </w:p>
        </w:tc>
      </w:tr>
      <w:tr>
        <w:trPr>
          <w:trHeight w:val="242"/>
        </w:trPr>
        <w:tc>
          <w:tcPr>
            <w:tcW w:w="5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Acquisition and integration expenses</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Pr>
          <w:p>
            <w:pPr>
              <w:spacing w:after="0"/>
              <w:rPr>
                <w:sz w:val="21"/>
                <w:szCs w:val="21"/>
                <w:color w:val="auto"/>
              </w:rPr>
            </w:pPr>
          </w:p>
        </w:tc>
      </w:tr>
      <w:tr>
        <w:trPr>
          <w:trHeight w:val="242"/>
        </w:trPr>
        <w:tc>
          <w:tcPr>
            <w:tcW w:w="51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Gain on sale of Global Pump Solutions business</w:t>
            </w:r>
          </w:p>
        </w:tc>
        <w:tc>
          <w:tcPr>
            <w:tcW w:w="6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(63.7)</w:t>
            </w:r>
          </w:p>
        </w:tc>
        <w:tc>
          <w:tcPr>
            <w:tcW w:w="14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514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20"/>
                <w:szCs w:val="20"/>
                <w:color w:val="auto"/>
              </w:rPr>
              <w:t>Other operating expense</w:t>
            </w:r>
          </w:p>
        </w:tc>
        <w:tc>
          <w:tcPr>
            <w:tcW w:w="66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2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20" w:type="dxa"/>
            <w:vAlign w:val="bottom"/>
            <w:tcBorders>
              <w:bottom w:val="single" w:sz="8" w:color="E6E6E6"/>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Borders>
              <w:bottom w:val="single" w:sz="8" w:color="E6E6E6"/>
            </w:tcBorders>
          </w:tcPr>
          <w:p>
            <w:pPr>
              <w:spacing w:after="0"/>
              <w:rPr>
                <w:sz w:val="21"/>
                <w:szCs w:val="21"/>
                <w:color w:val="auto"/>
              </w:rPr>
            </w:pPr>
          </w:p>
        </w:tc>
      </w:tr>
      <w:tr>
        <w:trPr>
          <w:trHeight w:val="236"/>
        </w:trPr>
        <w:tc>
          <w:tcPr>
            <w:tcW w:w="51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Non-GAAP operating income</w:t>
            </w:r>
          </w:p>
        </w:tc>
        <w:tc>
          <w:tcPr>
            <w:tcW w:w="66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220" w:type="dxa"/>
            <w:vAlign w:val="bottom"/>
            <w:shd w:val="clear" w:color="auto" w:fill="E6E6E6"/>
          </w:tcPr>
          <w:p>
            <w:pPr>
              <w:spacing w:after="0"/>
              <w:rPr>
                <w:sz w:val="20"/>
                <w:szCs w:val="20"/>
                <w:color w:val="auto"/>
              </w:rPr>
            </w:pPr>
          </w:p>
        </w:tc>
        <w:tc>
          <w:tcPr>
            <w:tcW w:w="42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220" w:type="dxa"/>
            <w:vAlign w:val="bottom"/>
            <w:shd w:val="clear" w:color="auto" w:fill="E6E6E6"/>
          </w:tcPr>
          <w:p>
            <w:pPr>
              <w:spacing w:after="0"/>
              <w:rPr>
                <w:sz w:val="20"/>
                <w:szCs w:val="20"/>
                <w:color w:val="auto"/>
              </w:rPr>
            </w:pPr>
          </w:p>
        </w:tc>
        <w:tc>
          <w:tcPr>
            <w:tcW w:w="40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200" w:type="dxa"/>
            <w:vAlign w:val="bottom"/>
            <w:shd w:val="clear" w:color="auto" w:fill="E6E6E6"/>
          </w:tcPr>
          <w:p>
            <w:pPr>
              <w:spacing w:after="0"/>
              <w:rPr>
                <w:sz w:val="20"/>
                <w:szCs w:val="20"/>
                <w:color w:val="auto"/>
              </w:rPr>
            </w:pPr>
          </w:p>
        </w:tc>
      </w:tr>
      <w:tr>
        <w:trPr>
          <w:trHeight w:val="261"/>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Non-GAAP operating margin</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8.8%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i w:val="1"/>
                <w:iCs w:val="1"/>
                <w:color w:val="auto"/>
              </w:rPr>
              <w:t>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8.8%</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7"/>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7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6E6E6"/>
            </w:tcBorders>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4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E6E6E6"/>
            </w:tcBorders>
          </w:tcPr>
          <w:p>
            <w:pPr>
              <w:spacing w:after="0"/>
              <w:rPr>
                <w:sz w:val="20"/>
                <w:szCs w:val="20"/>
                <w:color w:val="auto"/>
              </w:rPr>
            </w:pPr>
          </w:p>
        </w:tc>
      </w:tr>
      <w:tr>
        <w:trPr>
          <w:trHeight w:val="236"/>
        </w:trPr>
        <w:tc>
          <w:tcPr>
            <w:tcW w:w="57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income as reported in accordance with GAAP</w:t>
            </w: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24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340" w:type="dxa"/>
            <w:vAlign w:val="bottom"/>
            <w:shd w:val="clear" w:color="auto" w:fill="E6E6E6"/>
          </w:tcPr>
          <w:p>
            <w:pPr>
              <w:spacing w:after="0"/>
              <w:rPr>
                <w:sz w:val="20"/>
                <w:szCs w:val="20"/>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00" w:type="dxa"/>
            <w:vAlign w:val="bottom"/>
            <w:shd w:val="clear" w:color="auto" w:fill="E6E6E6"/>
          </w:tcPr>
          <w:p>
            <w:pPr>
              <w:spacing w:after="0"/>
              <w:rPr>
                <w:sz w:val="20"/>
                <w:szCs w:val="20"/>
                <w:color w:val="auto"/>
              </w:rPr>
            </w:pPr>
          </w:p>
        </w:tc>
      </w:tr>
      <w:tr>
        <w:trPr>
          <w:trHeight w:val="242"/>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Net income as a percentage of sales</w:t>
            </w:r>
          </w:p>
        </w:tc>
        <w:tc>
          <w:tcPr>
            <w:tcW w:w="2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i w:val="1"/>
                <w:iCs w:val="1"/>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i w:val="1"/>
                <w:iCs w:val="1"/>
                <w:color w:val="auto"/>
              </w:rPr>
              <w:t>2.3%</w:t>
            </w:r>
          </w:p>
        </w:tc>
        <w:tc>
          <w:tcPr>
            <w:tcW w:w="2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2.4%</w:t>
            </w:r>
          </w:p>
        </w:tc>
      </w:tr>
      <w:tr>
        <w:trPr>
          <w:trHeight w:val="242"/>
        </w:trPr>
        <w:tc>
          <w:tcPr>
            <w:tcW w:w="57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Amortization expenses</w:t>
            </w: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40" w:type="dxa"/>
            <w:vAlign w:val="bottom"/>
            <w:shd w:val="clear" w:color="auto" w:fill="E6E6E6"/>
          </w:tcPr>
          <w:p>
            <w:pPr>
              <w:spacing w:after="0"/>
              <w:rPr>
                <w:sz w:val="21"/>
                <w:szCs w:val="21"/>
                <w:color w:val="auto"/>
              </w:rPr>
            </w:pPr>
          </w:p>
        </w:tc>
        <w:tc>
          <w:tcPr>
            <w:tcW w:w="380" w:type="dxa"/>
            <w:vAlign w:val="bottom"/>
            <w:gridSpan w:val="2"/>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340" w:type="dxa"/>
            <w:vAlign w:val="bottom"/>
            <w:shd w:val="clear" w:color="auto" w:fill="E6E6E6"/>
          </w:tcPr>
          <w:p>
            <w:pPr>
              <w:spacing w:after="0"/>
              <w:rPr>
                <w:sz w:val="21"/>
                <w:szCs w:val="21"/>
                <w:color w:val="auto"/>
              </w:rPr>
            </w:pPr>
          </w:p>
        </w:tc>
        <w:tc>
          <w:tcPr>
            <w:tcW w:w="28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00" w:type="dxa"/>
            <w:vAlign w:val="bottom"/>
            <w:shd w:val="clear" w:color="auto" w:fill="E6E6E6"/>
          </w:tcPr>
          <w:p>
            <w:pPr>
              <w:spacing w:after="0"/>
              <w:rPr>
                <w:sz w:val="21"/>
                <w:szCs w:val="21"/>
                <w:color w:val="auto"/>
              </w:rPr>
            </w:pPr>
          </w:p>
        </w:tc>
      </w:tr>
      <w:tr>
        <w:trPr>
          <w:trHeight w:val="242"/>
        </w:trPr>
        <w:tc>
          <w:tcPr>
            <w:tcW w:w="5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Acquisition and integration expenses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Pr>
          <w:p>
            <w:pPr>
              <w:spacing w:after="0"/>
              <w:rPr>
                <w:sz w:val="21"/>
                <w:szCs w:val="21"/>
                <w:color w:val="auto"/>
              </w:rPr>
            </w:pPr>
          </w:p>
        </w:tc>
      </w:tr>
      <w:tr>
        <w:trPr>
          <w:trHeight w:val="242"/>
        </w:trPr>
        <w:tc>
          <w:tcPr>
            <w:tcW w:w="57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Gain on sale of Global Pump Solutions business</w:t>
            </w:r>
          </w:p>
        </w:tc>
        <w:tc>
          <w:tcPr>
            <w:tcW w:w="280" w:type="dxa"/>
            <w:vAlign w:val="bottom"/>
            <w:shd w:val="clear" w:color="auto" w:fill="E6E6E6"/>
          </w:tcPr>
          <w:p>
            <w:pPr>
              <w:spacing w:after="0"/>
              <w:rPr>
                <w:sz w:val="21"/>
                <w:szCs w:val="21"/>
                <w:color w:val="auto"/>
              </w:rPr>
            </w:pPr>
          </w:p>
        </w:tc>
        <w:tc>
          <w:tcPr>
            <w:tcW w:w="13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(63.7)</w:t>
            </w: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400" w:type="dxa"/>
            <w:vAlign w:val="bottom"/>
            <w:gridSpan w:val="2"/>
            <w:shd w:val="clear" w:color="auto" w:fill="E6E6E6"/>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5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operating expense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1"/>
                <w:szCs w:val="21"/>
                <w:color w:val="auto"/>
              </w:rPr>
            </w:pPr>
          </w:p>
        </w:tc>
      </w:tr>
      <w:tr>
        <w:trPr>
          <w:trHeight w:val="242"/>
        </w:trPr>
        <w:tc>
          <w:tcPr>
            <w:tcW w:w="57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Foreign currency remeasurement</w:t>
            </w:r>
          </w:p>
        </w:tc>
        <w:tc>
          <w:tcPr>
            <w:tcW w:w="280" w:type="dxa"/>
            <w:vAlign w:val="bottom"/>
            <w:shd w:val="clear" w:color="auto" w:fill="E6E6E6"/>
          </w:tcPr>
          <w:p>
            <w:pPr>
              <w:spacing w:after="0"/>
              <w:rPr>
                <w:sz w:val="21"/>
                <w:szCs w:val="21"/>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34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(1.0)</w:t>
            </w:r>
          </w:p>
        </w:tc>
      </w:tr>
      <w:tr>
        <w:trPr>
          <w:trHeight w:val="242"/>
        </w:trPr>
        <w:tc>
          <w:tcPr>
            <w:tcW w:w="5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Tax expense (benefit) of adjustments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(4.6)</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0" w:type="dxa"/>
            <w:vAlign w:val="bottom"/>
          </w:tcPr>
          <w:p>
            <w:pPr>
              <w:spacing w:after="0"/>
              <w:rPr>
                <w:sz w:val="21"/>
                <w:szCs w:val="21"/>
                <w:color w:val="auto"/>
              </w:rPr>
            </w:pPr>
          </w:p>
        </w:tc>
      </w:tr>
      <w:tr>
        <w:trPr>
          <w:trHeight w:val="236"/>
        </w:trPr>
        <w:tc>
          <w:tcPr>
            <w:tcW w:w="57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Non-GAAP net income</w:t>
            </w:r>
          </w:p>
        </w:tc>
        <w:tc>
          <w:tcPr>
            <w:tcW w:w="280" w:type="dxa"/>
            <w:vAlign w:val="bottom"/>
            <w:tcBorders>
              <w:top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4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E6E6E6"/>
            </w:tcBorders>
            <w:shd w:val="clear" w:color="auto" w:fill="E6E6E6"/>
          </w:tcPr>
          <w:p>
            <w:pPr>
              <w:spacing w:after="0"/>
              <w:rPr>
                <w:sz w:val="20"/>
                <w:szCs w:val="20"/>
                <w:color w:val="auto"/>
              </w:rPr>
            </w:pPr>
          </w:p>
        </w:tc>
        <w:tc>
          <w:tcPr>
            <w:tcW w:w="280" w:type="dxa"/>
            <w:vAlign w:val="bottom"/>
            <w:tcBorders>
              <w:top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340" w:type="dxa"/>
            <w:vAlign w:val="bottom"/>
            <w:tcBorders>
              <w:top w:val="single" w:sz="8" w:color="E6E6E6"/>
            </w:tcBorders>
            <w:shd w:val="clear" w:color="auto" w:fill="E6E6E6"/>
          </w:tcPr>
          <w:p>
            <w:pPr>
              <w:spacing w:after="0"/>
              <w:rPr>
                <w:sz w:val="20"/>
                <w:szCs w:val="20"/>
                <w:color w:val="auto"/>
              </w:rPr>
            </w:pPr>
          </w:p>
        </w:tc>
        <w:tc>
          <w:tcPr>
            <w:tcW w:w="280" w:type="dxa"/>
            <w:vAlign w:val="bottom"/>
            <w:tcBorders>
              <w:top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200" w:type="dxa"/>
            <w:vAlign w:val="bottom"/>
            <w:tcBorders>
              <w:top w:val="single" w:sz="8" w:color="E6E6E6"/>
            </w:tcBorders>
            <w:shd w:val="clear" w:color="auto" w:fill="E6E6E6"/>
          </w:tcPr>
          <w:p>
            <w:pPr>
              <w:spacing w:after="0"/>
              <w:rPr>
                <w:sz w:val="20"/>
                <w:szCs w:val="20"/>
                <w:color w:val="auto"/>
              </w:rPr>
            </w:pPr>
          </w:p>
        </w:tc>
      </w:tr>
      <w:tr>
        <w:trPr>
          <w:trHeight w:val="261"/>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Non-GAAP net income as a percentage of sales</w:t>
            </w:r>
          </w:p>
        </w:tc>
        <w:tc>
          <w:tcPr>
            <w:tcW w:w="28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i w:val="1"/>
                <w:iCs w:val="1"/>
                <w:color w:val="auto"/>
              </w:rPr>
              <w:t>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i w:val="1"/>
                <w:iCs w:val="1"/>
                <w:color w:val="auto"/>
              </w:rPr>
              <w:t>4.8%</w:t>
            </w:r>
          </w:p>
        </w:tc>
        <w:tc>
          <w:tcPr>
            <w:tcW w:w="2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i w:val="1"/>
                <w:iCs w:val="1"/>
                <w:color w:val="auto"/>
              </w:rPr>
              <w:t>4.9%</w:t>
            </w:r>
          </w:p>
        </w:tc>
      </w:tr>
    </w:tbl>
    <w:p>
      <w:pPr>
        <w:spacing w:after="0" w:line="200" w:lineRule="exact"/>
        <w:rPr>
          <w:sz w:val="20"/>
          <w:szCs w:val="20"/>
          <w:color w:val="auto"/>
        </w:rPr>
      </w:pPr>
    </w:p>
    <w:p>
      <w:pPr>
        <w:sectPr>
          <w:pgSz w:w="11880" w:h="15480" w:orient="portrait"/>
          <w:cols w:equalWidth="0" w:num="1">
            <w:col w:w="10680"/>
          </w:cols>
          <w:pgMar w:left="600" w:top="820"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680"/>
          </w:cols>
          <w:pgMar w:left="600" w:top="820" w:right="600" w:bottom="66"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2025 and 2024</w:t>
      </w:r>
    </w:p>
    <w:p>
      <w:pPr>
        <w:spacing w:after="0" w:line="23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Consolidated net sales in 2025 were $774.4 million compared with $557.9 million in 2024, an increase of $216.5 million or 38.8%. The increase was primarily driven by the Company’s Engineered Systems segment. Within Engineered Systems, net sales increased across all product families with notable growth in filter separators, coalescers, and combustion and SCR systems. Approximately $129.4 million of net sales is attributable to acquisitions that occurred during the preceding twelve-month period.</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auto"/>
        </w:rPr>
        <w:t>Gross profit increased by $73.1 million, or 37.3%, to $269.2 million in 2025 compared with $196.1 million in 2024. The increase in gross profit was attributable to the volume growth described above. Gross profit as a percentage of sales decreased to 34.8% in 2025 compared with 35.1% in 2024. The decrease in gross profit as a percentage of sales was driven by subcontractor and materials cost, partially offset by the Company's ability to leverage volume expansion to reduce internal labor and overhead costs in relation to sales.</w:t>
      </w:r>
    </w:p>
    <w:p>
      <w:pPr>
        <w:spacing w:after="0" w:line="17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Selling and administrative expenses were $200.7 million in 2025 compared with $146.7 million in 2024, an increase of $54.0 million, or 36.8%. The increase is primarily attributed to higher headcount to support the Company’s growth and strategic initiatives. The increase in cost was primarily realized through salaries and wages, benefits, stock compensation, incentive payments, and commissions. Approximately 49% of the increase relates to incremental selling and administrative expense incurred at the businesses acquired in 2024 and 2025.</w:t>
      </w:r>
    </w:p>
    <w:p>
      <w:pPr>
        <w:spacing w:after="0" w:line="19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20"/>
          <w:szCs w:val="20"/>
          <w:color w:val="auto"/>
        </w:rPr>
        <w:t>Amortization expenses were $16.1 million in 2025 and $8.7 million in 2024, an increase of $7.4 million, or 85.1%. The increase in expense is attributable to an increase in definite lived asset amortization due to recent acquisitions.</w:t>
      </w:r>
    </w:p>
    <w:p>
      <w:pPr>
        <w:spacing w:after="0" w:line="16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Acquisitions and integration expenses related to various merger and acquisition diligence activities, which include legal, accounting and banking expenses, were $9.5 million in 2025, as compared with $4.2 million in 2024, an increase of $5.3 million, or 126.2%. The increase is due to the timing and volume of acquisition activity. See Note 14 to the Consolidated Financial Statements for further discussion on recent acquisitions.</w:t>
      </w:r>
    </w:p>
    <w:p>
      <w:pPr>
        <w:spacing w:after="0" w:line="1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Other operating expense for the year ended December 31, 2025 was $0.6 million in 2025, a decrease of $0.4 million, or 40%, compared with $1.0 million in 2024. The change was driven by $2.1 million related to the transfer of the pension plan as part of the sale of the Global Pump Solutions business, an increase in executive transition expenses of $1.3 million and an increase in asbestos-related litigation expenses of $1.1 million, related to expected future settlement payments, offset by $(6.6) million related to the fair value adjustment to the WK Group earnout in 2025. Executive transition expenses in 2025 related to severance, executive search fees, and other costs associated with executive officer transitions.</w:t>
      </w:r>
    </w:p>
    <w:p>
      <w:pPr>
        <w:spacing w:after="0" w:line="19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Operating income for 2025 was $105.9 million, an increase of $70.4 million from $35.5 million in 2024. Operating income as a percentage of sales for 2025 was 13.7% compared with 6.3% for 2024. The increase was primarily attributable to higher gross profit, partially offset by higher selling and administrative expenses and acquisition and integration expenses, as well as the gain on the sale of the Company’s GPS business.</w:t>
      </w:r>
    </w:p>
    <w:p>
      <w:pPr>
        <w:spacing w:after="0" w:line="19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color w:val="auto"/>
        </w:rPr>
        <w:t>Non-GAAP operating income was $68.4 million in 2025, an increase of $19.1 million from $49.4 million in 2024. The increase in non-GAAP operating income is primarily attributable to the increase in gross profit, partially offset by higher selling and administrative costs. Non-GAAP operating income as a percentage of sales was 8.8% for 2025 compared with 8.8% for 2024.</w:t>
      </w:r>
    </w:p>
    <w:p>
      <w:pPr>
        <w:spacing w:after="0" w:line="18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0"/>
          <w:szCs w:val="20"/>
          <w:color w:val="auto"/>
        </w:rPr>
        <w:t>Other income for 2025 was $2.1 million compared to other expense of $4.7 million in 2024, a decrease of $2.6 million. The decrease in other income (expense) was primarily attributable to net foreign currency transaction losses in the current year based on changes in exchange rates at our foreign subsidiaries.</w:t>
      </w:r>
    </w:p>
    <w:p>
      <w:pPr>
        <w:spacing w:after="0" w:line="18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color w:val="auto"/>
        </w:rPr>
        <w:t>Interest expense was $20.9 million in 2025 compared to $13.0 million in 2024, an increase of $7.9 million, or 60.8%. The increase in interest expense is primarily due to a higher average outstanding debt balance throughout 2025.</w:t>
      </w:r>
    </w:p>
    <w:p>
      <w:pPr>
        <w:spacing w:after="0" w:line="16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Income tax expense was $29.7 million in 2025 compared to $3.3 million in 2024, an increase of $26.4 million, or 800.0%. The effective tax rate for 2025 was 35.9% compared with 18.5% in 2024. Income tax expense and the effective tax rate for 2025 were affected by the sale of the Global Pump Solutions business, changes in valuation allowances, and the net impact of global intangible low-taxed income and foreign-derived intangible income, as well as certain permanent differences including state income taxes, non-deductible incentive stock-based compensation, and differences in tax rates among the jurisdictions in which we operate.</w:t>
      </w:r>
    </w:p>
    <w:p>
      <w:pPr>
        <w:sectPr>
          <w:pgSz w:w="11880" w:h="15480" w:orient="portrait"/>
          <w:cols w:equalWidth="0" w:num="1">
            <w:col w:w="10620"/>
          </w:cols>
          <w:pgMar w:left="600" w:top="815" w:right="6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620"/>
          </w:cols>
          <w:pgMar w:left="600" w:top="815" w:right="660" w:bottom="66" w:gutter="0" w:footer="0" w:header="0"/>
          <w:type w:val="continuous"/>
        </w:sectPr>
      </w:pPr>
    </w:p>
    <w:bookmarkStart w:id="49" w:name="page50"/>
    <w:bookmarkEnd w:id="49"/>
    <w:p>
      <w:pPr>
        <w:ind w:right="20"/>
        <w:spacing w:after="0" w:line="256" w:lineRule="auto"/>
        <w:rPr>
          <w:sz w:val="20"/>
          <w:szCs w:val="20"/>
          <w:color w:val="auto"/>
        </w:rPr>
      </w:pPr>
      <w:r>
        <w:rPr>
          <w:rFonts w:ascii="Times New Roman" w:cs="Times New Roman" w:eastAsia="Times New Roman" w:hAnsi="Times New Roman"/>
          <w:sz w:val="19"/>
          <w:szCs w:val="19"/>
          <w:color w:val="auto"/>
        </w:rPr>
        <w:t>Orders booked were $1,064.3 million in 2025 compared with $667.3 million in 2024, an increase of $397.0 million, or 59.5%. Of this $397.0 million increase, $267.2 million represents organic growth, as defined as the change in orders excluding the impact of orders recorded in the twelve month period subsequent to acquisition dates and orders from the GPS business, while $129.8 million of orders were attributable to acquisitions that occurred during the preceding twelve-month period. The Engineered Systems segment drove the majority of the year-over-year growth as nearly all product families realized higher bookings than in the prior period. Higher bookings in emissions management and thermal acoustics were driven by market demand to support the ongoing energy super-cycle in the United States. The company’s largest booking occurred in the fourth quarter of 2025, which exceeded $135 million; this order is for a comprehensive emissions management solution to support a large-scale Texas-based natural gas power generation facility. Additionally, filtration and water treatment packages bookings were higher year-over-year, notably in international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2024 and 2023</w:t>
      </w:r>
    </w:p>
    <w:p>
      <w:pPr>
        <w:spacing w:after="0" w:line="2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See the Management Discussion and Analysis section of our Annual Report on Form 10-K for the year ended December 31, 2024 for a discussion of our consolidated results of operations for the year ended December 31, 2024 compared to the year ended December 31, 2023, which information is incorporated by reference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Segments</w:t>
      </w:r>
    </w:p>
    <w:p>
      <w:pPr>
        <w:spacing w:after="0" w:line="240"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20"/>
          <w:szCs w:val="20"/>
          <w:color w:val="auto"/>
        </w:rPr>
        <w:t>The Company’s operations are organized and reviewed by management along its product lines and end markets that the segment serves and are presented in two reportable segments. The results of the segments are reviewed through segment profit, which represents income from operations as adjusted for certain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 by segment for the years ended December 31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8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6E6E6"/>
            </w:tcBorders>
          </w:tcPr>
          <w:p>
            <w:pPr>
              <w:spacing w:after="0"/>
              <w:rPr>
                <w:sz w:val="21"/>
                <w:szCs w:val="21"/>
                <w:color w:val="auto"/>
              </w:rPr>
            </w:pPr>
          </w:p>
        </w:tc>
      </w:tr>
      <w:tr>
        <w:trPr>
          <w:trHeight w:val="236"/>
        </w:trPr>
        <w:tc>
          <w:tcPr>
            <w:tcW w:w="57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Engineered Systems Segment</w:t>
            </w: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544,298</w:t>
            </w:r>
          </w:p>
        </w:tc>
        <w:tc>
          <w:tcPr>
            <w:tcW w:w="2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384,025</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380,108</w:t>
            </w:r>
          </w:p>
        </w:tc>
        <w:tc>
          <w:tcPr>
            <w:tcW w:w="60" w:type="dxa"/>
            <w:vAlign w:val="bottom"/>
            <w:shd w:val="clear" w:color="auto" w:fill="E6E6E6"/>
          </w:tcPr>
          <w:p>
            <w:pPr>
              <w:spacing w:after="0"/>
              <w:rPr>
                <w:sz w:val="20"/>
                <w:szCs w:val="20"/>
                <w:color w:val="auto"/>
              </w:rPr>
            </w:pPr>
          </w:p>
        </w:tc>
      </w:tr>
      <w:tr>
        <w:trPr>
          <w:trHeight w:val="256"/>
        </w:trPr>
        <w:tc>
          <w:tcPr>
            <w:tcW w:w="578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Industrial Process Solutions Segment</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230,083</w:t>
            </w:r>
          </w:p>
        </w:tc>
        <w:tc>
          <w:tcPr>
            <w:tcW w:w="24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173,908</w:t>
            </w:r>
          </w:p>
        </w:tc>
        <w:tc>
          <w:tcPr>
            <w:tcW w:w="2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164,737</w:t>
            </w:r>
          </w:p>
        </w:tc>
        <w:tc>
          <w:tcPr>
            <w:tcW w:w="60" w:type="dxa"/>
            <w:vAlign w:val="bottom"/>
            <w:tcBorders>
              <w:bottom w:val="single" w:sz="8" w:color="E6E6E6"/>
            </w:tcBorders>
          </w:tcPr>
          <w:p>
            <w:pPr>
              <w:spacing w:after="0"/>
              <w:rPr>
                <w:sz w:val="22"/>
                <w:szCs w:val="22"/>
                <w:color w:val="auto"/>
              </w:rPr>
            </w:pPr>
          </w:p>
        </w:tc>
      </w:tr>
      <w:tr>
        <w:trPr>
          <w:trHeight w:val="236"/>
        </w:trPr>
        <w:tc>
          <w:tcPr>
            <w:tcW w:w="57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Total net sales</w:t>
            </w: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774,381</w:t>
            </w:r>
          </w:p>
        </w:tc>
        <w:tc>
          <w:tcPr>
            <w:tcW w:w="240" w:type="dxa"/>
            <w:vAlign w:val="bottom"/>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557,933</w:t>
            </w:r>
          </w:p>
        </w:tc>
        <w:tc>
          <w:tcPr>
            <w:tcW w:w="240" w:type="dxa"/>
            <w:vAlign w:val="bottom"/>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544,845</w:t>
            </w:r>
          </w:p>
        </w:tc>
        <w:tc>
          <w:tcPr>
            <w:tcW w:w="60" w:type="dxa"/>
            <w:vAlign w:val="bottom"/>
            <w:shd w:val="clear" w:color="auto" w:fill="E6E6E6"/>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profit by segment for the years ended December 31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8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6E6E6"/>
            </w:tcBorders>
          </w:tcPr>
          <w:p>
            <w:pPr>
              <w:spacing w:after="0"/>
              <w:rPr>
                <w:sz w:val="21"/>
                <w:szCs w:val="21"/>
                <w:color w:val="auto"/>
              </w:rPr>
            </w:pPr>
          </w:p>
        </w:tc>
      </w:tr>
      <w:tr>
        <w:trPr>
          <w:trHeight w:val="236"/>
        </w:trPr>
        <w:tc>
          <w:tcPr>
            <w:tcW w:w="57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Engineered Systems segment</w:t>
            </w: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111,834</w:t>
            </w:r>
          </w:p>
        </w:tc>
        <w:tc>
          <w:tcPr>
            <w:tcW w:w="24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79,137</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65,625</w:t>
            </w:r>
          </w:p>
        </w:tc>
        <w:tc>
          <w:tcPr>
            <w:tcW w:w="60" w:type="dxa"/>
            <w:vAlign w:val="bottom"/>
            <w:shd w:val="clear" w:color="auto" w:fill="E6E6E6"/>
          </w:tcPr>
          <w:p>
            <w:pPr>
              <w:spacing w:after="0"/>
              <w:rPr>
                <w:sz w:val="20"/>
                <w:szCs w:val="20"/>
                <w:color w:val="auto"/>
              </w:rPr>
            </w:pPr>
          </w:p>
        </w:tc>
      </w:tr>
      <w:tr>
        <w:trPr>
          <w:trHeight w:val="242"/>
        </w:trPr>
        <w:tc>
          <w:tcPr>
            <w:tcW w:w="578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Industrial Process Solutions segment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101,140</w:t>
            </w:r>
          </w:p>
        </w:tc>
        <w:tc>
          <w:tcPr>
            <w:tcW w:w="24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32,323</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25,306</w:t>
            </w:r>
          </w:p>
        </w:tc>
        <w:tc>
          <w:tcPr>
            <w:tcW w:w="60" w:type="dxa"/>
            <w:vAlign w:val="bottom"/>
            <w:tcBorders>
              <w:bottom w:val="single" w:sz="8" w:color="E6E6E6"/>
            </w:tcBorders>
          </w:tcPr>
          <w:p>
            <w:pPr>
              <w:spacing w:after="0"/>
              <w:rPr>
                <w:sz w:val="21"/>
                <w:szCs w:val="21"/>
                <w:color w:val="auto"/>
              </w:rPr>
            </w:pPr>
          </w:p>
        </w:tc>
      </w:tr>
      <w:tr>
        <w:trPr>
          <w:trHeight w:val="236"/>
        </w:trPr>
        <w:tc>
          <w:tcPr>
            <w:tcW w:w="57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Segment profit</w:t>
            </w: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212,974</w:t>
            </w:r>
          </w:p>
        </w:tc>
        <w:tc>
          <w:tcPr>
            <w:tcW w:w="240" w:type="dxa"/>
            <w:vAlign w:val="bottom"/>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111,460</w:t>
            </w:r>
          </w:p>
        </w:tc>
        <w:tc>
          <w:tcPr>
            <w:tcW w:w="240" w:type="dxa"/>
            <w:vAlign w:val="bottom"/>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90,931</w:t>
            </w:r>
          </w:p>
        </w:tc>
        <w:tc>
          <w:tcPr>
            <w:tcW w:w="60" w:type="dxa"/>
            <w:vAlign w:val="bottom"/>
            <w:shd w:val="clear" w:color="auto" w:fill="E6E6E6"/>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2025 and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Engineered Systems segment</w:t>
      </w:r>
    </w:p>
    <w:p>
      <w:pPr>
        <w:spacing w:after="0" w:line="22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Our Engineered Systems segment net sales increased $160.3 million to $544.3 million in 2025 compared with $384.0 million in 2024, an increase of 41.7%. The increase in net sales year-over-year was seen in all product families with notable growth in filter separators, coalescers, and combustion and SCR systems. Approximately $62.7 million of net sales in 2025 is attributable to acquisitions that occurred during the preceding twelve-month period.</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Segment profit for the Engineered Systems segment increased $32.7 million to $111.8 million in 2025 compared with $79.1 million in 2024, an increase of 41.3%. The increase in operating income is primarily attributable to higher gross profit margin, driven by sales volume as described above.</w:t>
      </w:r>
    </w:p>
    <w:p>
      <w:pPr>
        <w:spacing w:after="0" w:line="18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Our Engineered Systems segment orders booked increased $315.2 million, or 62.9%, to $816.1 million in 2025 compared with $500.9 million in 2024. Higher orders in emissions management and thermal acoustics were driven by market demand to support the ongoing energy super-cycle in the United States. The company’s largest order occurred in the fourth quarter of 2025, which exceeded $135 million; this order is for a comprehensive emissions management solution to support a large-scale Texas-based natural gas power generation facility. Additionally, filtration and water treatment packages orders were higher year-over-year, notably in international markets. Orders for the company’s products in oil markets experienced year-over-year contraction. Approximately $61.6 million of</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680"/>
          </w:cols>
          <w:pgMar w:left="600" w:top="818" w:right="600" w:bottom="66" w:gutter="0" w:footer="0" w:header="0"/>
          <w:type w:val="continuous"/>
        </w:sectPr>
      </w:pPr>
    </w:p>
    <w:bookmarkStart w:id="50" w:name="page51"/>
    <w:bookmarkEnd w:id="50"/>
    <w:p>
      <w:pPr>
        <w:ind w:right="60"/>
        <w:spacing w:after="0" w:line="275" w:lineRule="auto"/>
        <w:rPr>
          <w:sz w:val="20"/>
          <w:szCs w:val="20"/>
          <w:color w:val="auto"/>
        </w:rPr>
      </w:pPr>
      <w:r>
        <w:rPr>
          <w:rFonts w:ascii="Times New Roman" w:cs="Times New Roman" w:eastAsia="Times New Roman" w:hAnsi="Times New Roman"/>
          <w:sz w:val="20"/>
          <w:szCs w:val="20"/>
          <w:color w:val="auto"/>
        </w:rPr>
        <w:t>orders in 2025 are attributable to acquisitions that occurred during the preceding twelve-month period. These orders are attributable to the company’s combustion management product 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Industrial Process Solutions segment</w:t>
      </w:r>
    </w:p>
    <w:p>
      <w:pPr>
        <w:spacing w:after="0" w:line="22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Our Industrial Process Solutions segment net sales increased $56.2 million to $230.1 million in 2025 compared with $173.9 million in 2024, an increase of 32.3%. The increase is primarily attributable to the Company’s acquisitions of Verantis and WK and the divestiture of its Fluid Handling business. Approximately $66.6 million of net sales in 2025 is attributable to acquisitions that have occurred during the preceding twelve-month period.</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Segment profit for the Industrial Process segment increased $68.8 million to $101.1 million in 2025 compared with $32.3 million in 2024. The increase in operating income was primarily attributable to higher sales volume. Gross profit margins decreased year over year, driven by the divestiture of the higher-margin Fluid Handling business and project mix, primarily within the Company’s ducting business. Margin performance reflects these portfolio changes and project mix impacts.</w:t>
      </w:r>
    </w:p>
    <w:p>
      <w:pPr>
        <w:spacing w:after="0" w:line="18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Our Industrial Process Solutions segment orders booked increased $81.9 million, or 49.2%, to $248.2 million in 2025 compared with $166.3 million in 2024. The increase was primarily attributable to the Company’s acquisitions of Verantis and WK, which occurred in late 2024, partially offset by the divestiture of the Fluid Handling business. In addition, the Industrial Process Solutions segment experienced higher bookings related to regenerative thermal oxidizers and scrubber technologies. Approximately $42.9 million of orders in 2025 are attributable to acquisitions that occurred during the preceding twelve month period, offset by the impact of the divestiture of its Fluid Handling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2024 and 2023</w:t>
      </w:r>
    </w:p>
    <w:p>
      <w:pPr>
        <w:spacing w:after="0" w:line="23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See the Management Discussion and Analysis section of our Annual Report on Form 10-K for the year ended December 31, 2024 for a discussion of business segment results of operations for the year ended December 31, 2024 compared to the year ended December 31, 2023, which information is incorporated by reference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At December 31, 2025, the Company had working capital of $104.4 million, compared with $86.3 million at December 31, 2024. The ratio of current assets to current liabilities was 1.34 to 1.00 at December 31, 2025 as compared with a ratio of 1.35 to 1.00 at December 31, 2024.</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At December 31, 2025 and 2024, cash and cash equivalents totaled $33.1 million and $37.8 million, respectively. As of December 31, 2025 and 2024, $26.4 million and $29.7 million, respectively, of our cash and cash equivalents were held by foreign subsidiaries, as well as being denominated in foreign currencies.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 consisted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r>
      <w:tr>
        <w:trPr>
          <w:trHeight w:val="236"/>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borrowings under Credit Facility</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72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Revolving Credit Facility</w:t>
            </w:r>
          </w:p>
        </w:tc>
        <w:tc>
          <w:tcPr>
            <w:tcW w:w="320" w:type="dxa"/>
            <w:vAlign w:val="bottom"/>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208,600</w:t>
            </w:r>
          </w:p>
        </w:tc>
        <w:tc>
          <w:tcPr>
            <w:tcW w:w="180" w:type="dxa"/>
            <w:vAlign w:val="bottom"/>
            <w:shd w:val="clear" w:color="auto" w:fill="E6E6E6"/>
          </w:tcPr>
          <w:p>
            <w:pPr>
              <w:spacing w:after="0"/>
              <w:rPr>
                <w:sz w:val="21"/>
                <w:szCs w:val="21"/>
                <w:color w:val="auto"/>
              </w:rPr>
            </w:pPr>
          </w:p>
        </w:tc>
        <w:tc>
          <w:tcPr>
            <w:tcW w:w="600" w:type="dxa"/>
            <w:vAlign w:val="bottom"/>
            <w:gridSpan w:val="2"/>
            <w:shd w:val="clear" w:color="auto" w:fill="E6E6E6"/>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214,200</w:t>
            </w:r>
          </w:p>
        </w:tc>
        <w:tc>
          <w:tcPr>
            <w:tcW w:w="80" w:type="dxa"/>
            <w:vAlign w:val="bottom"/>
            <w:shd w:val="clear" w:color="auto" w:fill="E6E6E6"/>
          </w:tcPr>
          <w:p>
            <w:pPr>
              <w:spacing w:after="0"/>
              <w:rPr>
                <w:sz w:val="21"/>
                <w:szCs w:val="21"/>
                <w:color w:val="auto"/>
              </w:rPr>
            </w:pPr>
          </w:p>
        </w:tc>
      </w:tr>
      <w:tr>
        <w:trPr>
          <w:trHeight w:val="236"/>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Total outstanding borrowings under the Credit Facility</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208,600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214,200</w:t>
            </w:r>
          </w:p>
        </w:tc>
        <w:tc>
          <w:tcPr>
            <w:tcW w:w="80" w:type="dxa"/>
            <w:vAlign w:val="bottom"/>
          </w:tcPr>
          <w:p>
            <w:pPr>
              <w:spacing w:after="0"/>
              <w:rPr>
                <w:sz w:val="20"/>
                <w:szCs w:val="20"/>
                <w:color w:val="auto"/>
              </w:rPr>
            </w:pPr>
          </w:p>
        </w:tc>
      </w:tr>
      <w:tr>
        <w:trPr>
          <w:trHeight w:val="242"/>
        </w:trPr>
        <w:tc>
          <w:tcPr>
            <w:tcW w:w="72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Outstanding borrowings under the joint venture term debt</w:t>
            </w:r>
          </w:p>
        </w:tc>
        <w:tc>
          <w:tcPr>
            <w:tcW w:w="32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5,647</w:t>
            </w:r>
          </w:p>
        </w:tc>
        <w:tc>
          <w:tcPr>
            <w:tcW w:w="1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7,297</w:t>
            </w:r>
          </w:p>
        </w:tc>
        <w:tc>
          <w:tcPr>
            <w:tcW w:w="80" w:type="dxa"/>
            <w:vAlign w:val="bottom"/>
            <w:shd w:val="clear" w:color="auto" w:fill="E6E6E6"/>
          </w:tcPr>
          <w:p>
            <w:pPr>
              <w:spacing w:after="0"/>
              <w:rPr>
                <w:sz w:val="21"/>
                <w:szCs w:val="21"/>
                <w:color w:val="auto"/>
              </w:rPr>
            </w:pPr>
          </w:p>
        </w:tc>
      </w:tr>
      <w:tr>
        <w:trPr>
          <w:trHeight w:val="242"/>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Unamortized debt discount</w:t>
            </w:r>
          </w:p>
        </w:tc>
        <w:tc>
          <w:tcPr>
            <w:tcW w:w="3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(2,617)</w:t>
            </w:r>
          </w:p>
        </w:tc>
      </w:tr>
      <w:tr>
        <w:trPr>
          <w:trHeight w:val="236"/>
        </w:trPr>
        <w:tc>
          <w:tcPr>
            <w:tcW w:w="72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outstanding borrowings</w:t>
            </w:r>
          </w:p>
        </w:tc>
        <w:tc>
          <w:tcPr>
            <w:tcW w:w="320" w:type="dxa"/>
            <w:vAlign w:val="bottom"/>
            <w:tcBorders>
              <w:top w:val="single" w:sz="8" w:color="auto"/>
            </w:tcBorders>
            <w:shd w:val="clear" w:color="auto" w:fill="E6E6E6"/>
          </w:tcPr>
          <w:p>
            <w:pPr>
              <w:spacing w:after="0"/>
              <w:rPr>
                <w:sz w:val="20"/>
                <w:szCs w:val="20"/>
                <w:color w:val="auto"/>
              </w:rPr>
            </w:pPr>
          </w:p>
        </w:tc>
        <w:tc>
          <w:tcPr>
            <w:tcW w:w="12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212,438</w:t>
            </w:r>
          </w:p>
        </w:tc>
        <w:tc>
          <w:tcPr>
            <w:tcW w:w="18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E6E6E6"/>
            </w:tcBorders>
            <w:shd w:val="clear" w:color="auto" w:fill="E6E6E6"/>
          </w:tcPr>
          <w:p>
            <w:pPr>
              <w:spacing w:after="0"/>
              <w:rPr>
                <w:sz w:val="20"/>
                <w:szCs w:val="20"/>
                <w:color w:val="auto"/>
              </w:rPr>
            </w:pPr>
          </w:p>
        </w:tc>
        <w:tc>
          <w:tcPr>
            <w:tcW w:w="500" w:type="dxa"/>
            <w:vAlign w:val="bottom"/>
            <w:tcBorders>
              <w:top w:val="single" w:sz="8" w:color="auto"/>
            </w:tcBorders>
            <w:shd w:val="clear" w:color="auto" w:fill="E6E6E6"/>
          </w:tcPr>
          <w:p>
            <w:pPr>
              <w:spacing w:after="0"/>
              <w:rPr>
                <w:sz w:val="20"/>
                <w:szCs w:val="20"/>
                <w:color w:val="auto"/>
              </w:rPr>
            </w:pPr>
          </w:p>
        </w:tc>
        <w:tc>
          <w:tcPr>
            <w:tcW w:w="10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218,880</w:t>
            </w:r>
          </w:p>
        </w:tc>
        <w:tc>
          <w:tcPr>
            <w:tcW w:w="80" w:type="dxa"/>
            <w:vAlign w:val="bottom"/>
            <w:tcBorders>
              <w:top w:val="single" w:sz="8" w:color="E6E6E6"/>
            </w:tcBorders>
            <w:shd w:val="clear" w:color="auto" w:fill="E6E6E6"/>
          </w:tcPr>
          <w:p>
            <w:pPr>
              <w:spacing w:after="0"/>
              <w:rPr>
                <w:sz w:val="20"/>
                <w:szCs w:val="20"/>
                <w:color w:val="auto"/>
              </w:rPr>
            </w:pPr>
          </w:p>
        </w:tc>
      </w:tr>
      <w:tr>
        <w:trPr>
          <w:trHeight w:val="242"/>
        </w:trPr>
        <w:tc>
          <w:tcPr>
            <w:tcW w:w="7280" w:type="dxa"/>
            <w:vAlign w:val="bottom"/>
            <w:tcBorders>
              <w:bottom w:val="single" w:sz="8" w:color="E6E6E6"/>
            </w:tcBorders>
          </w:tcPr>
          <w:p>
            <w:pPr>
              <w:ind w:left="140"/>
              <w:spacing w:after="0"/>
              <w:rPr>
                <w:sz w:val="20"/>
                <w:szCs w:val="20"/>
                <w:color w:val="auto"/>
              </w:rPr>
            </w:pPr>
            <w:r>
              <w:rPr>
                <w:rFonts w:ascii="Times New Roman" w:cs="Times New Roman" w:eastAsia="Times New Roman" w:hAnsi="Times New Roman"/>
                <w:sz w:val="20"/>
                <w:szCs w:val="20"/>
                <w:color w:val="auto"/>
              </w:rPr>
              <w:t>Less: current portion</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180" w:type="dxa"/>
            <w:vAlign w:val="bottom"/>
            <w:tcBorders>
              <w:bottom w:val="single" w:sz="8" w:color="E6E6E6"/>
            </w:tcBorders>
          </w:tcPr>
          <w:p>
            <w:pPr>
              <w:spacing w:after="0"/>
              <w:rPr>
                <w:sz w:val="21"/>
                <w:szCs w:val="21"/>
                <w:color w:val="auto"/>
              </w:rPr>
            </w:pPr>
          </w:p>
        </w:tc>
        <w:tc>
          <w:tcPr>
            <w:tcW w:w="100" w:type="dxa"/>
            <w:vAlign w:val="bottom"/>
            <w:tcBorders>
              <w:bottom w:val="single" w:sz="8" w:color="E6E6E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80" w:type="dxa"/>
            <w:vAlign w:val="bottom"/>
            <w:tcBorders>
              <w:bottom w:val="single" w:sz="8" w:color="E6E6E6"/>
            </w:tcBorders>
          </w:tcPr>
          <w:p>
            <w:pPr>
              <w:spacing w:after="0"/>
              <w:rPr>
                <w:sz w:val="21"/>
                <w:szCs w:val="21"/>
                <w:color w:val="auto"/>
              </w:rPr>
            </w:pPr>
          </w:p>
        </w:tc>
      </w:tr>
      <w:tr>
        <w:trPr>
          <w:trHeight w:val="236"/>
        </w:trPr>
        <w:tc>
          <w:tcPr>
            <w:tcW w:w="72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debt, less current portion</w:t>
            </w: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210,559</w:t>
            </w:r>
          </w:p>
        </w:tc>
        <w:tc>
          <w:tcPr>
            <w:tcW w:w="18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500" w:type="dxa"/>
            <w:vAlign w:val="bottom"/>
            <w:tcBorders>
              <w:bottom w:val="single" w:sz="8" w:color="auto"/>
            </w:tcBorders>
            <w:shd w:val="clear" w:color="auto" w:fill="E6E6E6"/>
          </w:tcPr>
          <w:p>
            <w:pPr>
              <w:jc w:val="right"/>
              <w:ind w:right="30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217,230</w:t>
            </w:r>
          </w:p>
        </w:tc>
        <w:tc>
          <w:tcPr>
            <w:tcW w:w="80" w:type="dxa"/>
            <w:vAlign w:val="bottom"/>
            <w:shd w:val="clear" w:color="auto" w:fill="E6E6E6"/>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8"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20"/>
          <w:szCs w:val="20"/>
          <w:color w:val="auto"/>
        </w:rPr>
        <w:t>In 2025, the Company made repayments of $1.7 million on the joint venture term debt, with net borrowings of $5.6 million on the revolving credit line.</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680"/>
          </w:cols>
          <w:pgMar w:left="600" w:top="818" w:right="600" w:bottom="66"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i w:val="1"/>
          <w:iCs w:val="1"/>
          <w:color w:val="auto"/>
        </w:rPr>
        <w:t>Credit Facility</w:t>
      </w:r>
    </w:p>
    <w:p>
      <w:pPr>
        <w:spacing w:after="0" w:line="2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0"/>
          <w:szCs w:val="20"/>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16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color w:val="auto"/>
        </w:rPr>
        <w:t>On October 30, 2023, the Company entered into Amendment No. 4 to the Second Amended and Restated Credit Agreement. Pursuant to this amendment, the lenders provided an additional term loan in the aggregate principal amount of $75.0 million.</w:t>
      </w:r>
    </w:p>
    <w:p>
      <w:pPr>
        <w:spacing w:after="0" w:line="16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20"/>
          <w:szCs w:val="20"/>
          <w:color w:val="auto"/>
        </w:rPr>
        <w:t>On October 7, 2024, the Company entered into the Third Amended and Restated Credit Agreement. This agreement provides for a senior secured revolving credit facility in an initial aggregate principal amount of up to $400.0 million.</w:t>
      </w:r>
    </w:p>
    <w:p>
      <w:pPr>
        <w:spacing w:after="0" w:line="16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0"/>
          <w:szCs w:val="20"/>
          <w:color w:val="auto"/>
        </w:rPr>
        <w:t>On January 30, 2026, the Company entered into the Fourth Amended and Restated Credit Agreement. This agreement provides for a senior secured revolving credit facility in an initial aggregate principal amount of up to $700.0 million.</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Under the terms of the Credit Facility, the Company is required to maintain certain financial covenants. At December 31, 2025, this included the maintenance of a Consolidated Net Leverage Ratio not greater than 4.00 to 1.00, a Consolidated Secured Net Leverage Ratio not greater than 3.00 to 1.00, and a Consolidated Fixed Charge Coverage Ratio not less than 1.25 to 1.00. With the Fourth Amended and Restated Credit Agreement, this includes the maintenance of a Consolidated Net Leverage Ratio not greater than 4.00 to 1.00, a Consolidated Secured Net Leverage Ratio not greater than 3.00 to 1.00, and a Consolidated Fixed Charge Coverage Ratio of not less than 1.25 to 1.00.</w:t>
      </w:r>
    </w:p>
    <w:p>
      <w:pPr>
        <w:spacing w:after="0" w:line="19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0"/>
          <w:szCs w:val="20"/>
          <w:color w:val="auto"/>
        </w:rPr>
        <w:t>As of December 31, 2025 and 2024, the Company was in compliance with all related financial and other restrictive covenants under the Credit Facility.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Joint Venture Debt</w:t>
      </w:r>
    </w:p>
    <w:p>
      <w:pPr>
        <w:spacing w:after="0" w:line="2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On March 7, 2022, the Company's Pinnacle Processes Inc. (formerly known as Effox-Flextor-Mader, Inc.) joint venture ("PPI JV") entered into a loan agreement secured by the assets of the PPI JV in the aggregate principal amount of $11.0 million for the acquisition of General Rubber,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Debt</w:t>
      </w:r>
    </w:p>
    <w:p>
      <w:pPr>
        <w:spacing w:after="0" w:line="2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Consolidated Financial Statements for further information on the Company’s debt facilities.</w:t>
      </w:r>
    </w:p>
    <w:p>
      <w:pPr>
        <w:spacing w:after="0" w:line="235"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20"/>
          <w:szCs w:val="20"/>
          <w:color w:val="auto"/>
        </w:rPr>
        <w:t>Total unused credit availability under our Credit Facility and other non-U.S. credit facilities and agreements, exclusive of any potential asset base limitations,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E6E6E6"/>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line="223" w:lineRule="exact"/>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80" w:type="dxa"/>
            <w:vAlign w:val="bottom"/>
            <w:shd w:val="clear" w:color="auto" w:fill="E6E6E6"/>
          </w:tcPr>
          <w:p>
            <w:pPr>
              <w:spacing w:after="0"/>
              <w:rPr>
                <w:sz w:val="19"/>
                <w:szCs w:val="19"/>
                <w:color w:val="auto"/>
              </w:rPr>
            </w:pPr>
          </w:p>
        </w:tc>
        <w:tc>
          <w:tcPr>
            <w:tcW w:w="5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Credit Facility, revolving loans</w:t>
            </w:r>
          </w:p>
        </w:tc>
        <w:tc>
          <w:tcPr>
            <w:tcW w:w="980" w:type="dxa"/>
            <w:vAlign w:val="bottom"/>
          </w:tcPr>
          <w:p>
            <w:pPr>
              <w:jc w:val="right"/>
              <w:ind w:right="781"/>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1"/>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80" w:type="dxa"/>
            <w:vAlign w:val="bottom"/>
            <w:shd w:val="clear" w:color="auto" w:fill="E6E6E6"/>
          </w:tcPr>
          <w:p>
            <w:pPr>
              <w:ind w:left="200"/>
              <w:spacing w:after="0" w:line="228" w:lineRule="exact"/>
              <w:rPr>
                <w:sz w:val="20"/>
                <w:szCs w:val="20"/>
                <w:color w:val="auto"/>
              </w:rPr>
            </w:pPr>
            <w:r>
              <w:rPr>
                <w:rFonts w:ascii="Times New Roman" w:cs="Times New Roman" w:eastAsia="Times New Roman" w:hAnsi="Times New Roman"/>
                <w:sz w:val="20"/>
                <w:szCs w:val="20"/>
                <w:color w:val="auto"/>
              </w:rPr>
              <w:t>Draw down</w:t>
            </w:r>
          </w:p>
        </w:tc>
        <w:tc>
          <w:tcPr>
            <w:tcW w:w="980" w:type="dxa"/>
            <w:vAlign w:val="bottom"/>
            <w:shd w:val="clear" w:color="auto" w:fill="E6E6E6"/>
          </w:tcPr>
          <w:p>
            <w:pPr>
              <w:spacing w:after="0"/>
              <w:rPr>
                <w:sz w:val="19"/>
                <w:szCs w:val="19"/>
                <w:color w:val="auto"/>
              </w:rPr>
            </w:pPr>
          </w:p>
        </w:tc>
        <w:tc>
          <w:tcPr>
            <w:tcW w:w="720" w:type="dxa"/>
            <w:vAlign w:val="bottom"/>
            <w:gridSpan w:val="2"/>
            <w:shd w:val="clear" w:color="auto" w:fill="E6E6E6"/>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w w:val="99"/>
              </w:rPr>
              <w:t>(208.6)</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(214.2)</w:t>
            </w:r>
          </w:p>
        </w:tc>
        <w:tc>
          <w:tcPr>
            <w:tcW w:w="0" w:type="dxa"/>
            <w:vAlign w:val="bottom"/>
          </w:tcPr>
          <w:p>
            <w:pPr>
              <w:spacing w:after="0"/>
              <w:rPr>
                <w:sz w:val="1"/>
                <w:szCs w:val="1"/>
                <w:color w:val="auto"/>
              </w:rPr>
            </w:pPr>
          </w:p>
        </w:tc>
      </w:tr>
      <w:tr>
        <w:trPr>
          <w:trHeight w:val="228"/>
        </w:trPr>
        <w:tc>
          <w:tcPr>
            <w:tcW w:w="728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Letters of credit open</w:t>
            </w:r>
          </w:p>
        </w:tc>
        <w:tc>
          <w:tcPr>
            <w:tcW w:w="980" w:type="dxa"/>
            <w:vAlign w:val="bottom"/>
          </w:tcPr>
          <w:p>
            <w:pPr>
              <w:spacing w:after="0"/>
              <w:rPr>
                <w:sz w:val="19"/>
                <w:szCs w:val="19"/>
                <w:color w:val="auto"/>
              </w:rPr>
            </w:pPr>
          </w:p>
        </w:tc>
        <w:tc>
          <w:tcPr>
            <w:tcW w:w="720" w:type="dxa"/>
            <w:vAlign w:val="bottom"/>
            <w:gridSpan w:val="2"/>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(23.8)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223"/>
        </w:trPr>
        <w:tc>
          <w:tcPr>
            <w:tcW w:w="7280" w:type="dxa"/>
            <w:vAlign w:val="bottom"/>
            <w:tcBorders>
              <w:top w:val="single" w:sz="8" w:color="E6E6E6"/>
            </w:tcBorders>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Total unused credit availability</w:t>
            </w:r>
          </w:p>
        </w:tc>
        <w:tc>
          <w:tcPr>
            <w:tcW w:w="980" w:type="dxa"/>
            <w:vAlign w:val="bottom"/>
            <w:tcBorders>
              <w:top w:val="single" w:sz="8" w:color="auto"/>
              <w:bottom w:val="single" w:sz="8" w:color="auto"/>
            </w:tcBorders>
            <w:shd w:val="clear" w:color="auto" w:fill="E6E6E6"/>
          </w:tcPr>
          <w:p>
            <w:pPr>
              <w:jc w:val="right"/>
              <w:ind w:right="7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167.6</w:t>
            </w:r>
          </w:p>
        </w:tc>
        <w:tc>
          <w:tcPr>
            <w:tcW w:w="18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c>
          <w:tcPr>
            <w:tcW w:w="500" w:type="dxa"/>
            <w:vAlign w:val="bottom"/>
            <w:tcBorders>
              <w:top w:val="single" w:sz="8" w:color="auto"/>
              <w:bottom w:val="single" w:sz="8" w:color="auto"/>
            </w:tcBorders>
            <w:shd w:val="clear" w:color="auto" w:fill="E6E6E6"/>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166.9</w:t>
            </w:r>
          </w:p>
        </w:tc>
        <w:tc>
          <w:tcPr>
            <w:tcW w:w="8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 available based on borrowing limitations</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80" w:type="dxa"/>
            <w:vAlign w:val="bottom"/>
            <w:vMerge w:val="continue"/>
          </w:tcPr>
          <w:p>
            <w:pPr>
              <w:spacing w:after="0"/>
              <w:rPr>
                <w:sz w:val="18"/>
                <w:szCs w:val="18"/>
                <w:color w:val="auto"/>
              </w:rPr>
            </w:pPr>
          </w:p>
        </w:tc>
        <w:tc>
          <w:tcPr>
            <w:tcW w:w="980" w:type="dxa"/>
            <w:vAlign w:val="bottom"/>
            <w:tcBorders>
              <w:bottom w:val="single" w:sz="8" w:color="auto"/>
            </w:tcBorders>
          </w:tcPr>
          <w:p>
            <w:pPr>
              <w:jc w:val="right"/>
              <w:ind w:right="781"/>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123.6</w:t>
            </w:r>
          </w:p>
        </w:tc>
        <w:tc>
          <w:tcPr>
            <w:tcW w:w="1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00" w:type="dxa"/>
            <w:vAlign w:val="bottom"/>
            <w:tcBorders>
              <w:bottom w:val="single" w:sz="8" w:color="auto"/>
            </w:tcBorders>
          </w:tcPr>
          <w:p>
            <w:pPr>
              <w:jc w:val="right"/>
              <w:ind w:right="301"/>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821"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680"/>
          </w:cols>
          <w:pgMar w:left="600" w:top="821" w:right="600" w:bottom="66" w:gutter="0" w:footer="0" w:header="0"/>
          <w:type w:val="continuous"/>
        </w:sectPr>
      </w:pPr>
    </w:p>
    <w:bookmarkStart w:id="52" w:name="page53"/>
    <w:bookmarkEnd w:id="52"/>
    <w:p>
      <w:pPr>
        <w:ind w:right="400"/>
        <w:spacing w:after="0" w:line="256" w:lineRule="auto"/>
        <w:rPr>
          <w:sz w:val="20"/>
          <w:szCs w:val="20"/>
          <w:color w:val="auto"/>
        </w:rPr>
      </w:pPr>
      <w:r>
        <w:rPr>
          <w:rFonts w:ascii="Times New Roman" w:cs="Times New Roman" w:eastAsia="Times New Roman" w:hAnsi="Times New Roman"/>
          <w:sz w:val="20"/>
          <w:szCs w:val="20"/>
          <w:color w:val="auto"/>
        </w:rPr>
        <w:t>On January 30, 2026, the Company entered into the Fourth Amended and Restated Credit Agreement, which provides for a senior secured revolving credit facility in an initial aggregate principal amount of up to $700.0 million. See Note 8 to the Consolidated Financial Statements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Cash Flows and Liquidity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8"/>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E6E6E6"/>
            </w:tcBorders>
            <w:vMerge w:val="continue"/>
          </w:tcPr>
          <w:p>
            <w:pPr>
              <w:spacing w:after="0"/>
              <w:rPr>
                <w:sz w:val="20"/>
                <w:szCs w:val="20"/>
                <w:color w:val="auto"/>
              </w:rPr>
            </w:pPr>
          </w:p>
        </w:tc>
        <w:tc>
          <w:tcPr>
            <w:tcW w:w="22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Borders>
              <w:bottom w:val="single" w:sz="8" w:color="E6E6E6"/>
            </w:tcBorders>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bottom w:val="single" w:sz="8" w:color="E6E6E6"/>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operating cash flow provided by operating activities</w:t>
            </w:r>
          </w:p>
        </w:tc>
        <w:tc>
          <w:tcPr>
            <w:tcW w:w="22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5,861</w:t>
            </w:r>
          </w:p>
        </w:tc>
        <w:tc>
          <w:tcPr>
            <w:tcW w:w="16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24,828</w:t>
            </w:r>
          </w:p>
        </w:tc>
        <w:tc>
          <w:tcPr>
            <w:tcW w:w="1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20" w:type="dxa"/>
            <w:vAlign w:val="bottom"/>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44,647</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(105,312)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2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(11,558)</w:t>
            </w:r>
          </w:p>
        </w:tc>
        <w:tc>
          <w:tcPr>
            <w:tcW w:w="1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65,910</w:t>
            </w:r>
          </w:p>
        </w:tc>
        <w:tc>
          <w:tcPr>
            <w:tcW w:w="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21,144</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(442)</w:t>
            </w:r>
          </w:p>
        </w:tc>
        <w:tc>
          <w:tcPr>
            <w:tcW w:w="0" w:type="dxa"/>
            <w:vAlign w:val="bottom"/>
          </w:tcPr>
          <w:p>
            <w:pPr>
              <w:spacing w:after="0"/>
              <w:rPr>
                <w:sz w:val="1"/>
                <w:szCs w:val="1"/>
                <w:color w:val="auto"/>
              </w:rPr>
            </w:pPr>
          </w:p>
        </w:tc>
      </w:tr>
      <w:tr>
        <w:trPr>
          <w:trHeight w:val="236"/>
        </w:trPr>
        <w:tc>
          <w:tcPr>
            <w:tcW w:w="56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22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auto"/>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(4,974</w:t>
            </w:r>
          </w:p>
        </w:tc>
        <w:tc>
          <w:tcPr>
            <w:tcW w:w="1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auto"/>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(17,247</w:t>
            </w:r>
          </w:p>
        </w:tc>
        <w:tc>
          <w:tcPr>
            <w:tcW w:w="1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auto"/>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8,863</w:t>
            </w:r>
          </w:p>
        </w:tc>
        <w:tc>
          <w:tcPr>
            <w:tcW w:w="8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p>
      <w:pPr>
        <w:spacing w:after="0" w:line="23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2025, $5.9 million of cash was provided by operating activities compared with $24.8 million provided by operating activities in 2024, a decrease of $18.9 million. The decrease in 2025 was primarily driven by unfavorable changes in net working capital, particularly increased costs on uncompleted contracts and higher prepaid expenses, partially offset by increased customer billings and improved collections on accounts receivable.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2024, $24.8 million of cash was provided by operating activities compared with $44.6 million provided by operating activities in 2023, a decrease of $19.8 million. Cash flow from operating activities in 2024 had an unfavorable impact year-over-year primarily due to changes in net working capital.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p>
      <w:pPr>
        <w:spacing w:after="0" w:line="238"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0"/>
          <w:szCs w:val="20"/>
          <w:color w:val="auto"/>
        </w:rPr>
        <w:t>In 2025, $1.1 million of cash was used in investing activities, which consisted of $97.6 million for acquisitions, driven by the first quarter acquisition of Profire Energy and $11.3 million for acquisition of property and equipment, offset by $108.8 million in cash proceeds from the sale of the Global Pump Solutions business in the first quarter.</w:t>
      </w:r>
    </w:p>
    <w:p>
      <w:pPr>
        <w:spacing w:after="0" w:line="185"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20"/>
          <w:szCs w:val="20"/>
          <w:color w:val="auto"/>
        </w:rPr>
        <w:t>In 2024, $105.3 million of cash was used in investing activities, which consisted of $87.9 million for acquisitions including the third quarter acquisition of EnviroCare and fourth quarter acquisitions of WK Group and Verantis, as well as $17.4 million for acquisition of property and equipment.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p>
      <w:pPr>
        <w:spacing w:after="0" w:line="2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Financing activities in 2025 used cash of $11.6 million, which consisted primarily of $7.8 million of net payments under the Credit Facility, using the cash proceeds from the sale of the Global Pump Solutions business, as well as $1.6 million of distributions to non-controlling interests and $2.8 million of deferred consideration for acquisitions.</w:t>
      </w:r>
    </w:p>
    <w:p>
      <w:pPr>
        <w:spacing w:after="0" w:line="18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Financing activities in 2024 provided cash of $65.9 million, which consisted primarily of $82.9 million of net borrowings under the Credit Facility, used to finance current year acquisitions. This was partially offset by $5.0 million for the repurchase and retirement of our common stock, $2.2 million relating to equity compensation, inclusive of awards surrendered for tax liabilities, proceeds from employee stock purchase plan and exercise of stock options, $2.1 million in distributions to non-controlling interest, $2.1 million of deferred consideration for acquisitions, $1.9 million of financing fees, $2.8 million of earnout payments, and $0.9 million in payments on our capital leases.</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inclusive of the cash portion of the Merger Consideration and transaction fees incurred as part of the Thermon proposed transaction.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ectPr>
          <w:pgSz w:w="11880" w:h="15480" w:orient="portrait"/>
          <w:cols w:equalWidth="0" w:num="1">
            <w:col w:w="10680"/>
          </w:cols>
          <w:pgMar w:left="600" w:top="1046"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680"/>
          </w:cols>
          <w:pgMar w:left="600" w:top="1046" w:right="600" w:bottom="66" w:gutter="0" w:footer="0" w:header="0"/>
          <w:type w:val="continuous"/>
        </w:sectPr>
      </w:pPr>
    </w:p>
    <w:bookmarkStart w:id="53" w:name="page54"/>
    <w:bookmarkEnd w:id="53"/>
    <w:p>
      <w:pPr>
        <w:jc w:val="both"/>
        <w:ind w:left="6" w:right="500"/>
        <w:spacing w:after="0" w:line="256" w:lineRule="auto"/>
        <w:rPr>
          <w:sz w:val="20"/>
          <w:szCs w:val="20"/>
          <w:color w:val="auto"/>
        </w:rPr>
      </w:pPr>
      <w:r>
        <w:rPr>
          <w:rFonts w:ascii="Times New Roman" w:cs="Times New Roman" w:eastAsia="Times New Roman" w:hAnsi="Times New Roman"/>
          <w:sz w:val="20"/>
          <w:szCs w:val="20"/>
          <w:color w:val="auto"/>
        </w:rPr>
        <w:t>Our material cash requirements included debt repayments with respect to our Credit Facility and joint venture term debt, interest expense, purchase obligations for costs associated with uncompleted sales contracts, operating and capital lease obligations and contingent liabilities related to acquisitions, including earnout liabilities and retention payments.</w:t>
      </w:r>
    </w:p>
    <w:p>
      <w:pPr>
        <w:spacing w:after="0" w:line="185" w:lineRule="exact"/>
        <w:rPr>
          <w:sz w:val="20"/>
          <w:szCs w:val="20"/>
          <w:color w:val="auto"/>
        </w:rPr>
      </w:pPr>
    </w:p>
    <w:p>
      <w:pPr>
        <w:ind w:left="6" w:right="560"/>
        <w:spacing w:after="0" w:line="256" w:lineRule="auto"/>
        <w:rPr>
          <w:sz w:val="20"/>
          <w:szCs w:val="20"/>
          <w:color w:val="auto"/>
        </w:rPr>
      </w:pPr>
      <w:r>
        <w:rPr>
          <w:rFonts w:ascii="Times New Roman" w:cs="Times New Roman" w:eastAsia="Times New Roman" w:hAnsi="Times New Roman"/>
          <w:sz w:val="20"/>
          <w:szCs w:val="20"/>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2025:</w:t>
      </w:r>
    </w:p>
    <w:p>
      <w:pPr>
        <w:spacing w:after="0" w:line="77"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4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7"/>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Payments Due by Period</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2"/>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b w:val="1"/>
                <w:bCs w:val="1"/>
                <w:color w:val="auto"/>
              </w:rPr>
              <w:t>Less than 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
              <w:spacing w:after="0" w:line="212" w:lineRule="exact"/>
              <w:rPr>
                <w:sz w:val="20"/>
                <w:szCs w:val="20"/>
                <w:color w:val="auto"/>
              </w:rPr>
            </w:pPr>
            <w:r>
              <w:rPr>
                <w:rFonts w:ascii="Times New Roman" w:cs="Times New Roman" w:eastAsia="Times New Roman" w:hAnsi="Times New Roman"/>
                <w:sz w:val="20"/>
                <w:szCs w:val="20"/>
                <w:b w:val="1"/>
                <w:bCs w:val="1"/>
                <w:color w:val="auto"/>
              </w:rPr>
              <w:t>More than</w:t>
            </w:r>
          </w:p>
        </w:tc>
        <w:tc>
          <w:tcPr>
            <w:tcW w:w="60" w:type="dxa"/>
            <w:vAlign w:val="bottom"/>
          </w:tcPr>
          <w:p>
            <w:pPr>
              <w:spacing w:after="0"/>
              <w:rPr>
                <w:sz w:val="18"/>
                <w:szCs w:val="18"/>
                <w:color w:val="auto"/>
              </w:rPr>
            </w:pPr>
          </w:p>
        </w:tc>
      </w:tr>
      <w:tr>
        <w:trPr>
          <w:trHeight w:val="252"/>
        </w:trPr>
        <w:tc>
          <w:tcPr>
            <w:tcW w:w="44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year</w:t>
            </w:r>
          </w:p>
        </w:tc>
        <w:tc>
          <w:tcPr>
            <w:tcW w:w="20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8"/>
              </w:rPr>
              <w:t>1-3 years</w:t>
            </w:r>
          </w:p>
        </w:tc>
        <w:tc>
          <w:tcPr>
            <w:tcW w:w="220" w:type="dxa"/>
            <w:vAlign w:val="bottom"/>
            <w:tcBorders>
              <w:bottom w:val="single" w:sz="8" w:color="E6E6E6"/>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20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5 years</w:t>
            </w:r>
          </w:p>
        </w:tc>
        <w:tc>
          <w:tcPr>
            <w:tcW w:w="60" w:type="dxa"/>
            <w:vAlign w:val="bottom"/>
            <w:tcBorders>
              <w:bottom w:val="single" w:sz="8" w:color="E6E6E6"/>
            </w:tcBorders>
          </w:tcPr>
          <w:p>
            <w:pPr>
              <w:spacing w:after="0"/>
              <w:rPr>
                <w:sz w:val="21"/>
                <w:szCs w:val="21"/>
                <w:color w:val="auto"/>
              </w:rPr>
            </w:pPr>
          </w:p>
        </w:tc>
      </w:tr>
      <w:tr>
        <w:trPr>
          <w:trHeight w:val="236"/>
        </w:trPr>
        <w:tc>
          <w:tcPr>
            <w:tcW w:w="4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Term Loan Debt, including joint venture debt</w:t>
            </w:r>
          </w:p>
        </w:tc>
        <w:tc>
          <w:tcPr>
            <w:tcW w:w="200" w:type="dxa"/>
            <w:vAlign w:val="bottom"/>
            <w:shd w:val="clear" w:color="auto" w:fill="E6E6E6"/>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5,647</w:t>
            </w:r>
          </w:p>
        </w:tc>
        <w:tc>
          <w:tcPr>
            <w:tcW w:w="200" w:type="dxa"/>
            <w:vAlign w:val="bottom"/>
            <w:shd w:val="clear" w:color="auto" w:fill="E6E6E6"/>
          </w:tcPr>
          <w:p>
            <w:pPr>
              <w:spacing w:after="0"/>
              <w:rPr>
                <w:sz w:val="20"/>
                <w:szCs w:val="20"/>
                <w:color w:val="auto"/>
              </w:rPr>
            </w:pPr>
          </w:p>
        </w:tc>
        <w:tc>
          <w:tcPr>
            <w:tcW w:w="220" w:type="dxa"/>
            <w:vAlign w:val="bottom"/>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200" w:type="dxa"/>
            <w:vAlign w:val="bottom"/>
            <w:shd w:val="clear" w:color="auto" w:fill="E6E6E6"/>
          </w:tcPr>
          <w:p>
            <w:pPr>
              <w:spacing w:after="0"/>
              <w:rPr>
                <w:sz w:val="20"/>
                <w:szCs w:val="20"/>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3,768</w:t>
            </w:r>
          </w:p>
        </w:tc>
        <w:tc>
          <w:tcPr>
            <w:tcW w:w="22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0"/>
                <w:szCs w:val="20"/>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0"/>
                <w:szCs w:val="20"/>
                <w:color w:val="auto"/>
              </w:rPr>
            </w:pPr>
          </w:p>
        </w:tc>
      </w:tr>
      <w:tr>
        <w:trPr>
          <w:trHeight w:val="242"/>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Revolving Credit Loan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208,600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208,600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2"/>
        </w:trPr>
        <w:tc>
          <w:tcPr>
            <w:tcW w:w="44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Interest expense (estimated)</w:t>
            </w:r>
          </w:p>
        </w:tc>
        <w:tc>
          <w:tcPr>
            <w:tcW w:w="20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47,494</w:t>
            </w:r>
          </w:p>
        </w:tc>
        <w:tc>
          <w:tcPr>
            <w:tcW w:w="2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13,789</w:t>
            </w:r>
          </w:p>
        </w:tc>
        <w:tc>
          <w:tcPr>
            <w:tcW w:w="2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33,705</w:t>
            </w:r>
          </w:p>
        </w:tc>
        <w:tc>
          <w:tcPr>
            <w:tcW w:w="2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1"/>
                <w:szCs w:val="21"/>
                <w:color w:val="auto"/>
              </w:rPr>
            </w:pPr>
          </w:p>
        </w:tc>
      </w:tr>
      <w:tr>
        <w:trPr>
          <w:trHeight w:val="242"/>
        </w:trPr>
        <w:tc>
          <w:tcPr>
            <w:tcW w:w="4400" w:type="dxa"/>
            <w:vAlign w:val="bottom"/>
          </w:tcPr>
          <w:p>
            <w:pPr>
              <w:spacing w:after="0" w:line="241" w:lineRule="exact"/>
              <w:rPr>
                <w:sz w:val="20"/>
                <w:szCs w:val="20"/>
                <w:color w:val="auto"/>
              </w:rPr>
            </w:pPr>
            <w:r>
              <w:rPr>
                <w:rFonts w:ascii="Times New Roman" w:cs="Times New Roman" w:eastAsia="Times New Roman" w:hAnsi="Times New Roman"/>
                <w:sz w:val="20"/>
                <w:szCs w:val="20"/>
                <w:color w:val="auto"/>
              </w:rPr>
              <w:t xml:space="preserve">Purchase obligations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136,294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136,294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62"/>
        </w:trPr>
        <w:tc>
          <w:tcPr>
            <w:tcW w:w="44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lease obligations</w:t>
            </w:r>
          </w:p>
        </w:tc>
        <w:tc>
          <w:tcPr>
            <w:tcW w:w="200" w:type="dxa"/>
            <w:vAlign w:val="bottom"/>
            <w:tcBorders>
              <w:bottom w:val="single" w:sz="8" w:color="auto"/>
            </w:tcBorders>
            <w:shd w:val="clear" w:color="auto" w:fill="E6E6E6"/>
          </w:tcPr>
          <w:p>
            <w:pPr>
              <w:spacing w:after="0"/>
              <w:rPr>
                <w:sz w:val="22"/>
                <w:szCs w:val="22"/>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36,195</w:t>
            </w:r>
          </w:p>
        </w:tc>
        <w:tc>
          <w:tcPr>
            <w:tcW w:w="20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7,417</w:t>
            </w:r>
          </w:p>
        </w:tc>
        <w:tc>
          <w:tcPr>
            <w:tcW w:w="20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12,494</w:t>
            </w:r>
          </w:p>
        </w:tc>
        <w:tc>
          <w:tcPr>
            <w:tcW w:w="2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7,656</w:t>
            </w:r>
          </w:p>
        </w:tc>
        <w:tc>
          <w:tcPr>
            <w:tcW w:w="20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8,628</w:t>
            </w:r>
          </w:p>
        </w:tc>
        <w:tc>
          <w:tcPr>
            <w:tcW w:w="60" w:type="dxa"/>
            <w:vAlign w:val="bottom"/>
            <w:tcBorders>
              <w:bottom w:val="single" w:sz="8" w:color="E6E6E6"/>
            </w:tcBorders>
            <w:shd w:val="clear" w:color="auto" w:fill="E6E6E6"/>
          </w:tcPr>
          <w:p>
            <w:pPr>
              <w:spacing w:after="0"/>
              <w:rPr>
                <w:sz w:val="22"/>
                <w:szCs w:val="22"/>
                <w:color w:val="auto"/>
              </w:rPr>
            </w:pPr>
          </w:p>
        </w:tc>
      </w:tr>
      <w:tr>
        <w:trPr>
          <w:trHeight w:val="216"/>
        </w:trPr>
        <w:tc>
          <w:tcPr>
            <w:tcW w:w="44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Totals</w:t>
            </w:r>
          </w:p>
        </w:tc>
        <w:tc>
          <w:tcPr>
            <w:tcW w:w="200" w:type="dxa"/>
            <w:vAlign w:val="bottom"/>
            <w:tcBorders>
              <w:bottom w:val="single" w:sz="8" w:color="auto"/>
            </w:tcBorders>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434,230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159,379</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49,967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216,256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8,628</w:t>
            </w:r>
          </w:p>
        </w:tc>
        <w:tc>
          <w:tcPr>
            <w:tcW w:w="6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486" w:hanging="486"/>
        <w:spacing w:after="0"/>
        <w:tabs>
          <w:tab w:leader="none" w:pos="48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Primarily consists of purchase obligations for costs associated with uncompleted sales contracts.</w:t>
      </w:r>
    </w:p>
    <w:p>
      <w:pPr>
        <w:spacing w:after="0" w:line="2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8" w:lineRule="exact"/>
        <w:rPr>
          <w:sz w:val="20"/>
          <w:szCs w:val="20"/>
          <w:color w:val="auto"/>
        </w:rPr>
      </w:pPr>
    </w:p>
    <w:p>
      <w:pPr>
        <w:ind w:left="6" w:right="60"/>
        <w:spacing w:after="0" w:line="243" w:lineRule="auto"/>
        <w:rPr>
          <w:sz w:val="20"/>
          <w:szCs w:val="20"/>
          <w:color w:val="auto"/>
        </w:rPr>
      </w:pPr>
      <w:r>
        <w:rPr>
          <w:rFonts w:ascii="Times New Roman" w:cs="Times New Roman" w:eastAsia="Times New Roman" w:hAnsi="Times New Roman"/>
          <w:sz w:val="20"/>
          <w:szCs w:val="20"/>
          <w:color w:val="auto"/>
        </w:rPr>
        <w:t>Our consolidated financial statements are prepared in conformity with GAAP. Preparation of the consolidated financial statements in accordance with GAAP requires management to make estimates, judgments and assumptions affecting the reported amounts of assets, liabilities, revenues and expenses and related contingent liabilities. Critical accounting estimates or assumptions are those where the nature of the estimates or assumptions is material given the level of subjectivity and judgment necessary to account for uncertain matters, and the potential impact of the estimates and assumptions on financial condition or operating performance is material. We consider the estimates discussed below to be critical to the understanding of our financial statements. Actual results may differ from our estimates and assumptions, and any such differences could be material to our consolidated financial statements.</w:t>
      </w:r>
    </w:p>
    <w:p>
      <w:pPr>
        <w:spacing w:after="0" w:line="20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32" w:lineRule="exact"/>
        <w:rPr>
          <w:sz w:val="20"/>
          <w:szCs w:val="20"/>
          <w:color w:val="auto"/>
        </w:rPr>
      </w:pPr>
    </w:p>
    <w:p>
      <w:pPr>
        <w:jc w:val="both"/>
        <w:ind w:left="6" w:right="80"/>
        <w:spacing w:after="0" w:line="256" w:lineRule="auto"/>
        <w:rPr>
          <w:sz w:val="20"/>
          <w:szCs w:val="20"/>
          <w:color w:val="auto"/>
        </w:rPr>
      </w:pPr>
      <w:r>
        <w:rPr>
          <w:rFonts w:ascii="Times New Roman" w:cs="Times New Roman" w:eastAsia="Times New Roman" w:hAnsi="Times New Roman"/>
          <w:sz w:val="20"/>
          <w:szCs w:val="20"/>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85" w:lineRule="exact"/>
        <w:rPr>
          <w:sz w:val="20"/>
          <w:szCs w:val="20"/>
          <w:color w:val="auto"/>
        </w:rPr>
      </w:pPr>
    </w:p>
    <w:p>
      <w:pPr>
        <w:ind w:left="6" w:right="80"/>
        <w:spacing w:after="0" w:line="245" w:lineRule="auto"/>
        <w:rPr>
          <w:sz w:val="20"/>
          <w:szCs w:val="20"/>
          <w:color w:val="auto"/>
        </w:rPr>
      </w:pPr>
      <w:r>
        <w:rPr>
          <w:rFonts w:ascii="Times New Roman" w:cs="Times New Roman" w:eastAsia="Times New Roman" w:hAnsi="Times New Roman"/>
          <w:sz w:val="20"/>
          <w:szCs w:val="20"/>
          <w:color w:val="auto"/>
        </w:rPr>
        <w:t>We recognize revenue as performance obligations are satisfied.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95" w:lineRule="exact"/>
        <w:rPr>
          <w:sz w:val="20"/>
          <w:szCs w:val="20"/>
          <w:color w:val="auto"/>
        </w:rPr>
      </w:pPr>
    </w:p>
    <w:p>
      <w:pPr>
        <w:ind w:left="6" w:right="40"/>
        <w:spacing w:after="0" w:line="243" w:lineRule="auto"/>
        <w:rPr>
          <w:sz w:val="20"/>
          <w:szCs w:val="20"/>
          <w:color w:val="auto"/>
        </w:rPr>
      </w:pPr>
      <w:r>
        <w:rPr>
          <w:rFonts w:ascii="Times New Roman" w:cs="Times New Roman" w:eastAsia="Times New Roman" w:hAnsi="Times New Roman"/>
          <w:sz w:val="20"/>
          <w:szCs w:val="20"/>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202" w:lineRule="exact"/>
        <w:rPr>
          <w:sz w:val="20"/>
          <w:szCs w:val="20"/>
          <w:color w:val="auto"/>
        </w:rPr>
      </w:pPr>
    </w:p>
    <w:p>
      <w:pPr>
        <w:ind w:left="6" w:right="20"/>
        <w:spacing w:after="0" w:line="275" w:lineRule="auto"/>
        <w:rPr>
          <w:sz w:val="20"/>
          <w:szCs w:val="20"/>
          <w:color w:val="auto"/>
        </w:rPr>
      </w:pPr>
      <w:r>
        <w:rPr>
          <w:rFonts w:ascii="Times New Roman" w:cs="Times New Roman" w:eastAsia="Times New Roman" w:hAnsi="Times New Roman"/>
          <w:sz w:val="20"/>
          <w:szCs w:val="20"/>
          <w:color w:val="auto"/>
        </w:rPr>
        <w:t>Provisions for estimated losses on uncompleted contracts are made in the period in which such losses are determined. No provision for estimated losses on uncompleted contracts was needed at December 31, 2025, 2024 and 2023.</w:t>
      </w:r>
    </w:p>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232" w:lineRule="exact"/>
        <w:rPr>
          <w:sz w:val="20"/>
          <w:szCs w:val="20"/>
          <w:color w:val="auto"/>
        </w:rPr>
      </w:pPr>
    </w:p>
    <w:p>
      <w:pPr>
        <w:ind w:left="6" w:right="40"/>
        <w:spacing w:after="0" w:line="302" w:lineRule="auto"/>
        <w:rPr>
          <w:sz w:val="20"/>
          <w:szCs w:val="20"/>
          <w:color w:val="auto"/>
        </w:rPr>
      </w:pPr>
      <w:r>
        <w:rPr>
          <w:rFonts w:ascii="Times New Roman" w:cs="Times New Roman" w:eastAsia="Times New Roman" w:hAnsi="Times New Roman"/>
          <w:sz w:val="19"/>
          <w:szCs w:val="19"/>
          <w:color w:val="auto"/>
        </w:rPr>
        <w:t>The Company’s inventories are valued at the lower of cost or net realizable value. Cost is determined on a first-in, first-out or average cost basis. Inventory quantities are regularly reviewed and provisions for excess or obsolete inventory are recorded primarily based on</w:t>
      </w:r>
    </w:p>
    <w:p>
      <w:pPr>
        <w:sectPr>
          <w:pgSz w:w="11880" w:h="15480" w:orient="portrait"/>
          <w:cols w:equalWidth="0" w:num="1">
            <w:col w:w="10686"/>
          </w:cols>
          <w:pgMar w:left="594" w:top="818" w:right="600" w:bottom="66" w:gutter="0" w:footer="0" w:header="0"/>
        </w:sectPr>
      </w:pPr>
    </w:p>
    <w:p>
      <w:pPr>
        <w:spacing w:after="0" w:line="27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686"/>
          </w:cols>
          <w:pgMar w:left="594" w:top="818" w:right="600" w:bottom="66" w:gutter="0" w:footer="0" w:header="0"/>
          <w:type w:val="continuous"/>
        </w:sectPr>
      </w:pPr>
    </w:p>
    <w:bookmarkStart w:id="54" w:name="page55"/>
    <w:bookmarkEnd w:id="54"/>
    <w:p>
      <w:pPr>
        <w:ind w:right="460"/>
        <w:spacing w:after="0" w:line="275" w:lineRule="auto"/>
        <w:rPr>
          <w:sz w:val="20"/>
          <w:szCs w:val="20"/>
          <w:color w:val="auto"/>
        </w:rPr>
      </w:pPr>
      <w:r>
        <w:rPr>
          <w:rFonts w:ascii="Times New Roman" w:cs="Times New Roman" w:eastAsia="Times New Roman" w:hAnsi="Times New Roman"/>
          <w:sz w:val="20"/>
          <w:szCs w:val="20"/>
          <w:color w:val="auto"/>
        </w:rPr>
        <w:t>our forecast of future demand and market conditions. Significant unanticipated changes to forecasts could require a change in the provision for excess or obsolete inventory.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232"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9"/>
          <w:szCs w:val="19"/>
          <w:color w:val="auto"/>
        </w:rPr>
        <w:t>We complete an impairment assessment of the Company's long-lived assets, including property and equipment, right-of-use assets, and finite-lived intangible assets, whenever events or changes in circumstances indicate that the carrying amount of an asset group may not be recoverable. If such indicators exist, we compare the carrying amount of the asset group to the estimated undiscounted future cash flows expected to result from the use and eventual disposition of the asset group. If the carrying amount exceeds the undiscounted cash flows, an impairment loss is recognized based on the excess of the carrying amount over fair value.</w:t>
      </w:r>
    </w:p>
    <w:p>
      <w:pPr>
        <w:spacing w:after="0" w:line="179"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20"/>
          <w:szCs w:val="20"/>
          <w:color w:val="auto"/>
        </w:rPr>
        <w:t>During 2025, 2024, and 2023, we recognized no impairment charges related to long-lived assets. For additional information on impairment testing results, see Note 6 to the Consolidated Financial Statements.</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Additionally, we review the remaining useful lives of assets to determine whether events and circumstances warrant a revision to the remaining period of depreciation or amortization. If the estimate of a long-lived asset’s remaining useful life is changed, the remaining carrying amount of the asset is depreciated/amortized prospectively over that revised remaining useful life.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and Indefinite-lived Intangible Assets</w:t>
      </w:r>
    </w:p>
    <w:p>
      <w:pPr>
        <w:spacing w:after="0" w:line="23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complete an impairment assessment annually in the fourth quarter or more often as circumstances require, of goodwill and indefinite-lived intangible assets on a reporting unit level, at or below the operating segment level. As a part of the annual assessment, we first qualitatively assesses whether current events or changes in circumstances lead to a determination that it is more likely than not that the fair value of a reporting unit is less than its carrying amount. If there is a qualitative determination that the fair value of a particular reporting unit is more likely than not greater than its carrying value, we do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20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During 2025, 2024, and 2023, our annual impairment assessment indicated no impairment of goodwill. Accordingly, we recognized no impairment charges in our financial results for the years ended December 31, 2025, 2024, and 2023. For additional information on impairment testing results, see Note 6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Income taxes are determined using the asset and liability method of accounting for income taxes in accordance with Financial Accounting Standards Board, Accounting Standards Codification Topic 740, “Income Taxes.” Income tax expense includes federal, state and foreign income taxes.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95"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0"/>
          <w:szCs w:val="20"/>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We record the related interest expense and penalties, if any, as tax expense in the tax provision.</w:t>
      </w:r>
    </w:p>
    <w:p>
      <w:pPr>
        <w:spacing w:after="0" w:line="19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680"/>
          </w:cols>
          <w:pgMar w:left="600" w:top="818" w:right="600" w:bottom="66" w:gutter="0" w:footer="0" w:header="0"/>
          <w:type w:val="continuous"/>
        </w:sectPr>
      </w:pPr>
    </w:p>
    <w:bookmarkStart w:id="55" w:name="page56"/>
    <w:bookmarkEnd w:id="55"/>
    <w:p>
      <w:pPr>
        <w:ind w:right="320"/>
        <w:spacing w:after="0" w:line="275" w:lineRule="auto"/>
        <w:rPr>
          <w:sz w:val="20"/>
          <w:szCs w:val="20"/>
          <w:color w:val="auto"/>
        </w:rPr>
      </w:pPr>
      <w:r>
        <w:rPr>
          <w:rFonts w:ascii="Times New Roman" w:cs="Times New Roman" w:eastAsia="Times New Roman" w:hAnsi="Times New Roman"/>
          <w:sz w:val="20"/>
          <w:szCs w:val="20"/>
          <w:color w:val="auto"/>
        </w:rPr>
        <w:t>assessment. The amount of the deferred tax assets considered realizable, however, could be reduced in the near term if estimates of future taxable income during the carryforward period are reduced.</w:t>
      </w:r>
    </w:p>
    <w:p>
      <w:pPr>
        <w:spacing w:after="0" w:line="16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On July 4, 2025, the legislation HR-1, known as One Big Beautiful Bill Act (the "Act") was enacted, with tax changes phased in from 2025 to 2027, including the limitation on deductibility of interest expense, the capitalization of research expenditures, the allowance of immediate expensing of capital expenditures, and the taxation of foreign earnings. The Company recorded the impact of the Act in the third quarter of 2025, including the election to fully accelerate all domestic Section 174 expensing into 2025 and claim bonus depreciation, which reduced cash paid for taxes in 2025. Based on our current profile, we do not expect the Act's changes to the taxation of foreign earnings to have a material impact on our results in future periods when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significant accounting policies</w:t>
      </w:r>
    </w:p>
    <w:p>
      <w:pPr>
        <w:spacing w:after="0" w:line="232" w:lineRule="exact"/>
        <w:rPr>
          <w:sz w:val="20"/>
          <w:szCs w:val="20"/>
          <w:color w:val="auto"/>
        </w:rPr>
      </w:pPr>
    </w:p>
    <w:p>
      <w:pPr>
        <w:ind w:right="760"/>
        <w:spacing w:after="0" w:line="250" w:lineRule="auto"/>
        <w:rPr>
          <w:sz w:val="20"/>
          <w:szCs w:val="20"/>
          <w:color w:val="auto"/>
        </w:rPr>
      </w:pPr>
      <w:r>
        <w:rPr>
          <w:rFonts w:ascii="Times New Roman" w:cs="Times New Roman" w:eastAsia="Times New Roman" w:hAnsi="Times New Roman"/>
          <w:sz w:val="20"/>
          <w:szCs w:val="20"/>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23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0"/>
          <w:szCs w:val="20"/>
          <w:color w:val="auto"/>
        </w:rPr>
        <w:t>For information regarding recent accounting pronouncements, see Note 1 to the Consolidated Financial Statements included in this annual report on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19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carrying value of the Company’s total long-term debt and current maturities of long-term debt at December 31, 2025 was $214.2 million. Market risk was estimated as the potential decrease (increase) in future earnings and cash flows resulting from a hypothetical 10% increase (decrease) in the Company’s estimated weighted average borrowing rate at December 31, 2025. Most of the interest on the Company’s debt is indexed to SOFR market rates. The estimated annual impact of a hypothetical 10% change in the estimated weighted average borrowing rate at December 31, 2025 is $1.4 million.</w:t>
      </w:r>
    </w:p>
    <w:p>
      <w:pPr>
        <w:spacing w:after="0" w:line="197" w:lineRule="exact"/>
        <w:rPr>
          <w:sz w:val="20"/>
          <w:szCs w:val="20"/>
          <w:color w:val="auto"/>
        </w:rPr>
      </w:pPr>
    </w:p>
    <w:p>
      <w:pPr>
        <w:jc w:val="both"/>
        <w:ind w:right="300"/>
        <w:spacing w:after="0" w:line="246" w:lineRule="auto"/>
        <w:rPr>
          <w:sz w:val="20"/>
          <w:szCs w:val="20"/>
          <w:color w:val="auto"/>
        </w:rPr>
      </w:pPr>
      <w:r>
        <w:rPr>
          <w:rFonts w:ascii="Times New Roman" w:cs="Times New Roman" w:eastAsia="Times New Roman" w:hAnsi="Times New Roman"/>
          <w:sz w:val="20"/>
          <w:szCs w:val="20"/>
          <w:color w:val="auto"/>
        </w:rPr>
        <w:t>The Company has wholly-owned subsidiaries in several countries, including in the Netherlands, Canada, the People’s Republic of China, United Kingdom, Singapore, India, United Arab Emirates, Germany and South Korea. In the past, we have not hedged our foreign currency exposure. Future changes in exchange rates may positively or negatively impact our revenues, operating expenses and earnings. Transaction (losses) gains included in “Other (expense) income, net” line of the Consolidated Statements of Income were $(2.2) million, $(4.3) million, and $1.2 million in 2025,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8" w:lineRule="exact"/>
        <w:rPr>
          <w:sz w:val="20"/>
          <w:szCs w:val="20"/>
          <w:color w:val="auto"/>
        </w:rPr>
      </w:pPr>
    </w:p>
    <w:p>
      <w:pPr>
        <w:jc w:val="both"/>
        <w:ind w:right="280"/>
        <w:spacing w:after="0" w:line="302" w:lineRule="auto"/>
        <w:rPr>
          <w:sz w:val="20"/>
          <w:szCs w:val="20"/>
          <w:color w:val="auto"/>
        </w:rPr>
      </w:pPr>
      <w:r>
        <w:rPr>
          <w:rFonts w:ascii="Times New Roman" w:cs="Times New Roman" w:eastAsia="Times New Roman" w:hAnsi="Times New Roman"/>
          <w:sz w:val="19"/>
          <w:szCs w:val="19"/>
          <w:color w:val="auto"/>
        </w:rPr>
        <w:t>The Consolidated Financial Statements of CECO Environmental Corp. for the years ended December 31, 2025, 2024 and 2023 and other data are included in this report following the signature page of this report and incorporated into this Item 8 by reference:</w:t>
      </w:r>
    </w:p>
    <w:p>
      <w:pPr>
        <w:spacing w:after="0" w:line="13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Report of Independent Registered Public Accounting Firm (Deloitte &amp; Touche LLP, Dallas, Texas, PCAOB #34)</w:t>
      </w:r>
      <w:r>
        <w:rPr>
          <w:sz w:val="20"/>
          <w:szCs w:val="20"/>
          <w:color w:val="auto"/>
        </w:rPr>
        <w:tab/>
      </w:r>
      <w:r>
        <w:rPr>
          <w:rFonts w:ascii="Times New Roman" w:cs="Times New Roman" w:eastAsia="Times New Roman" w:hAnsi="Times New Roman"/>
          <w:sz w:val="20"/>
          <w:szCs w:val="20"/>
          <w:color w:val="auto"/>
        </w:rPr>
        <w:t>42</w:t>
      </w:r>
    </w:p>
    <w:p>
      <w:pPr>
        <w:spacing w:after="0" w:line="1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Report of Independent Registered Public Accounting Firm (BDO USA, P.C., Cincinnati, Ohio, PCAOB #243)</w:t>
      </w:r>
      <w:r>
        <w:rPr>
          <w:sz w:val="20"/>
          <w:szCs w:val="20"/>
          <w:color w:val="auto"/>
        </w:rPr>
        <w:tab/>
      </w:r>
      <w:r>
        <w:rPr>
          <w:rFonts w:ascii="Times New Roman" w:cs="Times New Roman" w:eastAsia="Times New Roman" w:hAnsi="Times New Roman"/>
          <w:sz w:val="20"/>
          <w:szCs w:val="20"/>
          <w:color w:val="auto"/>
        </w:rPr>
        <w:t>44</w:t>
      </w:r>
    </w:p>
    <w:p>
      <w:pPr>
        <w:spacing w:after="0" w:line="1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45</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680"/>
          </w:cols>
          <w:pgMar w:left="600" w:top="818" w:right="600" w:bottom="66" w:gutter="0" w:footer="0" w:header="0"/>
          <w:type w:val="continuous"/>
        </w:sectPr>
      </w:pPr>
    </w:p>
    <w:bookmarkStart w:id="56" w:name="page57"/>
    <w:bookmarkEnd w:id="56"/>
    <w:p>
      <w:pPr>
        <w:spacing w:after="0"/>
        <w:tabs>
          <w:tab w:leader="dot" w:pos="10460" w:val="left"/>
        </w:tabs>
        <w:rPr>
          <w:sz w:val="20"/>
          <w:szCs w:val="20"/>
          <w:color w:val="auto"/>
        </w:rPr>
      </w:pPr>
      <w:r>
        <w:rPr>
          <w:rFonts w:ascii="Times New Roman" w:cs="Times New Roman" w:eastAsia="Times New Roman" w:hAnsi="Times New Roman"/>
          <w:sz w:val="20"/>
          <w:szCs w:val="20"/>
          <w:color w:val="auto"/>
        </w:rPr>
        <w:t>Consolidated Statements of Income</w:t>
      </w:r>
      <w:r>
        <w:rPr>
          <w:sz w:val="20"/>
          <w:szCs w:val="20"/>
          <w:color w:val="auto"/>
        </w:rPr>
        <w:tab/>
      </w:r>
      <w:r>
        <w:rPr>
          <w:rFonts w:ascii="Times New Roman" w:cs="Times New Roman" w:eastAsia="Times New Roman" w:hAnsi="Times New Roman"/>
          <w:sz w:val="20"/>
          <w:szCs w:val="20"/>
          <w:color w:val="auto"/>
        </w:rPr>
        <w:t>46</w:t>
      </w:r>
    </w:p>
    <w:p>
      <w:pPr>
        <w:spacing w:after="0" w:line="1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Consolidated Statements of Comprehensive Income</w:t>
      </w:r>
      <w:r>
        <w:rPr>
          <w:sz w:val="20"/>
          <w:szCs w:val="20"/>
          <w:color w:val="auto"/>
        </w:rPr>
        <w:tab/>
      </w:r>
      <w:r>
        <w:rPr>
          <w:rFonts w:ascii="Times New Roman" w:cs="Times New Roman" w:eastAsia="Times New Roman" w:hAnsi="Times New Roman"/>
          <w:sz w:val="20"/>
          <w:szCs w:val="20"/>
          <w:color w:val="auto"/>
        </w:rPr>
        <w:t>47</w:t>
      </w:r>
    </w:p>
    <w:p>
      <w:pPr>
        <w:spacing w:after="0" w:line="1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Consolidated Statements of Shareholders’ Equity</w:t>
      </w:r>
      <w:r>
        <w:rPr>
          <w:sz w:val="20"/>
          <w:szCs w:val="20"/>
          <w:color w:val="auto"/>
        </w:rPr>
        <w:tab/>
      </w:r>
      <w:r>
        <w:rPr>
          <w:rFonts w:ascii="Times New Roman" w:cs="Times New Roman" w:eastAsia="Times New Roman" w:hAnsi="Times New Roman"/>
          <w:sz w:val="20"/>
          <w:szCs w:val="20"/>
          <w:color w:val="auto"/>
        </w:rPr>
        <w:t>48</w:t>
      </w:r>
    </w:p>
    <w:p>
      <w:pPr>
        <w:spacing w:after="0" w:line="1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Accumulated Other Comprehensive Loss</w:t>
      </w:r>
      <w:r>
        <w:rPr>
          <w:sz w:val="20"/>
          <w:szCs w:val="20"/>
          <w:color w:val="auto"/>
        </w:rPr>
        <w:tab/>
      </w:r>
      <w:r>
        <w:rPr>
          <w:rFonts w:ascii="Times New Roman" w:cs="Times New Roman" w:eastAsia="Times New Roman" w:hAnsi="Times New Roman"/>
          <w:sz w:val="20"/>
          <w:szCs w:val="20"/>
          <w:color w:val="auto"/>
        </w:rPr>
        <w:t>49</w:t>
      </w:r>
    </w:p>
    <w:p>
      <w:pPr>
        <w:spacing w:after="0" w:line="1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50</w:t>
      </w:r>
    </w:p>
    <w:p>
      <w:pPr>
        <w:spacing w:after="0" w:line="13" w:lineRule="exact"/>
        <w:rPr>
          <w:sz w:val="20"/>
          <w:szCs w:val="20"/>
          <w:color w:val="auto"/>
        </w:rPr>
      </w:pPr>
    </w:p>
    <w:p>
      <w:pPr>
        <w:spacing w:after="0"/>
        <w:tabs>
          <w:tab w:leader="dot" w:pos="1046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51</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680"/>
          </w:cols>
          <w:pgMar w:left="600" w:top="818" w:right="600" w:bottom="66"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CECO Environmental Corp.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CECO Environmental Corp. and subsidiaries (the "Company") as of December 31, 2025, the related consolidated statements of income, comprehensive income, shareholders'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9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Control — Integrated Framework (2013)</w:t>
      </w:r>
      <w:r>
        <w:rPr>
          <w:rFonts w:ascii="Times New Roman" w:cs="Times New Roman" w:eastAsia="Times New Roman" w:hAnsi="Times New Roman"/>
          <w:sz w:val="20"/>
          <w:szCs w:val="20"/>
          <w:color w:val="auto"/>
        </w:rPr>
        <w:t>issued by the Committee of Sponsoring Organizations of the Treadway Commission and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dated March 2, 2026, expressed an adverse opinion on the Company's internal control over financial reporting because of material weaknesses.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8"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 Refer to Note 1 to the financial statements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23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Company recognizes a significant portion of its revenues from fixed-price contracts overtime using the cost to cost method for performance obligations to deliver products with continuous transfer of control to the customer. Under these contracts, revenue is recognized based on the extent of progress towards completion of the performance obligation. Progress is measured based on the ratio of costs incurred to date to the total estimated costs to complete the performance obligation. This method depends on the ability to make reasonably dependable estimates related to costs and the extent of progress toward completion of the contract. Changes in project performance and project conditions are factors that influence estimates of the total costs to complete contracts and the Company’s revenue recognition.</w:t>
      </w:r>
    </w:p>
    <w:p>
      <w:pPr>
        <w:spacing w:after="0" w:line="2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We identified estimated costs to complete and progress towards completion for overtime revenue contracts as a critical audit matter. The determination of the total estimated cost and progress toward completion requires management to make significant estimates and assumptions. Changes in these estimates can have a significant impact on the revenue recognized each period. Auditing these elements</w:t>
      </w:r>
    </w:p>
    <w:p>
      <w:pPr>
        <w:sectPr>
          <w:pgSz w:w="11880" w:h="15480" w:orient="portrait"/>
          <w:cols w:equalWidth="0" w:num="1">
            <w:col w:w="10680"/>
          </w:cols>
          <w:pgMar w:left="600" w:top="1053" w:right="600" w:bottom="66"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680"/>
          </w:cols>
          <w:pgMar w:left="600" w:top="1053" w:right="600" w:bottom="66" w:gutter="0" w:footer="0" w:header="0"/>
          <w:type w:val="continuous"/>
        </w:sectPr>
      </w:pPr>
    </w:p>
    <w:bookmarkStart w:id="58" w:name="page59"/>
    <w:bookmarkEnd w:id="58"/>
    <w:p>
      <w:pPr>
        <w:ind w:right="220"/>
        <w:spacing w:after="0" w:line="275" w:lineRule="auto"/>
        <w:rPr>
          <w:sz w:val="20"/>
          <w:szCs w:val="20"/>
          <w:color w:val="auto"/>
        </w:rPr>
      </w:pPr>
      <w:r>
        <w:rPr>
          <w:rFonts w:ascii="Times New Roman" w:cs="Times New Roman" w:eastAsia="Times New Roman" w:hAnsi="Times New Roman"/>
          <w:sz w:val="20"/>
          <w:szCs w:val="20"/>
          <w:color w:val="auto"/>
        </w:rPr>
        <w:t>involved challenging and subjective auditor judgment in evaluating the reasonableness of management’s assumptions and estimates over the duration of these contracts</w:t>
      </w:r>
      <w:r>
        <w:rPr>
          <w:rFonts w:ascii="Times New Roman" w:cs="Times New Roman" w:eastAsia="Times New Roman" w:hAnsi="Times New Roman"/>
          <w:sz w:val="20"/>
          <w:szCs w:val="20"/>
          <w:i w:val="1"/>
          <w:iCs w:val="1"/>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3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20"/>
          <w:szCs w:val="20"/>
          <w:color w:val="auto"/>
        </w:rPr>
        <w:t>Our audit procedures related to management’s estimates of costs to complete and progress towards completion for fixed-price contracts revenue recognized overtime included the following, among others:</w:t>
      </w:r>
    </w:p>
    <w:p>
      <w:pPr>
        <w:spacing w:after="0" w:line="180" w:lineRule="exact"/>
        <w:rPr>
          <w:sz w:val="20"/>
          <w:szCs w:val="20"/>
          <w:color w:val="auto"/>
        </w:rPr>
      </w:pPr>
    </w:p>
    <w:p>
      <w:pPr>
        <w:ind w:left="960" w:right="100" w:hanging="481"/>
        <w:spacing w:after="0" w:line="274" w:lineRule="auto"/>
        <w:tabs>
          <w:tab w:leader="none" w:pos="9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For certain business units, we developed an expectation of revenue by creating an independent estimate of revenue based on historical margin rates and compared it to the recorded revenue.</w:t>
      </w:r>
    </w:p>
    <w:p>
      <w:pPr>
        <w:spacing w:after="0" w:line="62" w:lineRule="exact"/>
        <w:rPr>
          <w:rFonts w:ascii="Arial" w:cs="Arial" w:eastAsia="Arial" w:hAnsi="Arial"/>
          <w:sz w:val="20"/>
          <w:szCs w:val="20"/>
          <w:color w:val="auto"/>
        </w:rPr>
      </w:pPr>
    </w:p>
    <w:p>
      <w:pPr>
        <w:ind w:left="960" w:hanging="481"/>
        <w:spacing w:after="0"/>
        <w:tabs>
          <w:tab w:leader="none" w:pos="9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For certain business units, we selected a sample of contracts and performed the following:</w:t>
      </w:r>
    </w:p>
    <w:p>
      <w:pPr>
        <w:spacing w:after="0" w:line="129" w:lineRule="exact"/>
        <w:rPr>
          <w:rFonts w:ascii="Arial" w:cs="Arial" w:eastAsia="Arial" w:hAnsi="Arial"/>
          <w:sz w:val="20"/>
          <w:szCs w:val="20"/>
          <w:color w:val="auto"/>
        </w:rPr>
      </w:pPr>
    </w:p>
    <w:p>
      <w:pPr>
        <w:ind w:left="1440" w:right="40" w:hanging="477"/>
        <w:spacing w:after="0" w:line="255" w:lineRule="auto"/>
        <w:tabs>
          <w:tab w:leader="none" w:pos="1440" w:val="left"/>
        </w:tabs>
        <w:numPr>
          <w:ilvl w:val="1"/>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whether the contracts were properly included in management’s calculation of revenue based on the terms and conditions of each contract, including whether continuous transfer of control to the customer occurred as progress was made toward fulfilling the performance obligation.</w:t>
      </w:r>
    </w:p>
    <w:p>
      <w:pPr>
        <w:spacing w:after="0" w:line="82" w:lineRule="exact"/>
        <w:rPr>
          <w:rFonts w:ascii="Arial" w:cs="Arial" w:eastAsia="Arial" w:hAnsi="Arial"/>
          <w:sz w:val="20"/>
          <w:szCs w:val="20"/>
          <w:color w:val="auto"/>
        </w:rPr>
      </w:pPr>
    </w:p>
    <w:p>
      <w:pPr>
        <w:ind w:left="1440" w:hanging="477"/>
        <w:spacing w:after="0" w:line="274" w:lineRule="auto"/>
        <w:tabs>
          <w:tab w:leader="none" w:pos="1440" w:val="left"/>
        </w:tabs>
        <w:numPr>
          <w:ilvl w:val="1"/>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Compared the transaction prices to the consideration expected to be received based on current rights and obligations under the contracts and any modifications that were agreed upon with the customers.</w:t>
      </w:r>
    </w:p>
    <w:p>
      <w:pPr>
        <w:spacing w:after="0" w:line="62" w:lineRule="exact"/>
        <w:rPr>
          <w:rFonts w:ascii="Arial" w:cs="Arial" w:eastAsia="Arial" w:hAnsi="Arial"/>
          <w:sz w:val="20"/>
          <w:szCs w:val="20"/>
          <w:color w:val="auto"/>
        </w:rPr>
      </w:pPr>
    </w:p>
    <w:p>
      <w:pPr>
        <w:ind w:left="1440" w:right="20" w:hanging="477"/>
        <w:spacing w:after="0" w:line="274" w:lineRule="auto"/>
        <w:tabs>
          <w:tab w:leader="none" w:pos="1440" w:val="left"/>
        </w:tabs>
        <w:numPr>
          <w:ilvl w:val="1"/>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Tested management’s identification of distinct performance obligations by evaluating whether the underlying goods and services were highly interdependent and interrelated.</w:t>
      </w:r>
    </w:p>
    <w:p>
      <w:pPr>
        <w:spacing w:after="0" w:line="62" w:lineRule="exact"/>
        <w:rPr>
          <w:rFonts w:ascii="Arial" w:cs="Arial" w:eastAsia="Arial" w:hAnsi="Arial"/>
          <w:sz w:val="20"/>
          <w:szCs w:val="20"/>
          <w:color w:val="auto"/>
        </w:rPr>
      </w:pPr>
    </w:p>
    <w:p>
      <w:pPr>
        <w:ind w:left="1440" w:hanging="477"/>
        <w:spacing w:after="0"/>
        <w:tabs>
          <w:tab w:leader="none" w:pos="1440" w:val="left"/>
        </w:tabs>
        <w:numPr>
          <w:ilvl w:val="1"/>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Tested the accuracy of a sample of costs allocated to the related performance obligation.</w:t>
      </w:r>
    </w:p>
    <w:p>
      <w:pPr>
        <w:spacing w:after="0" w:line="129" w:lineRule="exact"/>
        <w:rPr>
          <w:rFonts w:ascii="Arial" w:cs="Arial" w:eastAsia="Arial" w:hAnsi="Arial"/>
          <w:sz w:val="20"/>
          <w:szCs w:val="20"/>
          <w:color w:val="auto"/>
        </w:rPr>
      </w:pPr>
    </w:p>
    <w:p>
      <w:pPr>
        <w:ind w:left="1440" w:hanging="477"/>
        <w:spacing w:after="0"/>
        <w:tabs>
          <w:tab w:leader="none" w:pos="1440" w:val="left"/>
        </w:tabs>
        <w:numPr>
          <w:ilvl w:val="1"/>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Compared total costs allocated to projects to the costs management estimated to be incurred at completion.</w:t>
      </w:r>
    </w:p>
    <w:p>
      <w:pPr>
        <w:spacing w:after="0" w:line="129" w:lineRule="exact"/>
        <w:rPr>
          <w:rFonts w:ascii="Arial" w:cs="Arial" w:eastAsia="Arial" w:hAnsi="Arial"/>
          <w:sz w:val="20"/>
          <w:szCs w:val="20"/>
          <w:color w:val="auto"/>
        </w:rPr>
      </w:pPr>
    </w:p>
    <w:p>
      <w:pPr>
        <w:ind w:left="1440" w:hanging="477"/>
        <w:spacing w:after="0"/>
        <w:tabs>
          <w:tab w:leader="none" w:pos="1440" w:val="left"/>
        </w:tabs>
        <w:numPr>
          <w:ilvl w:val="1"/>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Tested the mathematical accuracy of management’s calculation of revenue for the performance obligation.</w:t>
      </w:r>
    </w:p>
    <w:p>
      <w:pPr>
        <w:spacing w:after="0" w:line="129" w:lineRule="exact"/>
        <w:rPr>
          <w:rFonts w:ascii="Arial" w:cs="Arial" w:eastAsia="Arial" w:hAnsi="Arial"/>
          <w:sz w:val="20"/>
          <w:szCs w:val="20"/>
          <w:color w:val="auto"/>
        </w:rPr>
      </w:pPr>
    </w:p>
    <w:p>
      <w:pPr>
        <w:ind w:left="960" w:right="360" w:hanging="481"/>
        <w:spacing w:after="0" w:line="255" w:lineRule="auto"/>
        <w:tabs>
          <w:tab w:leader="none" w:pos="96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For certain contracts, we evaluated management’s ability to estimate total costs and profit margins accurately by comparing actual costs and profit margins to management’s historical estimates for performance obligations that have been fulfilled</w:t>
      </w:r>
      <w:r>
        <w:rPr>
          <w:rFonts w:ascii="Times New Roman" w:cs="Times New Roman" w:eastAsia="Times New Roman" w:hAnsi="Times New Roman"/>
          <w:sz w:val="20"/>
          <w:szCs w:val="20"/>
          <w:color w:val="696969"/>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rPr>
          <w:sz w:val="20"/>
          <w:szCs w:val="20"/>
          <w:color w:val="auto"/>
        </w:rPr>
      </w:pPr>
      <w:r>
        <w:rPr>
          <w:rFonts w:ascii="Times New Roman" w:cs="Times New Roman" w:eastAsia="Times New Roman" w:hAnsi="Times New Roman"/>
          <w:sz w:val="20"/>
          <w:szCs w:val="20"/>
          <w:color w:val="auto"/>
        </w:rPr>
        <w:t>March 2,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2025.</w:t>
      </w:r>
    </w:p>
    <w:p>
      <w:pPr>
        <w:sectPr>
          <w:pgSz w:w="11880" w:h="15480" w:orient="portrait"/>
          <w:cols w:equalWidth="0" w:num="1">
            <w:col w:w="10660"/>
          </w:cols>
          <w:pgMar w:left="600" w:top="818" w:right="62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660"/>
          </w:cols>
          <w:pgMar w:left="600" w:top="818" w:right="620" w:bottom="66"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rPr>
          <w:sz w:val="20"/>
          <w:szCs w:val="20"/>
          <w:color w:val="auto"/>
        </w:rPr>
      </w:pPr>
      <w:r>
        <w:rPr>
          <w:rFonts w:ascii="Times New Roman" w:cs="Times New Roman" w:eastAsia="Times New Roman" w:hAnsi="Times New Roman"/>
          <w:sz w:val="20"/>
          <w:szCs w:val="20"/>
          <w:color w:val="auto"/>
        </w:rPr>
        <w:t>CECO Environmental Corp.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2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CECO Environmental Corp. (the “Company”) as of December 31, 2024, the related consolidated statements of income, comprehensive income, shareholders’ equity, accumulated other comprehensive loss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2008 to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Cincinnati, Ohio</w:t>
      </w:r>
    </w:p>
    <w:p>
      <w:pPr>
        <w:spacing w:after="0" w:line="2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February 25, 2025, except for the effects of the change in segment profit measure described in Note 16, as to which the date is March 2, 2026</w:t>
      </w:r>
    </w:p>
    <w:p>
      <w:pPr>
        <w:sectPr>
          <w:pgSz w:w="11880" w:h="15480" w:orient="portrait"/>
          <w:cols w:equalWidth="0" w:num="1">
            <w:col w:w="10680"/>
          </w:cols>
          <w:pgMar w:left="600" w:top="1280"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680"/>
          </w:cols>
          <w:pgMar w:left="600" w:top="1280" w:right="600" w:bottom="66"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E6E6E6"/>
            </w:tcBorders>
            <w:vMerge w:val="continue"/>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6E6E6"/>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36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20" w:type="dxa"/>
            <w:vAlign w:val="bottom"/>
            <w:gridSpan w:val="2"/>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33,144</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37,832</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Accounts receivable, net of allowances of $9,866 and $8,863</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172,909</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159,572</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Costs and estimated earnings in excess of billings on uncompleted contracts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115,614</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Inventories</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53,996</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42,624</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29,450</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Prepaid income taxes</w:t>
            </w:r>
          </w:p>
        </w:tc>
        <w:tc>
          <w:tcPr>
            <w:tcW w:w="140" w:type="dxa"/>
            <w:vAlign w:val="bottom"/>
            <w:tcBorders>
              <w:bottom w:val="single" w:sz="8" w:color="E6E6E6"/>
            </w:tcBorders>
            <w:shd w:val="clear" w:color="auto" w:fill="E6E6E6"/>
          </w:tcPr>
          <w:p>
            <w:pPr>
              <w:spacing w:after="0"/>
              <w:rPr>
                <w:sz w:val="22"/>
                <w:szCs w:val="22"/>
                <w:color w:val="auto"/>
              </w:rPr>
            </w:pPr>
          </w:p>
        </w:tc>
        <w:tc>
          <w:tcPr>
            <w:tcW w:w="380" w:type="dxa"/>
            <w:vAlign w:val="bottom"/>
            <w:tcBorders>
              <w:bottom w:val="single" w:sz="8" w:color="auto"/>
            </w:tcBorders>
            <w:shd w:val="clear" w:color="auto" w:fill="E6E6E6"/>
          </w:tcPr>
          <w:p>
            <w:pPr>
              <w:spacing w:after="0"/>
              <w:rPr>
                <w:sz w:val="22"/>
                <w:szCs w:val="22"/>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4,986</w:t>
            </w:r>
          </w:p>
        </w:tc>
        <w:tc>
          <w:tcPr>
            <w:tcW w:w="260" w:type="dxa"/>
            <w:vAlign w:val="bottom"/>
            <w:tcBorders>
              <w:bottom w:val="single" w:sz="8" w:color="E6E6E6"/>
            </w:tcBorders>
            <w:shd w:val="clear" w:color="auto" w:fill="E6E6E6"/>
          </w:tcPr>
          <w:p>
            <w:pPr>
              <w:spacing w:after="0"/>
              <w:rPr>
                <w:sz w:val="22"/>
                <w:szCs w:val="22"/>
                <w:color w:val="auto"/>
              </w:rPr>
            </w:pPr>
          </w:p>
        </w:tc>
        <w:tc>
          <w:tcPr>
            <w:tcW w:w="540" w:type="dxa"/>
            <w:vAlign w:val="bottom"/>
            <w:tcBorders>
              <w:bottom w:val="single" w:sz="8" w:color="auto"/>
            </w:tcBorders>
            <w:shd w:val="clear" w:color="auto" w:fill="E6E6E6"/>
          </w:tcPr>
          <w:p>
            <w:pPr>
              <w:spacing w:after="0"/>
              <w:rPr>
                <w:sz w:val="22"/>
                <w:szCs w:val="22"/>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3,826</w:t>
            </w:r>
          </w:p>
        </w:tc>
        <w:tc>
          <w:tcPr>
            <w:tcW w:w="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00"/>
              <w:spacing w:after="0" w:line="216" w:lineRule="exact"/>
              <w:rPr>
                <w:sz w:val="20"/>
                <w:szCs w:val="20"/>
                <w:color w:val="auto"/>
              </w:rPr>
            </w:pPr>
            <w:r>
              <w:rPr>
                <w:rFonts w:ascii="Times New Roman" w:cs="Times New Roman" w:eastAsia="Times New Roman" w:hAnsi="Times New Roman"/>
                <w:sz w:val="20"/>
                <w:szCs w:val="20"/>
                <w:color w:val="auto"/>
              </w:rPr>
              <w:t>Total current assets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410,182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330,971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47,808</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33,810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from operating leases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28,251</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Goodwill</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288,163</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269,747</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finite life, net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96,966</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Intangible assets – indefinite life</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9,705</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9,466</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Deferred charges and other assets</w:t>
            </w:r>
          </w:p>
        </w:tc>
        <w:tc>
          <w:tcPr>
            <w:tcW w:w="140" w:type="dxa"/>
            <w:vAlign w:val="bottom"/>
            <w:shd w:val="clear" w:color="auto" w:fill="E6E6E6"/>
          </w:tcPr>
          <w:p>
            <w:pPr>
              <w:spacing w:after="0"/>
              <w:rPr>
                <w:sz w:val="21"/>
                <w:szCs w:val="21"/>
                <w:color w:val="auto"/>
              </w:rPr>
            </w:pPr>
          </w:p>
        </w:tc>
        <w:tc>
          <w:tcPr>
            <w:tcW w:w="380" w:type="dxa"/>
            <w:vAlign w:val="bottom"/>
            <w:tcBorders>
              <w:bottom w:val="single" w:sz="8" w:color="auto"/>
            </w:tcBorders>
            <w:shd w:val="clear" w:color="auto" w:fill="E6E6E6"/>
          </w:tcPr>
          <w:p>
            <w:pPr>
              <w:spacing w:after="0"/>
              <w:rPr>
                <w:sz w:val="21"/>
                <w:szCs w:val="21"/>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12,245</w:t>
            </w:r>
          </w:p>
        </w:tc>
        <w:tc>
          <w:tcPr>
            <w:tcW w:w="260" w:type="dxa"/>
            <w:vAlign w:val="bottom"/>
            <w:shd w:val="clear" w:color="auto" w:fill="E6E6E6"/>
          </w:tcPr>
          <w:p>
            <w:pPr>
              <w:spacing w:after="0"/>
              <w:rPr>
                <w:sz w:val="21"/>
                <w:szCs w:val="21"/>
                <w:color w:val="auto"/>
              </w:rPr>
            </w:pPr>
          </w:p>
        </w:tc>
        <w:tc>
          <w:tcPr>
            <w:tcW w:w="540" w:type="dxa"/>
            <w:vAlign w:val="bottom"/>
            <w:tcBorders>
              <w:bottom w:val="single" w:sz="8" w:color="auto"/>
            </w:tcBorders>
            <w:shd w:val="clear" w:color="auto" w:fill="E6E6E6"/>
          </w:tcPr>
          <w:p>
            <w:pPr>
              <w:spacing w:after="0"/>
              <w:rPr>
                <w:sz w:val="21"/>
                <w:szCs w:val="21"/>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15,587</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40" w:type="dxa"/>
            <w:vAlign w:val="bottom"/>
            <w:tcBorders>
              <w:bottom w:val="single" w:sz="8" w:color="E6E6E6"/>
            </w:tcBorders>
          </w:tcPr>
          <w:p>
            <w:pPr>
              <w:ind w:left="580"/>
              <w:spacing w:after="0"/>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893,769</w:t>
            </w:r>
          </w:p>
        </w:tc>
        <w:tc>
          <w:tcPr>
            <w:tcW w:w="260" w:type="dxa"/>
            <w:vAlign w:val="bottom"/>
            <w:tcBorders>
              <w:bottom w:val="single" w:sz="8" w:color="E6E6E6"/>
            </w:tcBorders>
          </w:tcPr>
          <w:p>
            <w:pPr>
              <w:spacing w:after="0"/>
              <w:rPr>
                <w:sz w:val="24"/>
                <w:szCs w:val="24"/>
                <w:color w:val="auto"/>
              </w:rPr>
            </w:pPr>
          </w:p>
        </w:tc>
        <w:tc>
          <w:tcPr>
            <w:tcW w:w="5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759,699</w:t>
            </w:r>
          </w:p>
        </w:tc>
        <w:tc>
          <w:tcPr>
            <w:tcW w:w="8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1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540" w:type="dxa"/>
            <w:vAlign w:val="bottom"/>
            <w:shd w:val="clear" w:color="auto" w:fill="E6E6E6"/>
          </w:tcPr>
          <w:p>
            <w:pPr>
              <w:spacing w:after="0"/>
              <w:rPr>
                <w:sz w:val="19"/>
                <w:szCs w:val="19"/>
                <w:color w:val="auto"/>
              </w:rPr>
            </w:pPr>
          </w:p>
        </w:tc>
        <w:tc>
          <w:tcPr>
            <w:tcW w:w="118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Current portion of debt</w:t>
            </w:r>
          </w:p>
        </w:tc>
        <w:tc>
          <w:tcPr>
            <w:tcW w:w="520" w:type="dxa"/>
            <w:vAlign w:val="bottom"/>
            <w:gridSpan w:val="2"/>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117,848</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57,639</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47,528</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Billings in excess of costs and estimated earnings on uncompleted contracts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123,726</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Notes payable</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620" w:type="dxa"/>
            <w:vAlign w:val="bottom"/>
            <w:gridSpan w:val="2"/>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Income taxes payable</w:t>
            </w:r>
          </w:p>
        </w:tc>
        <w:tc>
          <w:tcPr>
            <w:tcW w:w="140" w:type="dxa"/>
            <w:vAlign w:val="bottom"/>
            <w:tcBorders>
              <w:bottom w:val="single" w:sz="8" w:color="E6E6E6"/>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4,738</w:t>
            </w:r>
          </w:p>
        </w:tc>
        <w:tc>
          <w:tcPr>
            <w:tcW w:w="260" w:type="dxa"/>
            <w:vAlign w:val="bottom"/>
            <w:tcBorders>
              <w:bottom w:val="single" w:sz="8" w:color="E6E6E6"/>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2,612</w:t>
            </w:r>
          </w:p>
        </w:tc>
        <w:tc>
          <w:tcPr>
            <w:tcW w:w="8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4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305,830</w:t>
            </w:r>
          </w:p>
        </w:tc>
        <w:tc>
          <w:tcPr>
            <w:tcW w:w="26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244,662</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3,317</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Debt, less current portion</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210,559</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217,230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liability, net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27,920</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shd w:val="clear" w:color="auto" w:fill="E6E6E6"/>
          </w:tcPr>
          <w:p>
            <w:pPr>
              <w:spacing w:after="0"/>
              <w:rPr>
                <w:sz w:val="21"/>
                <w:szCs w:val="21"/>
                <w:color w:val="auto"/>
              </w:rPr>
            </w:pPr>
          </w:p>
        </w:tc>
        <w:tc>
          <w:tcPr>
            <w:tcW w:w="380" w:type="dxa"/>
            <w:vAlign w:val="bottom"/>
            <w:tcBorders>
              <w:bottom w:val="single" w:sz="8" w:color="auto"/>
            </w:tcBorders>
            <w:shd w:val="clear" w:color="auto" w:fill="E6E6E6"/>
          </w:tcPr>
          <w:p>
            <w:pPr>
              <w:spacing w:after="0"/>
              <w:rPr>
                <w:sz w:val="21"/>
                <w:szCs w:val="21"/>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22,961</w:t>
            </w:r>
          </w:p>
        </w:tc>
        <w:tc>
          <w:tcPr>
            <w:tcW w:w="260" w:type="dxa"/>
            <w:vAlign w:val="bottom"/>
            <w:shd w:val="clear" w:color="auto" w:fill="E6E6E6"/>
          </w:tcPr>
          <w:p>
            <w:pPr>
              <w:spacing w:after="0"/>
              <w:rPr>
                <w:sz w:val="21"/>
                <w:szCs w:val="21"/>
                <w:color w:val="auto"/>
              </w:rPr>
            </w:pPr>
          </w:p>
        </w:tc>
        <w:tc>
          <w:tcPr>
            <w:tcW w:w="540" w:type="dxa"/>
            <w:vAlign w:val="bottom"/>
            <w:tcBorders>
              <w:bottom w:val="single" w:sz="8" w:color="auto"/>
            </w:tcBorders>
            <w:shd w:val="clear" w:color="auto" w:fill="E6E6E6"/>
          </w:tcPr>
          <w:p>
            <w:pPr>
              <w:spacing w:after="0"/>
              <w:rPr>
                <w:sz w:val="21"/>
                <w:szCs w:val="21"/>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20,230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40" w:type="dxa"/>
            <w:vAlign w:val="bottom"/>
            <w:tcBorders>
              <w:bottom w:val="single" w:sz="8" w:color="E6E6E6"/>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570,587</w:t>
            </w:r>
          </w:p>
        </w:tc>
        <w:tc>
          <w:tcPr>
            <w:tcW w:w="260" w:type="dxa"/>
            <w:vAlign w:val="bottom"/>
            <w:tcBorders>
              <w:bottom w:val="single" w:sz="8" w:color="E6E6E6"/>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507,806</w:t>
            </w:r>
          </w:p>
        </w:tc>
        <w:tc>
          <w:tcPr>
            <w:tcW w:w="8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Commitments and contingencies (See Note 12)</w:t>
            </w:r>
          </w:p>
        </w:tc>
        <w:tc>
          <w:tcPr>
            <w:tcW w:w="14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36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11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Preferred stock, $0.01 par value; 10,000 shares authorized, none issued</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620" w:type="dxa"/>
            <w:vAlign w:val="bottom"/>
            <w:gridSpan w:val="2"/>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740" w:type="dxa"/>
            <w:vAlign w:val="bottom"/>
          </w:tcPr>
          <w:p>
            <w:pPr>
              <w:ind w:left="200"/>
              <w:spacing w:after="0" w:line="221" w:lineRule="exact"/>
              <w:rPr>
                <w:sz w:val="20"/>
                <w:szCs w:val="20"/>
                <w:color w:val="auto"/>
              </w:rPr>
            </w:pPr>
            <w:r>
              <w:rPr>
                <w:rFonts w:ascii="Times New Roman" w:cs="Times New Roman" w:eastAsia="Times New Roman" w:hAnsi="Times New Roman"/>
                <w:sz w:val="20"/>
                <w:szCs w:val="20"/>
                <w:color w:val="auto"/>
              </w:rPr>
              <w:t>Common stock, $0.01 par value; 100,000,000 shares authorized, 35,644,537 and</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40" w:type="dxa"/>
            <w:vAlign w:val="bottom"/>
          </w:tcPr>
          <w:p>
            <w:pPr>
              <w:ind w:left="340"/>
              <w:spacing w:after="0" w:line="228" w:lineRule="exact"/>
              <w:rPr>
                <w:sz w:val="20"/>
                <w:szCs w:val="20"/>
                <w:color w:val="auto"/>
              </w:rPr>
            </w:pPr>
            <w:r>
              <w:rPr>
                <w:rFonts w:ascii="Times New Roman" w:cs="Times New Roman" w:eastAsia="Times New Roman" w:hAnsi="Times New Roman"/>
                <w:sz w:val="20"/>
                <w:szCs w:val="20"/>
                <w:color w:val="auto"/>
              </w:rPr>
              <w:t>34,978,009 shares issued and outstanding at December 31, 2025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7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and 2024, respectively</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Capital in excess of par value</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269,453</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255,211</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Retained earnings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56,621</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62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(8,901)</w:t>
            </w:r>
          </w:p>
        </w:tc>
        <w:tc>
          <w:tcPr>
            <w:tcW w:w="54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(14,441)</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20"/>
                <w:szCs w:val="20"/>
                <w:color w:val="auto"/>
              </w:rPr>
              <w:t>Total CECO shareholders’ equity</w:t>
            </w:r>
          </w:p>
        </w:tc>
        <w:tc>
          <w:tcPr>
            <w:tcW w:w="140" w:type="dxa"/>
            <w:vAlign w:val="bottom"/>
            <w:tcBorders>
              <w:bottom w:val="single" w:sz="8" w:color="E6E6E6"/>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317,528</w:t>
            </w:r>
          </w:p>
        </w:tc>
        <w:tc>
          <w:tcPr>
            <w:tcW w:w="260" w:type="dxa"/>
            <w:vAlign w:val="bottom"/>
            <w:tcBorders>
              <w:bottom w:val="single" w:sz="8" w:color="E6E6E6"/>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247,689</w:t>
            </w:r>
          </w:p>
        </w:tc>
        <w:tc>
          <w:tcPr>
            <w:tcW w:w="8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E6E6E6"/>
          </w:tcPr>
          <w:p>
            <w:pPr>
              <w:ind w:left="580"/>
              <w:spacing w:after="0"/>
              <w:rPr>
                <w:sz w:val="20"/>
                <w:szCs w:val="20"/>
                <w:color w:val="auto"/>
              </w:rPr>
            </w:pPr>
            <w:r>
              <w:rPr>
                <w:rFonts w:ascii="Times New Roman" w:cs="Times New Roman" w:eastAsia="Times New Roman" w:hAnsi="Times New Roman"/>
                <w:sz w:val="20"/>
                <w:szCs w:val="20"/>
                <w:color w:val="auto"/>
              </w:rPr>
              <w:t>Noncontrolling interest</w:t>
            </w:r>
          </w:p>
        </w:tc>
        <w:tc>
          <w:tcPr>
            <w:tcW w:w="14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5,654</w:t>
            </w:r>
          </w:p>
        </w:tc>
        <w:tc>
          <w:tcPr>
            <w:tcW w:w="260" w:type="dxa"/>
            <w:vAlign w:val="bottom"/>
            <w:shd w:val="clear" w:color="auto" w:fill="E6E6E6"/>
          </w:tcPr>
          <w:p>
            <w:pPr>
              <w:spacing w:after="0"/>
              <w:rPr>
                <w:sz w:val="20"/>
                <w:szCs w:val="20"/>
                <w:color w:val="auto"/>
              </w:rPr>
            </w:pPr>
          </w:p>
        </w:tc>
        <w:tc>
          <w:tcPr>
            <w:tcW w:w="540" w:type="dxa"/>
            <w:vAlign w:val="bottom"/>
            <w:shd w:val="clear" w:color="auto" w:fill="E6E6E6"/>
          </w:tcPr>
          <w:p>
            <w:pPr>
              <w:spacing w:after="0"/>
              <w:rPr>
                <w:sz w:val="20"/>
                <w:szCs w:val="20"/>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4,204</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140" w:type="dxa"/>
            <w:vAlign w:val="bottom"/>
            <w:tcBorders>
              <w:bottom w:val="single" w:sz="8" w:color="E6E6E6"/>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323,182</w:t>
            </w:r>
          </w:p>
        </w:tc>
        <w:tc>
          <w:tcPr>
            <w:tcW w:w="260" w:type="dxa"/>
            <w:vAlign w:val="bottom"/>
            <w:tcBorders>
              <w:bottom w:val="single" w:sz="8" w:color="E6E6E6"/>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251,893</w:t>
            </w:r>
          </w:p>
        </w:tc>
        <w:tc>
          <w:tcPr>
            <w:tcW w:w="8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E6E6E6"/>
          </w:tcPr>
          <w:p>
            <w:pPr>
              <w:ind w:left="580"/>
              <w:spacing w:after="0"/>
              <w:rPr>
                <w:sz w:val="20"/>
                <w:szCs w:val="20"/>
                <w:color w:val="auto"/>
              </w:rPr>
            </w:pPr>
            <w:r>
              <w:rPr>
                <w:rFonts w:ascii="Times New Roman" w:cs="Times New Roman" w:eastAsia="Times New Roman" w:hAnsi="Times New Roman"/>
                <w:sz w:val="20"/>
                <w:szCs w:val="20"/>
                <w:color w:val="auto"/>
              </w:rPr>
              <w:t>Total liabilities and shareholders’ equity</w:t>
            </w:r>
          </w:p>
        </w:tc>
        <w:tc>
          <w:tcPr>
            <w:tcW w:w="140" w:type="dxa"/>
            <w:vAlign w:val="bottom"/>
            <w:shd w:val="clear" w:color="auto" w:fill="E6E6E6"/>
          </w:tcPr>
          <w:p>
            <w:pPr>
              <w:spacing w:after="0"/>
              <w:rPr>
                <w:sz w:val="20"/>
                <w:szCs w:val="20"/>
                <w:color w:val="auto"/>
              </w:rPr>
            </w:pPr>
          </w:p>
        </w:tc>
        <w:tc>
          <w:tcPr>
            <w:tcW w:w="380" w:type="dxa"/>
            <w:vAlign w:val="bottom"/>
            <w:tcBorders>
              <w:bottom w:val="single" w:sz="8" w:color="auto"/>
            </w:tcBorders>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893,769</w:t>
            </w:r>
          </w:p>
        </w:tc>
        <w:tc>
          <w:tcPr>
            <w:tcW w:w="260" w:type="dxa"/>
            <w:vAlign w:val="bottom"/>
            <w:shd w:val="clear" w:color="auto" w:fill="E6E6E6"/>
          </w:tcPr>
          <w:p>
            <w:pPr>
              <w:spacing w:after="0"/>
              <w:rPr>
                <w:sz w:val="20"/>
                <w:szCs w:val="20"/>
                <w:color w:val="auto"/>
              </w:rPr>
            </w:pPr>
          </w:p>
        </w:tc>
        <w:tc>
          <w:tcPr>
            <w:tcW w:w="540" w:type="dxa"/>
            <w:vAlign w:val="bottom"/>
            <w:tcBorders>
              <w:bottom w:val="single" w:sz="8" w:color="auto"/>
            </w:tcBorders>
            <w:shd w:val="clear" w:color="auto" w:fill="E6E6E6"/>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759,699</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1880" w:h="15480" w:orient="portrait"/>
          <w:cols w:equalWidth="0" w:num="1">
            <w:col w:w="10680"/>
          </w:cols>
          <w:pgMar w:left="600" w:top="81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680"/>
          </w:cols>
          <w:pgMar w:left="600" w:top="813" w:right="600" w:bottom="66"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0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6"/>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Borders>
              <w:bottom w:val="single" w:sz="8" w:color="E6E6E6"/>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sales</w:t>
            </w: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774,381</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557,933</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544,845</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505,155</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361,786</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373,829</w:t>
            </w:r>
          </w:p>
        </w:tc>
        <w:tc>
          <w:tcPr>
            <w:tcW w:w="8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269,226</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196,147</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171,016</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Selling and administrative expenses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200,728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146,698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Amortization expenses</w:t>
            </w:r>
          </w:p>
        </w:tc>
        <w:tc>
          <w:tcPr>
            <w:tcW w:w="30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16,166</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8,723</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7,446</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Acquisition and integration expenses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Gain on sale of Global Pump Solutions business</w:t>
            </w:r>
          </w:p>
        </w:tc>
        <w:tc>
          <w:tcPr>
            <w:tcW w:w="300" w:type="dxa"/>
            <w:vAlign w:val="bottom"/>
            <w:shd w:val="clear" w:color="auto" w:fill="E6E6E6"/>
          </w:tcPr>
          <w:p>
            <w:pPr>
              <w:spacing w:after="0"/>
              <w:rPr>
                <w:sz w:val="21"/>
                <w:szCs w:val="21"/>
                <w:color w:val="auto"/>
              </w:rPr>
            </w:pPr>
          </w:p>
        </w:tc>
        <w:tc>
          <w:tcPr>
            <w:tcW w:w="136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(63,701)</w:t>
            </w:r>
          </w:p>
        </w:tc>
        <w:tc>
          <w:tcPr>
            <w:tcW w:w="32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58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Other operating expense</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3,549</w:t>
            </w:r>
          </w:p>
        </w:tc>
        <w:tc>
          <w:tcPr>
            <w:tcW w:w="8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Income from operations</w:t>
            </w:r>
          </w:p>
        </w:tc>
        <w:tc>
          <w:tcPr>
            <w:tcW w:w="30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105,859</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35,403</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34,569</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00" w:type="dxa"/>
            <w:vAlign w:val="bottom"/>
            <w:tcBorders>
              <w:bottom w:val="single" w:sz="8" w:color="auto"/>
            </w:tcBorders>
            <w:shd w:val="clear" w:color="auto" w:fill="E6E6E6"/>
          </w:tcPr>
          <w:p>
            <w:pPr>
              <w:spacing w:after="0"/>
              <w:rPr>
                <w:sz w:val="22"/>
                <w:szCs w:val="22"/>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20,913</w:t>
            </w:r>
          </w:p>
        </w:tc>
        <w:tc>
          <w:tcPr>
            <w:tcW w:w="24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spacing w:after="0"/>
              <w:rPr>
                <w:sz w:val="22"/>
                <w:szCs w:val="22"/>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13,020</w:t>
            </w:r>
          </w:p>
        </w:tc>
        <w:tc>
          <w:tcPr>
            <w:tcW w:w="24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spacing w:after="0"/>
              <w:rPr>
                <w:sz w:val="22"/>
                <w:szCs w:val="22"/>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13,416</w:t>
            </w:r>
          </w:p>
        </w:tc>
        <w:tc>
          <w:tcPr>
            <w:tcW w:w="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rPr>
              <w:t>Income before income taxes</w:t>
            </w:r>
          </w:p>
        </w:tc>
        <w:tc>
          <w:tcPr>
            <w:tcW w:w="30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82,845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17,691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8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00" w:type="dxa"/>
            <w:vAlign w:val="bottom"/>
            <w:tcBorders>
              <w:bottom w:val="single" w:sz="8" w:color="auto"/>
            </w:tcBorders>
            <w:shd w:val="clear" w:color="auto" w:fill="E6E6E6"/>
          </w:tcPr>
          <w:p>
            <w:pPr>
              <w:spacing w:after="0"/>
              <w:rPr>
                <w:sz w:val="22"/>
                <w:szCs w:val="22"/>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29,738</w:t>
            </w:r>
          </w:p>
        </w:tc>
        <w:tc>
          <w:tcPr>
            <w:tcW w:w="24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spacing w:after="0"/>
              <w:rPr>
                <w:sz w:val="22"/>
                <w:szCs w:val="22"/>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3,270</w:t>
            </w:r>
          </w:p>
        </w:tc>
        <w:tc>
          <w:tcPr>
            <w:tcW w:w="24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spacing w:after="0"/>
              <w:rPr>
                <w:sz w:val="22"/>
                <w:szCs w:val="22"/>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7,024</w:t>
            </w:r>
          </w:p>
        </w:tc>
        <w:tc>
          <w:tcPr>
            <w:tcW w:w="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53,107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14,421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30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3,056</w:t>
            </w:r>
          </w:p>
        </w:tc>
        <w:tc>
          <w:tcPr>
            <w:tcW w:w="240" w:type="dxa"/>
            <w:vAlign w:val="bottom"/>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1,464</w:t>
            </w:r>
          </w:p>
        </w:tc>
        <w:tc>
          <w:tcPr>
            <w:tcW w:w="240" w:type="dxa"/>
            <w:vAlign w:val="bottom"/>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1,590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Net income attributable to CECO Environmental Corp.</w:t>
            </w: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50,051</w:t>
            </w:r>
          </w:p>
        </w:tc>
        <w:tc>
          <w:tcPr>
            <w:tcW w:w="2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12,957</w:t>
            </w:r>
          </w:p>
        </w:tc>
        <w:tc>
          <w:tcPr>
            <w:tcW w:w="2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12,911</w:t>
            </w:r>
          </w:p>
        </w:tc>
        <w:tc>
          <w:tcPr>
            <w:tcW w:w="8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Income per share:</w:t>
            </w:r>
          </w:p>
        </w:tc>
        <w:tc>
          <w:tcPr>
            <w:tcW w:w="30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24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24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0.36</w:t>
            </w:r>
          </w:p>
        </w:tc>
        <w:tc>
          <w:tcPr>
            <w:tcW w:w="560" w:type="dxa"/>
            <w:vAlign w:val="bottom"/>
            <w:gridSpan w:val="2"/>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common shares outstanding:</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30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35,331,105</w:t>
            </w:r>
          </w:p>
        </w:tc>
        <w:tc>
          <w:tcPr>
            <w:tcW w:w="240" w:type="dxa"/>
            <w:vAlign w:val="bottom"/>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34,927,313</w:t>
            </w:r>
          </w:p>
        </w:tc>
        <w:tc>
          <w:tcPr>
            <w:tcW w:w="240" w:type="dxa"/>
            <w:vAlign w:val="bottom"/>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34,665,473</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0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36,603,956</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36,381,910</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35,334,090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1880" w:h="15480" w:orient="portrait"/>
          <w:cols w:equalWidth="0" w:num="1">
            <w:col w:w="10680"/>
          </w:cols>
          <w:pgMar w:left="600" w:top="81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680"/>
          </w:cols>
          <w:pgMar w:left="600" w:top="813" w:right="600" w:bottom="66"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7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Borders>
              <w:bottom w:val="single" w:sz="8" w:color="E6E6E6"/>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6E6E6"/>
            </w:tcBorders>
          </w:tcPr>
          <w:p>
            <w:pPr>
              <w:spacing w:after="0"/>
              <w:rPr>
                <w:sz w:val="20"/>
                <w:szCs w:val="20"/>
                <w:color w:val="auto"/>
              </w:rPr>
            </w:pPr>
          </w:p>
        </w:tc>
      </w:tr>
      <w:tr>
        <w:trPr>
          <w:trHeight w:val="256"/>
        </w:trPr>
        <w:tc>
          <w:tcPr>
            <w:tcW w:w="578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53,107</w:t>
            </w:r>
          </w:p>
        </w:tc>
        <w:tc>
          <w:tcPr>
            <w:tcW w:w="24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14,421</w:t>
            </w:r>
          </w:p>
        </w:tc>
        <w:tc>
          <w:tcPr>
            <w:tcW w:w="16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14,501</w:t>
            </w:r>
          </w:p>
        </w:tc>
        <w:tc>
          <w:tcPr>
            <w:tcW w:w="60" w:type="dxa"/>
            <w:vAlign w:val="bottom"/>
            <w:tcBorders>
              <w:bottom w:val="single" w:sz="8" w:color="E6E6E6"/>
            </w:tcBorders>
            <w:shd w:val="clear" w:color="auto" w:fill="E6E6E6"/>
          </w:tcPr>
          <w:p>
            <w:pPr>
              <w:spacing w:after="0"/>
              <w:rPr>
                <w:sz w:val="22"/>
                <w:szCs w:val="22"/>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Other comprehensive income, net of tax:</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2"/>
        </w:trPr>
        <w:tc>
          <w:tcPr>
            <w:tcW w:w="57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gain (loss)</w:t>
            </w:r>
          </w:p>
        </w:tc>
        <w:tc>
          <w:tcPr>
            <w:tcW w:w="32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3,436</w:t>
            </w: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(860)</w:t>
            </w:r>
          </w:p>
        </w:tc>
        <w:tc>
          <w:tcPr>
            <w:tcW w:w="8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shd w:val="clear" w:color="auto" w:fill="E6E6E6"/>
          </w:tcPr>
          <w:p>
            <w:pPr>
              <w:spacing w:after="0"/>
              <w:rPr>
                <w:sz w:val="21"/>
                <w:szCs w:val="21"/>
                <w:color w:val="auto"/>
              </w:rPr>
            </w:pPr>
          </w:p>
        </w:tc>
      </w:tr>
      <w:tr>
        <w:trPr>
          <w:trHeight w:val="242"/>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Minimum pension liability adjustment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60" w:type="dxa"/>
            <w:vAlign w:val="bottom"/>
          </w:tcPr>
          <w:p>
            <w:pPr>
              <w:spacing w:after="0"/>
              <w:rPr>
                <w:sz w:val="21"/>
                <w:szCs w:val="21"/>
                <w:color w:val="auto"/>
              </w:rPr>
            </w:pPr>
          </w:p>
        </w:tc>
      </w:tr>
      <w:tr>
        <w:trPr>
          <w:trHeight w:val="220"/>
        </w:trPr>
        <w:tc>
          <w:tcPr>
            <w:tcW w:w="5780" w:type="dxa"/>
            <w:vAlign w:val="bottom"/>
            <w:shd w:val="clear" w:color="auto" w:fill="E6E6E6"/>
          </w:tcPr>
          <w:p>
            <w:pPr>
              <w:ind w:left="200"/>
              <w:spacing w:after="0" w:line="221" w:lineRule="exact"/>
              <w:rPr>
                <w:sz w:val="20"/>
                <w:szCs w:val="20"/>
                <w:color w:val="auto"/>
              </w:rPr>
            </w:pPr>
            <w:r>
              <w:rPr>
                <w:rFonts w:ascii="Times New Roman" w:cs="Times New Roman" w:eastAsia="Times New Roman" w:hAnsi="Times New Roman"/>
                <w:sz w:val="20"/>
                <w:szCs w:val="20"/>
                <w:color w:val="auto"/>
              </w:rPr>
              <w:t>Loss realized with transfer of pension plan with sale of Global</w:t>
            </w:r>
          </w:p>
        </w:tc>
        <w:tc>
          <w:tcPr>
            <w:tcW w:w="32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r>
      <w:tr>
        <w:trPr>
          <w:trHeight w:val="269"/>
        </w:trPr>
        <w:tc>
          <w:tcPr>
            <w:tcW w:w="57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Pump Solutions business</w:t>
            </w:r>
          </w:p>
        </w:tc>
        <w:tc>
          <w:tcPr>
            <w:tcW w:w="32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24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2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3"/>
                <w:szCs w:val="23"/>
                <w:color w:val="auto"/>
              </w:rPr>
            </w:pPr>
          </w:p>
        </w:tc>
      </w:tr>
      <w:tr>
        <w:trPr>
          <w:trHeight w:val="216"/>
        </w:trPr>
        <w:tc>
          <w:tcPr>
            <w:tcW w:w="5780" w:type="dxa"/>
            <w:vAlign w:val="bottom"/>
            <w:tcBorders>
              <w:top w:val="single" w:sz="8" w:color="E6E6E6"/>
            </w:tcBorders>
          </w:tcPr>
          <w:p>
            <w:pPr>
              <w:spacing w:after="0" w:line="216" w:lineRule="exact"/>
              <w:rPr>
                <w:sz w:val="20"/>
                <w:szCs w:val="20"/>
                <w:color w:val="auto"/>
              </w:rPr>
            </w:pPr>
            <w:r>
              <w:rPr>
                <w:rFonts w:ascii="Times New Roman" w:cs="Times New Roman" w:eastAsia="Times New Roman" w:hAnsi="Times New Roman"/>
                <w:sz w:val="20"/>
                <w:szCs w:val="20"/>
                <w:color w:val="auto"/>
              </w:rPr>
              <w:t>Comprehensive income</w:t>
            </w:r>
          </w:p>
        </w:tc>
        <w:tc>
          <w:tcPr>
            <w:tcW w:w="320" w:type="dxa"/>
            <w:vAlign w:val="bottom"/>
            <w:tcBorders>
              <w:top w:val="single" w:sz="8" w:color="auto"/>
              <w:bottom w:val="single" w:sz="8" w:color="auto"/>
            </w:tcBorders>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58,647</w:t>
            </w:r>
          </w:p>
        </w:tc>
        <w:tc>
          <w:tcPr>
            <w:tcW w:w="240" w:type="dxa"/>
            <w:vAlign w:val="bottom"/>
            <w:tcBorders>
              <w:top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16,254</w:t>
            </w:r>
          </w:p>
        </w:tc>
        <w:tc>
          <w:tcPr>
            <w:tcW w:w="160" w:type="dxa"/>
            <w:vAlign w:val="bottom"/>
            <w:tcBorders>
              <w:top w:val="single" w:sz="8" w:color="E6E6E6"/>
            </w:tcBorders>
          </w:tcPr>
          <w:p>
            <w:pPr>
              <w:spacing w:after="0"/>
              <w:rPr>
                <w:sz w:val="18"/>
                <w:szCs w:val="18"/>
                <w:color w:val="auto"/>
              </w:rPr>
            </w:pPr>
          </w:p>
        </w:tc>
        <w:tc>
          <w:tcPr>
            <w:tcW w:w="80" w:type="dxa"/>
            <w:vAlign w:val="bottom"/>
            <w:tcBorders>
              <w:top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16,223</w:t>
            </w:r>
          </w:p>
        </w:tc>
        <w:tc>
          <w:tcPr>
            <w:tcW w:w="60" w:type="dxa"/>
            <w:vAlign w:val="bottom"/>
            <w:tcBorders>
              <w:top w:val="single" w:sz="8" w:color="E6E6E6"/>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1880" w:h="15480" w:orient="portrait"/>
          <w:cols w:equalWidth="0" w:num="1">
            <w:col w:w="10680"/>
          </w:cols>
          <w:pgMar w:left="600" w:top="81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680"/>
          </w:cols>
          <w:pgMar w:left="600" w:top="813" w:right="600" w:bottom="66"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Accumu</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Capital i</w:t>
            </w:r>
          </w:p>
        </w:tc>
        <w:tc>
          <w:tcPr>
            <w:tcW w:w="100" w:type="dxa"/>
            <w:vAlign w:val="bottom"/>
          </w:tcPr>
          <w:p>
            <w:pPr>
              <w:spacing w:after="0"/>
              <w:rPr>
                <w:sz w:val="23"/>
                <w:szCs w:val="23"/>
                <w:color w:val="auto"/>
              </w:rPr>
            </w:pPr>
          </w:p>
        </w:tc>
        <w:tc>
          <w:tcPr>
            <w:tcW w:w="1020" w:type="dxa"/>
            <w:vAlign w:val="bottom"/>
            <w:gridSpan w:val="5"/>
            <w:vMerge w:val="restart"/>
          </w:tcPr>
          <w:p>
            <w:pPr>
              <w:jc w:val="center"/>
              <w:ind w:right="38"/>
              <w:spacing w:after="0"/>
              <w:rPr>
                <w:sz w:val="20"/>
                <w:szCs w:val="20"/>
                <w:color w:val="auto"/>
              </w:rPr>
            </w:pPr>
            <w:r>
              <w:rPr>
                <w:rFonts w:ascii="Times New Roman" w:cs="Times New Roman" w:eastAsia="Times New Roman" w:hAnsi="Times New Roman"/>
                <w:sz w:val="20"/>
                <w:szCs w:val="20"/>
                <w:b w:val="1"/>
                <w:bCs w:val="1"/>
                <w:color w:val="auto"/>
                <w:w w:val="98"/>
              </w:rPr>
              <w:t>(Accumul</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lated</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3"/>
          </w:tcPr>
          <w:p>
            <w:pPr>
              <w:jc w:val="center"/>
              <w:ind w:right="178"/>
              <w:spacing w:after="0"/>
              <w:rPr>
                <w:sz w:val="20"/>
                <w:szCs w:val="20"/>
                <w:color w:val="auto"/>
              </w:rPr>
            </w:pPr>
            <w:r>
              <w:rPr>
                <w:rFonts w:ascii="Times New Roman" w:cs="Times New Roman" w:eastAsia="Times New Roman" w:hAnsi="Times New Roman"/>
                <w:sz w:val="20"/>
                <w:szCs w:val="20"/>
                <w:b w:val="1"/>
                <w:bCs w:val="1"/>
                <w:color w:val="auto"/>
                <w:w w:val="98"/>
              </w:rPr>
              <w:t>ated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Compre</w:t>
            </w:r>
          </w:p>
        </w:tc>
        <w:tc>
          <w:tcPr>
            <w:tcW w:w="100" w:type="dxa"/>
            <w:vAlign w:val="bottom"/>
          </w:tcPr>
          <w:p>
            <w:pPr>
              <w:spacing w:after="0"/>
              <w:rPr>
                <w:sz w:val="19"/>
                <w:szCs w:val="19"/>
                <w:color w:val="auto"/>
              </w:rPr>
            </w:pPr>
          </w:p>
        </w:tc>
        <w:tc>
          <w:tcPr>
            <w:tcW w:w="860" w:type="dxa"/>
            <w:vAlign w:val="bottom"/>
            <w:gridSpan w:val="4"/>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Noncont</w:t>
            </w:r>
          </w:p>
        </w:tc>
        <w:tc>
          <w:tcPr>
            <w:tcW w:w="100" w:type="dxa"/>
            <w:vAlign w:val="bottom"/>
          </w:tcPr>
          <w:p>
            <w:pPr>
              <w:spacing w:after="0"/>
              <w:rPr>
                <w:sz w:val="19"/>
                <w:szCs w:val="19"/>
                <w:color w:val="auto"/>
              </w:rPr>
            </w:pPr>
          </w:p>
        </w:tc>
        <w:tc>
          <w:tcPr>
            <w:tcW w:w="820" w:type="dxa"/>
            <w:vAlign w:val="bottom"/>
            <w:gridSpan w:val="6"/>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Shareho</w:t>
            </w: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1840" w:type="dxa"/>
            <w:vAlign w:val="bottom"/>
            <w:gridSpan w:val="8"/>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120" w:type="dxa"/>
            <w:vAlign w:val="bottom"/>
          </w:tcPr>
          <w:p>
            <w:pPr>
              <w:spacing w:after="0"/>
              <w:rPr>
                <w:sz w:val="21"/>
                <w:szCs w:val="21"/>
                <w:color w:val="auto"/>
              </w:rPr>
            </w:pPr>
          </w:p>
        </w:tc>
        <w:tc>
          <w:tcPr>
            <w:tcW w:w="840" w:type="dxa"/>
            <w:vAlign w:val="bottom"/>
            <w:gridSpan w:val="5"/>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excess of</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3"/>
          </w:tcPr>
          <w:p>
            <w:pPr>
              <w:jc w:val="center"/>
              <w:ind w:right="178"/>
              <w:spacing w:after="0"/>
              <w:rPr>
                <w:sz w:val="20"/>
                <w:szCs w:val="20"/>
                <w:color w:val="auto"/>
              </w:rPr>
            </w:pPr>
            <w:r>
              <w:rPr>
                <w:rFonts w:ascii="Times New Roman" w:cs="Times New Roman" w:eastAsia="Times New Roman" w:hAnsi="Times New Roman"/>
                <w:sz w:val="20"/>
                <w:szCs w:val="20"/>
                <w:b w:val="1"/>
                <w:bCs w:val="1"/>
                <w:color w:val="auto"/>
                <w:w w:val="96"/>
              </w:rPr>
              <w:t>Loss)</w:t>
            </w:r>
          </w:p>
        </w:tc>
        <w:tc>
          <w:tcPr>
            <w:tcW w:w="100" w:type="dxa"/>
            <w:vAlign w:val="bottom"/>
          </w:tcPr>
          <w:p>
            <w:pPr>
              <w:spacing w:after="0"/>
              <w:rPr>
                <w:sz w:val="21"/>
                <w:szCs w:val="21"/>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hensive</w:t>
            </w:r>
          </w:p>
        </w:tc>
        <w:tc>
          <w:tcPr>
            <w:tcW w:w="1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rolling</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lders'</w:t>
            </w: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5"/>
          </w:tcPr>
          <w:p>
            <w:pPr>
              <w:jc w:val="center"/>
              <w:ind w:right="120"/>
              <w:spacing w:after="0" w:line="212" w:lineRule="exact"/>
              <w:rPr>
                <w:sz w:val="20"/>
                <w:szCs w:val="20"/>
                <w:color w:val="auto"/>
              </w:rPr>
            </w:pPr>
            <w:r>
              <w:rPr>
                <w:rFonts w:ascii="Times New Roman" w:cs="Times New Roman" w:eastAsia="Times New Roman" w:hAnsi="Times New Roman"/>
                <w:sz w:val="20"/>
                <w:szCs w:val="20"/>
                <w:b w:val="1"/>
                <w:bCs w:val="1"/>
                <w:color w:val="auto"/>
              </w:rPr>
              <w:t>par valu</w:t>
            </w:r>
          </w:p>
        </w:tc>
        <w:tc>
          <w:tcPr>
            <w:tcW w:w="100" w:type="dxa"/>
            <w:vAlign w:val="bottom"/>
          </w:tcPr>
          <w:p>
            <w:pPr>
              <w:spacing w:after="0"/>
              <w:rPr>
                <w:sz w:val="18"/>
                <w:szCs w:val="18"/>
                <w:color w:val="auto"/>
              </w:rPr>
            </w:pPr>
          </w:p>
        </w:tc>
        <w:tc>
          <w:tcPr>
            <w:tcW w:w="1020" w:type="dxa"/>
            <w:vAlign w:val="bottom"/>
            <w:gridSpan w:val="5"/>
          </w:tcPr>
          <w:p>
            <w:pPr>
              <w:jc w:val="center"/>
              <w:ind w:right="18"/>
              <w:spacing w:after="0" w:line="212" w:lineRule="exact"/>
              <w:rPr>
                <w:sz w:val="20"/>
                <w:szCs w:val="20"/>
                <w:color w:val="auto"/>
              </w:rPr>
            </w:pPr>
            <w:r>
              <w:rPr>
                <w:rFonts w:ascii="Times New Roman" w:cs="Times New Roman" w:eastAsia="Times New Roman" w:hAnsi="Times New Roman"/>
                <w:sz w:val="20"/>
                <w:szCs w:val="20"/>
                <w:b w:val="1"/>
                <w:bCs w:val="1"/>
                <w:color w:val="auto"/>
                <w:w w:val="99"/>
              </w:rPr>
              <w:t>Retained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Pr>
          <w:p>
            <w:pPr>
              <w:spacing w:after="0"/>
              <w:rPr>
                <w:sz w:val="21"/>
                <w:szCs w:val="21"/>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89"/>
              </w:rPr>
              <w:t>e</w:t>
            </w:r>
          </w:p>
        </w:tc>
        <w:tc>
          <w:tcPr>
            <w:tcW w:w="100" w:type="dxa"/>
            <w:vAlign w:val="bottom"/>
          </w:tcPr>
          <w:p>
            <w:pPr>
              <w:spacing w:after="0"/>
              <w:rPr>
                <w:sz w:val="21"/>
                <w:szCs w:val="21"/>
                <w:color w:val="auto"/>
              </w:rPr>
            </w:pPr>
          </w:p>
        </w:tc>
        <w:tc>
          <w:tcPr>
            <w:tcW w:w="1020" w:type="dxa"/>
            <w:vAlign w:val="bottom"/>
            <w:gridSpan w:val="5"/>
          </w:tcPr>
          <w:p>
            <w:pPr>
              <w:jc w:val="center"/>
              <w:ind w:right="18"/>
              <w:spacing w:after="0"/>
              <w:rPr>
                <w:sz w:val="20"/>
                <w:szCs w:val="20"/>
                <w:color w:val="auto"/>
              </w:rPr>
            </w:pPr>
            <w:r>
              <w:rPr>
                <w:rFonts w:ascii="Times New Roman" w:cs="Times New Roman" w:eastAsia="Times New Roman" w:hAnsi="Times New Roman"/>
                <w:sz w:val="20"/>
                <w:szCs w:val="20"/>
                <w:b w:val="1"/>
                <w:bCs w:val="1"/>
                <w:color w:val="auto"/>
                <w:w w:val="97"/>
              </w:rPr>
              <w:t>Earnings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Loss</w:t>
            </w:r>
          </w:p>
        </w:tc>
        <w:tc>
          <w:tcPr>
            <w:tcW w:w="100" w:type="dxa"/>
            <w:vAlign w:val="bottom"/>
          </w:tcPr>
          <w:p>
            <w:pPr>
              <w:spacing w:after="0"/>
              <w:rPr>
                <w:sz w:val="21"/>
                <w:szCs w:val="21"/>
                <w:color w:val="auto"/>
              </w:rPr>
            </w:pP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100" w:type="dxa"/>
            <w:vAlign w:val="bottom"/>
          </w:tcPr>
          <w:p>
            <w:pPr>
              <w:spacing w:after="0"/>
              <w:rPr>
                <w:sz w:val="21"/>
                <w:szCs w:val="21"/>
                <w:color w:val="auto"/>
              </w:rPr>
            </w:pPr>
          </w:p>
        </w:tc>
        <w:tc>
          <w:tcPr>
            <w:tcW w:w="820" w:type="dxa"/>
            <w:vAlign w:val="bottom"/>
            <w:gridSpan w:val="6"/>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6"/>
              </w:rPr>
              <w:t>Equity</w:t>
            </w:r>
          </w:p>
        </w:tc>
        <w:tc>
          <w:tcPr>
            <w:tcW w:w="0" w:type="dxa"/>
            <w:vAlign w:val="bottom"/>
          </w:tcPr>
          <w:p>
            <w:pPr>
              <w:spacing w:after="0"/>
              <w:rPr>
                <w:sz w:val="1"/>
                <w:szCs w:val="1"/>
                <w:color w:val="auto"/>
              </w:rPr>
            </w:pPr>
          </w:p>
        </w:tc>
      </w:tr>
      <w:tr>
        <w:trPr>
          <w:trHeight w:val="215"/>
        </w:trPr>
        <w:tc>
          <w:tcPr>
            <w:tcW w:w="39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January 1, 2023</w:t>
            </w:r>
          </w:p>
        </w:tc>
        <w:tc>
          <w:tcPr>
            <w:tcW w:w="220" w:type="dxa"/>
            <w:vAlign w:val="bottom"/>
            <w:tcBorders>
              <w:top w:val="single" w:sz="8" w:color="auto"/>
            </w:tcBorders>
            <w:shd w:val="clear" w:color="auto" w:fill="E6E6E6"/>
          </w:tcPr>
          <w:p>
            <w:pPr>
              <w:spacing w:after="0"/>
              <w:rPr>
                <w:sz w:val="18"/>
                <w:szCs w:val="18"/>
                <w:color w:val="auto"/>
              </w:rPr>
            </w:pPr>
          </w:p>
        </w:tc>
        <w:tc>
          <w:tcPr>
            <w:tcW w:w="560" w:type="dxa"/>
            <w:vAlign w:val="bottom"/>
            <w:tcBorders>
              <w:top w:val="single" w:sz="8" w:color="auto"/>
              <w:right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340" w:type="dxa"/>
            <w:vAlign w:val="bottom"/>
            <w:tcBorders>
              <w:top w:val="single" w:sz="8" w:color="auto"/>
            </w:tcBorders>
            <w:shd w:val="clear" w:color="auto" w:fill="E6E6E6"/>
          </w:tcPr>
          <w:p>
            <w:pPr>
              <w:spacing w:after="0"/>
              <w:rPr>
                <w:sz w:val="18"/>
                <w:szCs w:val="18"/>
                <w:color w:val="auto"/>
              </w:rPr>
            </w:pPr>
          </w:p>
        </w:tc>
        <w:tc>
          <w:tcPr>
            <w:tcW w:w="320" w:type="dxa"/>
            <w:vAlign w:val="bottom"/>
            <w:tcBorders>
              <w:top w:val="single" w:sz="8" w:color="auto"/>
              <w:right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660" w:type="dxa"/>
            <w:vAlign w:val="bottom"/>
            <w:tcBorders>
              <w:top w:val="single" w:sz="8" w:color="auto"/>
              <w:right w:val="single" w:sz="8" w:color="E6E6E6"/>
            </w:tcBorders>
            <w:gridSpan w:val="3"/>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250,17</w:t>
            </w: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spacing w:after="0"/>
              <w:rPr>
                <w:sz w:val="18"/>
                <w:szCs w:val="18"/>
                <w:color w:val="auto"/>
              </w:rPr>
            </w:pPr>
          </w:p>
        </w:tc>
        <w:tc>
          <w:tcPr>
            <w:tcW w:w="560" w:type="dxa"/>
            <w:vAlign w:val="bottom"/>
            <w:tcBorders>
              <w:top w:val="single" w:sz="8" w:color="auto"/>
              <w:right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(17,99</w:t>
            </w: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80" w:type="dxa"/>
            <w:vAlign w:val="bottom"/>
            <w:tcBorders>
              <w:top w:val="single" w:sz="8" w:color="auto"/>
            </w:tcBorders>
            <w:shd w:val="clear" w:color="auto" w:fill="E6E6E6"/>
          </w:tcPr>
          <w:p>
            <w:pPr>
              <w:spacing w:after="0"/>
              <w:rPr>
                <w:sz w:val="18"/>
                <w:szCs w:val="18"/>
                <w:color w:val="auto"/>
              </w:rPr>
            </w:pPr>
          </w:p>
        </w:tc>
        <w:tc>
          <w:tcPr>
            <w:tcW w:w="460" w:type="dxa"/>
            <w:vAlign w:val="bottom"/>
            <w:tcBorders>
              <w:top w:val="single" w:sz="8" w:color="auto"/>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620" w:type="dxa"/>
            <w:vAlign w:val="bottom"/>
            <w:tcBorders>
              <w:top w:val="single" w:sz="8" w:color="auto"/>
              <w:right w:val="single" w:sz="8" w:color="E6E6E6"/>
            </w:tcBorders>
            <w:gridSpan w:val="3"/>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218,14</w:t>
            </w:r>
          </w:p>
        </w:tc>
        <w:tc>
          <w:tcPr>
            <w:tcW w:w="8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E6E6E6"/>
          </w:tcPr>
          <w:p>
            <w:pPr>
              <w:spacing w:after="0"/>
              <w:rPr>
                <w:sz w:val="21"/>
                <w:szCs w:val="21"/>
                <w:color w:val="auto"/>
              </w:rPr>
            </w:pPr>
          </w:p>
        </w:tc>
        <w:tc>
          <w:tcPr>
            <w:tcW w:w="7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34,382</w:t>
            </w:r>
          </w:p>
        </w:tc>
        <w:tc>
          <w:tcPr>
            <w:tcW w:w="100" w:type="dxa"/>
            <w:vAlign w:val="bottom"/>
            <w:shd w:val="clear" w:color="auto" w:fill="E6E6E6"/>
          </w:tcPr>
          <w:p>
            <w:pPr>
              <w:spacing w:after="0"/>
              <w:rPr>
                <w:sz w:val="21"/>
                <w:szCs w:val="21"/>
                <w:color w:val="auto"/>
              </w:rPr>
            </w:pPr>
          </w:p>
        </w:tc>
        <w:tc>
          <w:tcPr>
            <w:tcW w:w="540" w:type="dxa"/>
            <w:vAlign w:val="bottom"/>
            <w:gridSpan w:val="3"/>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3"/>
              </w:rPr>
              <w:t>344</w:t>
            </w:r>
          </w:p>
        </w:tc>
        <w:tc>
          <w:tcPr>
            <w:tcW w:w="100" w:type="dxa"/>
            <w:vAlign w:val="bottom"/>
            <w:shd w:val="clear" w:color="auto" w:fill="E6E6E6"/>
          </w:tcPr>
          <w:p>
            <w:pPr>
              <w:spacing w:after="0"/>
              <w:rPr>
                <w:sz w:val="21"/>
                <w:szCs w:val="21"/>
                <w:color w:val="auto"/>
              </w:rPr>
            </w:pPr>
          </w:p>
        </w:tc>
        <w:tc>
          <w:tcPr>
            <w:tcW w:w="2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E6E6E6"/>
          </w:tcPr>
          <w:p>
            <w:pPr>
              <w:spacing w:after="0"/>
              <w:rPr>
                <w:sz w:val="21"/>
                <w:szCs w:val="21"/>
                <w:color w:val="auto"/>
              </w:rPr>
            </w:pPr>
          </w:p>
        </w:tc>
        <w:tc>
          <w:tcPr>
            <w:tcW w:w="26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(19,298)</w:t>
            </w:r>
          </w:p>
        </w:tc>
        <w:tc>
          <w:tcPr>
            <w:tcW w:w="100" w:type="dxa"/>
            <w:vAlign w:val="bottom"/>
            <w:shd w:val="clear" w:color="auto" w:fill="E6E6E6"/>
          </w:tcPr>
          <w:p>
            <w:pPr>
              <w:spacing w:after="0"/>
              <w:rPr>
                <w:sz w:val="21"/>
                <w:szCs w:val="21"/>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gridSpan w:val="2"/>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4,924</w:t>
            </w:r>
          </w:p>
        </w:tc>
        <w:tc>
          <w:tcPr>
            <w:tcW w:w="120" w:type="dxa"/>
            <w:vAlign w:val="bottom"/>
            <w:shd w:val="clear" w:color="auto" w:fill="E6E6E6"/>
          </w:tcPr>
          <w:p>
            <w:pPr>
              <w:spacing w:after="0"/>
              <w:rPr>
                <w:sz w:val="21"/>
                <w:szCs w:val="21"/>
                <w:color w:val="auto"/>
              </w:rPr>
            </w:pPr>
          </w:p>
        </w:tc>
        <w:tc>
          <w:tcPr>
            <w:tcW w:w="220" w:type="dxa"/>
            <w:vAlign w:val="bottom"/>
            <w:gridSpan w:val="3"/>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9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Net income for the year ended December 31,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14,501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Exercise of stock options</w:t>
            </w:r>
          </w:p>
        </w:tc>
        <w:tc>
          <w:tcPr>
            <w:tcW w:w="7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3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1,209</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1,210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 issued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(1,189)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(1,186)</w:t>
            </w:r>
          </w:p>
        </w:tc>
        <w:tc>
          <w:tcPr>
            <w:tcW w:w="0" w:type="dxa"/>
            <w:vAlign w:val="bottom"/>
          </w:tcPr>
          <w:p>
            <w:pPr>
              <w:spacing w:after="0"/>
              <w:rPr>
                <w:sz w:val="1"/>
                <w:szCs w:val="1"/>
                <w:color w:val="auto"/>
              </w:rPr>
            </w:pPr>
          </w:p>
        </w:tc>
      </w:tr>
      <w:tr>
        <w:trPr>
          <w:trHeight w:val="242"/>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Share-based compensation earned</w:t>
            </w:r>
          </w:p>
        </w:tc>
        <w:tc>
          <w:tcPr>
            <w:tcW w:w="7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4,762</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4,762</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9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Adjustment for minimum pension liability, net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of tax of $619</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1,225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Translation gain</w:t>
            </w:r>
          </w:p>
        </w:tc>
        <w:tc>
          <w:tcPr>
            <w:tcW w:w="22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gridSpan w:val="3"/>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100" w:type="dxa"/>
            <w:vAlign w:val="bottom"/>
            <w:tcBorders>
              <w:right w:val="single" w:sz="8" w:color="E6E6E6"/>
            </w:tcBorders>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497</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 distribution</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(1,666)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(1,666)</w:t>
            </w:r>
          </w:p>
        </w:tc>
        <w:tc>
          <w:tcPr>
            <w:tcW w:w="0" w:type="dxa"/>
            <w:vAlign w:val="bottom"/>
          </w:tcPr>
          <w:p>
            <w:pPr>
              <w:spacing w:after="0"/>
              <w:rPr>
                <w:sz w:val="1"/>
                <w:szCs w:val="1"/>
                <w:color w:val="auto"/>
              </w:rPr>
            </w:pPr>
          </w:p>
        </w:tc>
      </w:tr>
      <w:tr>
        <w:trPr>
          <w:trHeight w:val="215"/>
        </w:trPr>
        <w:tc>
          <w:tcPr>
            <w:tcW w:w="39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December 31, 2023</w:t>
            </w:r>
          </w:p>
        </w:tc>
        <w:tc>
          <w:tcPr>
            <w:tcW w:w="220" w:type="dxa"/>
            <w:vAlign w:val="bottom"/>
            <w:tcBorders>
              <w:top w:val="single" w:sz="8" w:color="auto"/>
            </w:tcBorders>
            <w:shd w:val="clear" w:color="auto" w:fill="E6E6E6"/>
          </w:tcPr>
          <w:p>
            <w:pPr>
              <w:spacing w:after="0"/>
              <w:rPr>
                <w:sz w:val="18"/>
                <w:szCs w:val="18"/>
                <w:color w:val="auto"/>
              </w:rPr>
            </w:pPr>
          </w:p>
        </w:tc>
        <w:tc>
          <w:tcPr>
            <w:tcW w:w="560" w:type="dxa"/>
            <w:vAlign w:val="bottom"/>
            <w:tcBorders>
              <w:top w:val="single" w:sz="8" w:color="auto"/>
              <w:right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340" w:type="dxa"/>
            <w:vAlign w:val="bottom"/>
            <w:tcBorders>
              <w:top w:val="single" w:sz="8" w:color="auto"/>
            </w:tcBorders>
            <w:shd w:val="clear" w:color="auto" w:fill="E6E6E6"/>
          </w:tcPr>
          <w:p>
            <w:pPr>
              <w:spacing w:after="0"/>
              <w:rPr>
                <w:sz w:val="18"/>
                <w:szCs w:val="18"/>
                <w:color w:val="auto"/>
              </w:rPr>
            </w:pPr>
          </w:p>
        </w:tc>
        <w:tc>
          <w:tcPr>
            <w:tcW w:w="320" w:type="dxa"/>
            <w:vAlign w:val="bottom"/>
            <w:tcBorders>
              <w:top w:val="single" w:sz="8" w:color="auto"/>
              <w:right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660" w:type="dxa"/>
            <w:vAlign w:val="bottom"/>
            <w:tcBorders>
              <w:top w:val="single" w:sz="8" w:color="auto"/>
              <w:right w:val="single" w:sz="8" w:color="E6E6E6"/>
            </w:tcBorders>
            <w:gridSpan w:val="3"/>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254,95</w:t>
            </w: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spacing w:after="0"/>
              <w:rPr>
                <w:sz w:val="18"/>
                <w:szCs w:val="18"/>
                <w:color w:val="auto"/>
              </w:rPr>
            </w:pPr>
          </w:p>
        </w:tc>
        <w:tc>
          <w:tcPr>
            <w:tcW w:w="560" w:type="dxa"/>
            <w:vAlign w:val="bottom"/>
            <w:tcBorders>
              <w:top w:val="single" w:sz="8" w:color="auto"/>
              <w:right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(16,27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80" w:type="dxa"/>
            <w:vAlign w:val="bottom"/>
            <w:tcBorders>
              <w:top w:val="single" w:sz="8" w:color="auto"/>
            </w:tcBorders>
            <w:shd w:val="clear" w:color="auto" w:fill="E6E6E6"/>
          </w:tcPr>
          <w:p>
            <w:pPr>
              <w:spacing w:after="0"/>
              <w:rPr>
                <w:sz w:val="18"/>
                <w:szCs w:val="18"/>
                <w:color w:val="auto"/>
              </w:rPr>
            </w:pPr>
          </w:p>
        </w:tc>
        <w:tc>
          <w:tcPr>
            <w:tcW w:w="460" w:type="dxa"/>
            <w:vAlign w:val="bottom"/>
            <w:tcBorders>
              <w:top w:val="single" w:sz="8" w:color="auto"/>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620" w:type="dxa"/>
            <w:vAlign w:val="bottom"/>
            <w:tcBorders>
              <w:top w:val="single" w:sz="8" w:color="auto"/>
              <w:right w:val="single" w:sz="8" w:color="E6E6E6"/>
            </w:tcBorders>
            <w:gridSpan w:val="3"/>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237,49</w:t>
            </w:r>
          </w:p>
        </w:tc>
        <w:tc>
          <w:tcPr>
            <w:tcW w:w="8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E6E6E6"/>
          </w:tcPr>
          <w:p>
            <w:pPr>
              <w:spacing w:after="0"/>
              <w:rPr>
                <w:sz w:val="21"/>
                <w:szCs w:val="21"/>
                <w:color w:val="auto"/>
              </w:rPr>
            </w:pPr>
          </w:p>
        </w:tc>
        <w:tc>
          <w:tcPr>
            <w:tcW w:w="7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34,835</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4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3"/>
              </w:rPr>
              <w:t>348</w:t>
            </w:r>
          </w:p>
        </w:tc>
        <w:tc>
          <w:tcPr>
            <w:tcW w:w="1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6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(6,387</w:t>
            </w:r>
          </w:p>
        </w:tc>
        <w:tc>
          <w:tcPr>
            <w:tcW w:w="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E6E6E6"/>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1"/>
                <w:szCs w:val="21"/>
                <w:color w:val="auto"/>
              </w:rPr>
            </w:pPr>
          </w:p>
        </w:tc>
        <w:tc>
          <w:tcPr>
            <w:tcW w:w="1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4,848</w:t>
            </w:r>
          </w:p>
        </w:tc>
        <w:tc>
          <w:tcPr>
            <w:tcW w:w="120" w:type="dxa"/>
            <w:vAlign w:val="bottom"/>
            <w:shd w:val="clear" w:color="auto" w:fill="E6E6E6"/>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for the year ended December 31,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14,421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Exercise of stock options</w:t>
            </w:r>
          </w:p>
        </w:tc>
        <w:tc>
          <w:tcPr>
            <w:tcW w:w="7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367</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367</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 issued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(3,018)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(3,015)</w:t>
            </w:r>
          </w:p>
        </w:tc>
        <w:tc>
          <w:tcPr>
            <w:tcW w:w="0" w:type="dxa"/>
            <w:vAlign w:val="bottom"/>
          </w:tcPr>
          <w:p>
            <w:pPr>
              <w:spacing w:after="0"/>
              <w:rPr>
                <w:sz w:val="1"/>
                <w:szCs w:val="1"/>
                <w:color w:val="auto"/>
              </w:rPr>
            </w:pPr>
          </w:p>
        </w:tc>
      </w:tr>
      <w:tr>
        <w:trPr>
          <w:trHeight w:val="242"/>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Share based compensation earned</w:t>
            </w:r>
          </w:p>
        </w:tc>
        <w:tc>
          <w:tcPr>
            <w:tcW w:w="7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7,908</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7,908</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repurchase and retirement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(5,002)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(5,004)</w:t>
            </w:r>
          </w:p>
        </w:tc>
        <w:tc>
          <w:tcPr>
            <w:tcW w:w="0" w:type="dxa"/>
            <w:vAlign w:val="bottom"/>
          </w:tcPr>
          <w:p>
            <w:pPr>
              <w:spacing w:after="0"/>
              <w:rPr>
                <w:sz w:val="1"/>
                <w:szCs w:val="1"/>
                <w:color w:val="auto"/>
              </w:rPr>
            </w:pPr>
          </w:p>
        </w:tc>
      </w:tr>
      <w:tr>
        <w:trPr>
          <w:trHeight w:val="220"/>
        </w:trPr>
        <w:tc>
          <w:tcPr>
            <w:tcW w:w="3920" w:type="dxa"/>
            <w:vAlign w:val="bottom"/>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Adjustment for minimum pension liability, net</w:t>
            </w:r>
          </w:p>
        </w:tc>
        <w:tc>
          <w:tcPr>
            <w:tcW w:w="2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32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2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520" w:type="dxa"/>
            <w:vAlign w:val="bottom"/>
            <w:tcBorders>
              <w:right w:val="single" w:sz="8" w:color="E6E6E6"/>
            </w:tcBorders>
            <w:shd w:val="clear" w:color="auto" w:fill="E6E6E6"/>
          </w:tcPr>
          <w:p>
            <w:pPr>
              <w:spacing w:after="0"/>
              <w:rPr>
                <w:sz w:val="19"/>
                <w:szCs w:val="19"/>
                <w:color w:val="auto"/>
              </w:rPr>
            </w:pPr>
          </w:p>
        </w:tc>
        <w:tc>
          <w:tcPr>
            <w:tcW w:w="10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20" w:type="dxa"/>
            <w:vAlign w:val="bottom"/>
            <w:tcBorders>
              <w:right w:val="single" w:sz="8" w:color="E6E6E6"/>
            </w:tcBorders>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of tax of $782</w:t>
            </w:r>
          </w:p>
        </w:tc>
        <w:tc>
          <w:tcPr>
            <w:tcW w:w="22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gridSpan w:val="3"/>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2,693</w:t>
            </w:r>
          </w:p>
        </w:tc>
        <w:tc>
          <w:tcPr>
            <w:tcW w:w="100" w:type="dxa"/>
            <w:vAlign w:val="bottom"/>
            <w:tcBorders>
              <w:right w:val="single" w:sz="8" w:color="E6E6E6"/>
            </w:tcBorders>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2,693</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Translation loss</w:t>
            </w: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(860)</w:t>
            </w:r>
          </w:p>
        </w:tc>
        <w:tc>
          <w:tcPr>
            <w:tcW w:w="0" w:type="dxa"/>
            <w:vAlign w:val="bottom"/>
          </w:tcPr>
          <w:p>
            <w:pPr>
              <w:spacing w:after="0"/>
              <w:rPr>
                <w:sz w:val="1"/>
                <w:szCs w:val="1"/>
                <w:color w:val="auto"/>
              </w:rPr>
            </w:pPr>
          </w:p>
        </w:tc>
      </w:tr>
      <w:tr>
        <w:trPr>
          <w:trHeight w:val="242"/>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Noncontrolling interest distributions</w:t>
            </w:r>
          </w:p>
        </w:tc>
        <w:tc>
          <w:tcPr>
            <w:tcW w:w="22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gridSpan w:val="3"/>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right w:val="single" w:sz="8" w:color="E6E6E6"/>
            </w:tcBorders>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76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(2,108)</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700" w:type="dxa"/>
            <w:vAlign w:val="bottom"/>
            <w:gridSpan w:val="4"/>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(2,108)</w:t>
            </w:r>
          </w:p>
        </w:tc>
        <w:tc>
          <w:tcPr>
            <w:tcW w:w="0" w:type="dxa"/>
            <w:vAlign w:val="bottom"/>
          </w:tcPr>
          <w:p>
            <w:pPr>
              <w:spacing w:after="0"/>
              <w:rPr>
                <w:sz w:val="1"/>
                <w:szCs w:val="1"/>
                <w:color w:val="auto"/>
              </w:rPr>
            </w:pPr>
          </w:p>
        </w:tc>
      </w:tr>
      <w:tr>
        <w:trPr>
          <w:trHeight w:val="215"/>
        </w:trPr>
        <w:tc>
          <w:tcPr>
            <w:tcW w:w="39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Balance December 31, 2024</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255,21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(14,44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251,89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9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34,978</w:t>
            </w:r>
          </w:p>
        </w:tc>
        <w:tc>
          <w:tcPr>
            <w:tcW w:w="100" w:type="dxa"/>
            <w:vAlign w:val="bottom"/>
          </w:tcPr>
          <w:p>
            <w:pPr>
              <w:spacing w:after="0"/>
              <w:rPr>
                <w:sz w:val="24"/>
                <w:szCs w:val="24"/>
                <w:color w:val="auto"/>
              </w:rPr>
            </w:pPr>
          </w:p>
        </w:tc>
        <w:tc>
          <w:tcPr>
            <w:tcW w:w="5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349</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6,570</w:t>
            </w:r>
          </w:p>
        </w:tc>
        <w:tc>
          <w:tcPr>
            <w:tcW w:w="10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4,204</w:t>
            </w:r>
          </w:p>
        </w:tc>
        <w:tc>
          <w:tcPr>
            <w:tcW w:w="120" w:type="dxa"/>
            <w:vAlign w:val="bottom"/>
          </w:tcPr>
          <w:p>
            <w:pPr>
              <w:spacing w:after="0"/>
              <w:rPr>
                <w:sz w:val="24"/>
                <w:szCs w:val="24"/>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tcBorders>
              <w:top w:val="single" w:sz="8" w:color="E6E6E6"/>
            </w:tcBorders>
            <w:shd w:val="clear" w:color="auto" w:fill="E6E6E6"/>
          </w:tcPr>
          <w:p>
            <w:pPr>
              <w:spacing w:after="0" w:line="205" w:lineRule="exact"/>
              <w:rPr>
                <w:sz w:val="20"/>
                <w:szCs w:val="20"/>
                <w:color w:val="auto"/>
              </w:rPr>
            </w:pPr>
            <w:r>
              <w:rPr>
                <w:rFonts w:ascii="Times New Roman" w:cs="Times New Roman" w:eastAsia="Times New Roman" w:hAnsi="Times New Roman"/>
                <w:sz w:val="20"/>
                <w:szCs w:val="20"/>
                <w:color w:val="auto"/>
              </w:rPr>
              <w:t>Net income for the year ended December 31,</w:t>
            </w:r>
          </w:p>
        </w:tc>
        <w:tc>
          <w:tcPr>
            <w:tcW w:w="220" w:type="dxa"/>
            <w:vAlign w:val="bottom"/>
            <w:tcBorders>
              <w:top w:val="single" w:sz="8" w:color="auto"/>
            </w:tcBorders>
            <w:shd w:val="clear" w:color="auto" w:fill="E6E6E6"/>
          </w:tcPr>
          <w:p>
            <w:pPr>
              <w:spacing w:after="0"/>
              <w:rPr>
                <w:sz w:val="17"/>
                <w:szCs w:val="17"/>
                <w:color w:val="auto"/>
              </w:rPr>
            </w:pPr>
          </w:p>
        </w:tc>
        <w:tc>
          <w:tcPr>
            <w:tcW w:w="560" w:type="dxa"/>
            <w:vAlign w:val="bottom"/>
            <w:tcBorders>
              <w:top w:val="single" w:sz="8" w:color="auto"/>
              <w:right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auto"/>
            </w:tcBorders>
            <w:shd w:val="clear" w:color="auto" w:fill="E6E6E6"/>
          </w:tcPr>
          <w:p>
            <w:pPr>
              <w:spacing w:after="0"/>
              <w:rPr>
                <w:sz w:val="17"/>
                <w:szCs w:val="17"/>
                <w:color w:val="auto"/>
              </w:rPr>
            </w:pPr>
          </w:p>
        </w:tc>
        <w:tc>
          <w:tcPr>
            <w:tcW w:w="340" w:type="dxa"/>
            <w:vAlign w:val="bottom"/>
            <w:tcBorders>
              <w:top w:val="single" w:sz="8" w:color="auto"/>
            </w:tcBorders>
            <w:shd w:val="clear" w:color="auto" w:fill="E6E6E6"/>
          </w:tcPr>
          <w:p>
            <w:pPr>
              <w:spacing w:after="0"/>
              <w:rPr>
                <w:sz w:val="17"/>
                <w:szCs w:val="17"/>
                <w:color w:val="auto"/>
              </w:rPr>
            </w:pPr>
          </w:p>
        </w:tc>
        <w:tc>
          <w:tcPr>
            <w:tcW w:w="320" w:type="dxa"/>
            <w:vAlign w:val="bottom"/>
            <w:tcBorders>
              <w:top w:val="single" w:sz="8" w:color="auto"/>
              <w:right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120" w:type="dxa"/>
            <w:vAlign w:val="bottom"/>
            <w:tcBorders>
              <w:top w:val="single" w:sz="8" w:color="E6E6E6"/>
            </w:tcBorders>
            <w:shd w:val="clear" w:color="auto" w:fill="E6E6E6"/>
          </w:tcPr>
          <w:p>
            <w:pPr>
              <w:spacing w:after="0"/>
              <w:rPr>
                <w:sz w:val="17"/>
                <w:szCs w:val="17"/>
                <w:color w:val="auto"/>
              </w:rPr>
            </w:pPr>
          </w:p>
        </w:tc>
        <w:tc>
          <w:tcPr>
            <w:tcW w:w="80" w:type="dxa"/>
            <w:vAlign w:val="bottom"/>
            <w:tcBorders>
              <w:top w:val="single" w:sz="8" w:color="auto"/>
            </w:tcBorders>
            <w:shd w:val="clear" w:color="auto" w:fill="E6E6E6"/>
          </w:tcPr>
          <w:p>
            <w:pPr>
              <w:spacing w:after="0"/>
              <w:rPr>
                <w:sz w:val="17"/>
                <w:szCs w:val="17"/>
                <w:color w:val="auto"/>
              </w:rPr>
            </w:pPr>
          </w:p>
        </w:tc>
        <w:tc>
          <w:tcPr>
            <w:tcW w:w="100" w:type="dxa"/>
            <w:vAlign w:val="bottom"/>
            <w:tcBorders>
              <w:top w:val="single" w:sz="8" w:color="auto"/>
            </w:tcBorders>
            <w:shd w:val="clear" w:color="auto" w:fill="E6E6E6"/>
          </w:tcPr>
          <w:p>
            <w:pPr>
              <w:spacing w:after="0"/>
              <w:rPr>
                <w:sz w:val="17"/>
                <w:szCs w:val="17"/>
                <w:color w:val="auto"/>
              </w:rPr>
            </w:pPr>
          </w:p>
        </w:tc>
        <w:tc>
          <w:tcPr>
            <w:tcW w:w="440" w:type="dxa"/>
            <w:vAlign w:val="bottom"/>
            <w:tcBorders>
              <w:top w:val="single" w:sz="8" w:color="auto"/>
            </w:tcBorders>
            <w:shd w:val="clear" w:color="auto" w:fill="E6E6E6"/>
          </w:tcPr>
          <w:p>
            <w:pPr>
              <w:spacing w:after="0"/>
              <w:rPr>
                <w:sz w:val="17"/>
                <w:szCs w:val="17"/>
                <w:color w:val="auto"/>
              </w:rPr>
            </w:pPr>
          </w:p>
        </w:tc>
        <w:tc>
          <w:tcPr>
            <w:tcW w:w="120" w:type="dxa"/>
            <w:vAlign w:val="bottom"/>
            <w:tcBorders>
              <w:top w:val="single" w:sz="8" w:color="auto"/>
              <w:right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auto"/>
            </w:tcBorders>
            <w:shd w:val="clear" w:color="auto" w:fill="E6E6E6"/>
          </w:tcPr>
          <w:p>
            <w:pPr>
              <w:spacing w:after="0"/>
              <w:rPr>
                <w:sz w:val="17"/>
                <w:szCs w:val="17"/>
                <w:color w:val="auto"/>
              </w:rPr>
            </w:pPr>
          </w:p>
        </w:tc>
        <w:tc>
          <w:tcPr>
            <w:tcW w:w="60" w:type="dxa"/>
            <w:vAlign w:val="bottom"/>
            <w:tcBorders>
              <w:top w:val="single" w:sz="8" w:color="auto"/>
            </w:tcBorders>
            <w:shd w:val="clear" w:color="auto" w:fill="E6E6E6"/>
          </w:tcPr>
          <w:p>
            <w:pPr>
              <w:spacing w:after="0"/>
              <w:rPr>
                <w:sz w:val="17"/>
                <w:szCs w:val="17"/>
                <w:color w:val="auto"/>
              </w:rPr>
            </w:pPr>
          </w:p>
        </w:tc>
        <w:tc>
          <w:tcPr>
            <w:tcW w:w="200" w:type="dxa"/>
            <w:vAlign w:val="bottom"/>
            <w:tcBorders>
              <w:top w:val="single" w:sz="8" w:color="auto"/>
            </w:tcBorders>
            <w:shd w:val="clear" w:color="auto" w:fill="E6E6E6"/>
          </w:tcPr>
          <w:p>
            <w:pPr>
              <w:spacing w:after="0"/>
              <w:rPr>
                <w:sz w:val="17"/>
                <w:szCs w:val="17"/>
                <w:color w:val="auto"/>
              </w:rPr>
            </w:pPr>
          </w:p>
        </w:tc>
        <w:tc>
          <w:tcPr>
            <w:tcW w:w="560" w:type="dxa"/>
            <w:vAlign w:val="bottom"/>
            <w:tcBorders>
              <w:top w:val="single" w:sz="8" w:color="auto"/>
              <w:right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auto"/>
            </w:tcBorders>
            <w:shd w:val="clear" w:color="auto" w:fill="E6E6E6"/>
          </w:tcPr>
          <w:p>
            <w:pPr>
              <w:spacing w:after="0"/>
              <w:rPr>
                <w:sz w:val="17"/>
                <w:szCs w:val="17"/>
                <w:color w:val="auto"/>
              </w:rPr>
            </w:pPr>
          </w:p>
        </w:tc>
        <w:tc>
          <w:tcPr>
            <w:tcW w:w="140" w:type="dxa"/>
            <w:vAlign w:val="bottom"/>
            <w:tcBorders>
              <w:top w:val="single" w:sz="8" w:color="auto"/>
            </w:tcBorders>
            <w:shd w:val="clear" w:color="auto" w:fill="E6E6E6"/>
          </w:tcPr>
          <w:p>
            <w:pPr>
              <w:spacing w:after="0"/>
              <w:rPr>
                <w:sz w:val="17"/>
                <w:szCs w:val="17"/>
                <w:color w:val="auto"/>
              </w:rPr>
            </w:pPr>
          </w:p>
        </w:tc>
        <w:tc>
          <w:tcPr>
            <w:tcW w:w="520" w:type="dxa"/>
            <w:vAlign w:val="bottom"/>
            <w:tcBorders>
              <w:top w:val="single" w:sz="8" w:color="auto"/>
              <w:right w:val="single" w:sz="8" w:color="E6E6E6"/>
            </w:tcBorders>
            <w:shd w:val="clear" w:color="auto" w:fill="E6E6E6"/>
          </w:tcPr>
          <w:p>
            <w:pPr>
              <w:spacing w:after="0"/>
              <w:rPr>
                <w:sz w:val="17"/>
                <w:szCs w:val="17"/>
                <w:color w:val="auto"/>
              </w:rPr>
            </w:pPr>
          </w:p>
        </w:tc>
        <w:tc>
          <w:tcPr>
            <w:tcW w:w="100" w:type="dxa"/>
            <w:vAlign w:val="bottom"/>
            <w:tcBorders>
              <w:top w:val="single" w:sz="8" w:color="E6E6E6"/>
              <w:right w:val="single" w:sz="8" w:color="E6E6E6"/>
            </w:tcBorders>
            <w:shd w:val="clear" w:color="auto" w:fill="E6E6E6"/>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shd w:val="clear" w:color="auto" w:fill="E6E6E6"/>
          </w:tcPr>
          <w:p>
            <w:pPr>
              <w:spacing w:after="0"/>
              <w:rPr>
                <w:sz w:val="17"/>
                <w:szCs w:val="17"/>
                <w:color w:val="auto"/>
              </w:rPr>
            </w:pPr>
          </w:p>
        </w:tc>
        <w:tc>
          <w:tcPr>
            <w:tcW w:w="180" w:type="dxa"/>
            <w:vAlign w:val="bottom"/>
            <w:tcBorders>
              <w:top w:val="single" w:sz="8" w:color="auto"/>
            </w:tcBorders>
            <w:shd w:val="clear" w:color="auto" w:fill="E6E6E6"/>
          </w:tcPr>
          <w:p>
            <w:pPr>
              <w:spacing w:after="0"/>
              <w:rPr>
                <w:sz w:val="17"/>
                <w:szCs w:val="17"/>
                <w:color w:val="auto"/>
              </w:rPr>
            </w:pPr>
          </w:p>
        </w:tc>
        <w:tc>
          <w:tcPr>
            <w:tcW w:w="460" w:type="dxa"/>
            <w:vAlign w:val="bottom"/>
            <w:tcBorders>
              <w:top w:val="single" w:sz="8" w:color="auto"/>
            </w:tcBorders>
            <w:shd w:val="clear" w:color="auto" w:fill="E6E6E6"/>
          </w:tcPr>
          <w:p>
            <w:pPr>
              <w:spacing w:after="0"/>
              <w:rPr>
                <w:sz w:val="17"/>
                <w:szCs w:val="17"/>
                <w:color w:val="auto"/>
              </w:rPr>
            </w:pPr>
          </w:p>
        </w:tc>
        <w:tc>
          <w:tcPr>
            <w:tcW w:w="120" w:type="dxa"/>
            <w:vAlign w:val="bottom"/>
            <w:tcBorders>
              <w:top w:val="single" w:sz="8" w:color="E6E6E6"/>
            </w:tcBorders>
            <w:shd w:val="clear" w:color="auto" w:fill="E6E6E6"/>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shd w:val="clear" w:color="auto" w:fill="E6E6E6"/>
          </w:tcPr>
          <w:p>
            <w:pPr>
              <w:spacing w:after="0"/>
              <w:rPr>
                <w:sz w:val="17"/>
                <w:szCs w:val="17"/>
                <w:color w:val="auto"/>
              </w:rPr>
            </w:pPr>
          </w:p>
        </w:tc>
        <w:tc>
          <w:tcPr>
            <w:tcW w:w="20" w:type="dxa"/>
            <w:vAlign w:val="bottom"/>
            <w:tcBorders>
              <w:top w:val="single" w:sz="8" w:color="auto"/>
            </w:tcBorders>
            <w:shd w:val="clear" w:color="auto" w:fill="E6E6E6"/>
          </w:tcPr>
          <w:p>
            <w:pPr>
              <w:spacing w:after="0"/>
              <w:rPr>
                <w:sz w:val="17"/>
                <w:szCs w:val="17"/>
                <w:color w:val="auto"/>
              </w:rPr>
            </w:pPr>
          </w:p>
        </w:tc>
        <w:tc>
          <w:tcPr>
            <w:tcW w:w="60" w:type="dxa"/>
            <w:vAlign w:val="bottom"/>
            <w:tcBorders>
              <w:top w:val="single" w:sz="8" w:color="auto"/>
            </w:tcBorders>
            <w:shd w:val="clear" w:color="auto" w:fill="E6E6E6"/>
          </w:tcPr>
          <w:p>
            <w:pPr>
              <w:spacing w:after="0"/>
              <w:rPr>
                <w:sz w:val="17"/>
                <w:szCs w:val="17"/>
                <w:color w:val="auto"/>
              </w:rPr>
            </w:pPr>
          </w:p>
        </w:tc>
        <w:tc>
          <w:tcPr>
            <w:tcW w:w="440" w:type="dxa"/>
            <w:vAlign w:val="bottom"/>
            <w:tcBorders>
              <w:top w:val="single" w:sz="8" w:color="auto"/>
            </w:tcBorders>
            <w:shd w:val="clear" w:color="auto" w:fill="E6E6E6"/>
          </w:tcPr>
          <w:p>
            <w:pPr>
              <w:spacing w:after="0"/>
              <w:rPr>
                <w:sz w:val="17"/>
                <w:szCs w:val="17"/>
                <w:color w:val="auto"/>
              </w:rPr>
            </w:pPr>
          </w:p>
        </w:tc>
        <w:tc>
          <w:tcPr>
            <w:tcW w:w="120" w:type="dxa"/>
            <w:vAlign w:val="bottom"/>
            <w:tcBorders>
              <w:top w:val="single" w:sz="8" w:color="auto"/>
              <w:right w:val="single" w:sz="8" w:color="E6E6E6"/>
            </w:tcBorders>
            <w:shd w:val="clear" w:color="auto" w:fill="E6E6E6"/>
          </w:tcPr>
          <w:p>
            <w:pPr>
              <w:spacing w:after="0"/>
              <w:rPr>
                <w:sz w:val="17"/>
                <w:szCs w:val="17"/>
                <w:color w:val="auto"/>
              </w:rPr>
            </w:pPr>
          </w:p>
        </w:tc>
        <w:tc>
          <w:tcPr>
            <w:tcW w:w="80" w:type="dxa"/>
            <w:vAlign w:val="bottom"/>
            <w:tcBorders>
              <w:top w:val="single" w:sz="8" w:color="E6E6E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shd w:val="clear" w:color="auto" w:fill="E6E6E6"/>
          </w:tcPr>
          <w:p>
            <w:pPr>
              <w:spacing w:after="0"/>
              <w:rPr>
                <w:sz w:val="21"/>
                <w:szCs w:val="21"/>
                <w:color w:val="auto"/>
              </w:rPr>
            </w:pPr>
          </w:p>
        </w:tc>
        <w:tc>
          <w:tcPr>
            <w:tcW w:w="5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3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560" w:type="dxa"/>
            <w:vAlign w:val="bottom"/>
            <w:tcBorders>
              <w:right w:val="single" w:sz="8" w:color="E6E6E6"/>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76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50,051</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5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right w:val="single" w:sz="8" w:color="E6E6E6"/>
            </w:tcBorders>
            <w:shd w:val="clear" w:color="auto" w:fill="E6E6E6"/>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3,056</w:t>
            </w:r>
          </w:p>
        </w:tc>
        <w:tc>
          <w:tcPr>
            <w:tcW w:w="120" w:type="dxa"/>
            <w:vAlign w:val="bottom"/>
            <w:shd w:val="clear" w:color="auto" w:fill="E6E6E6"/>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53,107</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Exercise of stock options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3,888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3,891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Restricted stock units issued</w:t>
            </w:r>
          </w:p>
        </w:tc>
        <w:tc>
          <w:tcPr>
            <w:tcW w:w="78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3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760" w:type="dxa"/>
            <w:vAlign w:val="bottom"/>
            <w:gridSpan w:val="4"/>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(3,522)</w:t>
            </w: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20" w:type="dxa"/>
            <w:vAlign w:val="bottom"/>
            <w:tcBorders>
              <w:right w:val="single" w:sz="8" w:color="E6E6E6"/>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700" w:type="dxa"/>
            <w:vAlign w:val="bottom"/>
            <w:gridSpan w:val="4"/>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(3,519)</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Share based compensation earned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13,876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13,876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Loss realized with transfer of pension plan with</w:t>
            </w:r>
          </w:p>
        </w:tc>
        <w:tc>
          <w:tcPr>
            <w:tcW w:w="2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32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2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520" w:type="dxa"/>
            <w:vAlign w:val="bottom"/>
            <w:tcBorders>
              <w:right w:val="single" w:sz="8" w:color="E6E6E6"/>
            </w:tcBorders>
            <w:shd w:val="clear" w:color="auto" w:fill="E6E6E6"/>
          </w:tcPr>
          <w:p>
            <w:pPr>
              <w:spacing w:after="0"/>
              <w:rPr>
                <w:sz w:val="19"/>
                <w:szCs w:val="19"/>
                <w:color w:val="auto"/>
              </w:rPr>
            </w:pPr>
          </w:p>
        </w:tc>
        <w:tc>
          <w:tcPr>
            <w:tcW w:w="100" w:type="dxa"/>
            <w:vAlign w:val="bottom"/>
            <w:tcBorders>
              <w:right w:val="single" w:sz="8" w:color="E6E6E6"/>
            </w:tcBorders>
            <w:shd w:val="clear" w:color="auto" w:fill="E6E6E6"/>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20" w:type="dxa"/>
            <w:vAlign w:val="bottom"/>
            <w:tcBorders>
              <w:right w:val="single" w:sz="8" w:color="E6E6E6"/>
            </w:tcBorders>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sale of Global Pump Solutions business</w:t>
            </w:r>
          </w:p>
        </w:tc>
        <w:tc>
          <w:tcPr>
            <w:tcW w:w="22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42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gridSpan w:val="3"/>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gridSpan w:val="2"/>
            <w:shd w:val="clear" w:color="auto" w:fill="E6E6E6"/>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660" w:type="dxa"/>
            <w:vAlign w:val="bottom"/>
            <w:tcBorders>
              <w:right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100" w:type="dxa"/>
            <w:vAlign w:val="bottom"/>
            <w:tcBorders>
              <w:right w:val="single" w:sz="8" w:color="E6E6E6"/>
            </w:tcBorders>
            <w:shd w:val="clear" w:color="auto" w:fill="E6E6E6"/>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20" w:type="dxa"/>
            <w:vAlign w:val="bottom"/>
            <w:tcBorders>
              <w:right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2,104</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Translation gain</w:t>
            </w:r>
          </w:p>
        </w:tc>
        <w:tc>
          <w:tcPr>
            <w:tcW w:w="22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3,436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Noncontrolling interest distributions</w:t>
            </w:r>
          </w:p>
        </w:tc>
        <w:tc>
          <w:tcPr>
            <w:tcW w:w="220" w:type="dxa"/>
            <w:vAlign w:val="bottom"/>
            <w:shd w:val="clear" w:color="auto" w:fill="E6E6E6"/>
          </w:tcPr>
          <w:p>
            <w:pPr>
              <w:spacing w:after="0"/>
              <w:rPr>
                <w:sz w:val="22"/>
                <w:szCs w:val="22"/>
                <w:color w:val="auto"/>
              </w:rPr>
            </w:pPr>
          </w:p>
        </w:tc>
        <w:tc>
          <w:tcPr>
            <w:tcW w:w="5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3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560" w:type="dxa"/>
            <w:vAlign w:val="bottom"/>
            <w:tcBorders>
              <w:right w:val="single" w:sz="8" w:color="E6E6E6"/>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5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52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right w:val="single" w:sz="8" w:color="E6E6E6"/>
            </w:tcBorders>
            <w:shd w:val="clear" w:color="auto" w:fill="E6E6E6"/>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76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(1,606)</w:t>
            </w:r>
          </w:p>
        </w:tc>
        <w:tc>
          <w:tcPr>
            <w:tcW w:w="100" w:type="dxa"/>
            <w:vAlign w:val="bottom"/>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700" w:type="dxa"/>
            <w:vAlign w:val="bottom"/>
            <w:gridSpan w:val="4"/>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(1,606)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December 31, 2025</w:t>
            </w:r>
          </w:p>
        </w:tc>
        <w:tc>
          <w:tcPr>
            <w:tcW w:w="2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20" w:type="dxa"/>
            <w:vAlign w:val="bottom"/>
            <w:vMerge w:val="continue"/>
          </w:tcPr>
          <w:p>
            <w:pPr>
              <w:spacing w:after="0"/>
              <w:rPr>
                <w:sz w:val="19"/>
                <w:szCs w:val="19"/>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35,645</w:t>
            </w:r>
          </w:p>
        </w:tc>
        <w:tc>
          <w:tcPr>
            <w:tcW w:w="10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3"/>
              </w:rPr>
              <w:t>355</w:t>
            </w:r>
          </w:p>
        </w:tc>
        <w:tc>
          <w:tcPr>
            <w:tcW w:w="10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269,45</w:t>
            </w:r>
          </w:p>
        </w:tc>
        <w:tc>
          <w:tcPr>
            <w:tcW w:w="100" w:type="dxa"/>
            <w:vAlign w:val="bottom"/>
          </w:tcPr>
          <w:p>
            <w:pPr>
              <w:spacing w:after="0"/>
              <w:rPr>
                <w:sz w:val="19"/>
                <w:szCs w:val="19"/>
                <w:color w:val="auto"/>
              </w:rPr>
            </w:pPr>
          </w:p>
        </w:tc>
        <w:tc>
          <w:tcPr>
            <w:tcW w:w="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56,621</w:t>
            </w:r>
          </w:p>
        </w:tc>
        <w:tc>
          <w:tcPr>
            <w:tcW w:w="100" w:type="dxa"/>
            <w:vAlign w:val="bottom"/>
          </w:tcPr>
          <w:p>
            <w:pPr>
              <w:spacing w:after="0"/>
              <w:rPr>
                <w:sz w:val="19"/>
                <w:szCs w:val="19"/>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(8,901)</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5,654</w:t>
            </w:r>
          </w:p>
        </w:tc>
        <w:tc>
          <w:tcPr>
            <w:tcW w:w="120" w:type="dxa"/>
            <w:vAlign w:val="bottom"/>
          </w:tcPr>
          <w:p>
            <w:pPr>
              <w:spacing w:after="0"/>
              <w:rPr>
                <w:sz w:val="19"/>
                <w:szCs w:val="19"/>
                <w:color w:val="auto"/>
              </w:rPr>
            </w:pPr>
          </w:p>
        </w:tc>
        <w:tc>
          <w:tcPr>
            <w:tcW w:w="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323,18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92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560" w:type="dxa"/>
            <w:vAlign w:val="bottom"/>
            <w:tcBorders>
              <w:top w:val="single" w:sz="8" w:color="auto"/>
              <w:right w:val="single" w:sz="8" w:color="E6E6E6"/>
            </w:tcBorders>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320" w:type="dxa"/>
            <w:vAlign w:val="bottom"/>
            <w:tcBorders>
              <w:top w:val="single" w:sz="8" w:color="auto"/>
              <w:right w:val="single" w:sz="8" w:color="E6E6E6"/>
            </w:tcBorders>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80" w:type="dxa"/>
            <w:vAlign w:val="bottom"/>
            <w:tcBorders>
              <w:top w:val="single" w:sz="8" w:color="auto"/>
            </w:tcBorders>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120" w:type="dxa"/>
            <w:vAlign w:val="bottom"/>
            <w:tcBorders>
              <w:top w:val="single" w:sz="8" w:color="auto"/>
              <w:right w:val="single" w:sz="8" w:color="E6E6E6"/>
            </w:tcBorders>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560" w:type="dxa"/>
            <w:vAlign w:val="bottom"/>
            <w:tcBorders>
              <w:top w:val="single" w:sz="8" w:color="auto"/>
              <w:right w:val="single" w:sz="8" w:color="E6E6E6"/>
            </w:tcBorders>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520" w:type="dxa"/>
            <w:vAlign w:val="bottom"/>
            <w:tcBorders>
              <w:top w:val="single" w:sz="8" w:color="auto"/>
              <w:right w:val="single" w:sz="8" w:color="E6E6E6"/>
            </w:tcBorders>
            <w:shd w:val="clear" w:color="auto" w:fill="E6E6E6"/>
          </w:tcPr>
          <w:p>
            <w:pPr>
              <w:spacing w:after="0"/>
              <w:rPr>
                <w:sz w:val="16"/>
                <w:szCs w:val="16"/>
                <w:color w:val="auto"/>
              </w:rPr>
            </w:pPr>
          </w:p>
        </w:tc>
        <w:tc>
          <w:tcPr>
            <w:tcW w:w="100" w:type="dxa"/>
            <w:vAlign w:val="bottom"/>
            <w:tcBorders>
              <w:top w:val="single" w:sz="8" w:color="auto"/>
              <w:right w:val="single" w:sz="8" w:color="E6E6E6"/>
            </w:tcBorders>
            <w:shd w:val="clear" w:color="auto" w:fill="E6E6E6"/>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460" w:type="dxa"/>
            <w:vAlign w:val="bottom"/>
            <w:tcBorders>
              <w:top w:val="single" w:sz="8" w:color="auto"/>
            </w:tcBorders>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120" w:type="dxa"/>
            <w:vAlign w:val="bottom"/>
            <w:tcBorders>
              <w:top w:val="single" w:sz="8" w:color="auto"/>
              <w:right w:val="single" w:sz="8" w:color="E6E6E6"/>
            </w:tcBorders>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4980305</wp:posOffset>
                </wp:positionH>
                <wp:positionV relativeFrom="paragraph">
                  <wp:posOffset>-5686425</wp:posOffset>
                </wp:positionV>
                <wp:extent cx="541020" cy="29781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020" cy="297815"/>
                        </a:xfrm>
                        <a:prstGeom prst="rect">
                          <a:avLst/>
                        </a:prstGeom>
                        <a:solidFill>
                          <a:srgbClr val="E6E6E6"/>
                        </a:solidFill>
                      </wps:spPr>
                      <wps:bodyPr/>
                    </wps:wsp>
                  </a:graphicData>
                </a:graphic>
              </wp:anchor>
            </w:drawing>
          </mc:Choice>
          <mc:Fallback>
            <w:pict>
              <v:rect id="Shape 77" o:spid="_x0000_s1102" style="position:absolute;margin-left:392.15pt;margin-top:-447.7499pt;width:42.6pt;height:2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5521325</wp:posOffset>
                </wp:positionH>
                <wp:positionV relativeFrom="paragraph">
                  <wp:posOffset>-5695950</wp:posOffset>
                </wp:positionV>
                <wp:extent cx="65405" cy="30734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307340"/>
                        </a:xfrm>
                        <a:prstGeom prst="rect">
                          <a:avLst/>
                        </a:prstGeom>
                        <a:solidFill>
                          <a:srgbClr val="E6E6E6"/>
                        </a:solidFill>
                      </wps:spPr>
                      <wps:bodyPr/>
                    </wps:wsp>
                  </a:graphicData>
                </a:graphic>
              </wp:anchor>
            </w:drawing>
          </mc:Choice>
          <mc:Fallback>
            <w:pict>
              <v:rect id="Shape 78" o:spid="_x0000_s1103" style="position:absolute;margin-left:434.75pt;margin-top:-448.4999pt;width:5.15pt;height:2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5046980</wp:posOffset>
                </wp:positionH>
                <wp:positionV relativeFrom="paragraph">
                  <wp:posOffset>-4016375</wp:posOffset>
                </wp:positionV>
                <wp:extent cx="474345" cy="29845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4345" cy="298450"/>
                        </a:xfrm>
                        <a:prstGeom prst="rect">
                          <a:avLst/>
                        </a:prstGeom>
                        <a:solidFill>
                          <a:srgbClr val="E6E6E6"/>
                        </a:solidFill>
                      </wps:spPr>
                      <wps:bodyPr/>
                    </wps:wsp>
                  </a:graphicData>
                </a:graphic>
              </wp:anchor>
            </w:drawing>
          </mc:Choice>
          <mc:Fallback>
            <w:pict>
              <v:rect id="Shape 79" o:spid="_x0000_s1104" style="position:absolute;margin-left:397.4pt;margin-top:-316.2499pt;width:37.35pt;height: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5521325</wp:posOffset>
                </wp:positionH>
                <wp:positionV relativeFrom="paragraph">
                  <wp:posOffset>-4025900</wp:posOffset>
                </wp:positionV>
                <wp:extent cx="65405" cy="30734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307340"/>
                        </a:xfrm>
                        <a:prstGeom prst="rect">
                          <a:avLst/>
                        </a:prstGeom>
                        <a:solidFill>
                          <a:srgbClr val="E6E6E6"/>
                        </a:solidFill>
                      </wps:spPr>
                      <wps:bodyPr/>
                    </wps:wsp>
                  </a:graphicData>
                </a:graphic>
              </wp:anchor>
            </w:drawing>
          </mc:Choice>
          <mc:Fallback>
            <w:pict>
              <v:rect id="Shape 80" o:spid="_x0000_s1105" style="position:absolute;margin-left:434.75pt;margin-top:-317pt;width:5.15pt;height:2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1880" w:h="15480" w:orient="portrait"/>
          <w:cols w:equalWidth="0" w:num="1">
            <w:col w:w="10680"/>
          </w:cols>
          <w:pgMar w:left="600" w:top="81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680"/>
          </w:cols>
          <w:pgMar w:left="600" w:top="813" w:right="600" w:bottom="66"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ACCUMULATED OTHER COMPREHENSIVE LOSS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Loss realized with</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9"/>
              </w:rPr>
              <w:t>transfer of</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1"/>
              <w:spacing w:after="0" w:line="228" w:lineRule="exact"/>
              <w:rPr>
                <w:sz w:val="20"/>
                <w:szCs w:val="20"/>
                <w:color w:val="auto"/>
              </w:rPr>
            </w:pPr>
            <w:r>
              <w:rPr>
                <w:rFonts w:ascii="Times New Roman" w:cs="Times New Roman" w:eastAsia="Times New Roman" w:hAnsi="Times New Roman"/>
                <w:sz w:val="20"/>
                <w:szCs w:val="20"/>
                <w:b w:val="1"/>
                <w:bCs w:val="1"/>
                <w:color w:val="auto"/>
                <w:w w:val="98"/>
              </w:rPr>
              <w:t>Foreign</w:t>
            </w:r>
          </w:p>
        </w:tc>
        <w:tc>
          <w:tcPr>
            <w:tcW w:w="100" w:type="dxa"/>
            <w:vAlign w:val="bottom"/>
          </w:tcPr>
          <w:p>
            <w:pPr>
              <w:spacing w:after="0"/>
              <w:rPr>
                <w:sz w:val="19"/>
                <w:szCs w:val="19"/>
                <w:color w:val="auto"/>
              </w:rPr>
            </w:pPr>
          </w:p>
        </w:tc>
        <w:tc>
          <w:tcPr>
            <w:tcW w:w="1680" w:type="dxa"/>
            <w:vAlign w:val="bottom"/>
            <w:gridSpan w:val="2"/>
          </w:tcPr>
          <w:p>
            <w:pPr>
              <w:jc w:val="center"/>
              <w:ind w:right="278"/>
              <w:spacing w:after="0" w:line="228" w:lineRule="exact"/>
              <w:rPr>
                <w:sz w:val="20"/>
                <w:szCs w:val="20"/>
                <w:color w:val="auto"/>
              </w:rPr>
            </w:pPr>
            <w:r>
              <w:rPr>
                <w:rFonts w:ascii="Times New Roman" w:cs="Times New Roman" w:eastAsia="Times New Roman" w:hAnsi="Times New Roman"/>
                <w:sz w:val="20"/>
                <w:szCs w:val="20"/>
                <w:b w:val="1"/>
                <w:bCs w:val="1"/>
                <w:color w:val="auto"/>
                <w:w w:val="98"/>
              </w:rPr>
              <w:t>Minimum</w:t>
            </w:r>
          </w:p>
        </w:tc>
        <w:tc>
          <w:tcPr>
            <w:tcW w:w="156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pension plan with</w:t>
            </w:r>
          </w:p>
        </w:tc>
        <w:tc>
          <w:tcPr>
            <w:tcW w:w="240" w:type="dxa"/>
            <w:vAlign w:val="bottom"/>
          </w:tcPr>
          <w:p>
            <w:pPr>
              <w:spacing w:after="0"/>
              <w:rPr>
                <w:sz w:val="19"/>
                <w:szCs w:val="19"/>
                <w:color w:val="auto"/>
              </w:rPr>
            </w:pPr>
          </w:p>
        </w:tc>
        <w:tc>
          <w:tcPr>
            <w:tcW w:w="1500" w:type="dxa"/>
            <w:vAlign w:val="bottom"/>
            <w:gridSpan w:val="3"/>
          </w:tcPr>
          <w:p>
            <w:pPr>
              <w:jc w:val="center"/>
              <w:ind w:right="18"/>
              <w:spacing w:after="0" w:line="228" w:lineRule="exact"/>
              <w:rPr>
                <w:sz w:val="20"/>
                <w:szCs w:val="20"/>
                <w:color w:val="auto"/>
              </w:rPr>
            </w:pPr>
            <w:r>
              <w:rPr>
                <w:rFonts w:ascii="Times New Roman" w:cs="Times New Roman" w:eastAsia="Times New Roman" w:hAnsi="Times New Roman"/>
                <w:sz w:val="20"/>
                <w:szCs w:val="20"/>
                <w:b w:val="1"/>
                <w:bCs w:val="1"/>
                <w:color w:val="auto"/>
                <w:w w:val="97"/>
              </w:rPr>
              <w:t>Accumulated ot</w:t>
            </w:r>
          </w:p>
        </w:tc>
      </w:tr>
      <w:tr>
        <w:trPr>
          <w:trHeight w:val="228"/>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01"/>
              <w:spacing w:after="0" w:line="228"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100" w:type="dxa"/>
            <w:vAlign w:val="bottom"/>
          </w:tcPr>
          <w:p>
            <w:pPr>
              <w:spacing w:after="0"/>
              <w:rPr>
                <w:sz w:val="19"/>
                <w:szCs w:val="19"/>
                <w:color w:val="auto"/>
              </w:rPr>
            </w:pPr>
          </w:p>
        </w:tc>
        <w:tc>
          <w:tcPr>
            <w:tcW w:w="1680" w:type="dxa"/>
            <w:vAlign w:val="bottom"/>
            <w:gridSpan w:val="2"/>
          </w:tcPr>
          <w:p>
            <w:pPr>
              <w:jc w:val="center"/>
              <w:ind w:right="298"/>
              <w:spacing w:after="0" w:line="228" w:lineRule="exact"/>
              <w:rPr>
                <w:sz w:val="20"/>
                <w:szCs w:val="20"/>
                <w:color w:val="auto"/>
              </w:rPr>
            </w:pPr>
            <w:r>
              <w:rPr>
                <w:rFonts w:ascii="Times New Roman" w:cs="Times New Roman" w:eastAsia="Times New Roman" w:hAnsi="Times New Roman"/>
                <w:sz w:val="20"/>
                <w:szCs w:val="20"/>
                <w:b w:val="1"/>
                <w:bCs w:val="1"/>
                <w:color w:val="auto"/>
              </w:rPr>
              <w:t>pension</w:t>
            </w:r>
          </w:p>
        </w:tc>
        <w:tc>
          <w:tcPr>
            <w:tcW w:w="100" w:type="dxa"/>
            <w:vAlign w:val="bottom"/>
          </w:tcPr>
          <w:p>
            <w:pPr>
              <w:spacing w:after="0"/>
              <w:rPr>
                <w:sz w:val="19"/>
                <w:szCs w:val="19"/>
                <w:color w:val="auto"/>
              </w:rPr>
            </w:pPr>
          </w:p>
        </w:tc>
        <w:tc>
          <w:tcPr>
            <w:tcW w:w="1460" w:type="dxa"/>
            <w:vAlign w:val="bottom"/>
          </w:tcPr>
          <w:p>
            <w:pPr>
              <w:jc w:val="center"/>
              <w:ind w:right="41"/>
              <w:spacing w:after="0" w:line="228" w:lineRule="exact"/>
              <w:rPr>
                <w:sz w:val="20"/>
                <w:szCs w:val="20"/>
                <w:color w:val="auto"/>
              </w:rPr>
            </w:pPr>
            <w:r>
              <w:rPr>
                <w:rFonts w:ascii="Times New Roman" w:cs="Times New Roman" w:eastAsia="Times New Roman" w:hAnsi="Times New Roman"/>
                <w:sz w:val="20"/>
                <w:szCs w:val="20"/>
                <w:b w:val="1"/>
                <w:bCs w:val="1"/>
                <w:color w:val="auto"/>
                <w:w w:val="99"/>
              </w:rPr>
              <w:t>sale of Global</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center"/>
              <w:ind w:right="338"/>
              <w:spacing w:after="0" w:line="228" w:lineRule="exact"/>
              <w:rPr>
                <w:sz w:val="20"/>
                <w:szCs w:val="20"/>
                <w:color w:val="auto"/>
              </w:rPr>
            </w:pPr>
            <w:r>
              <w:rPr>
                <w:rFonts w:ascii="Times New Roman" w:cs="Times New Roman" w:eastAsia="Times New Roman" w:hAnsi="Times New Roman"/>
                <w:sz w:val="20"/>
                <w:szCs w:val="20"/>
                <w:b w:val="1"/>
                <w:bCs w:val="1"/>
                <w:color w:val="auto"/>
                <w:w w:val="96"/>
              </w:rPr>
              <w:t>her</w:t>
            </w:r>
          </w:p>
        </w:tc>
      </w:tr>
      <w:tr>
        <w:trPr>
          <w:trHeight w:val="228"/>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01"/>
              <w:spacing w:after="0" w:line="228" w:lineRule="exact"/>
              <w:rPr>
                <w:sz w:val="20"/>
                <w:szCs w:val="20"/>
                <w:color w:val="auto"/>
              </w:rPr>
            </w:pPr>
            <w:r>
              <w:rPr>
                <w:rFonts w:ascii="Times New Roman" w:cs="Times New Roman" w:eastAsia="Times New Roman" w:hAnsi="Times New Roman"/>
                <w:sz w:val="20"/>
                <w:szCs w:val="20"/>
                <w:b w:val="1"/>
                <w:bCs w:val="1"/>
                <w:color w:val="auto"/>
                <w:w w:val="98"/>
              </w:rPr>
              <w:t>translation</w:t>
            </w:r>
          </w:p>
        </w:tc>
        <w:tc>
          <w:tcPr>
            <w:tcW w:w="100" w:type="dxa"/>
            <w:vAlign w:val="bottom"/>
          </w:tcPr>
          <w:p>
            <w:pPr>
              <w:spacing w:after="0"/>
              <w:rPr>
                <w:sz w:val="19"/>
                <w:szCs w:val="19"/>
                <w:color w:val="auto"/>
              </w:rPr>
            </w:pPr>
          </w:p>
        </w:tc>
        <w:tc>
          <w:tcPr>
            <w:tcW w:w="1680" w:type="dxa"/>
            <w:vAlign w:val="bottom"/>
            <w:gridSpan w:val="2"/>
          </w:tcPr>
          <w:p>
            <w:pPr>
              <w:jc w:val="center"/>
              <w:ind w:right="298"/>
              <w:spacing w:after="0" w:line="228" w:lineRule="exact"/>
              <w:rPr>
                <w:sz w:val="20"/>
                <w:szCs w:val="20"/>
                <w:color w:val="auto"/>
              </w:rPr>
            </w:pPr>
            <w:r>
              <w:rPr>
                <w:rFonts w:ascii="Times New Roman" w:cs="Times New Roman" w:eastAsia="Times New Roman" w:hAnsi="Times New Roman"/>
                <w:sz w:val="20"/>
                <w:szCs w:val="20"/>
                <w:b w:val="1"/>
                <w:bCs w:val="1"/>
                <w:color w:val="auto"/>
              </w:rPr>
              <w:t>liability</w:t>
            </w:r>
          </w:p>
        </w:tc>
        <w:tc>
          <w:tcPr>
            <w:tcW w:w="100" w:type="dxa"/>
            <w:vAlign w:val="bottom"/>
          </w:tcPr>
          <w:p>
            <w:pPr>
              <w:spacing w:after="0"/>
              <w:rPr>
                <w:sz w:val="19"/>
                <w:szCs w:val="19"/>
                <w:color w:val="auto"/>
              </w:rPr>
            </w:pPr>
          </w:p>
        </w:tc>
        <w:tc>
          <w:tcPr>
            <w:tcW w:w="146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9"/>
              </w:rPr>
              <w:t>Pump Solutions</w:t>
            </w:r>
          </w:p>
        </w:tc>
        <w:tc>
          <w:tcPr>
            <w:tcW w:w="240" w:type="dxa"/>
            <w:vAlign w:val="bottom"/>
          </w:tcPr>
          <w:p>
            <w:pPr>
              <w:spacing w:after="0"/>
              <w:rPr>
                <w:sz w:val="19"/>
                <w:szCs w:val="19"/>
                <w:color w:val="auto"/>
              </w:rPr>
            </w:pPr>
          </w:p>
        </w:tc>
        <w:tc>
          <w:tcPr>
            <w:tcW w:w="1500" w:type="dxa"/>
            <w:vAlign w:val="bottom"/>
            <w:gridSpan w:val="3"/>
          </w:tcPr>
          <w:p>
            <w:pPr>
              <w:jc w:val="center"/>
              <w:ind w:right="18"/>
              <w:spacing w:after="0" w:line="228" w:lineRule="exact"/>
              <w:rPr>
                <w:sz w:val="20"/>
                <w:szCs w:val="20"/>
                <w:color w:val="auto"/>
              </w:rPr>
            </w:pPr>
            <w:r>
              <w:rPr>
                <w:rFonts w:ascii="Times New Roman" w:cs="Times New Roman" w:eastAsia="Times New Roman" w:hAnsi="Times New Roman"/>
                <w:sz w:val="20"/>
                <w:szCs w:val="20"/>
                <w:b w:val="1"/>
                <w:bCs w:val="1"/>
                <w:color w:val="auto"/>
                <w:w w:val="98"/>
              </w:rPr>
              <w:t>comprehensive l</w:t>
            </w:r>
          </w:p>
        </w:tc>
      </w:tr>
      <w:tr>
        <w:trPr>
          <w:trHeight w:val="25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320" w:type="dxa"/>
            <w:vAlign w:val="bottom"/>
            <w:gridSpan w:val="2"/>
          </w:tcPr>
          <w:p>
            <w:pPr>
              <w:jc w:val="center"/>
              <w:ind w:right="281"/>
              <w:spacing w:after="0"/>
              <w:rPr>
                <w:sz w:val="20"/>
                <w:szCs w:val="20"/>
                <w:color w:val="auto"/>
              </w:rPr>
            </w:pPr>
            <w:r>
              <w:rPr>
                <w:rFonts w:ascii="Times New Roman" w:cs="Times New Roman" w:eastAsia="Times New Roman" w:hAnsi="Times New Roman"/>
                <w:sz w:val="20"/>
                <w:szCs w:val="20"/>
                <w:b w:val="1"/>
                <w:bCs w:val="1"/>
                <w:color w:val="auto"/>
                <w:w w:val="96"/>
              </w:rPr>
              <w:t>loss</w:t>
            </w:r>
          </w:p>
        </w:tc>
        <w:tc>
          <w:tcPr>
            <w:tcW w:w="100" w:type="dxa"/>
            <w:vAlign w:val="bottom"/>
          </w:tcPr>
          <w:p>
            <w:pPr>
              <w:spacing w:after="0"/>
              <w:rPr>
                <w:sz w:val="21"/>
                <w:szCs w:val="21"/>
                <w:color w:val="auto"/>
              </w:rPr>
            </w:pPr>
          </w:p>
        </w:tc>
        <w:tc>
          <w:tcPr>
            <w:tcW w:w="1680" w:type="dxa"/>
            <w:vAlign w:val="bottom"/>
            <w:gridSpan w:val="2"/>
          </w:tcPr>
          <w:p>
            <w:pPr>
              <w:jc w:val="center"/>
              <w:ind w:right="278"/>
              <w:spacing w:after="0"/>
              <w:rPr>
                <w:sz w:val="20"/>
                <w:szCs w:val="20"/>
                <w:color w:val="auto"/>
              </w:rPr>
            </w:pPr>
            <w:r>
              <w:rPr>
                <w:rFonts w:ascii="Times New Roman" w:cs="Times New Roman" w:eastAsia="Times New Roman" w:hAnsi="Times New Roman"/>
                <w:sz w:val="20"/>
                <w:szCs w:val="20"/>
                <w:b w:val="1"/>
                <w:bCs w:val="1"/>
                <w:color w:val="auto"/>
                <w:w w:val="98"/>
              </w:rPr>
              <w:t>adjustment, net</w:t>
            </w:r>
          </w:p>
        </w:tc>
        <w:tc>
          <w:tcPr>
            <w:tcW w:w="100" w:type="dxa"/>
            <w:vAlign w:val="bottom"/>
          </w:tcPr>
          <w:p>
            <w:pPr>
              <w:spacing w:after="0"/>
              <w:rPr>
                <w:sz w:val="21"/>
                <w:szCs w:val="21"/>
                <w:color w:val="auto"/>
              </w:rPr>
            </w:pPr>
          </w:p>
        </w:tc>
        <w:tc>
          <w:tcPr>
            <w:tcW w:w="146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business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center"/>
              <w:ind w:right="338"/>
              <w:spacing w:after="0"/>
              <w:rPr>
                <w:sz w:val="20"/>
                <w:szCs w:val="20"/>
                <w:color w:val="auto"/>
              </w:rPr>
            </w:pPr>
            <w:r>
              <w:rPr>
                <w:rFonts w:ascii="Times New Roman" w:cs="Times New Roman" w:eastAsia="Times New Roman" w:hAnsi="Times New Roman"/>
                <w:sz w:val="20"/>
                <w:szCs w:val="20"/>
                <w:b w:val="1"/>
                <w:bCs w:val="1"/>
                <w:color w:val="auto"/>
                <w:w w:val="93"/>
              </w:rPr>
              <w:t>oss</w:t>
            </w:r>
          </w:p>
        </w:tc>
      </w:tr>
      <w:tr>
        <w:trPr>
          <w:trHeight w:val="236"/>
        </w:trPr>
        <w:tc>
          <w:tcPr>
            <w:tcW w:w="41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January 1, 2023</w:t>
            </w:r>
          </w:p>
        </w:tc>
        <w:tc>
          <w:tcPr>
            <w:tcW w:w="1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(11,993</w:t>
            </w:r>
          </w:p>
        </w:tc>
        <w:tc>
          <w:tcPr>
            <w:tcW w:w="260" w:type="dxa"/>
            <w:vAlign w:val="bottom"/>
            <w:tcBorders>
              <w:top w:val="single" w:sz="8" w:color="E6E6E6"/>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(6,003</w:t>
            </w:r>
          </w:p>
        </w:tc>
        <w:tc>
          <w:tcPr>
            <w:tcW w:w="240" w:type="dxa"/>
            <w:vAlign w:val="bottom"/>
            <w:tcBorders>
              <w:top w:val="single" w:sz="8" w:color="E6E6E6"/>
            </w:tcBorders>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(17,996</w:t>
            </w:r>
          </w:p>
        </w:tc>
        <w:tc>
          <w:tcPr>
            <w:tcW w:w="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6E6E6"/>
              </w:rPr>
              <w:t>)</w:t>
            </w:r>
          </w:p>
        </w:tc>
      </w:tr>
      <w:tr>
        <w:trPr>
          <w:trHeight w:val="242"/>
        </w:trPr>
        <w:tc>
          <w:tcPr>
            <w:tcW w:w="41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2023 activity</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260" w:type="dxa"/>
            <w:vAlign w:val="bottom"/>
            <w:tcBorders>
              <w:bottom w:val="single" w:sz="8" w:color="E6E6E6"/>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240" w:type="dxa"/>
            <w:vAlign w:val="bottom"/>
            <w:tcBorders>
              <w:bottom w:val="single" w:sz="8" w:color="E6E6E6"/>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w:t>
            </w:r>
          </w:p>
        </w:tc>
        <w:tc>
          <w:tcPr>
            <w:tcW w:w="80" w:type="dxa"/>
            <w:vAlign w:val="bottom"/>
            <w:tcBorders>
              <w:bottom w:val="single" w:sz="8" w:color="E6E6E6"/>
            </w:tcBorders>
          </w:tcPr>
          <w:p>
            <w:pPr>
              <w:spacing w:after="0"/>
              <w:rPr>
                <w:sz w:val="21"/>
                <w:szCs w:val="21"/>
                <w:color w:val="auto"/>
              </w:rPr>
            </w:pPr>
          </w:p>
        </w:tc>
      </w:tr>
      <w:tr>
        <w:trPr>
          <w:trHeight w:val="236"/>
        </w:trPr>
        <w:tc>
          <w:tcPr>
            <w:tcW w:w="41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December 31, 2023</w:t>
            </w:r>
          </w:p>
        </w:tc>
        <w:tc>
          <w:tcPr>
            <w:tcW w:w="120" w:type="dxa"/>
            <w:vAlign w:val="bottom"/>
            <w:shd w:val="clear" w:color="auto" w:fill="E6E6E6"/>
          </w:tcPr>
          <w:p>
            <w:pPr>
              <w:spacing w:after="0"/>
              <w:rPr>
                <w:sz w:val="20"/>
                <w:szCs w:val="20"/>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(11,496</w:t>
            </w:r>
          </w:p>
        </w:tc>
        <w:tc>
          <w:tcPr>
            <w:tcW w:w="26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E6E6E6"/>
          </w:tcPr>
          <w:p>
            <w:pPr>
              <w:spacing w:after="0"/>
              <w:rPr>
                <w:sz w:val="20"/>
                <w:szCs w:val="20"/>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(4,778</w:t>
            </w:r>
          </w:p>
        </w:tc>
        <w:tc>
          <w:tcPr>
            <w:tcW w:w="240" w:type="dxa"/>
            <w:vAlign w:val="bottom"/>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E6E6E6"/>
          </w:tcPr>
          <w:p>
            <w:pPr>
              <w:spacing w:after="0"/>
              <w:rPr>
                <w:sz w:val="20"/>
                <w:szCs w:val="20"/>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(16,274</w:t>
            </w:r>
          </w:p>
        </w:tc>
        <w:tc>
          <w:tcPr>
            <w:tcW w:w="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6E6E6"/>
              </w:rPr>
              <w:t>)</w:t>
            </w:r>
          </w:p>
        </w:tc>
      </w:tr>
      <w:tr>
        <w:trPr>
          <w:trHeight w:val="242"/>
        </w:trPr>
        <w:tc>
          <w:tcPr>
            <w:tcW w:w="41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2024 activity</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(860)</w:t>
            </w:r>
          </w:p>
        </w:tc>
        <w:tc>
          <w:tcPr>
            <w:tcW w:w="260" w:type="dxa"/>
            <w:vAlign w:val="bottom"/>
            <w:tcBorders>
              <w:bottom w:val="single" w:sz="8" w:color="E6E6E6"/>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2,693</w:t>
            </w:r>
          </w:p>
        </w:tc>
        <w:tc>
          <w:tcPr>
            <w:tcW w:w="240" w:type="dxa"/>
            <w:vAlign w:val="bottom"/>
            <w:tcBorders>
              <w:bottom w:val="single" w:sz="8" w:color="E6E6E6"/>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1,833</w:t>
            </w:r>
          </w:p>
        </w:tc>
        <w:tc>
          <w:tcPr>
            <w:tcW w:w="80" w:type="dxa"/>
            <w:vAlign w:val="bottom"/>
            <w:tcBorders>
              <w:bottom w:val="single" w:sz="8" w:color="E6E6E6"/>
            </w:tcBorders>
          </w:tcPr>
          <w:p>
            <w:pPr>
              <w:spacing w:after="0"/>
              <w:rPr>
                <w:sz w:val="21"/>
                <w:szCs w:val="21"/>
                <w:color w:val="auto"/>
              </w:rPr>
            </w:pPr>
          </w:p>
        </w:tc>
      </w:tr>
      <w:tr>
        <w:trPr>
          <w:trHeight w:val="236"/>
        </w:trPr>
        <w:tc>
          <w:tcPr>
            <w:tcW w:w="41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December 31, 2024</w:t>
            </w:r>
          </w:p>
        </w:tc>
        <w:tc>
          <w:tcPr>
            <w:tcW w:w="120" w:type="dxa"/>
            <w:vAlign w:val="bottom"/>
            <w:shd w:val="clear" w:color="auto" w:fill="E6E6E6"/>
          </w:tcPr>
          <w:p>
            <w:pPr>
              <w:spacing w:after="0"/>
              <w:rPr>
                <w:sz w:val="20"/>
                <w:szCs w:val="20"/>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(12,356</w:t>
            </w:r>
          </w:p>
        </w:tc>
        <w:tc>
          <w:tcPr>
            <w:tcW w:w="260" w:type="dxa"/>
            <w:vAlign w:val="bottom"/>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E6E6E6"/>
          </w:tcPr>
          <w:p>
            <w:pPr>
              <w:spacing w:after="0"/>
              <w:rPr>
                <w:sz w:val="20"/>
                <w:szCs w:val="20"/>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(2,085</w:t>
            </w:r>
          </w:p>
        </w:tc>
        <w:tc>
          <w:tcPr>
            <w:tcW w:w="240" w:type="dxa"/>
            <w:vAlign w:val="bottom"/>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E6E6E6"/>
          </w:tcPr>
          <w:p>
            <w:pPr>
              <w:spacing w:after="0"/>
              <w:rPr>
                <w:sz w:val="20"/>
                <w:szCs w:val="20"/>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(14,441</w:t>
            </w:r>
          </w:p>
        </w:tc>
        <w:tc>
          <w:tcPr>
            <w:tcW w:w="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6E6E6"/>
              </w:rPr>
              <w:t>)</w:t>
            </w:r>
          </w:p>
        </w:tc>
      </w:tr>
      <w:tr>
        <w:trPr>
          <w:trHeight w:val="242"/>
        </w:trPr>
        <w:tc>
          <w:tcPr>
            <w:tcW w:w="41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2025 activity</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3,436</w:t>
            </w:r>
          </w:p>
        </w:tc>
        <w:tc>
          <w:tcPr>
            <w:tcW w:w="260" w:type="dxa"/>
            <w:vAlign w:val="bottom"/>
            <w:tcBorders>
              <w:bottom w:val="single" w:sz="8" w:color="E6E6E6"/>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6E6E6"/>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24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5,540</w:t>
            </w:r>
          </w:p>
        </w:tc>
        <w:tc>
          <w:tcPr>
            <w:tcW w:w="80" w:type="dxa"/>
            <w:vAlign w:val="bottom"/>
            <w:tcBorders>
              <w:bottom w:val="single" w:sz="8" w:color="E6E6E6"/>
            </w:tcBorders>
          </w:tcPr>
          <w:p>
            <w:pPr>
              <w:spacing w:after="0"/>
              <w:rPr>
                <w:sz w:val="21"/>
                <w:szCs w:val="21"/>
                <w:color w:val="auto"/>
              </w:rPr>
            </w:pPr>
          </w:p>
        </w:tc>
      </w:tr>
      <w:tr>
        <w:trPr>
          <w:trHeight w:val="256"/>
        </w:trPr>
        <w:tc>
          <w:tcPr>
            <w:tcW w:w="41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December 31, 2025</w:t>
            </w:r>
          </w:p>
        </w:tc>
        <w:tc>
          <w:tcPr>
            <w:tcW w:w="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(8,920</w:t>
            </w:r>
          </w:p>
        </w:tc>
        <w:tc>
          <w:tcPr>
            <w:tcW w:w="260" w:type="dxa"/>
            <w:vAlign w:val="bottom"/>
            <w:tcBorders>
              <w:bottom w:val="single" w:sz="8" w:color="E6E6E6"/>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(2,085</w:t>
            </w:r>
          </w:p>
        </w:tc>
        <w:tc>
          <w:tcPr>
            <w:tcW w:w="240" w:type="dxa"/>
            <w:vAlign w:val="bottom"/>
            <w:tcBorders>
              <w:bottom w:val="single" w:sz="8" w:color="E6E6E6"/>
            </w:tcBorders>
            <w:shd w:val="clear" w:color="auto" w:fill="E6E6E6"/>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24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(8,901</w:t>
            </w:r>
          </w:p>
        </w:tc>
        <w:tc>
          <w:tcPr>
            <w:tcW w:w="8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6E6E6"/>
              </w:rPr>
              <w:t>)</w:t>
            </w: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1880" w:h="15480" w:orient="portrait"/>
          <w:cols w:equalWidth="0" w:num="1">
            <w:col w:w="10680"/>
          </w:cols>
          <w:pgMar w:left="600" w:top="81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680"/>
          </w:cols>
          <w:pgMar w:left="600" w:top="813" w:right="600" w:bottom="66"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7"/>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420" w:type="dxa"/>
            <w:vAlign w:val="bottom"/>
            <w:tcBorders>
              <w:bottom w:val="single" w:sz="8" w:color="E6E6E6"/>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9"/>
        </w:trPr>
        <w:tc>
          <w:tcPr>
            <w:tcW w:w="6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26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(63,701)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6420" w:type="dxa"/>
            <w:vAlign w:val="bottom"/>
            <w:shd w:val="clear" w:color="auto" w:fill="E6E6E6"/>
          </w:tcPr>
          <w:p>
            <w:pPr>
              <w:ind w:left="400"/>
              <w:spacing w:after="0" w:line="200" w:lineRule="exact"/>
              <w:rPr>
                <w:sz w:val="20"/>
                <w:szCs w:val="20"/>
                <w:color w:val="auto"/>
              </w:rPr>
            </w:pPr>
            <w:r>
              <w:rPr>
                <w:rFonts w:ascii="Times New Roman" w:cs="Times New Roman" w:eastAsia="Times New Roman" w:hAnsi="Times New Roman"/>
                <w:sz w:val="18"/>
                <w:szCs w:val="18"/>
                <w:color w:val="auto"/>
              </w:rPr>
              <w:t>Loss realized with transfer of pension plan with sale of Global Pump Solutions</w:t>
            </w: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business</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Fair value adjustments to earnout liabilities</w:t>
            </w:r>
          </w:p>
        </w:tc>
        <w:tc>
          <w:tcPr>
            <w:tcW w:w="26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Debt discount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Provision for credit (recovery) loss</w:t>
            </w:r>
          </w:p>
        </w:tc>
        <w:tc>
          <w:tcPr>
            <w:tcW w:w="26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Inventory obsolescence expense</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(3,606)</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 and divestiture:</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(52,355)</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Cost and estimated earnings of billings on uncompleted contracts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(44,833)</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(4,149)</w:t>
            </w: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(9,814)</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(8,347)</w:t>
            </w: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(12,736)</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37,903</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 payable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24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4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240" w:type="dxa"/>
            <w:vAlign w:val="bottom"/>
            <w:tcBorders>
              <w:bottom w:val="single" w:sz="8" w:color="E6E6E6"/>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44,647</w:t>
            </w:r>
          </w:p>
        </w:tc>
        <w:tc>
          <w:tcPr>
            <w:tcW w:w="8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Net cash proceeds for sale of Global Pump Solutions business</w:t>
            </w: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107,808</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 from sale of assets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(97,615)</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(87,948)</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(48,102)</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Borders>
              <w:bottom w:val="single" w:sz="8" w:color="E6E6E6"/>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6E6E6"/>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(105,312</w:t>
            </w:r>
          </w:p>
        </w:tc>
        <w:tc>
          <w:tcPr>
            <w:tcW w:w="240" w:type="dxa"/>
            <w:vAlign w:val="bottom"/>
            <w:tcBorders>
              <w:bottom w:val="single" w:sz="8" w:color="E6E6E6"/>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(56,486</w:t>
            </w:r>
          </w:p>
        </w:tc>
        <w:tc>
          <w:tcPr>
            <w:tcW w:w="8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revolving credit lines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Repayments on revolving credit lines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(238,900)</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(112,400)</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(150,600)</w:t>
            </w: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260" w:type="dxa"/>
            <w:vAlign w:val="bottom"/>
          </w:tcPr>
          <w:p>
            <w:pPr>
              <w:spacing w:after="0"/>
              <w:rPr>
                <w:sz w:val="19"/>
                <w:szCs w:val="19"/>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(113,982)</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fees paid</w:t>
            </w:r>
          </w:p>
        </w:tc>
        <w:tc>
          <w:tcPr>
            <w:tcW w:w="260" w:type="dxa"/>
            <w:vAlign w:val="bottom"/>
          </w:tcPr>
          <w:p>
            <w:pPr>
              <w:spacing w:after="0"/>
              <w:rPr>
                <w:sz w:val="19"/>
                <w:szCs w:val="19"/>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(1,924)</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Deferred consideration paid for acquisitions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(2,050)</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financing leases</w:t>
            </w:r>
          </w:p>
        </w:tc>
        <w:tc>
          <w:tcPr>
            <w:tcW w:w="26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Earnout payments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(2,831)</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00"/>
        </w:trPr>
        <w:tc>
          <w:tcPr>
            <w:tcW w:w="642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color w:val="auto"/>
              </w:rPr>
              <w:t>Equity awards surrendered by employees for tax liability, net of proceeds from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 and exercise of stock options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(2,169)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260" w:type="dxa"/>
            <w:vAlign w:val="bottom"/>
            <w:shd w:val="clear" w:color="auto" w:fill="E6E6E6"/>
          </w:tcPr>
          <w:p>
            <w:pPr>
              <w:spacing w:after="0"/>
              <w:rPr>
                <w:sz w:val="19"/>
                <w:szCs w:val="19"/>
                <w:color w:val="auto"/>
              </w:rPr>
            </w:pPr>
          </w:p>
        </w:tc>
        <w:tc>
          <w:tcPr>
            <w:tcW w:w="1120" w:type="dxa"/>
            <w:vAlign w:val="bottom"/>
            <w:gridSpan w:val="2"/>
            <w:shd w:val="clear" w:color="auto" w:fill="E6E6E6"/>
          </w:tcPr>
          <w:p>
            <w:pPr>
              <w:jc w:val="right"/>
              <w:ind w:right="2"/>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02"/>
              <w:spacing w:after="0"/>
              <w:rPr>
                <w:sz w:val="20"/>
                <w:szCs w:val="20"/>
                <w:color w:val="auto"/>
              </w:rPr>
            </w:pPr>
            <w:r>
              <w:rPr>
                <w:rFonts w:ascii="Times New Roman" w:cs="Times New Roman" w:eastAsia="Times New Roman" w:hAnsi="Times New Roman"/>
                <w:sz w:val="18"/>
                <w:szCs w:val="18"/>
                <w:color w:val="auto"/>
              </w:rPr>
              <w:t>(2,109)</w:t>
            </w:r>
          </w:p>
        </w:tc>
        <w:tc>
          <w:tcPr>
            <w:tcW w:w="260" w:type="dxa"/>
            <w:vAlign w:val="bottom"/>
            <w:shd w:val="clear" w:color="auto" w:fill="E6E6E6"/>
          </w:tcPr>
          <w:p>
            <w:pPr>
              <w:spacing w:after="0"/>
              <w:rPr>
                <w:sz w:val="19"/>
                <w:szCs w:val="19"/>
                <w:color w:val="auto"/>
              </w:rPr>
            </w:pPr>
          </w:p>
        </w:tc>
        <w:tc>
          <w:tcPr>
            <w:tcW w:w="10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1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9"/>
                <w:szCs w:val="19"/>
                <w:color w:val="auto"/>
              </w:rPr>
            </w:pPr>
          </w:p>
        </w:tc>
        <w:tc>
          <w:tcPr>
            <w:tcW w:w="11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19"/>
                <w:szCs w:val="19"/>
                <w:color w:val="auto"/>
              </w:rPr>
            </w:pP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420" w:type="dxa"/>
            <w:vAlign w:val="bottom"/>
            <w:tcBorders>
              <w:top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40" w:type="dxa"/>
            <w:vAlign w:val="bottom"/>
            <w:tcBorders>
              <w:top w:val="single" w:sz="8" w:color="E6E6E6"/>
            </w:tcBorders>
            <w:shd w:val="clear" w:color="auto" w:fill="E6E6E6"/>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24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8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4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40" w:type="dxa"/>
            <w:vAlign w:val="bottom"/>
            <w:tcBorders>
              <w:bottom w:val="single" w:sz="8" w:color="E6E6E6"/>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shd w:val="clear" w:color="auto" w:fill="E6E6E6"/>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(17,247</w:t>
            </w:r>
          </w:p>
        </w:tc>
        <w:tc>
          <w:tcPr>
            <w:tcW w:w="240" w:type="dxa"/>
            <w:vAlign w:val="bottom"/>
            <w:shd w:val="clear" w:color="auto" w:fill="E6E6E6"/>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4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55,448</w:t>
            </w:r>
          </w:p>
        </w:tc>
        <w:tc>
          <w:tcPr>
            <w:tcW w:w="24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46,585</w:t>
            </w:r>
          </w:p>
        </w:tc>
        <w:tc>
          <w:tcPr>
            <w:tcW w:w="8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260" w:type="dxa"/>
            <w:vAlign w:val="bottom"/>
            <w:tcBorders>
              <w:bottom w:val="single" w:sz="8" w:color="auto"/>
            </w:tcBorders>
            <w:shd w:val="clear" w:color="auto" w:fill="E6E6E6"/>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240" w:type="dxa"/>
            <w:vAlign w:val="bottom"/>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55,448</w:t>
            </w: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Borders>
              <w:bottom w:val="single" w:sz="8" w:color="auto"/>
            </w:tcBorders>
            <w:shd w:val="clear" w:color="auto" w:fill="E6E6E6"/>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240" w:type="dxa"/>
            <w:vAlign w:val="bottom"/>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260" w:type="dxa"/>
            <w:vAlign w:val="bottom"/>
            <w:tcBorders>
              <w:top w:val="single" w:sz="8" w:color="auto"/>
              <w:bottom w:val="single" w:sz="8" w:color="auto"/>
            </w:tcBorders>
          </w:tcPr>
          <w:p>
            <w:pPr>
              <w:jc w:val="right"/>
              <w:ind w:right="7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9,550</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1880" w:h="15480" w:orient="portrait"/>
          <w:cols w:equalWidth="0" w:num="1">
            <w:col w:w="10680"/>
          </w:cols>
          <w:pgMar w:left="600" w:top="813" w:right="600" w:bottom="66"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680"/>
          </w:cols>
          <w:pgMar w:left="600" w:top="813" w:right="600" w:bottom="66" w:gutter="0" w:footer="0" w:header="0"/>
          <w:type w:val="continuous"/>
        </w:sectPr>
      </w:pPr>
    </w:p>
    <w:bookmarkStart w:id="66" w:name="page67"/>
    <w:bookmarkEnd w:id="66"/>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jc w:val="center"/>
        <w:ind w:right="-5"/>
        <w:spacing w:after="0" w:line="237"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09" w:lineRule="exact"/>
        <w:rPr>
          <w:sz w:val="20"/>
          <w:szCs w:val="20"/>
          <w:color w:val="auto"/>
        </w:rPr>
      </w:pPr>
    </w:p>
    <w:p>
      <w:pPr>
        <w:ind w:left="486" w:hanging="486"/>
        <w:spacing w:after="0"/>
        <w:tabs>
          <w:tab w:leader="none" w:pos="486"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Business and Summary of Significant Accounting Policies</w:t>
      </w:r>
    </w:p>
    <w:p>
      <w:pPr>
        <w:spacing w:after="0" w:line="238" w:lineRule="exact"/>
        <w:rPr>
          <w:sz w:val="20"/>
          <w:szCs w:val="20"/>
          <w:color w:val="auto"/>
        </w:rPr>
      </w:pPr>
    </w:p>
    <w:p>
      <w:pPr>
        <w:ind w:left="6"/>
        <w:spacing w:after="0" w:line="242" w:lineRule="auto"/>
        <w:rPr>
          <w:sz w:val="20"/>
          <w:szCs w:val="20"/>
          <w:color w:val="auto"/>
        </w:rPr>
      </w:pPr>
      <w:r>
        <w:rPr>
          <w:rFonts w:ascii="Times New Roman" w:cs="Times New Roman" w:eastAsia="Times New Roman" w:hAnsi="Times New Roman"/>
          <w:sz w:val="20"/>
          <w:szCs w:val="20"/>
          <w:i w:val="1"/>
          <w:iCs w:val="1"/>
          <w:color w:val="auto"/>
        </w:rPr>
        <w:t>Nature of business</w:t>
      </w:r>
      <w:r>
        <w:rPr>
          <w:rFonts w:ascii="Times New Roman" w:cs="Times New Roman" w:eastAsia="Times New Roman" w:hAnsi="Times New Roman"/>
          <w:sz w:val="20"/>
          <w:szCs w:val="20"/>
          <w:color w:val="auto"/>
        </w:rPr>
        <w:t>— CECO Environmental Corp. and its consolidated subsidiaries (“CECO,” the “Company,” “we,” “us,” or “our”)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200" w:lineRule="exact"/>
        <w:rPr>
          <w:sz w:val="20"/>
          <w:szCs w:val="20"/>
          <w:color w:val="auto"/>
        </w:rPr>
      </w:pPr>
    </w:p>
    <w:p>
      <w:pPr>
        <w:ind w:left="6" w:right="860"/>
        <w:spacing w:after="0" w:line="275" w:lineRule="auto"/>
        <w:rPr>
          <w:sz w:val="20"/>
          <w:szCs w:val="20"/>
          <w:color w:val="auto"/>
        </w:rPr>
      </w:pPr>
      <w:r>
        <w:rPr>
          <w:rFonts w:ascii="Times New Roman" w:cs="Times New Roman" w:eastAsia="Times New Roman" w:hAnsi="Times New Roman"/>
          <w:sz w:val="20"/>
          <w:szCs w:val="20"/>
          <w:i w:val="1"/>
          <w:iCs w:val="1"/>
          <w:color w:val="auto"/>
        </w:rPr>
        <w:t>Principles of consolidation</w:t>
      </w:r>
      <w:r>
        <w:rPr>
          <w:rFonts w:ascii="Times New Roman" w:cs="Times New Roman" w:eastAsia="Times New Roman" w:hAnsi="Times New Roman"/>
          <w:sz w:val="20"/>
          <w:szCs w:val="20"/>
          <w:color w:val="auto"/>
        </w:rPr>
        <w:t>—The consolidated financial statements include the Company and its controlled subsidiaries.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intercompany balances and transactions have been eliminated.</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Certain prior period amounts were reclassified to conform to the presentation in the current period.</w:t>
      </w: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Unless indicated, all balances within tables are in thousands with the exception of per share amounts.</w:t>
      </w:r>
    </w:p>
    <w:p>
      <w:pPr>
        <w:spacing w:after="0" w:line="235" w:lineRule="exact"/>
        <w:rPr>
          <w:sz w:val="20"/>
          <w:szCs w:val="20"/>
          <w:color w:val="auto"/>
        </w:rPr>
      </w:pPr>
    </w:p>
    <w:p>
      <w:pPr>
        <w:ind w:left="6"/>
        <w:spacing w:after="0" w:line="243" w:lineRule="auto"/>
        <w:rPr>
          <w:sz w:val="20"/>
          <w:szCs w:val="20"/>
          <w:color w:val="auto"/>
        </w:rPr>
      </w:pPr>
      <w:r>
        <w:rPr>
          <w:rFonts w:ascii="Times New Roman" w:cs="Times New Roman" w:eastAsia="Times New Roman" w:hAnsi="Times New Roman"/>
          <w:sz w:val="20"/>
          <w:szCs w:val="20"/>
          <w:i w:val="1"/>
          <w:iCs w:val="1"/>
          <w:color w:val="auto"/>
        </w:rPr>
        <w:t>Use of estimates</w:t>
      </w:r>
      <w:r>
        <w:rPr>
          <w:rFonts w:ascii="Times New Roman" w:cs="Times New Roman" w:eastAsia="Times New Roman" w:hAnsi="Times New Roman"/>
          <w:sz w:val="20"/>
          <w:szCs w:val="20"/>
          <w:color w:val="auto"/>
        </w:rPr>
        <w:t>—The preparation of financial statements in conformity with accounting principles generally accepted in the United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the estimates of contracts' progress to completion used in the recognition of revenue over time, inventory valuation, the estimated useful lives of fixed assets and intangible assets, fair values of long-lived assets and goodwill, and deferred tax assets.</w:t>
      </w:r>
    </w:p>
    <w:p>
      <w:pPr>
        <w:spacing w:after="0" w:line="202" w:lineRule="exact"/>
        <w:rPr>
          <w:sz w:val="20"/>
          <w:szCs w:val="20"/>
          <w:color w:val="auto"/>
        </w:rPr>
      </w:pPr>
    </w:p>
    <w:p>
      <w:pPr>
        <w:ind w:left="6" w:right="300"/>
        <w:spacing w:after="0" w:line="256" w:lineRule="auto"/>
        <w:rPr>
          <w:sz w:val="20"/>
          <w:szCs w:val="20"/>
          <w:color w:val="auto"/>
        </w:rPr>
      </w:pPr>
      <w:r>
        <w:rPr>
          <w:rFonts w:ascii="Times New Roman" w:cs="Times New Roman" w:eastAsia="Times New Roman" w:hAnsi="Times New Roman"/>
          <w:sz w:val="20"/>
          <w:szCs w:val="20"/>
          <w:i w:val="1"/>
          <w:iCs w:val="1"/>
          <w:color w:val="auto"/>
        </w:rPr>
        <w:t>Cash equivalents</w:t>
      </w:r>
      <w:r>
        <w:rPr>
          <w:rFonts w:ascii="Times New Roman" w:cs="Times New Roman" w:eastAsia="Times New Roman" w:hAnsi="Times New Roman"/>
          <w:sz w:val="20"/>
          <w:szCs w:val="20"/>
          <w:color w:val="auto"/>
        </w:rPr>
        <w:t>—The Company considers all highly liquid investments with original maturities of three months or less to be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At December 31, 2025 and 2024, Restricted Cash is cash in support of letters of credit issued by various foreign subsidiaries of the Company. The Company occasionally enters into letters of credit with durations in excess of one year.</w:t>
      </w:r>
    </w:p>
    <w:p>
      <w:pPr>
        <w:spacing w:after="0" w:line="185" w:lineRule="exact"/>
        <w:rPr>
          <w:sz w:val="20"/>
          <w:szCs w:val="20"/>
          <w:color w:val="auto"/>
        </w:rPr>
      </w:pPr>
    </w:p>
    <w:p>
      <w:pPr>
        <w:ind w:left="6"/>
        <w:spacing w:after="0" w:line="275"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Statements of Cash Flows.</w:t>
      </w:r>
    </w:p>
    <w:p>
      <w:pPr>
        <w:spacing w:after="0" w:line="220"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7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756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E6E6E6"/>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6E6E6"/>
            </w:tcBorders>
          </w:tcPr>
          <w:p>
            <w:pPr>
              <w:spacing w:after="0"/>
              <w:rPr>
                <w:sz w:val="21"/>
                <w:szCs w:val="21"/>
                <w:color w:val="auto"/>
              </w:rPr>
            </w:pPr>
          </w:p>
        </w:tc>
      </w:tr>
      <w:tr>
        <w:trPr>
          <w:trHeight w:val="236"/>
        </w:trPr>
        <w:tc>
          <w:tcPr>
            <w:tcW w:w="75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33,144</w:t>
            </w:r>
          </w:p>
        </w:tc>
        <w:tc>
          <w:tcPr>
            <w:tcW w:w="240" w:type="dxa"/>
            <w:vAlign w:val="bottom"/>
            <w:shd w:val="clear" w:color="auto" w:fill="E6E6E6"/>
          </w:tcPr>
          <w:p>
            <w:pPr>
              <w:spacing w:after="0"/>
              <w:rPr>
                <w:sz w:val="20"/>
                <w:szCs w:val="20"/>
                <w:color w:val="auto"/>
              </w:rPr>
            </w:pPr>
          </w:p>
        </w:tc>
        <w:tc>
          <w:tcPr>
            <w:tcW w:w="460" w:type="dxa"/>
            <w:vAlign w:val="bottom"/>
            <w:shd w:val="clear" w:color="auto" w:fill="E6E6E6"/>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37,832</w:t>
            </w:r>
          </w:p>
        </w:tc>
        <w:tc>
          <w:tcPr>
            <w:tcW w:w="60" w:type="dxa"/>
            <w:vAlign w:val="bottom"/>
            <w:shd w:val="clear" w:color="auto" w:fill="E6E6E6"/>
          </w:tcPr>
          <w:p>
            <w:pPr>
              <w:spacing w:after="0"/>
              <w:rPr>
                <w:sz w:val="20"/>
                <w:szCs w:val="20"/>
                <w:color w:val="auto"/>
              </w:rPr>
            </w:pPr>
          </w:p>
        </w:tc>
      </w:tr>
      <w:tr>
        <w:trPr>
          <w:trHeight w:val="242"/>
        </w:trPr>
        <w:tc>
          <w:tcPr>
            <w:tcW w:w="75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40" w:type="dxa"/>
            <w:vAlign w:val="bottom"/>
            <w:tcBorders>
              <w:bottom w:val="single" w:sz="8" w:color="E6E6E6"/>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60" w:type="dxa"/>
            <w:vAlign w:val="bottom"/>
            <w:tcBorders>
              <w:bottom w:val="single" w:sz="8" w:color="E6E6E6"/>
            </w:tcBorders>
          </w:tcPr>
          <w:p>
            <w:pPr>
              <w:spacing w:after="0"/>
              <w:rPr>
                <w:sz w:val="21"/>
                <w:szCs w:val="21"/>
                <w:color w:val="auto"/>
              </w:rPr>
            </w:pPr>
          </w:p>
        </w:tc>
      </w:tr>
      <w:tr>
        <w:trPr>
          <w:trHeight w:val="236"/>
        </w:trPr>
        <w:tc>
          <w:tcPr>
            <w:tcW w:w="75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33,227</w:t>
            </w:r>
          </w:p>
        </w:tc>
        <w:tc>
          <w:tcPr>
            <w:tcW w:w="240" w:type="dxa"/>
            <w:vAlign w:val="bottom"/>
            <w:shd w:val="clear" w:color="auto" w:fill="E6E6E6"/>
          </w:tcPr>
          <w:p>
            <w:pPr>
              <w:spacing w:after="0"/>
              <w:rPr>
                <w:sz w:val="20"/>
                <w:szCs w:val="20"/>
                <w:color w:val="auto"/>
              </w:rPr>
            </w:pPr>
          </w:p>
        </w:tc>
        <w:tc>
          <w:tcPr>
            <w:tcW w:w="460" w:type="dxa"/>
            <w:vAlign w:val="bottom"/>
            <w:tcBorders>
              <w:bottom w:val="single" w:sz="8" w:color="auto"/>
            </w:tcBorders>
            <w:shd w:val="clear" w:color="auto" w:fill="E6E6E6"/>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38,201</w:t>
            </w:r>
          </w:p>
        </w:tc>
        <w:tc>
          <w:tcPr>
            <w:tcW w:w="60" w:type="dxa"/>
            <w:vAlign w:val="bottom"/>
            <w:shd w:val="clear" w:color="auto" w:fill="E6E6E6"/>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6" w:right="300"/>
        <w:spacing w:after="0" w:line="245" w:lineRule="auto"/>
        <w:rPr>
          <w:sz w:val="20"/>
          <w:szCs w:val="20"/>
          <w:color w:val="auto"/>
        </w:rPr>
      </w:pPr>
      <w:r>
        <w:rPr>
          <w:rFonts w:ascii="Times New Roman" w:cs="Times New Roman" w:eastAsia="Times New Roman" w:hAnsi="Times New Roman"/>
          <w:sz w:val="20"/>
          <w:szCs w:val="20"/>
          <w:i w:val="1"/>
          <w:iCs w:val="1"/>
          <w:color w:val="auto"/>
        </w:rPr>
        <w:t>Accounts receivable</w:t>
      </w:r>
      <w:r>
        <w:rPr>
          <w:rFonts w:ascii="Times New Roman" w:cs="Times New Roman" w:eastAsia="Times New Roman" w:hAnsi="Times New Roman"/>
          <w:sz w:val="20"/>
          <w:szCs w:val="20"/>
          <w:color w:val="auto"/>
        </w:rPr>
        <w:t>—Receivables are generally uncollateralized customer obligations due under normal terms requiring 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within 30 days 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195" w:lineRule="exact"/>
        <w:rPr>
          <w:sz w:val="20"/>
          <w:szCs w:val="20"/>
          <w:color w:val="auto"/>
        </w:rPr>
      </w:pPr>
    </w:p>
    <w:p>
      <w:pPr>
        <w:ind w:left="6" w:right="120"/>
        <w:spacing w:after="0" w:line="250" w:lineRule="auto"/>
        <w:rPr>
          <w:sz w:val="20"/>
          <w:szCs w:val="20"/>
          <w:color w:val="auto"/>
        </w:rPr>
      </w:pPr>
      <w:r>
        <w:rPr>
          <w:rFonts w:ascii="Times New Roman" w:cs="Times New Roman" w:eastAsia="Times New Roman" w:hAnsi="Times New Roman"/>
          <w:sz w:val="20"/>
          <w:szCs w:val="20"/>
          <w:i w:val="1"/>
          <w:iCs w:val="1"/>
          <w:color w:val="auto"/>
        </w:rPr>
        <w:t>Inventories</w:t>
      </w:r>
      <w:r>
        <w:rPr>
          <w:rFonts w:ascii="Times New Roman" w:cs="Times New Roman" w:eastAsia="Times New Roman" w:hAnsi="Times New Roman"/>
          <w:sz w:val="20"/>
          <w:szCs w:val="20"/>
          <w:color w:val="auto"/>
        </w:rPr>
        <w:t>—The Company’s inventories are valued at the lower of cost or net realizable value. Cost is determined on a first-in, first-out or average cost basis. Inventory quantities are regularly reviewed and provisions for excess or obsolete inventory are recorded primarily based on the Company’s forecast of future demand and market conditions. Significant unanticipated changes to forecasts could require a change in the provision for excess or obsolete inventory.</w:t>
      </w:r>
    </w:p>
    <w:p>
      <w:pPr>
        <w:sectPr>
          <w:pgSz w:w="11880" w:h="15480" w:orient="portrait"/>
          <w:cols w:equalWidth="0" w:num="1">
            <w:col w:w="10686"/>
          </w:cols>
          <w:pgMar w:left="594" w:top="81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686"/>
          </w:cols>
          <w:pgMar w:left="594" w:top="813" w:right="600" w:bottom="66" w:gutter="0" w:footer="0" w:header="0"/>
          <w:type w:val="continuous"/>
        </w:sectPr>
      </w:pPr>
    </w:p>
    <w:bookmarkStart w:id="67" w:name="page68"/>
    <w:bookmarkEnd w:id="67"/>
    <w:p>
      <w:pPr>
        <w:ind w:right="100"/>
        <w:spacing w:after="0" w:line="245" w:lineRule="auto"/>
        <w:rPr>
          <w:sz w:val="20"/>
          <w:szCs w:val="20"/>
          <w:color w:val="auto"/>
        </w:rPr>
      </w:pP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—Property, plant and equipment are carried at the cost of acquisition or construction and depreciated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the estimated 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i w:val="1"/>
          <w:iCs w:val="1"/>
          <w:color w:val="auto"/>
        </w:rPr>
        <w:t>Long-lived assets</w:t>
      </w:r>
      <w:r>
        <w:rPr>
          <w:rFonts w:ascii="Times New Roman" w:cs="Times New Roman" w:eastAsia="Times New Roman" w:hAnsi="Times New Roman"/>
          <w:sz w:val="19"/>
          <w:szCs w:val="19"/>
          <w:color w:val="auto"/>
        </w:rPr>
        <w:t>—Property, plant and equipment, right-of-use assets, and finite life intangible assets are reviewed whenever events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changes in circumstances occur that 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90"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9"/>
          <w:szCs w:val="19"/>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i w:val="1"/>
          <w:iCs w:val="1"/>
          <w:color w:val="auto"/>
        </w:rPr>
        <w:t>Intangible assets</w:t>
      </w:r>
      <w:r>
        <w:rPr>
          <w:rFonts w:ascii="Times New Roman" w:cs="Times New Roman" w:eastAsia="Times New Roman" w:hAnsi="Times New Roman"/>
          <w:sz w:val="20"/>
          <w:szCs w:val="20"/>
          <w:color w:val="auto"/>
        </w:rPr>
        <w:t>— Indefinite life intangible assets are comprised of tradenames, while finite life intangible assets are comprised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customer lists, and tradenames. Finite life intangible assets are amortized on a straight line or accelerated basis over their estimated useful lives of seven to 10 years for technology, five to 20 years for customer lists, and 10 years for tradenames.</w:t>
      </w:r>
    </w:p>
    <w:p>
      <w:pPr>
        <w:spacing w:after="0" w:line="18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i w:val="1"/>
          <w:iCs w:val="1"/>
          <w:color w:val="auto"/>
        </w:rPr>
        <w:t>Goodwill</w:t>
      </w:r>
      <w:r>
        <w:rPr>
          <w:rFonts w:ascii="Times New Roman" w:cs="Times New Roman" w:eastAsia="Times New Roman" w:hAnsi="Times New Roman"/>
          <w:sz w:val="20"/>
          <w:szCs w:val="20"/>
          <w:color w:val="auto"/>
        </w:rPr>
        <w:t>—The Company completes an impairment assessment annually in the fourth quarter or more often as circumstances require,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its goodwill and indefinite-lived intangible assets on a reporting unit level, at or below the operating segment level. As a part of its annual assessment, the Company first qualitatively assesses whether current events or changes in circumstances lead to a determination that it is more likely than not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20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—The Company allocates the fair value of purchase consideration to the tangible assets acquired, liabilities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assumed, and intangible assets acquired based upon their estimated fair values as of the acquisition date. The Company determines the fair value of intangible assets using the income method, which is based upon a discounted future cash flow. The discounted future cash flow utilizes unobservable inputs, or Level 3 assumptions. Specifically, the discounted future cash flow uses the significant assumptions of projected revenue, projected operational profit, terminal growth rates, and the cost of capital. Projected revenue and operational profit, and terminal growth rates have been determined to be significant assumptions because they are three primary drivers of the projected cash flows in the discounted future cash flow approach. Cost of capital has also been determined to be a significant assumption as it is the discount rate used to calculate the current fair value of those projected cash flows. The excess of the fair value of purchase consideration over the fair values of these identifiable assets and liabilities is recorded as goodwill based on the expected benefits from the business combination. Allocation of purchase consideration to identifiable assets and liabilities affects the amortization expense, as acquired finite-lived intangible assets are amortized over the useful life, whereas any indefinite-lived intangible assets, including goodwill, are not amortized. During the measurement period, which is not to exceed one year from the date of acquisition, the Company may record adjustments to the assets acquired and liabilities assumed, with the corresponding offset to goodwill. Subsequent to the measurement period, any necessary adjustments are recorded to earnings. Acquisition-related expenses are recognized separately from business combinations, and expensed as incurred.</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i w:val="1"/>
          <w:iCs w:val="1"/>
          <w:color w:val="auto"/>
        </w:rPr>
        <w:t>Deferred financing costs</w:t>
      </w:r>
      <w:r>
        <w:rPr>
          <w:rFonts w:ascii="Times New Roman" w:cs="Times New Roman" w:eastAsia="Times New Roman" w:hAnsi="Times New Roman"/>
          <w:sz w:val="19"/>
          <w:szCs w:val="19"/>
          <w:color w:val="auto"/>
        </w:rPr>
        <w:t>—Deferred financing costs are amortized to interest expense over the life of the related loan. In fiscal 2021,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 entered into Amendment No.2 to the Second Amended and Restated Credit Agreement.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In fiscal 2023, the Company entered into Amendment No.4 to the Second Amended and Restated Credit Agreement. In connection with this amendment, the Company incurred $0.4 million in customary closing fees in the fourth quarter of 2023 that were capitalized and classified as a debt discount (see Note 8). In fiscal 2024, the Company entered into the Third Amended and Restated Credit Agreement. In connection with this agreement, the Company incurred $1.8 million in customary</w:t>
      </w:r>
    </w:p>
    <w:p>
      <w:pPr>
        <w:sectPr>
          <w:pgSz w:w="11880" w:h="15480" w:orient="portrait"/>
          <w:cols w:equalWidth="0" w:num="1">
            <w:col w:w="10680"/>
          </w:cols>
          <w:pgMar w:left="600" w:top="818" w:right="600" w:bottom="66"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680"/>
          </w:cols>
          <w:pgMar w:left="600" w:top="818" w:right="600" w:bottom="66" w:gutter="0" w:footer="0" w:header="0"/>
          <w:type w:val="continuous"/>
        </w:sectPr>
      </w:pPr>
    </w:p>
    <w:bookmarkStart w:id="68" w:name="page69"/>
    <w:bookmarkEnd w:id="68"/>
    <w:p>
      <w:pPr>
        <w:ind w:right="40"/>
        <w:spacing w:after="0" w:line="245" w:lineRule="auto"/>
        <w:rPr>
          <w:sz w:val="20"/>
          <w:szCs w:val="20"/>
          <w:color w:val="auto"/>
        </w:rPr>
      </w:pPr>
      <w:r>
        <w:rPr>
          <w:rFonts w:ascii="Times New Roman" w:cs="Times New Roman" w:eastAsia="Times New Roman" w:hAnsi="Times New Roman"/>
          <w:sz w:val="20"/>
          <w:szCs w:val="20"/>
          <w:color w:val="auto"/>
        </w:rPr>
        <w:t>closing fees that were capitalized and classified as a debt discount (see Note 8). In addition, $0.1 million of loss on extinguishments of debt was recorded within Interest expense on the Consolidated Statement of Income related to the previously capitalized amounts relating to the portion of the Third Amended and Restated Credit Agreement that was concluded to be debt extinguishment. Amortization expense was $0.8 million, $0.5 million and $0.4 million for 2025, 2024 and 2023, respectively. As of December 31, 2025, and 2024, remaining capitalized deferred financing costs of $1.8 million and $2.7 million, respectively, are included as a discount to debt in the accompanying Consolidated Balance Sheets.</w:t>
      </w:r>
    </w:p>
    <w:p>
      <w:pPr>
        <w:spacing w:after="0" w:line="19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—A significant portion of the Company's revenue is derived from fixed-price contracts. The Company accounts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a contract after it has been approved by all parties to the arrangement, the rights of the parties are identified, payment terms are identified, the contract has commercial substance and collectability of consideration is probable.</w:t>
      </w:r>
    </w:p>
    <w:p>
      <w:pPr>
        <w:spacing w:after="0" w:line="185"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For each contract, the Company assesses the goods and services promised to a customer and identifies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 price for each contract based on the consideration the Company expects to receive for the products or services being provided under the contract.</w:t>
      </w:r>
    </w:p>
    <w:p>
      <w:pPr>
        <w:spacing w:after="0" w:line="19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76% of total revenue for the year ended December 31, 2025, and 75% for the years ended December 31, 2024 and 2023.</w:t>
      </w:r>
    </w:p>
    <w:p>
      <w:pPr>
        <w:spacing w:after="0" w:line="2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For contracts where the duration is short, or control does not continuously transfer to the customer, revenues are recognized at the point in time control passes to the customer, which occurs generally upon shipment of product. Annual revenue recognized at a point in time is approximately 24% of total revenue for the year ended December 31, 2025, and 25% for the years ended December 31, 2024 and 2023.</w:t>
      </w:r>
    </w:p>
    <w:p>
      <w:pPr>
        <w:spacing w:after="0" w:line="19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0"/>
          <w:szCs w:val="20"/>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6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Contract assets and contract liabilities </w:t>
      </w:r>
      <w:r>
        <w:rPr>
          <w:rFonts w:ascii="Times New Roman" w:cs="Times New Roman" w:eastAsia="Times New Roman" w:hAnsi="Times New Roman"/>
          <w:sz w:val="20"/>
          <w:szCs w:val="20"/>
          <w:color w:val="auto"/>
        </w:rPr>
        <w:t>— Contract assets consist of costs and earnings in excess of billings, costs incurred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contracts recognized at a 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20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20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As of the beginning of the prior year period, or January 1, 2024, costs and estimated earnings in excess of billings on uncompleted contracts and billings in excess of costs and estimated earnings on uncompleted contracts were $66.6 million and $56.9 million, respectively. The contract liabilities recorded in “Accrued expenses” on the Consolidated Balance Sheets were $7.9 million as of January 1, 2024. Approximately 90% of the Company's contract liabilities as of December 31, 2024 were recognized as revenue in the year ended December 31, 2025. Approximately 95% of the Company's contract liabilities as of December 31, 2023 were recognized as revenue in the year ended December 31, 2024. Approximately 95% of the Company's contract liabilities as of December 31, 2022 were recognized as revenue in the year ended December 31, 2023.</w:t>
      </w:r>
    </w:p>
    <w:p>
      <w:pPr>
        <w:sectPr>
          <w:pgSz w:w="11880" w:h="15480" w:orient="portrait"/>
          <w:cols w:equalWidth="0" w:num="1">
            <w:col w:w="10680"/>
          </w:cols>
          <w:pgMar w:left="600" w:top="818" w:right="600" w:bottom="66"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680"/>
          </w:cols>
          <w:pgMar w:left="600" w:top="818" w:right="600" w:bottom="66"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See Note 16 to the Consolidated Financial Statements for additional information on product offerings and segments.</w:t>
      </w:r>
    </w:p>
    <w:p>
      <w:pPr>
        <w:spacing w:after="0" w:line="23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2025 and 2024.</w:t>
      </w:r>
    </w:p>
    <w:p>
      <w:pPr>
        <w:spacing w:after="0" w:line="190"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20"/>
          <w:szCs w:val="20"/>
          <w:i w:val="1"/>
          <w:iCs w:val="1"/>
          <w:color w:val="auto"/>
        </w:rPr>
        <w:t>Cost of sales</w:t>
      </w:r>
      <w:r>
        <w:rPr>
          <w:rFonts w:ascii="Times New Roman" w:cs="Times New Roman" w:eastAsia="Times New Roman" w:hAnsi="Times New Roman"/>
          <w:sz w:val="20"/>
          <w:szCs w:val="20"/>
          <w:color w:val="auto"/>
        </w:rPr>
        <w:t>—Cost of sales amounts include materials, subcontract costs, direct labor and associated benefits, inbound freight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charges, purchasing and receiving, inspection, warehousing, and depreciation.</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color w:val="auto"/>
        </w:rPr>
        <w:t>Change orders and claims</w:t>
      </w:r>
      <w:r>
        <w:rPr>
          <w:rFonts w:ascii="Times New Roman" w:cs="Times New Roman" w:eastAsia="Times New Roman" w:hAnsi="Times New Roman"/>
          <w:sz w:val="20"/>
          <w:szCs w:val="20"/>
          <w:color w:val="auto"/>
        </w:rPr>
        <w:t>—Change orders arise when the scope of the original project is modified for any of a variety of reasons.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will negotiate the extent of the modifications, its expected costs and recovery with the customer. Costs related to change orders are added to the expected total cost of the project. In cases where contract revenues are increased in excess of the expected costs of the change order, incremental profit also is recognized on the contract. Generally, in order for this recognition of incremental profit to occur, the customer approves in writing the scope and pricing of the change order. Change orders that are in dispute are effectively handled as claims.</w:t>
      </w:r>
    </w:p>
    <w:p>
      <w:pPr>
        <w:spacing w:after="0" w:line="1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8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 recognizes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9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Should it become probable that the claim will not result in additional contract revenue, the Company excludes the related contract revenues from its estimate of total revenues, which effectively reduces the estimated profit margin on the job and negatively impacts profit for the period.</w:t>
      </w:r>
    </w:p>
    <w:p>
      <w:pPr>
        <w:spacing w:after="0" w:line="18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9"/>
          <w:szCs w:val="19"/>
          <w:i w:val="1"/>
          <w:iCs w:val="1"/>
          <w:color w:val="auto"/>
        </w:rPr>
        <w:t>Selling and administrative expenses</w:t>
      </w:r>
      <w:r>
        <w:rPr>
          <w:rFonts w:ascii="Times New Roman" w:cs="Times New Roman" w:eastAsia="Times New Roman" w:hAnsi="Times New Roman"/>
          <w:sz w:val="19"/>
          <w:szCs w:val="19"/>
          <w:color w:val="auto"/>
        </w:rPr>
        <w:t>—Selling and administrative expenses on the Consolidated Statements of Income include sales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administrative wages and associated benefits, selling and office expenses, professional fees, bad debt expense and depreciation. Selling and administrative expenses are charged to expense as incurred. Selling and administrative expenses for the years ended December 31, 2025, 2024, and 2023 included $1.0 million, $0.7 million, and $0.6 million of advertising expenses, respectively.</w:t>
      </w:r>
    </w:p>
    <w:p>
      <w:pPr>
        <w:spacing w:after="0" w:line="17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20"/>
          <w:szCs w:val="20"/>
          <w:i w:val="1"/>
          <w:iCs w:val="1"/>
          <w:color w:val="auto"/>
        </w:rPr>
        <w:t>Acquisition and integration expenses</w:t>
      </w:r>
      <w:r>
        <w:rPr>
          <w:rFonts w:ascii="Times New Roman" w:cs="Times New Roman" w:eastAsia="Times New Roman" w:hAnsi="Times New Roman"/>
          <w:sz w:val="20"/>
          <w:szCs w:val="20"/>
          <w:color w:val="auto"/>
        </w:rPr>
        <w:t>—Acquisition and integration expenses on the Consolidated Statements of Income are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 activities as well as costs to integrate acquired businesses, which include, legal, accounting, and other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Amortization expenses</w:t>
      </w:r>
      <w:r>
        <w:rPr>
          <w:rFonts w:ascii="Times New Roman" w:cs="Times New Roman" w:eastAsia="Times New Roman" w:hAnsi="Times New Roman"/>
          <w:sz w:val="20"/>
          <w:szCs w:val="20"/>
          <w:color w:val="auto"/>
        </w:rPr>
        <w:t>—Amortization expenses on the Consolidated Statements of Income include amortization of intangible assets.</w:t>
      </w:r>
    </w:p>
    <w:p>
      <w:pPr>
        <w:spacing w:after="0" w:line="23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i w:val="1"/>
          <w:iCs w:val="1"/>
          <w:color w:val="auto"/>
        </w:rPr>
        <w:t>Restructuring expenses</w:t>
      </w:r>
      <w:r>
        <w:rPr>
          <w:rFonts w:ascii="Times New Roman" w:cs="Times New Roman" w:eastAsia="Times New Roman" w:hAnsi="Times New Roman"/>
          <w:sz w:val="20"/>
          <w:szCs w:val="20"/>
          <w:color w:val="auto"/>
        </w:rPr>
        <w:t>—Restructuring expenses recorded within "Other operating expense" on the Consolidated Statements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include expenses related to ongoing restructuring programs to reduce operating costs in the future. Within restructuring expenses are charges related to severance, facility exit, legal and property, plant and equipment impairment associated with exit or disposal activities. Restructuring expenses were $0.7 million, $0.5 million, and $1.4 million for the years ended December 31, 2025, 2024, and 2023, respectively.</w:t>
      </w:r>
    </w:p>
    <w:p>
      <w:pPr>
        <w:spacing w:after="0" w:line="19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i w:val="1"/>
          <w:iCs w:val="1"/>
          <w:color w:val="auto"/>
        </w:rPr>
        <w:t>Executive transition expenses</w:t>
      </w:r>
      <w:r>
        <w:rPr>
          <w:rFonts w:ascii="Times New Roman" w:cs="Times New Roman" w:eastAsia="Times New Roman" w:hAnsi="Times New Roman"/>
          <w:sz w:val="20"/>
          <w:szCs w:val="20"/>
          <w:color w:val="auto"/>
        </w:rPr>
        <w:t>—Executive transition expenses recorded within "Other operating expense" on the Consolidated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 of Income include expenses related to the severance for the Company’s former executives, as well as fees and expenses incurred in the search for, and hiring of, new executives. Executive transition expenses were $1.3 million, zero, and $1.5 million for the years ended December 31, 2025, 2024, and 2023, respectively.</w:t>
      </w:r>
    </w:p>
    <w:p>
      <w:pPr>
        <w:spacing w:after="0" w:line="19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9"/>
          <w:szCs w:val="19"/>
          <w:i w:val="1"/>
          <w:iCs w:val="1"/>
          <w:color w:val="auto"/>
        </w:rPr>
        <w:t>Asbestos litigation expenses</w:t>
      </w:r>
      <w:r>
        <w:rPr>
          <w:rFonts w:ascii="Times New Roman" w:cs="Times New Roman" w:eastAsia="Times New Roman" w:hAnsi="Times New Roman"/>
          <w:sz w:val="19"/>
          <w:szCs w:val="19"/>
          <w:color w:val="auto"/>
        </w:rPr>
        <w:t>—Asbestos litigation expenses recorded within "Other operating expense" on the Consolidated Statements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Income include expenses related to the settlement of asbestos litigation involving the Company's subsidiaries. Asbestos litigation expenses were $1.3 million, $0.2 million, and zero for the years ended December 31, 2025, 2024, and 2023, respectively.</w:t>
      </w:r>
    </w:p>
    <w:p>
      <w:pPr>
        <w:spacing w:after="0" w:line="167"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9"/>
          <w:szCs w:val="19"/>
          <w:i w:val="1"/>
          <w:iCs w:val="1"/>
          <w:color w:val="auto"/>
        </w:rPr>
        <w:t>Product warranties</w:t>
      </w:r>
      <w:r>
        <w:rPr>
          <w:rFonts w:ascii="Times New Roman" w:cs="Times New Roman" w:eastAsia="Times New Roman" w:hAnsi="Times New Roman"/>
          <w:sz w:val="19"/>
          <w:szCs w:val="19"/>
          <w:color w:val="auto"/>
        </w:rPr>
        <w:t>—The Company’s warranty reserve is to cover the products sold. The warranty accrual is based on historical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claims information. The warranty reserve is reviewed and adjusted as necessary on a quarterly basis and is presented within Note 7.</w:t>
      </w:r>
    </w:p>
    <w:p>
      <w:pPr>
        <w:sectPr>
          <w:pgSz w:w="11880" w:h="15480" w:orient="portrait"/>
          <w:cols w:equalWidth="0" w:num="1">
            <w:col w:w="10680"/>
          </w:cols>
          <w:pgMar w:left="600" w:top="818" w:right="600" w:bottom="66"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680"/>
          </w:cols>
          <w:pgMar w:left="600" w:top="818" w:right="600" w:bottom="66" w:gutter="0" w:footer="0" w:header="0"/>
          <w:type w:val="continuous"/>
        </w:sectPr>
      </w:pPr>
    </w:p>
    <w:bookmarkStart w:id="70" w:name="page71"/>
    <w:bookmarkEnd w:id="70"/>
    <w:p>
      <w:pPr>
        <w:jc w:val="both"/>
        <w:ind w:right="100"/>
        <w:spacing w:after="0" w:line="256" w:lineRule="auto"/>
        <w:rPr>
          <w:sz w:val="20"/>
          <w:szCs w:val="20"/>
          <w:color w:val="auto"/>
        </w:rPr>
      </w:pPr>
      <w:r>
        <w:rPr>
          <w:rFonts w:ascii="Times New Roman" w:cs="Times New Roman" w:eastAsia="Times New Roman" w:hAnsi="Times New Roman"/>
          <w:sz w:val="20"/>
          <w:szCs w:val="20"/>
          <w:i w:val="1"/>
          <w:iCs w:val="1"/>
          <w:color w:val="auto"/>
        </w:rPr>
        <w:t>Research and development</w:t>
      </w:r>
      <w:r>
        <w:rPr>
          <w:rFonts w:ascii="Times New Roman" w:cs="Times New Roman" w:eastAsia="Times New Roman" w:hAnsi="Times New Roman"/>
          <w:sz w:val="20"/>
          <w:szCs w:val="20"/>
          <w:color w:val="auto"/>
        </w:rPr>
        <w:t>—Although not technically defined as research and development, a significant amount of time, effort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is devoted to custom engineering which qualifies products for specific customer applications, developing proprietary process technology and partnering with customers to develop new products.</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Income taxes - </w:t>
      </w:r>
      <w:r>
        <w:rPr>
          <w:rFonts w:ascii="Times New Roman" w:cs="Times New Roman" w:eastAsia="Times New Roman" w:hAnsi="Times New Roman"/>
          <w:sz w:val="20"/>
          <w:szCs w:val="20"/>
          <w:color w:val="auto"/>
        </w:rPr>
        <w:t>Income taxes are determined using the asset and liability method of accounting for income taxes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Accounting Standards Board (“FASB”), Accounting Standards Codification (“ASC”) Topic 740, “Income Taxes”. Income tax expense includes federal, state and foreign income taxes.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95"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0"/>
          <w:szCs w:val="20"/>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9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202"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8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i w:val="1"/>
          <w:iCs w:val="1"/>
          <w:color w:val="auto"/>
        </w:rPr>
        <w:t>Earnings per share</w:t>
      </w:r>
      <w:r>
        <w:rPr>
          <w:rFonts w:ascii="Times New Roman" w:cs="Times New Roman" w:eastAsia="Times New Roman" w:hAnsi="Times New Roman"/>
          <w:sz w:val="20"/>
          <w:szCs w:val="20"/>
          <w:color w:val="auto"/>
        </w:rPr>
        <w:t>—The following table reconciles the numerators and denominators used to calculate basic and diluted earnings per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 for 2025,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0"/>
                <w:szCs w:val="20"/>
                <w:color w:val="auto"/>
              </w:rPr>
            </w:pPr>
          </w:p>
        </w:tc>
      </w:tr>
      <w:tr>
        <w:trPr>
          <w:trHeight w:val="22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2"/>
        </w:trPr>
        <w:tc>
          <w:tcPr>
            <w:tcW w:w="5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Numerator </w:t>
            </w:r>
            <w:r>
              <w:rPr>
                <w:rFonts w:ascii="Times New Roman" w:cs="Times New Roman" w:eastAsia="Times New Roman" w:hAnsi="Times New Roman"/>
                <w:sz w:val="20"/>
                <w:szCs w:val="20"/>
                <w:color w:val="auto"/>
              </w:rPr>
              <w:t>(for basic and diluted earnings per share)</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income attributable to CECO Environmental Corp.</w:t>
            </w: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50,051</w:t>
            </w:r>
          </w:p>
        </w:tc>
        <w:tc>
          <w:tcPr>
            <w:tcW w:w="560" w:type="dxa"/>
            <w:vAlign w:val="bottom"/>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12,957</w:t>
            </w:r>
          </w:p>
        </w:tc>
        <w:tc>
          <w:tcPr>
            <w:tcW w:w="740" w:type="dxa"/>
            <w:vAlign w:val="bottom"/>
            <w:gridSpan w:val="2"/>
            <w:shd w:val="clear" w:color="auto" w:fill="E6E6E6"/>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12,911</w:t>
            </w:r>
          </w:p>
        </w:tc>
        <w:tc>
          <w:tcPr>
            <w:tcW w:w="60" w:type="dxa"/>
            <w:vAlign w:val="bottom"/>
            <w:shd w:val="clear" w:color="auto" w:fill="E6E6E6"/>
          </w:tcPr>
          <w:p>
            <w:pPr>
              <w:spacing w:after="0"/>
              <w:rPr>
                <w:sz w:val="21"/>
                <w:szCs w:val="2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6"/>
        </w:trPr>
        <w:tc>
          <w:tcPr>
            <w:tcW w:w="5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300" w:type="dxa"/>
            <w:vAlign w:val="bottom"/>
            <w:shd w:val="clear" w:color="auto" w:fill="E6E6E6"/>
          </w:tcPr>
          <w:p>
            <w:pPr>
              <w:spacing w:after="0"/>
              <w:rPr>
                <w:sz w:val="21"/>
                <w:szCs w:val="21"/>
                <w:color w:val="auto"/>
              </w:rPr>
            </w:pPr>
          </w:p>
        </w:tc>
        <w:tc>
          <w:tcPr>
            <w:tcW w:w="11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1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4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weighted-average shares outstanding</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34,927</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34,665</w:t>
            </w:r>
          </w:p>
        </w:tc>
        <w:tc>
          <w:tcPr>
            <w:tcW w:w="60" w:type="dxa"/>
            <w:vAlign w:val="bottom"/>
          </w:tcPr>
          <w:p>
            <w:pPr>
              <w:spacing w:after="0"/>
              <w:rPr>
                <w:sz w:val="21"/>
                <w:szCs w:val="21"/>
                <w:color w:val="auto"/>
              </w:rPr>
            </w:pPr>
          </w:p>
        </w:tc>
      </w:tr>
      <w:tr>
        <w:trPr>
          <w:trHeight w:val="220"/>
        </w:trPr>
        <w:tc>
          <w:tcPr>
            <w:tcW w:w="5800" w:type="dxa"/>
            <w:vAlign w:val="bottom"/>
            <w:shd w:val="clear" w:color="auto" w:fill="E6E6E6"/>
          </w:tcPr>
          <w:p>
            <w:pPr>
              <w:spacing w:after="0" w:line="221" w:lineRule="exact"/>
              <w:rPr>
                <w:sz w:val="20"/>
                <w:szCs w:val="20"/>
                <w:color w:val="auto"/>
              </w:rPr>
            </w:pPr>
            <w:r>
              <w:rPr>
                <w:rFonts w:ascii="Times New Roman" w:cs="Times New Roman" w:eastAsia="Times New Roman" w:hAnsi="Times New Roman"/>
                <w:sz w:val="20"/>
                <w:szCs w:val="20"/>
                <w:color w:val="auto"/>
              </w:rPr>
              <w:t>Common stock equivalents arising from stock options and restricted</w:t>
            </w:r>
          </w:p>
        </w:tc>
        <w:tc>
          <w:tcPr>
            <w:tcW w:w="30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r>
      <w:tr>
        <w:trPr>
          <w:trHeight w:val="249"/>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stock awards</w:t>
            </w:r>
          </w:p>
        </w:tc>
        <w:tc>
          <w:tcPr>
            <w:tcW w:w="30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240" w:type="dxa"/>
            <w:vAlign w:val="bottom"/>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1,455</w:t>
            </w:r>
          </w:p>
        </w:tc>
        <w:tc>
          <w:tcPr>
            <w:tcW w:w="240" w:type="dxa"/>
            <w:vAlign w:val="bottom"/>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spacing w:after="0"/>
              <w:rPr>
                <w:sz w:val="21"/>
                <w:szCs w:val="21"/>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60" w:type="dxa"/>
            <w:vAlign w:val="bottom"/>
            <w:shd w:val="clear" w:color="auto" w:fill="E6E6E6"/>
          </w:tcPr>
          <w:p>
            <w:pPr>
              <w:spacing w:after="0"/>
              <w:rPr>
                <w:sz w:val="21"/>
                <w:szCs w:val="21"/>
                <w:color w:val="auto"/>
              </w:rPr>
            </w:pPr>
          </w:p>
        </w:tc>
      </w:tr>
      <w:tr>
        <w:trPr>
          <w:trHeight w:val="236"/>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Diluted weighted-average shares outstanding</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36,604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36,382</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35,334</w:t>
            </w:r>
          </w:p>
        </w:tc>
        <w:tc>
          <w:tcPr>
            <w:tcW w:w="6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Options and unvested restricted stock units are included in the computation of diluted earnings per share using the treasury stock method. For 2025, 2024 and 2023, no outstanding options and unvested restricted stock units were excluded from the computation of diluted earnings per share due to their having an anti-dilutive effect.</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680"/>
          </w:cols>
          <w:pgMar w:left="600" w:top="818" w:right="600" w:bottom="66" w:gutter="0" w:footer="0" w:header="0"/>
          <w:type w:val="continuous"/>
        </w:sectPr>
      </w:pPr>
    </w:p>
    <w:bookmarkStart w:id="71" w:name="page72"/>
    <w:bookmarkEnd w:id="71"/>
    <w:p>
      <w:pPr>
        <w:ind w:left="6"/>
        <w:spacing w:after="0" w:line="275" w:lineRule="auto"/>
        <w:rPr>
          <w:sz w:val="20"/>
          <w:szCs w:val="20"/>
          <w:color w:val="auto"/>
        </w:rPr>
      </w:pPr>
      <w:r>
        <w:rPr>
          <w:rFonts w:ascii="Times New Roman" w:cs="Times New Roman" w:eastAsia="Times New Roman" w:hAnsi="Times New Roman"/>
          <w:sz w:val="20"/>
          <w:szCs w:val="20"/>
          <w:color w:val="auto"/>
        </w:rPr>
        <w:t>Once a restricted stock award vests, it is included in the computation of weighted average shares outstanding for purposes of basic and diluted earnings per share.</w:t>
      </w:r>
    </w:p>
    <w:p>
      <w:pPr>
        <w:spacing w:after="0" w:line="166" w:lineRule="exact"/>
        <w:rPr>
          <w:sz w:val="20"/>
          <w:szCs w:val="20"/>
          <w:color w:val="auto"/>
        </w:rPr>
      </w:pPr>
    </w:p>
    <w:p>
      <w:pPr>
        <w:ind w:left="6" w:right="320"/>
        <w:spacing w:after="0" w:line="250" w:lineRule="auto"/>
        <w:rPr>
          <w:sz w:val="20"/>
          <w:szCs w:val="20"/>
          <w:color w:val="auto"/>
        </w:rPr>
      </w:pPr>
      <w:r>
        <w:rPr>
          <w:rFonts w:ascii="Times New Roman" w:cs="Times New Roman" w:eastAsia="Times New Roman" w:hAnsi="Times New Roman"/>
          <w:sz w:val="20"/>
          <w:szCs w:val="20"/>
          <w:i w:val="1"/>
          <w:iCs w:val="1"/>
          <w:color w:val="auto"/>
        </w:rPr>
        <w:t>Foreign currency translation</w:t>
      </w:r>
      <w:r>
        <w:rPr>
          <w:rFonts w:ascii="Times New Roman" w:cs="Times New Roman" w:eastAsia="Times New Roman" w:hAnsi="Times New Roman"/>
          <w:sz w:val="20"/>
          <w:szCs w:val="20"/>
          <w:color w:val="auto"/>
        </w:rPr>
        <w:t>—The functional currencies of the Company’s foreign subsidiaries are their local currencies and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books and records are 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Income and expenses are translated into USD at average exchange rates in effect during the period.</w:t>
      </w:r>
    </w:p>
    <w:p>
      <w:pPr>
        <w:spacing w:after="0" w:line="235"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20"/>
          <w:szCs w:val="20"/>
          <w:color w:val="auto"/>
        </w:rPr>
        <w:t>Transactions denominated in other than the local currency are remeasured into the local currency and the resulting exchange gains or losses are included in “Other expense (income)” line of the Consolidated Statements of Income. Transaction (losses) gains were $(2.2) million, $(4.3) million, and $1.2 million in 2025, 2024 and 2023, respectively.</w:t>
      </w:r>
    </w:p>
    <w:p>
      <w:pPr>
        <w:spacing w:after="0" w:line="1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Accounting standards adopted in 2025</w:t>
      </w:r>
    </w:p>
    <w:p>
      <w:pPr>
        <w:spacing w:after="0" w:line="232" w:lineRule="exact"/>
        <w:rPr>
          <w:sz w:val="20"/>
          <w:szCs w:val="20"/>
          <w:color w:val="auto"/>
        </w:rPr>
      </w:pPr>
    </w:p>
    <w:p>
      <w:pPr>
        <w:ind w:left="6" w:right="200"/>
        <w:spacing w:after="0" w:line="250"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adopted this guidance for annual disclosures for the year ended December 31, 2025, using a prospective approach. See Note 13 for the associated disclosures.</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Accounting standards to be adopted</w:t>
      </w:r>
    </w:p>
    <w:p>
      <w:pPr>
        <w:spacing w:after="0" w:line="232" w:lineRule="exact"/>
        <w:rPr>
          <w:sz w:val="20"/>
          <w:szCs w:val="20"/>
          <w:color w:val="auto"/>
        </w:rPr>
      </w:pPr>
    </w:p>
    <w:p>
      <w:pPr>
        <w:ind w:left="6" w:right="100"/>
        <w:spacing w:after="0" w:line="245" w:lineRule="auto"/>
        <w:rPr>
          <w:sz w:val="20"/>
          <w:szCs w:val="20"/>
          <w:color w:val="auto"/>
        </w:rPr>
      </w:pPr>
      <w:r>
        <w:rPr>
          <w:rFonts w:ascii="Times New Roman" w:cs="Times New Roman" w:eastAsia="Times New Roman" w:hAnsi="Times New Roman"/>
          <w:sz w:val="20"/>
          <w:szCs w:val="20"/>
          <w:color w:val="auto"/>
        </w:rPr>
        <w:t>In September 2025, the FASB issued ASU 2025-06, Intangibles - Goodwill and Other - Internal-Use Software (Subtopic 350-40): Targeted Improvements to the Accounting for Internal-Use Software, which removes references to project stages, and requires capitalization of software costs to begin when management has authorized and committed to funding the software project, and it is probable that the project will be completed and the software will be used to perform the intended function. The ASU is effective for fiscal years beginning after December 15, 2027, and interim periods within those annual reporting periods. The Company is currently evaluating the impact the adoption of the standard will have on the Company’s consolidated financial statements.</w:t>
      </w:r>
    </w:p>
    <w:p>
      <w:pPr>
        <w:spacing w:after="0" w:line="195" w:lineRule="exact"/>
        <w:rPr>
          <w:sz w:val="20"/>
          <w:szCs w:val="20"/>
          <w:color w:val="auto"/>
        </w:rPr>
      </w:pPr>
    </w:p>
    <w:p>
      <w:pPr>
        <w:ind w:left="6" w:right="220"/>
        <w:spacing w:after="0" w:line="246" w:lineRule="auto"/>
        <w:rPr>
          <w:sz w:val="20"/>
          <w:szCs w:val="20"/>
          <w:color w:val="auto"/>
        </w:rPr>
      </w:pPr>
      <w:r>
        <w:rPr>
          <w:rFonts w:ascii="Times New Roman" w:cs="Times New Roman" w:eastAsia="Times New Roman" w:hAnsi="Times New Roman"/>
          <w:sz w:val="20"/>
          <w:szCs w:val="20"/>
          <w:color w:val="auto"/>
        </w:rPr>
        <w:t>In July 2025, the FASB issued ASU 2025-05, Financial Instruments - Credit Losses (Topic 326): Measurement of Credit Losses for Accounts Receivable and Contract Assets, which introduces a practical expedient for estimating credit losses on current accounts receivable and contract assets. The ASU is effective for fiscal years beginning after December 15, 2025, and interim periods within those annual reporting periods. The Company is currently evaluating the impact the adoption of the standard will have on the Company’s consolidated financial statements.</w:t>
      </w:r>
    </w:p>
    <w:p>
      <w:pPr>
        <w:spacing w:after="0" w:line="197" w:lineRule="exact"/>
        <w:rPr>
          <w:sz w:val="20"/>
          <w:szCs w:val="20"/>
          <w:color w:val="auto"/>
        </w:rPr>
      </w:pPr>
    </w:p>
    <w:p>
      <w:pPr>
        <w:ind w:left="6"/>
        <w:spacing w:after="0" w:line="246"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spacing w:after="0" w:line="194" w:lineRule="exact"/>
        <w:rPr>
          <w:sz w:val="20"/>
          <w:szCs w:val="20"/>
          <w:color w:val="auto"/>
        </w:rPr>
      </w:pPr>
    </w:p>
    <w:p>
      <w:pPr>
        <w:ind w:left="486" w:hanging="486"/>
        <w:spacing w:after="0"/>
        <w:tabs>
          <w:tab w:leader="none" w:pos="486"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238" w:lineRule="exact"/>
        <w:rPr>
          <w:sz w:val="20"/>
          <w:szCs w:val="20"/>
          <w:color w:val="auto"/>
        </w:rPr>
      </w:pPr>
    </w:p>
    <w:p>
      <w:pPr>
        <w:ind w:left="6" w:right="320"/>
        <w:spacing w:after="0" w:line="256" w:lineRule="auto"/>
        <w:rPr>
          <w:sz w:val="20"/>
          <w:szCs w:val="20"/>
          <w:color w:val="auto"/>
        </w:rPr>
      </w:pPr>
      <w:r>
        <w:rPr>
          <w:rFonts w:ascii="Times New Roman" w:cs="Times New Roman" w:eastAsia="Times New Roman" w:hAnsi="Times New Roman"/>
          <w:sz w:val="20"/>
          <w:szCs w:val="20"/>
          <w:color w:val="auto"/>
        </w:rPr>
        <w:t>The Company's financial instruments consist primarily of cash and cash equivalents, receivables and certain other assets, notes payable, foreign debt, and accounts payable, which approximate fair value at December 31, 2025 and 2024, due to their short-term nature or variable, market-driven interest rates.</w:t>
      </w:r>
    </w:p>
    <w:p>
      <w:pPr>
        <w:spacing w:after="0" w:line="185" w:lineRule="exact"/>
        <w:rPr>
          <w:sz w:val="20"/>
          <w:szCs w:val="20"/>
          <w:color w:val="auto"/>
        </w:rPr>
      </w:pPr>
    </w:p>
    <w:p>
      <w:pPr>
        <w:jc w:val="both"/>
        <w:ind w:left="6" w:right="540"/>
        <w:spacing w:after="0" w:line="256" w:lineRule="auto"/>
        <w:rPr>
          <w:sz w:val="20"/>
          <w:szCs w:val="20"/>
          <w:color w:val="auto"/>
        </w:rPr>
      </w:pPr>
      <w:r>
        <w:rPr>
          <w:rFonts w:ascii="Times New Roman" w:cs="Times New Roman" w:eastAsia="Times New Roman" w:hAnsi="Times New Roman"/>
          <w:sz w:val="20"/>
          <w:szCs w:val="20"/>
          <w:color w:val="auto"/>
        </w:rPr>
        <w:t>The fair value of the debt issued under the Credit Facility and joint venture term loan was $214.2 million and $221.5 million at December 31, 2025 and 2024, respectively. The fair value was determined considering market conditions, the Company's credit worthiness and the current terms of debt, which is considered Level 2 on the fair value hierarchy.</w:t>
      </w:r>
    </w:p>
    <w:p>
      <w:pPr>
        <w:spacing w:after="0" w:line="185" w:lineRule="exact"/>
        <w:rPr>
          <w:sz w:val="20"/>
          <w:szCs w:val="20"/>
          <w:color w:val="auto"/>
        </w:rPr>
      </w:pPr>
    </w:p>
    <w:p>
      <w:pPr>
        <w:ind w:left="6" w:right="240"/>
        <w:spacing w:after="0" w:line="256" w:lineRule="auto"/>
        <w:rPr>
          <w:sz w:val="20"/>
          <w:szCs w:val="20"/>
          <w:color w:val="auto"/>
        </w:rPr>
      </w:pPr>
      <w:r>
        <w:rPr>
          <w:rFonts w:ascii="Times New Roman" w:cs="Times New Roman" w:eastAsia="Times New Roman" w:hAnsi="Times New Roman"/>
          <w:sz w:val="20"/>
          <w:szCs w:val="20"/>
          <w:color w:val="auto"/>
        </w:rPr>
        <w:t>At December 31, 2025 and 2024, the Company had cash and cash equivalents of $33.1 million and $37.8 million, respectively, of which $26.4 million and $29.7 million, respectively, was held outside of the United States, principally in the United Arab Emirates, Netherlands, United Kingdom, China and India.</w:t>
      </w:r>
    </w:p>
    <w:p>
      <w:pPr>
        <w:sectPr>
          <w:pgSz w:w="11880" w:h="15480" w:orient="portrait"/>
          <w:cols w:equalWidth="0" w:num="1">
            <w:col w:w="10666"/>
          </w:cols>
          <w:pgMar w:left="594" w:top="818" w:right="62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666"/>
          </w:cols>
          <w:pgMar w:left="594" w:top="818" w:right="620" w:bottom="66"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i w:val="1"/>
          <w:iCs w:val="1"/>
          <w:color w:val="auto"/>
        </w:rPr>
        <w:t>Concentrations of credit risk</w:t>
      </w:r>
    </w:p>
    <w:p>
      <w:pPr>
        <w:spacing w:after="0" w:line="23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Financial instruments that potentially subject us to credit risk consist principally of cash and cash equivalents and trade and contract receivables.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3"/>
              </w:rPr>
              <w:t>3.</w:t>
            </w:r>
          </w:p>
        </w:tc>
        <w:tc>
          <w:tcPr>
            <w:tcW w:w="6720" w:type="dxa"/>
            <w:vAlign w:val="bottom"/>
          </w:tcPr>
          <w:p>
            <w:pPr>
              <w:jc w:val="right"/>
              <w:ind w:right="4561"/>
              <w:spacing w:after="0"/>
              <w:rPr>
                <w:sz w:val="20"/>
                <w:szCs w:val="20"/>
                <w:color w:val="auto"/>
              </w:rPr>
            </w:pPr>
            <w:r>
              <w:rPr>
                <w:rFonts w:ascii="Times New Roman" w:cs="Times New Roman" w:eastAsia="Times New Roman" w:hAnsi="Times New Roman"/>
                <w:sz w:val="20"/>
                <w:szCs w:val="20"/>
                <w:b w:val="1"/>
                <w:bCs w:val="1"/>
                <w:color w:val="auto"/>
              </w:rPr>
              <w:t>Accounts Receivable</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61"/>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 consisted of the following: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6"/>
        </w:trPr>
        <w:tc>
          <w:tcPr>
            <w:tcW w:w="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r>
      <w:tr>
        <w:trPr>
          <w:trHeight w:val="236"/>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0" w:type="dxa"/>
            <w:vAlign w:val="bottom"/>
          </w:tcPr>
          <w:p>
            <w:pPr>
              <w:spacing w:after="0"/>
              <w:rPr>
                <w:sz w:val="20"/>
                <w:szCs w:val="20"/>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182,775</w:t>
            </w:r>
          </w:p>
        </w:tc>
        <w:tc>
          <w:tcPr>
            <w:tcW w:w="260" w:type="dxa"/>
            <w:vAlign w:val="bottom"/>
          </w:tcPr>
          <w:p>
            <w:pPr>
              <w:spacing w:after="0"/>
              <w:rPr>
                <w:sz w:val="20"/>
                <w:szCs w:val="20"/>
                <w:color w:val="auto"/>
              </w:rPr>
            </w:pP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168,435</w:t>
            </w:r>
          </w:p>
        </w:tc>
        <w:tc>
          <w:tcPr>
            <w:tcW w:w="80" w:type="dxa"/>
            <w:vAlign w:val="bottom"/>
          </w:tcPr>
          <w:p>
            <w:pPr>
              <w:spacing w:after="0"/>
              <w:rPr>
                <w:sz w:val="20"/>
                <w:szCs w:val="20"/>
                <w:color w:val="auto"/>
              </w:rPr>
            </w:pPr>
          </w:p>
        </w:tc>
      </w:tr>
      <w:tr>
        <w:trPr>
          <w:trHeight w:val="262"/>
        </w:trPr>
        <w:tc>
          <w:tcPr>
            <w:tcW w:w="68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162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(9,866)</w:t>
            </w:r>
          </w:p>
        </w:tc>
        <w:tc>
          <w:tcPr>
            <w:tcW w:w="54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(8,863)</w:t>
            </w:r>
          </w:p>
        </w:tc>
      </w:tr>
      <w:tr>
        <w:trPr>
          <w:trHeight w:val="216"/>
        </w:trPr>
        <w:tc>
          <w:tcPr>
            <w:tcW w:w="160" w:type="dxa"/>
            <w:vAlign w:val="bottom"/>
            <w:tcBorders>
              <w:top w:val="single" w:sz="8" w:color="E6E6E6"/>
            </w:tcBorders>
          </w:tcPr>
          <w:p>
            <w:pPr>
              <w:spacing w:after="0"/>
              <w:rPr>
                <w:sz w:val="18"/>
                <w:szCs w:val="18"/>
                <w:color w:val="auto"/>
              </w:rPr>
            </w:pPr>
          </w:p>
        </w:tc>
        <w:tc>
          <w:tcPr>
            <w:tcW w:w="6720" w:type="dxa"/>
            <w:vAlign w:val="bottom"/>
            <w:tcBorders>
              <w:top w:val="single" w:sz="8" w:color="E6E6E6"/>
            </w:tcBorders>
          </w:tcPr>
          <w:p>
            <w:pPr>
              <w:jc w:val="right"/>
              <w:ind w:right="4561"/>
              <w:spacing w:after="0" w:line="216" w:lineRule="exact"/>
              <w:rPr>
                <w:sz w:val="20"/>
                <w:szCs w:val="20"/>
                <w:color w:val="auto"/>
              </w:rPr>
            </w:pPr>
            <w:r>
              <w:rPr>
                <w:rFonts w:ascii="Times New Roman" w:cs="Times New Roman" w:eastAsia="Times New Roman" w:hAnsi="Times New Roman"/>
                <w:sz w:val="20"/>
                <w:szCs w:val="20"/>
                <w:color w:val="auto"/>
                <w:w w:val="99"/>
              </w:rPr>
              <w:t>Total accounts receivable</w:t>
            </w:r>
          </w:p>
        </w:tc>
        <w:tc>
          <w:tcPr>
            <w:tcW w:w="20" w:type="dxa"/>
            <w:vAlign w:val="bottom"/>
            <w:tcBorders>
              <w:top w:val="single" w:sz="8" w:color="E6E6E6"/>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172,909</w:t>
            </w:r>
          </w:p>
        </w:tc>
        <w:tc>
          <w:tcPr>
            <w:tcW w:w="260" w:type="dxa"/>
            <w:vAlign w:val="bottom"/>
            <w:tcBorders>
              <w:top w:val="single" w:sz="8" w:color="E6E6E6"/>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4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159,572</w:t>
            </w:r>
          </w:p>
        </w:tc>
        <w:tc>
          <w:tcPr>
            <w:tcW w:w="80" w:type="dxa"/>
            <w:vAlign w:val="bottom"/>
            <w:tcBorders>
              <w:top w:val="single" w:sz="8" w:color="E6E6E6"/>
            </w:tcBorders>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receivable, net as of the beginning of the prior year period, or January 1, 2024, were $112.7 million.</w:t>
      </w:r>
    </w:p>
    <w:p>
      <w:pPr>
        <w:spacing w:after="0" w:line="23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Balances billed, but not paid by customers under retainage provisions in contracts, amounted to approximately $10.9 million and $13.6 million at December 31, 2025 and 2024, respectively. Retainage receivables as of the beginning of the prior year period, or January 1, 2024, were $3.2 million.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for credit losses activity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6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6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72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6E6E6"/>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160" w:type="dxa"/>
            <w:vAlign w:val="bottom"/>
          </w:tcPr>
          <w:p>
            <w:pPr>
              <w:spacing w:after="0"/>
              <w:rPr>
                <w:sz w:val="20"/>
                <w:szCs w:val="20"/>
                <w:color w:val="auto"/>
              </w:rPr>
            </w:pPr>
          </w:p>
        </w:tc>
        <w:tc>
          <w:tcPr>
            <w:tcW w:w="380" w:type="dxa"/>
            <w:vAlign w:val="bottom"/>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8,863</w:t>
            </w:r>
          </w:p>
        </w:tc>
        <w:tc>
          <w:tcPr>
            <w:tcW w:w="260" w:type="dxa"/>
            <w:vAlign w:val="bottom"/>
            <w:shd w:val="clear" w:color="auto" w:fill="E6E6E6"/>
          </w:tcPr>
          <w:p>
            <w:pPr>
              <w:spacing w:after="0"/>
              <w:rPr>
                <w:sz w:val="20"/>
                <w:szCs w:val="20"/>
                <w:color w:val="auto"/>
              </w:rPr>
            </w:pPr>
          </w:p>
        </w:tc>
        <w:tc>
          <w:tcPr>
            <w:tcW w:w="540" w:type="dxa"/>
            <w:vAlign w:val="bottom"/>
            <w:shd w:val="clear" w:color="auto" w:fill="E6E6E6"/>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6,460</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0" w:type="dxa"/>
            <w:vAlign w:val="bottom"/>
          </w:tcPr>
          <w:p>
            <w:pPr>
              <w:spacing w:after="0"/>
              <w:rPr>
                <w:sz w:val="21"/>
                <w:szCs w:val="21"/>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Write-offs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60" w:type="dxa"/>
            <w:vAlign w:val="bottom"/>
            <w:shd w:val="clear" w:color="auto" w:fill="E6E6E6"/>
          </w:tcPr>
          <w:p>
            <w:pPr>
              <w:spacing w:after="0"/>
              <w:rPr>
                <w:sz w:val="21"/>
                <w:szCs w:val="21"/>
                <w:color w:val="auto"/>
              </w:rPr>
            </w:pPr>
          </w:p>
        </w:tc>
        <w:tc>
          <w:tcPr>
            <w:tcW w:w="6560" w:type="dxa"/>
            <w:vAlign w:val="bottom"/>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Changes to the provision</w:t>
            </w:r>
          </w:p>
        </w:tc>
        <w:tc>
          <w:tcPr>
            <w:tcW w:w="1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3,072</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60" w:type="dxa"/>
            <w:vAlign w:val="bottom"/>
          </w:tcPr>
          <w:p>
            <w:pPr>
              <w:spacing w:after="0"/>
              <w:rPr>
                <w:sz w:val="21"/>
                <w:szCs w:val="21"/>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Recoveries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(190)</w:t>
            </w:r>
          </w:p>
        </w:tc>
        <w:tc>
          <w:tcPr>
            <w:tcW w:w="5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(651)</w:t>
            </w:r>
          </w:p>
        </w:tc>
        <w:tc>
          <w:tcPr>
            <w:tcW w:w="0" w:type="dxa"/>
            <w:vAlign w:val="bottom"/>
          </w:tcPr>
          <w:p>
            <w:pPr>
              <w:spacing w:after="0"/>
              <w:rPr>
                <w:sz w:val="1"/>
                <w:szCs w:val="1"/>
                <w:color w:val="auto"/>
              </w:rPr>
            </w:pPr>
          </w:p>
        </w:tc>
      </w:tr>
      <w:tr>
        <w:trPr>
          <w:trHeight w:val="236"/>
        </w:trPr>
        <w:tc>
          <w:tcPr>
            <w:tcW w:w="672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160" w:type="dxa"/>
            <w:vAlign w:val="bottom"/>
            <w:tcBorders>
              <w:top w:val="single" w:sz="8" w:color="E6E6E6"/>
            </w:tcBorders>
            <w:shd w:val="clear" w:color="auto" w:fill="E6E6E6"/>
          </w:tcPr>
          <w:p>
            <w:pPr>
              <w:spacing w:after="0"/>
              <w:rPr>
                <w:sz w:val="20"/>
                <w:szCs w:val="20"/>
                <w:color w:val="auto"/>
              </w:rPr>
            </w:pPr>
          </w:p>
        </w:tc>
        <w:tc>
          <w:tcPr>
            <w:tcW w:w="380" w:type="dxa"/>
            <w:vAlign w:val="bottom"/>
            <w:tcBorders>
              <w:top w:val="single" w:sz="8" w:color="auto"/>
              <w:bottom w:val="single" w:sz="8" w:color="auto"/>
            </w:tcBorders>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9,866</w:t>
            </w:r>
          </w:p>
        </w:tc>
        <w:tc>
          <w:tcPr>
            <w:tcW w:w="260" w:type="dxa"/>
            <w:vAlign w:val="bottom"/>
            <w:tcBorders>
              <w:top w:val="single" w:sz="8" w:color="E6E6E6"/>
            </w:tcBorders>
            <w:shd w:val="clear" w:color="auto" w:fill="E6E6E6"/>
          </w:tcPr>
          <w:p>
            <w:pPr>
              <w:spacing w:after="0"/>
              <w:rPr>
                <w:sz w:val="20"/>
                <w:szCs w:val="20"/>
                <w:color w:val="auto"/>
              </w:rPr>
            </w:pPr>
          </w:p>
        </w:tc>
        <w:tc>
          <w:tcPr>
            <w:tcW w:w="540" w:type="dxa"/>
            <w:vAlign w:val="bottom"/>
            <w:tcBorders>
              <w:top w:val="single" w:sz="8" w:color="auto"/>
              <w:bottom w:val="single" w:sz="8" w:color="auto"/>
            </w:tcBorders>
            <w:shd w:val="clear" w:color="auto" w:fill="E6E6E6"/>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8,863</w:t>
            </w:r>
          </w:p>
        </w:tc>
        <w:tc>
          <w:tcPr>
            <w:tcW w:w="8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3"/>
              </w:rPr>
              <w:t>4.</w:t>
            </w:r>
          </w:p>
        </w:tc>
        <w:tc>
          <w:tcPr>
            <w:tcW w:w="656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Inventories</w:t>
            </w: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9"/>
        </w:trPr>
        <w:tc>
          <w:tcPr>
            <w:tcW w:w="16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Inventories consisted of the following:</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bottom w:val="single" w:sz="8" w:color="E6E6E6"/>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6E6E6"/>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160" w:type="dxa"/>
            <w:vAlign w:val="bottom"/>
            <w:shd w:val="clear" w:color="auto" w:fill="E6E6E6"/>
          </w:tcPr>
          <w:p>
            <w:pPr>
              <w:spacing w:after="0"/>
              <w:rPr>
                <w:sz w:val="20"/>
                <w:szCs w:val="20"/>
                <w:color w:val="auto"/>
              </w:rPr>
            </w:pPr>
          </w:p>
        </w:tc>
        <w:tc>
          <w:tcPr>
            <w:tcW w:w="380" w:type="dxa"/>
            <w:vAlign w:val="bottom"/>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16,742</w:t>
            </w:r>
          </w:p>
        </w:tc>
        <w:tc>
          <w:tcPr>
            <w:tcW w:w="260" w:type="dxa"/>
            <w:vAlign w:val="bottom"/>
            <w:shd w:val="clear" w:color="auto" w:fill="E6E6E6"/>
          </w:tcPr>
          <w:p>
            <w:pPr>
              <w:spacing w:after="0"/>
              <w:rPr>
                <w:sz w:val="20"/>
                <w:szCs w:val="20"/>
                <w:color w:val="auto"/>
              </w:rPr>
            </w:pPr>
          </w:p>
        </w:tc>
        <w:tc>
          <w:tcPr>
            <w:tcW w:w="540" w:type="dxa"/>
            <w:vAlign w:val="bottom"/>
            <w:shd w:val="clear" w:color="auto" w:fill="E6E6E6"/>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27,466</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Work in process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18,026</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1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20,779</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4,342</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Obsolescence allowance</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(1,551)</w:t>
            </w:r>
          </w:p>
        </w:tc>
        <w:tc>
          <w:tcPr>
            <w:tcW w:w="5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(3,716)</w:t>
            </w:r>
          </w:p>
        </w:tc>
        <w:tc>
          <w:tcPr>
            <w:tcW w:w="0" w:type="dxa"/>
            <w:vAlign w:val="bottom"/>
          </w:tcPr>
          <w:p>
            <w:pPr>
              <w:spacing w:after="0"/>
              <w:rPr>
                <w:sz w:val="1"/>
                <w:szCs w:val="1"/>
                <w:color w:val="auto"/>
              </w:rPr>
            </w:pPr>
          </w:p>
        </w:tc>
      </w:tr>
      <w:tr>
        <w:trPr>
          <w:trHeight w:val="236"/>
        </w:trPr>
        <w:tc>
          <w:tcPr>
            <w:tcW w:w="160" w:type="dxa"/>
            <w:vAlign w:val="bottom"/>
            <w:tcBorders>
              <w:top w:val="single" w:sz="8" w:color="E6E6E6"/>
            </w:tcBorders>
            <w:shd w:val="clear" w:color="auto" w:fill="E6E6E6"/>
          </w:tcPr>
          <w:p>
            <w:pPr>
              <w:spacing w:after="0"/>
              <w:rPr>
                <w:sz w:val="20"/>
                <w:szCs w:val="20"/>
                <w:color w:val="auto"/>
              </w:rPr>
            </w:pPr>
          </w:p>
        </w:tc>
        <w:tc>
          <w:tcPr>
            <w:tcW w:w="6560" w:type="dxa"/>
            <w:vAlign w:val="bottom"/>
            <w:tcBorders>
              <w:top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20"/>
                <w:szCs w:val="20"/>
                <w:color w:val="auto"/>
              </w:rPr>
              <w:t>Total inventories</w:t>
            </w:r>
          </w:p>
        </w:tc>
        <w:tc>
          <w:tcPr>
            <w:tcW w:w="160" w:type="dxa"/>
            <w:vAlign w:val="bottom"/>
            <w:tcBorders>
              <w:top w:val="single" w:sz="8" w:color="E6E6E6"/>
            </w:tcBorders>
            <w:shd w:val="clear" w:color="auto" w:fill="E6E6E6"/>
          </w:tcPr>
          <w:p>
            <w:pPr>
              <w:spacing w:after="0"/>
              <w:rPr>
                <w:sz w:val="20"/>
                <w:szCs w:val="20"/>
                <w:color w:val="auto"/>
              </w:rPr>
            </w:pPr>
          </w:p>
        </w:tc>
        <w:tc>
          <w:tcPr>
            <w:tcW w:w="380" w:type="dxa"/>
            <w:vAlign w:val="bottom"/>
            <w:tcBorders>
              <w:top w:val="single" w:sz="8" w:color="auto"/>
              <w:bottom w:val="single" w:sz="8" w:color="auto"/>
            </w:tcBorders>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53,996</w:t>
            </w:r>
          </w:p>
        </w:tc>
        <w:tc>
          <w:tcPr>
            <w:tcW w:w="260" w:type="dxa"/>
            <w:vAlign w:val="bottom"/>
            <w:tcBorders>
              <w:top w:val="single" w:sz="8" w:color="E6E6E6"/>
            </w:tcBorders>
            <w:shd w:val="clear" w:color="auto" w:fill="E6E6E6"/>
          </w:tcPr>
          <w:p>
            <w:pPr>
              <w:spacing w:after="0"/>
              <w:rPr>
                <w:sz w:val="20"/>
                <w:szCs w:val="20"/>
                <w:color w:val="auto"/>
              </w:rPr>
            </w:pPr>
          </w:p>
        </w:tc>
        <w:tc>
          <w:tcPr>
            <w:tcW w:w="540" w:type="dxa"/>
            <w:vAlign w:val="bottom"/>
            <w:tcBorders>
              <w:top w:val="single" w:sz="8" w:color="auto"/>
              <w:bottom w:val="single" w:sz="8" w:color="auto"/>
            </w:tcBorders>
            <w:shd w:val="clear" w:color="auto" w:fill="E6E6E6"/>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42,624</w:t>
            </w:r>
          </w:p>
        </w:tc>
        <w:tc>
          <w:tcPr>
            <w:tcW w:w="8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Adjustments to the allowance for obsolete inventory, which are charged to cost of sales, amounted to $(0.4) million, $1.1 million and $1.1 million during 2025, 2024 and 2023, respectively. Items charged to the allowance for inventory write-offs were $2.0 million, $0.3 million, and $0.3 million, during 2025, 2024 and 2023, respectively.</w:t>
      </w:r>
    </w:p>
    <w:p>
      <w:pPr>
        <w:sectPr>
          <w:pgSz w:w="11880" w:h="15480" w:orient="portrait"/>
          <w:cols w:equalWidth="0" w:num="1">
            <w:col w:w="10680"/>
          </w:cols>
          <w:pgMar w:left="600" w:top="821"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680"/>
          </w:cols>
          <w:pgMar w:left="600" w:top="821" w:right="600" w:bottom="66"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73"/>
        </w:trPr>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3"/>
              </w:rPr>
              <w:t>5.</w:t>
            </w:r>
          </w:p>
        </w:tc>
        <w:tc>
          <w:tcPr>
            <w:tcW w:w="570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1"/>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plant and equipment consisted of the following:</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 building, and improvements</w:t>
            </w:r>
          </w:p>
        </w:tc>
        <w:tc>
          <w:tcPr>
            <w:tcW w:w="1020" w:type="dxa"/>
            <w:vAlign w:val="bottom"/>
          </w:tcPr>
          <w:p>
            <w:pPr>
              <w:spacing w:after="0"/>
              <w:rPr>
                <w:sz w:val="20"/>
                <w:szCs w:val="20"/>
                <w:color w:val="auto"/>
              </w:rPr>
            </w:pPr>
          </w:p>
        </w:tc>
        <w:tc>
          <w:tcPr>
            <w:tcW w:w="3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27,227</w:t>
            </w:r>
          </w:p>
        </w:tc>
        <w:tc>
          <w:tcPr>
            <w:tcW w:w="260" w:type="dxa"/>
            <w:vAlign w:val="bottom"/>
          </w:tcPr>
          <w:p>
            <w:pPr>
              <w:spacing w:after="0"/>
              <w:rPr>
                <w:sz w:val="20"/>
                <w:szCs w:val="20"/>
                <w:color w:val="auto"/>
              </w:rPr>
            </w:pPr>
          </w:p>
        </w:tc>
        <w:tc>
          <w:tcPr>
            <w:tcW w:w="54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60" w:type="dxa"/>
            <w:vAlign w:val="bottom"/>
            <w:gridSpan w:val="2"/>
            <w:shd w:val="clear" w:color="auto" w:fill="E6E6E6"/>
          </w:tcPr>
          <w:p>
            <w:pPr>
              <w:spacing w:after="0" w:line="241" w:lineRule="exact"/>
              <w:rPr>
                <w:sz w:val="20"/>
                <w:szCs w:val="20"/>
                <w:color w:val="auto"/>
              </w:rPr>
            </w:pPr>
            <w:r>
              <w:rPr>
                <w:rFonts w:ascii="Times New Roman" w:cs="Times New Roman" w:eastAsia="Times New Roman" w:hAnsi="Times New Roman"/>
                <w:sz w:val="20"/>
                <w:szCs w:val="20"/>
                <w:color w:val="auto"/>
              </w:rPr>
              <w:t>Machinery and equipment</w:t>
            </w:r>
            <w:r>
              <w:rPr>
                <w:rFonts w:ascii="Times New Roman" w:cs="Times New Roman" w:eastAsia="Times New Roman" w:hAnsi="Times New Roman"/>
                <w:sz w:val="25"/>
                <w:szCs w:val="25"/>
                <w:color w:val="auto"/>
                <w:vertAlign w:val="superscript"/>
              </w:rPr>
              <w:t>(1)</w:t>
            </w:r>
          </w:p>
        </w:tc>
        <w:tc>
          <w:tcPr>
            <w:tcW w:w="102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35,933</w:t>
            </w:r>
          </w:p>
        </w:tc>
        <w:tc>
          <w:tcPr>
            <w:tcW w:w="26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44,310</w:t>
            </w:r>
          </w:p>
        </w:tc>
        <w:tc>
          <w:tcPr>
            <w:tcW w:w="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Construction-in-progress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5,227</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60" w:type="dxa"/>
            <w:vAlign w:val="bottom"/>
            <w:tcBorders>
              <w:bottom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w:t>
            </w:r>
          </w:p>
        </w:tc>
        <w:tc>
          <w:tcPr>
            <w:tcW w:w="1020" w:type="dxa"/>
            <w:vAlign w:val="bottom"/>
            <w:tcBorders>
              <w:bottom w:val="single" w:sz="8" w:color="E6E6E6"/>
            </w:tcBorders>
            <w:shd w:val="clear" w:color="auto" w:fill="E6E6E6"/>
          </w:tcPr>
          <w:p>
            <w:pPr>
              <w:spacing w:after="0"/>
              <w:rPr>
                <w:sz w:val="22"/>
                <w:szCs w:val="22"/>
                <w:color w:val="auto"/>
              </w:rPr>
            </w:pPr>
          </w:p>
        </w:tc>
        <w:tc>
          <w:tcPr>
            <w:tcW w:w="380" w:type="dxa"/>
            <w:vAlign w:val="bottom"/>
            <w:tcBorders>
              <w:bottom w:val="single" w:sz="8" w:color="auto"/>
            </w:tcBorders>
            <w:shd w:val="clear" w:color="auto" w:fill="E6E6E6"/>
          </w:tcPr>
          <w:p>
            <w:pPr>
              <w:spacing w:after="0"/>
              <w:rPr>
                <w:sz w:val="22"/>
                <w:szCs w:val="22"/>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9,839</w:t>
            </w:r>
          </w:p>
        </w:tc>
        <w:tc>
          <w:tcPr>
            <w:tcW w:w="260" w:type="dxa"/>
            <w:vAlign w:val="bottom"/>
            <w:tcBorders>
              <w:bottom w:val="single" w:sz="8" w:color="E6E6E6"/>
            </w:tcBorders>
            <w:shd w:val="clear" w:color="auto" w:fill="E6E6E6"/>
          </w:tcPr>
          <w:p>
            <w:pPr>
              <w:spacing w:after="0"/>
              <w:rPr>
                <w:sz w:val="22"/>
                <w:szCs w:val="22"/>
                <w:color w:val="auto"/>
              </w:rPr>
            </w:pPr>
          </w:p>
        </w:tc>
        <w:tc>
          <w:tcPr>
            <w:tcW w:w="540" w:type="dxa"/>
            <w:vAlign w:val="bottom"/>
            <w:tcBorders>
              <w:bottom w:val="single" w:sz="8" w:color="auto"/>
            </w:tcBorders>
            <w:shd w:val="clear" w:color="auto" w:fill="E6E6E6"/>
          </w:tcPr>
          <w:p>
            <w:pPr>
              <w:spacing w:after="0"/>
              <w:rPr>
                <w:sz w:val="22"/>
                <w:szCs w:val="22"/>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6,807</w:t>
            </w:r>
          </w:p>
        </w:tc>
        <w:tc>
          <w:tcPr>
            <w:tcW w:w="8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7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Property, plant and equipment, gross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78,226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74,985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8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02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162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(30,418)</w:t>
            </w:r>
          </w:p>
        </w:tc>
        <w:tc>
          <w:tcPr>
            <w:tcW w:w="54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(41,175)</w:t>
            </w:r>
          </w:p>
        </w:tc>
        <w:tc>
          <w:tcPr>
            <w:tcW w:w="0" w:type="dxa"/>
            <w:vAlign w:val="bottom"/>
          </w:tcPr>
          <w:p>
            <w:pPr>
              <w:spacing w:after="0"/>
              <w:rPr>
                <w:sz w:val="1"/>
                <w:szCs w:val="1"/>
                <w:color w:val="auto"/>
              </w:rPr>
            </w:pPr>
          </w:p>
        </w:tc>
      </w:tr>
      <w:tr>
        <w:trPr>
          <w:trHeight w:val="216"/>
        </w:trPr>
        <w:tc>
          <w:tcPr>
            <w:tcW w:w="160" w:type="dxa"/>
            <w:vAlign w:val="bottom"/>
            <w:tcBorders>
              <w:top w:val="single" w:sz="8" w:color="E6E6E6"/>
            </w:tcBorders>
          </w:tcPr>
          <w:p>
            <w:pPr>
              <w:spacing w:after="0"/>
              <w:rPr>
                <w:sz w:val="18"/>
                <w:szCs w:val="18"/>
                <w:color w:val="auto"/>
              </w:rPr>
            </w:pPr>
          </w:p>
        </w:tc>
        <w:tc>
          <w:tcPr>
            <w:tcW w:w="5700" w:type="dxa"/>
            <w:vAlign w:val="bottom"/>
            <w:tcBorders>
              <w:top w:val="single" w:sz="8" w:color="E6E6E6"/>
            </w:tcBorders>
          </w:tcPr>
          <w:p>
            <w:pPr>
              <w:ind w:left="40"/>
              <w:spacing w:after="0" w:line="216"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1020" w:type="dxa"/>
            <w:vAlign w:val="bottom"/>
            <w:tcBorders>
              <w:top w:val="single" w:sz="8" w:color="E6E6E6"/>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8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47,808</w:t>
            </w:r>
          </w:p>
        </w:tc>
        <w:tc>
          <w:tcPr>
            <w:tcW w:w="260" w:type="dxa"/>
            <w:vAlign w:val="bottom"/>
            <w:tcBorders>
              <w:top w:val="single" w:sz="8" w:color="E6E6E6"/>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4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33,810</w:t>
            </w:r>
          </w:p>
        </w:tc>
        <w:tc>
          <w:tcPr>
            <w:tcW w:w="80" w:type="dxa"/>
            <w:vAlign w:val="bottom"/>
            <w:tcBorders>
              <w:top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70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(1) Inclusive of information technology equipment</w:t>
            </w:r>
          </w:p>
        </w:tc>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57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$8.7 million, $5.8 million and $5.1 million for 2025, 2024 and 2023,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w:t>
            </w:r>
          </w:p>
        </w:tc>
        <w:tc>
          <w:tcPr>
            <w:tcW w:w="56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33"/>
        </w:trPr>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8"/>
              </w:rPr>
              <w:t>Industrial</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3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80"/>
              <w:spacing w:after="0" w:line="228" w:lineRule="exact"/>
              <w:rPr>
                <w:sz w:val="20"/>
                <w:szCs w:val="20"/>
                <w:color w:val="auto"/>
              </w:rPr>
            </w:pPr>
            <w:r>
              <w:rPr>
                <w:rFonts w:ascii="Times New Roman" w:cs="Times New Roman" w:eastAsia="Times New Roman" w:hAnsi="Times New Roman"/>
                <w:sz w:val="20"/>
                <w:szCs w:val="20"/>
                <w:b w:val="1"/>
                <w:bCs w:val="1"/>
                <w:color w:val="auto"/>
              </w:rPr>
              <w:t>Engineered</w:t>
            </w:r>
          </w:p>
        </w:tc>
        <w:tc>
          <w:tcPr>
            <w:tcW w:w="180" w:type="dxa"/>
            <w:vAlign w:val="bottom"/>
          </w:tcPr>
          <w:p>
            <w:pPr>
              <w:spacing w:after="0"/>
              <w:rPr>
                <w:sz w:val="19"/>
                <w:szCs w:val="19"/>
                <w:color w:val="auto"/>
              </w:rPr>
            </w:pPr>
          </w:p>
        </w:tc>
        <w:tc>
          <w:tcPr>
            <w:tcW w:w="1360" w:type="dxa"/>
            <w:vAlign w:val="bottom"/>
            <w:gridSpan w:val="2"/>
          </w:tcPr>
          <w:p>
            <w:pPr>
              <w:jc w:val="center"/>
              <w:ind w:right="360"/>
              <w:spacing w:after="0" w:line="228" w:lineRule="exact"/>
              <w:rPr>
                <w:sz w:val="20"/>
                <w:szCs w:val="20"/>
                <w:color w:val="auto"/>
              </w:rPr>
            </w:pPr>
            <w:r>
              <w:rPr>
                <w:rFonts w:ascii="Times New Roman" w:cs="Times New Roman" w:eastAsia="Times New Roman" w:hAnsi="Times New Roman"/>
                <w:sz w:val="20"/>
                <w:szCs w:val="20"/>
                <w:b w:val="1"/>
                <w:bCs w:val="1"/>
                <w:color w:val="auto"/>
                <w:w w:val="99"/>
              </w:rPr>
              <w:t>Process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1"/>
        </w:trPr>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Systems</w:t>
            </w: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Solutions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2"/>
                <w:szCs w:val="22"/>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80" w:type="dxa"/>
            <w:vAlign w:val="bottom"/>
          </w:tcPr>
          <w:p>
            <w:pPr>
              <w:spacing w:after="0"/>
              <w:rPr>
                <w:sz w:val="22"/>
                <w:szCs w:val="2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2"/>
              </w:rPr>
              <w:t>s</w:t>
            </w:r>
            <w:r>
              <w:rPr>
                <w:rFonts w:ascii="Times New Roman" w:cs="Times New Roman" w:eastAsia="Times New Roman" w:hAnsi="Times New Roman"/>
                <w:sz w:val="20"/>
                <w:szCs w:val="20"/>
                <w:b w:val="1"/>
                <w:bCs w:val="1"/>
                <w:color w:val="auto"/>
                <w:w w:val="92"/>
              </w:rPr>
              <w:t>egment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6"/>
        </w:trPr>
        <w:tc>
          <w:tcPr>
            <w:tcW w:w="594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of goodwill at December 31, 2023</w:t>
            </w:r>
          </w:p>
        </w:tc>
        <w:tc>
          <w:tcPr>
            <w:tcW w:w="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142,229</w:t>
            </w:r>
          </w:p>
        </w:tc>
        <w:tc>
          <w:tcPr>
            <w:tcW w:w="260" w:type="dxa"/>
            <w:vAlign w:val="bottom"/>
            <w:tcBorders>
              <w:top w:val="single" w:sz="8" w:color="E6E6E6"/>
            </w:tcBorders>
            <w:shd w:val="clear" w:color="auto" w:fill="E6E6E6"/>
          </w:tcPr>
          <w:p>
            <w:pPr>
              <w:spacing w:after="0"/>
              <w:rPr>
                <w:sz w:val="20"/>
                <w:szCs w:val="20"/>
                <w:color w:val="auto"/>
              </w:rPr>
            </w:pPr>
          </w:p>
        </w:tc>
        <w:tc>
          <w:tcPr>
            <w:tcW w:w="180" w:type="dxa"/>
            <w:vAlign w:val="bottom"/>
            <w:tcBorders>
              <w:top w:val="single" w:sz="8" w:color="auto"/>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69,097</w:t>
            </w:r>
          </w:p>
        </w:tc>
        <w:tc>
          <w:tcPr>
            <w:tcW w:w="160" w:type="dxa"/>
            <w:vAlign w:val="bottom"/>
            <w:tcBorders>
              <w:top w:val="single" w:sz="8" w:color="E6E6E6"/>
            </w:tcBorders>
            <w:shd w:val="clear" w:color="auto" w:fill="E6E6E6"/>
          </w:tcPr>
          <w:p>
            <w:pPr>
              <w:spacing w:after="0"/>
              <w:rPr>
                <w:sz w:val="20"/>
                <w:szCs w:val="20"/>
                <w:color w:val="auto"/>
              </w:rPr>
            </w:pPr>
          </w:p>
        </w:tc>
        <w:tc>
          <w:tcPr>
            <w:tcW w:w="8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211,326</w:t>
            </w:r>
          </w:p>
        </w:tc>
        <w:tc>
          <w:tcPr>
            <w:tcW w:w="80" w:type="dxa"/>
            <w:vAlign w:val="bottom"/>
            <w:tcBorders>
              <w:top w:val="single" w:sz="8" w:color="E6E6E6"/>
            </w:tcBorders>
            <w:shd w:val="clear" w:color="auto" w:fill="E6E6E6"/>
          </w:tcPr>
          <w:p>
            <w:pPr>
              <w:spacing w:after="0"/>
              <w:rPr>
                <w:sz w:val="20"/>
                <w:szCs w:val="20"/>
                <w:color w:val="auto"/>
              </w:rPr>
            </w:pPr>
          </w:p>
        </w:tc>
      </w:tr>
      <w:tr>
        <w:trPr>
          <w:trHeight w:val="242"/>
        </w:trPr>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59,005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59,115</w:t>
            </w:r>
          </w:p>
        </w:tc>
        <w:tc>
          <w:tcPr>
            <w:tcW w:w="80" w:type="dxa"/>
            <w:vAlign w:val="bottom"/>
          </w:tcPr>
          <w:p>
            <w:pPr>
              <w:spacing w:after="0"/>
              <w:rPr>
                <w:sz w:val="21"/>
                <w:szCs w:val="21"/>
                <w:color w:val="auto"/>
              </w:rPr>
            </w:pPr>
          </w:p>
        </w:tc>
      </w:tr>
      <w:tr>
        <w:trPr>
          <w:trHeight w:val="242"/>
        </w:trPr>
        <w:tc>
          <w:tcPr>
            <w:tcW w:w="5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40" w:type="dxa"/>
            <w:vAlign w:val="bottom"/>
            <w:shd w:val="clear" w:color="auto" w:fill="E6E6E6"/>
          </w:tcPr>
          <w:p>
            <w:pPr>
              <w:spacing w:after="0"/>
              <w:rPr>
                <w:sz w:val="21"/>
                <w:szCs w:val="21"/>
                <w:color w:val="auto"/>
              </w:rPr>
            </w:pPr>
          </w:p>
        </w:tc>
        <w:tc>
          <w:tcPr>
            <w:tcW w:w="15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(596)</w:t>
            </w:r>
          </w:p>
        </w:tc>
        <w:tc>
          <w:tcPr>
            <w:tcW w:w="180" w:type="dxa"/>
            <w:vAlign w:val="bottom"/>
            <w:shd w:val="clear" w:color="auto" w:fill="E6E6E6"/>
          </w:tcPr>
          <w:p>
            <w:pPr>
              <w:spacing w:after="0"/>
              <w:rPr>
                <w:sz w:val="21"/>
                <w:szCs w:val="21"/>
                <w:color w:val="auto"/>
              </w:rPr>
            </w:pPr>
          </w:p>
        </w:tc>
        <w:tc>
          <w:tcPr>
            <w:tcW w:w="136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(98)</w:t>
            </w:r>
          </w:p>
        </w:tc>
        <w:tc>
          <w:tcPr>
            <w:tcW w:w="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(694)</w:t>
            </w: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of goodwill at December 31, 2024</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141,743</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128,004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269,747</w:t>
            </w:r>
          </w:p>
        </w:tc>
        <w:tc>
          <w:tcPr>
            <w:tcW w:w="80" w:type="dxa"/>
            <w:vAlign w:val="bottom"/>
          </w:tcPr>
          <w:p>
            <w:pPr>
              <w:spacing w:after="0"/>
              <w:rPr>
                <w:sz w:val="20"/>
                <w:szCs w:val="20"/>
                <w:color w:val="auto"/>
              </w:rPr>
            </w:pPr>
          </w:p>
        </w:tc>
      </w:tr>
      <w:tr>
        <w:trPr>
          <w:trHeight w:val="242"/>
        </w:trPr>
        <w:tc>
          <w:tcPr>
            <w:tcW w:w="5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Acquisitions</w:t>
            </w:r>
          </w:p>
        </w:tc>
        <w:tc>
          <w:tcPr>
            <w:tcW w:w="140" w:type="dxa"/>
            <w:vAlign w:val="bottom"/>
            <w:shd w:val="clear" w:color="auto" w:fill="E6E6E6"/>
          </w:tcPr>
          <w:p>
            <w:pPr>
              <w:spacing w:after="0"/>
              <w:rPr>
                <w:sz w:val="21"/>
                <w:szCs w:val="21"/>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25,563</w:t>
            </w:r>
          </w:p>
        </w:tc>
        <w:tc>
          <w:tcPr>
            <w:tcW w:w="2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16,206</w:t>
            </w:r>
          </w:p>
        </w:tc>
        <w:tc>
          <w:tcPr>
            <w:tcW w:w="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41,769</w:t>
            </w:r>
          </w:p>
        </w:tc>
        <w:tc>
          <w:tcPr>
            <w:tcW w:w="80" w:type="dxa"/>
            <w:vAlign w:val="bottom"/>
            <w:shd w:val="clear" w:color="auto" w:fill="E6E6E6"/>
          </w:tcPr>
          <w:p>
            <w:pPr>
              <w:spacing w:after="0"/>
              <w:rPr>
                <w:sz w:val="21"/>
                <w:szCs w:val="21"/>
                <w:color w:val="auto"/>
              </w:rPr>
            </w:pPr>
          </w:p>
        </w:tc>
      </w:tr>
      <w:tr>
        <w:trPr>
          <w:trHeight w:val="242"/>
        </w:trPr>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Divestiture</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(26,838)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(26,838)</w:t>
            </w:r>
          </w:p>
        </w:tc>
      </w:tr>
      <w:tr>
        <w:trPr>
          <w:trHeight w:val="242"/>
        </w:trPr>
        <w:tc>
          <w:tcPr>
            <w:tcW w:w="5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140" w:type="dxa"/>
            <w:vAlign w:val="bottom"/>
            <w:tcBorders>
              <w:bottom w:val="single" w:sz="8" w:color="auto"/>
            </w:tcBorders>
            <w:shd w:val="clear" w:color="auto" w:fill="E6E6E6"/>
          </w:tcPr>
          <w:p>
            <w:pPr>
              <w:spacing w:after="0"/>
              <w:rPr>
                <w:sz w:val="21"/>
                <w:szCs w:val="21"/>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1,270</w:t>
            </w:r>
          </w:p>
        </w:tc>
        <w:tc>
          <w:tcPr>
            <w:tcW w:w="260" w:type="dxa"/>
            <w:vAlign w:val="bottom"/>
            <w:shd w:val="clear" w:color="auto" w:fill="E6E6E6"/>
          </w:tcPr>
          <w:p>
            <w:pPr>
              <w:spacing w:after="0"/>
              <w:rPr>
                <w:sz w:val="21"/>
                <w:szCs w:val="21"/>
                <w:color w:val="auto"/>
              </w:rPr>
            </w:pPr>
          </w:p>
        </w:tc>
        <w:tc>
          <w:tcPr>
            <w:tcW w:w="180" w:type="dxa"/>
            <w:vAlign w:val="bottom"/>
            <w:tcBorders>
              <w:bottom w:val="single" w:sz="8" w:color="auto"/>
            </w:tcBorders>
            <w:shd w:val="clear" w:color="auto" w:fill="E6E6E6"/>
          </w:tcPr>
          <w:p>
            <w:pPr>
              <w:spacing w:after="0"/>
              <w:rPr>
                <w:sz w:val="21"/>
                <w:szCs w:val="21"/>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2,215</w:t>
            </w:r>
          </w:p>
        </w:tc>
        <w:tc>
          <w:tcPr>
            <w:tcW w:w="1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3,485</w:t>
            </w:r>
          </w:p>
        </w:tc>
        <w:tc>
          <w:tcPr>
            <w:tcW w:w="80" w:type="dxa"/>
            <w:vAlign w:val="bottom"/>
            <w:shd w:val="clear" w:color="auto" w:fill="E6E6E6"/>
          </w:tcPr>
          <w:p>
            <w:pPr>
              <w:spacing w:after="0"/>
              <w:rPr>
                <w:sz w:val="21"/>
                <w:szCs w:val="21"/>
                <w:color w:val="auto"/>
              </w:rPr>
            </w:pP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of goodwill at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168,576</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119,587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288,163</w:t>
            </w:r>
          </w:p>
        </w:tc>
        <w:tc>
          <w:tcPr>
            <w:tcW w:w="8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20"/>
          <w:szCs w:val="20"/>
          <w:color w:val="auto"/>
        </w:rPr>
        <w:t>As of December 31, 2025 and 2024, the Company has an aggregate amount of goodwill acquired of $372.2 million and $330.4 million, respectively, and an aggregate amount of impairment losses of $60.7 million which was recognized in 2017.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indefinite lived intangible assets as of December 31, 2025 and 2024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Tradenames</w:t>
            </w: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E6E6E6"/>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81"/>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E6E6E6"/>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1"/>
              <w:spacing w:after="0" w:line="223" w:lineRule="exact"/>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Balance beginning of year</w:t>
            </w:r>
          </w:p>
        </w:tc>
        <w:tc>
          <w:tcPr>
            <w:tcW w:w="380" w:type="dxa"/>
            <w:vAlign w:val="bottom"/>
            <w:shd w:val="clear" w:color="auto" w:fill="E6E6E6"/>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9,466</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jc w:val="right"/>
              <w:ind w:right="3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9,570</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80" w:type="dxa"/>
            <w:vAlign w:val="bottom"/>
            <w:tcBorders>
              <w:bottom w:val="single" w:sz="8" w:color="E6E6E6"/>
            </w:tcBorders>
          </w:tcPr>
          <w:p>
            <w:pPr>
              <w:spacing w:after="0" w:line="228" w:lineRule="exact"/>
              <w:rPr>
                <w:sz w:val="20"/>
                <w:szCs w:val="20"/>
                <w:color w:val="auto"/>
              </w:rPr>
            </w:pPr>
            <w:r>
              <w:rPr>
                <w:rFonts w:ascii="Times New Roman" w:cs="Times New Roman" w:eastAsia="Times New Roman" w:hAnsi="Times New Roman"/>
                <w:sz w:val="20"/>
                <w:szCs w:val="20"/>
                <w:color w:val="auto"/>
              </w:rPr>
              <w:t>Foreign currency adjustments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239</w:t>
            </w:r>
          </w:p>
        </w:tc>
        <w:tc>
          <w:tcPr>
            <w:tcW w:w="260" w:type="dxa"/>
            <w:vAlign w:val="bottom"/>
            <w:tcBorders>
              <w:bottom w:val="single" w:sz="8" w:color="E6E6E6"/>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(104)</w:t>
            </w:r>
          </w:p>
        </w:tc>
        <w:tc>
          <w:tcPr>
            <w:tcW w:w="8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Balance end of year</w:t>
            </w:r>
          </w:p>
        </w:tc>
        <w:tc>
          <w:tcPr>
            <w:tcW w:w="380" w:type="dxa"/>
            <w:vAlign w:val="bottom"/>
            <w:tcBorders>
              <w:bottom w:val="single" w:sz="8" w:color="auto"/>
            </w:tcBorders>
            <w:shd w:val="clear" w:color="auto" w:fill="E6E6E6"/>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9,705</w:t>
            </w:r>
          </w:p>
        </w:tc>
        <w:tc>
          <w:tcPr>
            <w:tcW w:w="260" w:type="dxa"/>
            <w:vAlign w:val="bottom"/>
            <w:shd w:val="clear" w:color="auto" w:fill="E6E6E6"/>
          </w:tcPr>
          <w:p>
            <w:pPr>
              <w:spacing w:after="0"/>
              <w:rPr>
                <w:sz w:val="19"/>
                <w:szCs w:val="19"/>
                <w:color w:val="auto"/>
              </w:rPr>
            </w:pPr>
          </w:p>
        </w:tc>
        <w:tc>
          <w:tcPr>
            <w:tcW w:w="520" w:type="dxa"/>
            <w:vAlign w:val="bottom"/>
            <w:tcBorders>
              <w:bottom w:val="single" w:sz="8" w:color="auto"/>
            </w:tcBorders>
            <w:shd w:val="clear" w:color="auto" w:fill="E6E6E6"/>
          </w:tcPr>
          <w:p>
            <w:pPr>
              <w:jc w:val="right"/>
              <w:ind w:right="3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9,466</w:t>
            </w:r>
          </w:p>
        </w:tc>
        <w:tc>
          <w:tcPr>
            <w:tcW w:w="8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0"/>
          <w:szCs w:val="20"/>
          <w:color w:val="auto"/>
        </w:rPr>
        <w:t>The Company completes an impairment assessment of its goodwill and indefinite life intangible assets at the reporting unit level annually, or upon the occurrence of a triggering event or a change in circumstances that would more likely than not reduce the fair value of a reporting unit below its carrying amount. The annual assessment was performed in the fourth quarters of 2025, 2024 and 2023. The assessments did not result in impairment in 2025, 2024 or 2023.</w:t>
      </w:r>
    </w:p>
    <w:p>
      <w:pPr>
        <w:sectPr>
          <w:pgSz w:w="11880" w:h="15480" w:orient="portrait"/>
          <w:cols w:equalWidth="0" w:num="1">
            <w:col w:w="10680"/>
          </w:cols>
          <w:pgMar w:left="600" w:top="815"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680"/>
          </w:cols>
          <w:pgMar w:left="600" w:top="815" w:right="600" w:bottom="66"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The Company’s finite lived intangible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61"/>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01"/>
              <w:spacing w:after="0" w:line="223" w:lineRule="exact"/>
              <w:rPr>
                <w:sz w:val="20"/>
                <w:szCs w:val="20"/>
                <w:color w:val="auto"/>
              </w:rPr>
            </w:pPr>
            <w:r>
              <w:rPr>
                <w:rFonts w:ascii="Times New Roman" w:cs="Times New Roman" w:eastAsia="Times New Roman" w:hAnsi="Times New Roman"/>
                <w:sz w:val="20"/>
                <w:szCs w:val="20"/>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100" w:type="dxa"/>
            <w:vAlign w:val="bottom"/>
          </w:tcPr>
          <w:p>
            <w:pPr>
              <w:spacing w:after="0"/>
              <w:rPr>
                <w:sz w:val="17"/>
                <w:szCs w:val="17"/>
                <w:color w:val="auto"/>
              </w:rPr>
            </w:pPr>
          </w:p>
        </w:tc>
      </w:tr>
      <w:tr>
        <w:trPr>
          <w:trHeight w:val="25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1"/>
                <w:szCs w:val="21"/>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Cost</w:t>
            </w:r>
          </w:p>
        </w:tc>
        <w:tc>
          <w:tcPr>
            <w:tcW w:w="2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Cost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Amortization</w:t>
            </w:r>
          </w:p>
        </w:tc>
      </w:tr>
      <w:tr>
        <w:trPr>
          <w:trHeight w:val="223"/>
        </w:trPr>
        <w:tc>
          <w:tcPr>
            <w:tcW w:w="5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Technology</w:t>
            </w:r>
          </w:p>
        </w:tc>
        <w:tc>
          <w:tcPr>
            <w:tcW w:w="260" w:type="dxa"/>
            <w:vAlign w:val="bottom"/>
            <w:tcBorders>
              <w:top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22,314</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15,155</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20,614</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4"/>
              </w:rPr>
              <w:t>14,769</w:t>
            </w:r>
          </w:p>
        </w:tc>
        <w:tc>
          <w:tcPr>
            <w:tcW w:w="100" w:type="dxa"/>
            <w:vAlign w:val="bottom"/>
          </w:tcPr>
          <w:p>
            <w:pPr>
              <w:spacing w:after="0"/>
              <w:rPr>
                <w:sz w:val="19"/>
                <w:szCs w:val="19"/>
                <w:color w:val="auto"/>
              </w:rPr>
            </w:pPr>
          </w:p>
        </w:tc>
      </w:tr>
      <w:tr>
        <w:trPr>
          <w:trHeight w:val="228"/>
        </w:trPr>
        <w:tc>
          <w:tcPr>
            <w:tcW w:w="502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Customer lists</w:t>
            </w: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140,337</w:t>
            </w:r>
          </w:p>
        </w:tc>
        <w:tc>
          <w:tcPr>
            <w:tcW w:w="22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580" w:type="dxa"/>
            <w:vAlign w:val="bottom"/>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62,163</w:t>
            </w:r>
          </w:p>
        </w:tc>
        <w:tc>
          <w:tcPr>
            <w:tcW w:w="2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220"/>
              <w:spacing w:after="0" w:line="228" w:lineRule="exact"/>
              <w:rPr>
                <w:sz w:val="20"/>
                <w:szCs w:val="20"/>
                <w:color w:val="auto"/>
              </w:rPr>
            </w:pPr>
            <w:r>
              <w:rPr>
                <w:rFonts w:ascii="Times New Roman" w:cs="Times New Roman" w:eastAsia="Times New Roman" w:hAnsi="Times New Roman"/>
                <w:sz w:val="20"/>
                <w:szCs w:val="20"/>
                <w:color w:val="auto"/>
              </w:rPr>
              <w:t>127,354</w:t>
            </w:r>
          </w:p>
        </w:tc>
        <w:tc>
          <w:tcPr>
            <w:tcW w:w="680" w:type="dxa"/>
            <w:vAlign w:val="bottom"/>
            <w:shd w:val="clear" w:color="auto" w:fill="E6E6E6"/>
          </w:tcPr>
          <w:p>
            <w:pPr>
              <w:spacing w:after="0"/>
              <w:rPr>
                <w:sz w:val="19"/>
                <w:szCs w:val="19"/>
                <w:color w:val="auto"/>
              </w:rPr>
            </w:pPr>
          </w:p>
        </w:tc>
        <w:tc>
          <w:tcPr>
            <w:tcW w:w="640" w:type="dxa"/>
            <w:vAlign w:val="bottom"/>
            <w:gridSpan w:val="2"/>
            <w:shd w:val="clear" w:color="auto" w:fill="E6E6E6"/>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w w:val="94"/>
              </w:rPr>
              <w:t>70,045</w:t>
            </w:r>
          </w:p>
        </w:tc>
      </w:tr>
      <w:tr>
        <w:trPr>
          <w:trHeight w:val="228"/>
        </w:trPr>
        <w:tc>
          <w:tcPr>
            <w:tcW w:w="5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Tradenames</w:t>
            </w:r>
          </w:p>
        </w:tc>
        <w:tc>
          <w:tcPr>
            <w:tcW w:w="26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17,660</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6,084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line="228" w:lineRule="exact"/>
              <w:rPr>
                <w:sz w:val="20"/>
                <w:szCs w:val="20"/>
                <w:color w:val="auto"/>
              </w:rPr>
            </w:pPr>
            <w:r>
              <w:rPr>
                <w:rFonts w:ascii="Times New Roman" w:cs="Times New Roman" w:eastAsia="Times New Roman" w:hAnsi="Times New Roman"/>
                <w:sz w:val="20"/>
                <w:szCs w:val="20"/>
                <w:color w:val="auto"/>
              </w:rPr>
              <w:t>18,530</w:t>
            </w:r>
          </w:p>
        </w:tc>
        <w:tc>
          <w:tcPr>
            <w:tcW w:w="680" w:type="dxa"/>
            <w:vAlign w:val="bottom"/>
          </w:tcPr>
          <w:p>
            <w:pPr>
              <w:spacing w:after="0"/>
              <w:rPr>
                <w:sz w:val="19"/>
                <w:szCs w:val="19"/>
                <w:color w:val="auto"/>
              </w:rPr>
            </w:pPr>
          </w:p>
        </w:tc>
        <w:tc>
          <w:tcPr>
            <w:tcW w:w="64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6,392</w:t>
            </w:r>
          </w:p>
        </w:tc>
      </w:tr>
      <w:tr>
        <w:trPr>
          <w:trHeight w:val="228"/>
        </w:trPr>
        <w:tc>
          <w:tcPr>
            <w:tcW w:w="502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Foreign currency adjustments</w:t>
            </w:r>
          </w:p>
        </w:tc>
        <w:tc>
          <w:tcPr>
            <w:tcW w:w="26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88</w:t>
            </w:r>
          </w:p>
        </w:tc>
        <w:tc>
          <w:tcPr>
            <w:tcW w:w="22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580" w:type="dxa"/>
            <w:vAlign w:val="bottom"/>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31</w:t>
            </w:r>
          </w:p>
        </w:tc>
        <w:tc>
          <w:tcPr>
            <w:tcW w:w="2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60"/>
              <w:spacing w:after="0" w:line="228" w:lineRule="exact"/>
              <w:rPr>
                <w:sz w:val="20"/>
                <w:szCs w:val="20"/>
                <w:color w:val="auto"/>
              </w:rPr>
            </w:pPr>
            <w:r>
              <w:rPr>
                <w:rFonts w:ascii="Times New Roman" w:cs="Times New Roman" w:eastAsia="Times New Roman" w:hAnsi="Times New Roman"/>
                <w:sz w:val="20"/>
                <w:szCs w:val="20"/>
                <w:color w:val="auto"/>
              </w:rPr>
              <w:t>(2,770)</w:t>
            </w:r>
          </w:p>
        </w:tc>
        <w:tc>
          <w:tcPr>
            <w:tcW w:w="680" w:type="dxa"/>
            <w:vAlign w:val="bottom"/>
            <w:shd w:val="clear" w:color="auto" w:fill="E6E6E6"/>
          </w:tcPr>
          <w:p>
            <w:pPr>
              <w:spacing w:after="0"/>
              <w:rPr>
                <w:sz w:val="19"/>
                <w:szCs w:val="19"/>
                <w:color w:val="auto"/>
              </w:rPr>
            </w:pPr>
          </w:p>
        </w:tc>
        <w:tc>
          <w:tcPr>
            <w:tcW w:w="640" w:type="dxa"/>
            <w:vAlign w:val="bottom"/>
            <w:gridSpan w:val="2"/>
            <w:shd w:val="clear" w:color="auto" w:fill="E6E6E6"/>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w w:val="99"/>
              </w:rPr>
              <w:t>(1,528)</w:t>
            </w:r>
          </w:p>
        </w:tc>
      </w:tr>
      <w:tr>
        <w:trPr>
          <w:trHeight w:val="223"/>
        </w:trPr>
        <w:tc>
          <w:tcPr>
            <w:tcW w:w="50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finite life intangible assets</w:t>
            </w:r>
          </w:p>
        </w:tc>
        <w:tc>
          <w:tcPr>
            <w:tcW w:w="26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180,399</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83,433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163,728</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4"/>
              </w:rPr>
              <w:t>89,678</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0"/>
        </w:trPr>
        <w:tc>
          <w:tcPr>
            <w:tcW w:w="710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8"/>
              </w:rPr>
              <w:t>Amortization expense of finite life intangible assets was $16.1 million, $8.7 million and $</w:t>
            </w:r>
          </w:p>
        </w:tc>
        <w:tc>
          <w:tcPr>
            <w:tcW w:w="2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w w:val="98"/>
              </w:rPr>
              <w:t>7.4 million for 2025, 2024 and 2023,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right="180"/>
        <w:spacing w:after="0" w:line="250" w:lineRule="auto"/>
        <w:rPr>
          <w:sz w:val="20"/>
          <w:szCs w:val="20"/>
          <w:color w:val="auto"/>
        </w:rPr>
      </w:pPr>
      <w:r>
        <w:rPr>
          <w:rFonts w:ascii="Times New Roman" w:cs="Times New Roman" w:eastAsia="Times New Roman" w:hAnsi="Times New Roman"/>
          <w:sz w:val="20"/>
          <w:szCs w:val="20"/>
          <w:color w:val="auto"/>
        </w:rPr>
        <w:t>respectively. Amortization over the next five years for finite life intangibles is expected to be $15.5 million in 2026, $14.6 million in 2027, $13.7 million in 2028, $12.3 million in 2029, $11.1 million in 2030, and $28.5 million thereafter. The weighted average amortization periods for finite life intangible assets was 7.9 years as of December 31, 2025, inclusive of weighted average amortization periods for technology, customer lists, and tradenames of 5.6, 8.2, and 7.7 years,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7.</w:t>
            </w:r>
          </w:p>
        </w:tc>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Accrued Expenses</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expenses consisted of the following:</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Compensation and related benefits</w:t>
            </w:r>
          </w:p>
        </w:tc>
        <w:tc>
          <w:tcPr>
            <w:tcW w:w="980" w:type="dxa"/>
            <w:vAlign w:val="bottom"/>
          </w:tcPr>
          <w:p>
            <w:pPr>
              <w:spacing w:after="0"/>
              <w:rPr>
                <w:sz w:val="20"/>
                <w:szCs w:val="20"/>
                <w:color w:val="auto"/>
              </w:rPr>
            </w:pPr>
          </w:p>
        </w:tc>
        <w:tc>
          <w:tcPr>
            <w:tcW w:w="380" w:type="dxa"/>
            <w:vAlign w:val="bottom"/>
            <w:gridSpan w:val="2"/>
          </w:tcPr>
          <w:p>
            <w:pPr>
              <w:jc w:val="right"/>
              <w:ind w:right="198"/>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16,597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9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Contract liability</w:t>
            </w:r>
          </w:p>
        </w:tc>
        <w:tc>
          <w:tcPr>
            <w:tcW w:w="9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15,315</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120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9,746</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warranty</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Short-term operating lease liability</w:t>
            </w:r>
          </w:p>
        </w:tc>
        <w:tc>
          <w:tcPr>
            <w:tcW w:w="9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4,642</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120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4,262</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0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98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14,289</w:t>
            </w:r>
          </w:p>
        </w:tc>
        <w:tc>
          <w:tcPr>
            <w:tcW w:w="2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16,688</w:t>
            </w:r>
          </w:p>
        </w:tc>
        <w:tc>
          <w:tcPr>
            <w:tcW w:w="6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40" w:type="dxa"/>
            <w:vAlign w:val="bottom"/>
            <w:shd w:val="clear" w:color="auto" w:fill="E6E6E6"/>
          </w:tcPr>
          <w:p>
            <w:pPr>
              <w:spacing w:after="0"/>
              <w:rPr>
                <w:sz w:val="20"/>
                <w:szCs w:val="20"/>
                <w:color w:val="auto"/>
              </w:rPr>
            </w:pPr>
          </w:p>
        </w:tc>
        <w:tc>
          <w:tcPr>
            <w:tcW w:w="57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accrued expenses</w:t>
            </w:r>
          </w:p>
        </w:tc>
        <w:tc>
          <w:tcPr>
            <w:tcW w:w="980" w:type="dxa"/>
            <w:vAlign w:val="bottom"/>
            <w:shd w:val="clear" w:color="auto" w:fill="E6E6E6"/>
          </w:tcPr>
          <w:p>
            <w:pPr>
              <w:spacing w:after="0"/>
              <w:rPr>
                <w:sz w:val="20"/>
                <w:szCs w:val="20"/>
                <w:color w:val="auto"/>
              </w:rPr>
            </w:pPr>
          </w:p>
        </w:tc>
        <w:tc>
          <w:tcPr>
            <w:tcW w:w="380" w:type="dxa"/>
            <w:vAlign w:val="bottom"/>
            <w:tcBorders>
              <w:bottom w:val="single" w:sz="8" w:color="auto"/>
            </w:tcBorders>
            <w:gridSpan w:val="2"/>
            <w:shd w:val="clear" w:color="auto" w:fill="E6E6E6"/>
          </w:tcPr>
          <w:p>
            <w:pPr>
              <w:jc w:val="right"/>
              <w:ind w:right="198"/>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57,639</w:t>
            </w:r>
          </w:p>
        </w:tc>
        <w:tc>
          <w:tcPr>
            <w:tcW w:w="2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520" w:type="dxa"/>
            <w:vAlign w:val="bottom"/>
            <w:tcBorders>
              <w:bottom w:val="single" w:sz="8" w:color="auto"/>
            </w:tcBorders>
            <w:shd w:val="clear" w:color="auto" w:fill="E6E6E6"/>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47,528</w:t>
            </w:r>
          </w:p>
        </w:tc>
        <w:tc>
          <w:tcPr>
            <w:tcW w:w="6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79"/>
              </w:rPr>
              <w:t>8.</w:t>
            </w:r>
          </w:p>
        </w:tc>
        <w:tc>
          <w:tcPr>
            <w:tcW w:w="57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b w:val="1"/>
                <w:bCs w:val="1"/>
                <w:color w:val="auto"/>
              </w:rPr>
              <w:t>Senior debt</w:t>
            </w:r>
          </w:p>
        </w:tc>
        <w:tc>
          <w:tcPr>
            <w:tcW w:w="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4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Debt consisted of the following:</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4"/>
            <w:vMerge w:val="restart"/>
          </w:tcPr>
          <w:p>
            <w:pPr>
              <w:jc w:val="right"/>
              <w:ind w:right="18"/>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vMerge w:val="continue"/>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borrowings under Credit Facility (defined below)</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shd w:val="clear" w:color="auto" w:fill="E6E6E6"/>
          </w:tcPr>
          <w:p>
            <w:pPr>
              <w:spacing w:after="0"/>
              <w:rPr>
                <w:sz w:val="21"/>
                <w:szCs w:val="21"/>
                <w:color w:val="auto"/>
              </w:rPr>
            </w:pPr>
          </w:p>
        </w:tc>
        <w:tc>
          <w:tcPr>
            <w:tcW w:w="57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Revolving Credit Facility</w:t>
            </w:r>
          </w:p>
        </w:tc>
        <w:tc>
          <w:tcPr>
            <w:tcW w:w="1360" w:type="dxa"/>
            <w:vAlign w:val="bottom"/>
            <w:gridSpan w:val="3"/>
            <w:shd w:val="clear" w:color="auto" w:fill="E6E6E6"/>
          </w:tcPr>
          <w:p>
            <w:pPr>
              <w:jc w:val="right"/>
              <w:ind w:right="198"/>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208,600</w:t>
            </w:r>
          </w:p>
        </w:tc>
        <w:tc>
          <w:tcPr>
            <w:tcW w:w="260" w:type="dxa"/>
            <w:vAlign w:val="bottom"/>
            <w:shd w:val="clear" w:color="auto" w:fill="E6E6E6"/>
          </w:tcPr>
          <w:p>
            <w:pPr>
              <w:spacing w:after="0"/>
              <w:rPr>
                <w:sz w:val="21"/>
                <w:szCs w:val="21"/>
                <w:color w:val="auto"/>
              </w:rPr>
            </w:pPr>
          </w:p>
        </w:tc>
        <w:tc>
          <w:tcPr>
            <w:tcW w:w="540" w:type="dxa"/>
            <w:vAlign w:val="bottom"/>
            <w:gridSpan w:val="2"/>
            <w:shd w:val="clear" w:color="auto" w:fill="E6E6E6"/>
          </w:tcPr>
          <w:p>
            <w:pPr>
              <w:jc w:val="right"/>
              <w:ind w:right="358"/>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214,200</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outstanding borrowings under Credit Facility</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208,600</w:t>
            </w:r>
          </w:p>
        </w:tc>
        <w:tc>
          <w:tcPr>
            <w:tcW w:w="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214,200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9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Outstanding borrowings under the joint venture term debt</w:t>
            </w:r>
          </w:p>
        </w:tc>
        <w:tc>
          <w:tcPr>
            <w:tcW w:w="9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5,647</w:t>
            </w:r>
          </w:p>
        </w:tc>
        <w:tc>
          <w:tcPr>
            <w:tcW w:w="2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7,297</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Unamortized debt discount</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(1,809)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(2,617)</w:t>
            </w:r>
          </w:p>
        </w:tc>
        <w:tc>
          <w:tcPr>
            <w:tcW w:w="0" w:type="dxa"/>
            <w:vAlign w:val="bottom"/>
          </w:tcPr>
          <w:p>
            <w:pPr>
              <w:spacing w:after="0"/>
              <w:rPr>
                <w:sz w:val="1"/>
                <w:szCs w:val="1"/>
                <w:color w:val="auto"/>
              </w:rPr>
            </w:pPr>
          </w:p>
        </w:tc>
      </w:tr>
      <w:tr>
        <w:trPr>
          <w:trHeight w:val="236"/>
        </w:trPr>
        <w:tc>
          <w:tcPr>
            <w:tcW w:w="590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outstanding borrowings</w:t>
            </w:r>
          </w:p>
        </w:tc>
        <w:tc>
          <w:tcPr>
            <w:tcW w:w="98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360" w:type="dxa"/>
            <w:vAlign w:val="bottom"/>
            <w:tcBorders>
              <w:top w:val="single" w:sz="8" w:color="auto"/>
            </w:tcBorders>
            <w:shd w:val="clear" w:color="auto" w:fill="E6E6E6"/>
          </w:tcPr>
          <w:p>
            <w:pPr>
              <w:spacing w:after="0"/>
              <w:rPr>
                <w:sz w:val="20"/>
                <w:szCs w:val="20"/>
                <w:color w:val="auto"/>
              </w:rPr>
            </w:pPr>
          </w:p>
        </w:tc>
        <w:tc>
          <w:tcPr>
            <w:tcW w:w="13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212,438</w:t>
            </w:r>
          </w:p>
        </w:tc>
        <w:tc>
          <w:tcPr>
            <w:tcW w:w="26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520" w:type="dxa"/>
            <w:vAlign w:val="bottom"/>
            <w:tcBorders>
              <w:top w:val="single" w:sz="8" w:color="auto"/>
            </w:tcBorders>
            <w:shd w:val="clear" w:color="auto" w:fill="E6E6E6"/>
          </w:tcPr>
          <w:p>
            <w:pPr>
              <w:spacing w:after="0"/>
              <w:rPr>
                <w:sz w:val="20"/>
                <w:szCs w:val="20"/>
                <w:color w:val="auto"/>
              </w:rPr>
            </w:pPr>
          </w:p>
        </w:tc>
        <w:tc>
          <w:tcPr>
            <w:tcW w:w="11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218,880</w:t>
            </w:r>
          </w:p>
        </w:tc>
        <w:tc>
          <w:tcPr>
            <w:tcW w:w="20" w:type="dxa"/>
            <w:vAlign w:val="bottom"/>
            <w:tcBorders>
              <w:top w:val="single" w:sz="8" w:color="E6E6E6"/>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Borders>
              <w:bottom w:val="single" w:sz="8" w:color="E6E6E6"/>
            </w:tcBorders>
          </w:tcPr>
          <w:p>
            <w:pPr>
              <w:spacing w:after="0"/>
              <w:rPr>
                <w:sz w:val="21"/>
                <w:szCs w:val="21"/>
                <w:color w:val="auto"/>
              </w:rPr>
            </w:pPr>
          </w:p>
        </w:tc>
        <w:tc>
          <w:tcPr>
            <w:tcW w:w="57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98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26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80" w:type="dxa"/>
            <w:vAlign w:val="bottom"/>
            <w:tcBorders>
              <w:bottom w:val="single" w:sz="8" w:color="E6E6E6"/>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debt, less current portion</w:t>
            </w:r>
          </w:p>
        </w:tc>
        <w:tc>
          <w:tcPr>
            <w:tcW w:w="9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60" w:type="dxa"/>
            <w:vAlign w:val="bottom"/>
            <w:tcBorders>
              <w:bottom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210,559</w:t>
            </w:r>
          </w:p>
        </w:tc>
        <w:tc>
          <w:tcPr>
            <w:tcW w:w="260" w:type="dxa"/>
            <w:vAlign w:val="bottom"/>
            <w:shd w:val="clear" w:color="auto" w:fill="E6E6E6"/>
          </w:tcPr>
          <w:p>
            <w:pPr>
              <w:spacing w:after="0"/>
              <w:rPr>
                <w:sz w:val="20"/>
                <w:szCs w:val="20"/>
                <w:color w:val="auto"/>
              </w:rPr>
            </w:pPr>
          </w:p>
        </w:tc>
        <w:tc>
          <w:tcPr>
            <w:tcW w:w="540" w:type="dxa"/>
            <w:vAlign w:val="bottom"/>
            <w:tcBorders>
              <w:bottom w:val="single" w:sz="8" w:color="auto"/>
            </w:tcBorders>
            <w:gridSpan w:val="2"/>
            <w:shd w:val="clear" w:color="auto" w:fill="E6E6E6"/>
          </w:tcPr>
          <w:p>
            <w:pPr>
              <w:jc w:val="right"/>
              <w:ind w:right="358"/>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217,230</w:t>
            </w: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Scheduled principal payments under the Credit Facility and joint venture term debt are $1.9 million in 2026, and $3.9 million in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remaining $208.6 million will be paid upon maturity in 2029.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Facility</w:t>
      </w:r>
    </w:p>
    <w:p>
      <w:pPr>
        <w:spacing w:after="0" w:line="23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On December 17, 2021, the Company entered into Amendment No. 2 to the Second Amended and Restated Credit Agreement. This agreement amended and restated the Company’s prior credit agreement. Pursuant to this amendment, the lenders provided a term loan in the aggregate principal amount of $44.1 million and a senior secured revolving credit commitment up to an aggregate principal amount of $140.0 million. This revolving credit commitment allowed the Company the ability to borrow loans denominated in different currencies. Additionally, the agreement extended the maturity date to December 17, 2026, replaced LIBOR interest with</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680"/>
          </w:cols>
          <w:pgMar w:left="600" w:top="818" w:right="600" w:bottom="66" w:gutter="0" w:footer="0" w:header="0"/>
          <w:type w:val="continuous"/>
        </w:sectPr>
      </w:pPr>
    </w:p>
    <w:bookmarkStart w:id="75" w:name="page76"/>
    <w:bookmarkEnd w:id="75"/>
    <w:p>
      <w:pPr>
        <w:ind w:right="100"/>
        <w:spacing w:after="0" w:line="275" w:lineRule="auto"/>
        <w:rPr>
          <w:sz w:val="20"/>
          <w:szCs w:val="20"/>
          <w:color w:val="auto"/>
        </w:rPr>
      </w:pPr>
      <w:r>
        <w:rPr>
          <w:rFonts w:ascii="Times New Roman" w:cs="Times New Roman" w:eastAsia="Times New Roman" w:hAnsi="Times New Roman"/>
          <w:sz w:val="20"/>
          <w:szCs w:val="20"/>
          <w:color w:val="auto"/>
        </w:rPr>
        <w:t>Secured Overnight Financing Rate ("SOFR") interest for USD loans, Sterling Overnight Interbank Average Rate ("SONIA") for GBP loans, and Canadian Dollar Offered Rate ("CDOR") for CAD loans, and redefined certain financial covenants.</w:t>
      </w:r>
    </w:p>
    <w:p>
      <w:pPr>
        <w:spacing w:after="0" w:line="166" w:lineRule="exact"/>
        <w:rPr>
          <w:sz w:val="20"/>
          <w:szCs w:val="20"/>
          <w:color w:val="auto"/>
        </w:rPr>
      </w:pPr>
    </w:p>
    <w:p>
      <w:pPr>
        <w:ind w:right="40" w:firstLine="50"/>
        <w:spacing w:after="0" w:line="241" w:lineRule="auto"/>
        <w:rPr>
          <w:sz w:val="20"/>
          <w:szCs w:val="20"/>
          <w:color w:val="auto"/>
        </w:rPr>
      </w:pPr>
      <w:r>
        <w:rPr>
          <w:rFonts w:ascii="Times New Roman" w:cs="Times New Roman" w:eastAsia="Times New Roman" w:hAnsi="Times New Roman"/>
          <w:sz w:val="20"/>
          <w:szCs w:val="20"/>
          <w:color w:val="auto"/>
        </w:rPr>
        <w:t>On October 30, 2023, the Company entered into Amendment No. 4 to the Second Amended and Restated Credit Agreement ("the Second Credit Agreement"). Pursuant to this amendment, the lenders provided an additional term loan in the aggregate principal amount of $75.0 million, which was subsequently used to repay a portion of the outstanding balance on the revolving credit loan. At the Company’s option, revolving loans and the term loans accrued interest at a per annum rate based on (a) either the highest of (i) the federal funds rate plus 0.5%, or (ii) the prime lending rate of the Agent (as defined in the Second Credit Agreement), (b) Daily Simple SOFR plus the Daily Simple SOFR Adjustment of 0.11% plus 1.0%, (c) 1.0%, plus a margin ranging from 1.75% to 3.25% depending on the Company’s Consolidated Leverage Ratio, or (d) a one/three/six-month Term SOFR Rate (as defined in the Second Credit Agreement) plus the Term SOFR Adjustment ranging from 0.11% to 0.43% plus 1.75% to 3.25% depending on the Company’s Consolidated Leverage Ratio. Interest on swing line loans is the Base Rate. Interest on Base Rate loans was payable quarterly in arrears on the last day of each calendar quarter and at maturity. Interest on Term SOFR rate loans was payable on the last date of each applicable Interest Period (as defined in the Second Credit Agreement), but in no event less than once every three months and at maturity.</w:t>
      </w:r>
    </w:p>
    <w:p>
      <w:pPr>
        <w:spacing w:after="0" w:line="19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On October 7, 2024, the Company entered into the Third Amended and Restated Credit Agreement (the “Third Credit Agreement”). The Third Credit Agreement provided for a senior secured revolving credit facility in an initial aggregate principal amount of up to $400.0 million (the "Credit Facility”). At the Company’s option, the Company may increase the aggregate principal amount of the Credit Facility from time to time by an additional aggregate principal amount of up to (a) $125.0 million plus (b) such additional amount, if any, as would not cause the Consolidated Secured Net Leverage Ratio (as defined in the Third Credit Agreement) to exceed 3.00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20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The Credit Facility was due to mature on October 7, 2029. The Credit Facility accrued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Third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Amended Credit Agreement, whether the Company has elected for interest on such loans to accrue at a daily rate or a term rate: (a) for term rate loans, if denominated (1) in U.S. Dollars, Term SOFR (as defined in the Third Credit Agreement inclusive of a 0.10% per annum adjustment), (2) in euros, EURIBOR, (3) in Canadian dollars, the Term CORRA Rate (as defined in the Third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Third Credit Agreement inclusive of a 0.10% per annum adjustment), (2) in pounds sterling, a rate per annum equal to SONIA (as defined in the Third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21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With respect to financial covenants, the Company was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Credit Agreement, following the occurrence of a Permitted Acquisition (as defined in the Third Credit Agreement) involving aggregate consideration of $15.0 million or more, such maximum Consolidated Net Leverage Ratio and Consolidated Secured Net Leverage Ratio may have been increased to 4.50 to 1.00 and 3.50 to 1.00, respectively, for the fiscal quarter in which such Permitted Acquisition is consummated and the subsequent three fiscal quarters of the Company. In the first quarter of 2025, the Company entered into an Elevated Ratio Period resulting in a maximum Consolidated Net Leverage Ratio of 4.50 and Consolidated Secured Net Leverage Ratio of 3.50. This Elevated Ratio was in effect for two quarters, after which the Consolidated Net Leverage Ratio reverted to 4.00 and the Consolidated Secured Net Leverage Ratio reverted to 3.00. The Company was also required to maintain a Consolidated Fixed Charge Coverage Ratio (as defined in the Credit Agreement) as of the last day of each fiscal quarter of the Company of not less than 1.25 to 1.00.</w:t>
      </w:r>
    </w:p>
    <w:p>
      <w:pPr>
        <w:spacing w:after="0" w:line="18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auto"/>
        </w:rPr>
        <w:t>On January 30, 2026, the Company entered into the Fourth Amended and Restated Credit Agreement (the “Fourth Credit Agreement”), among the Company, its subsidiaries from time to time party thereto, the lenders from time to time party thereto (the “Lenders”), and Bank of America, N.A., as administrative agent (the “Agent”), which amended and restated in its entirety the Company’s Third Amended and Restated Credit Agreement, dated as of October 7, 2024, among the Company, its subsidiaries from</w:t>
      </w:r>
    </w:p>
    <w:p>
      <w:pPr>
        <w:sectPr>
          <w:pgSz w:w="11880" w:h="15480" w:orient="portrait"/>
          <w:cols w:equalWidth="0" w:num="1">
            <w:col w:w="10680"/>
          </w:cols>
          <w:pgMar w:left="600" w:top="818" w:right="600" w:bottom="66"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680"/>
          </w:cols>
          <w:pgMar w:left="600" w:top="818" w:right="600" w:bottom="66" w:gutter="0" w:footer="0" w:header="0"/>
          <w:type w:val="continuous"/>
        </w:sectPr>
      </w:pPr>
    </w:p>
    <w:bookmarkStart w:id="76" w:name="page77"/>
    <w:bookmarkEnd w:id="76"/>
    <w:p>
      <w:pPr>
        <w:ind w:right="40"/>
        <w:spacing w:after="0" w:line="243" w:lineRule="auto"/>
        <w:rPr>
          <w:sz w:val="20"/>
          <w:szCs w:val="20"/>
          <w:color w:val="auto"/>
        </w:rPr>
      </w:pPr>
      <w:r>
        <w:rPr>
          <w:rFonts w:ascii="Times New Roman" w:cs="Times New Roman" w:eastAsia="Times New Roman" w:hAnsi="Times New Roman"/>
          <w:sz w:val="20"/>
          <w:szCs w:val="20"/>
          <w:color w:val="auto"/>
        </w:rPr>
        <w:t>time to time party thereto, the lenders from time to time party thereto and the Agent. The Credit Agreement provides for a senior secured revolving credit facility in an initial aggregate principal amount of up to $700.0 million (the “Amended Credit Facility”). At the Company’s option, the Company may increase the aggregate principal amount of the Amended Credit Facility from time to time by an additional aggregate principal amount of up to (a) $150.0 million plus (b) such additional amount, if any, as would not cause the Consolidated Net Leverage Ratio (as defined in the Fourth Credit Agreement) to exceed 3.50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20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The Credit Facility will mature on January 30, 2031. The Credit Facility will accrue interest (a) with respect to base rate loans, at an annual rate equal to an applicable rate of between 0.50% and 2.00% (fluctuating based on the Company’s Consolidated Net Leverage Ratio), plus a rate equal to the highest of (1) the Agent’s prime rate, (2) the federal funds rate plus one-half of 1.00%, (3) Daily Simple SOFR (as defined in the Fourth Credit Agreement) plus 1.00% and (4) 1.00%, (b) for all other loans, at an annual rate equal to an applicable rate of between 1.50% and 3.00% (fluctuating based on the Company’s Consolidated Net Leverage Ratio), plus a rate determined based on the denominated currency and, as applicable pursuant to the Fourth Credit Agreement, whether the Company has elected for interest on such loans to accrue at a daily rate or a term rate: (a) for term rate loans, if denominated (1) in U.S. Dollars, Term SOFR (as defined in the Fourth Credit Agreement), (2) in euros, EURIBOR, (3) in Canadian dollars, the Term CORRA Rate (as defined in the Fourth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Fourth Credit Agreement), (2) in pounds sterling, a rate per annum equal to SONIA (as defined in the Fourth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With respect to financial covenants, the Company is required to maintain a Consolidated Net Leverage Ratio not greater than 4.00 to 1.00 and a Consolidated Secured Net Leverage Ratio (as defined in the Fourth Credit Agreement) not greater than 3.50 to 1.00, in each case as of the last day of each fiscal quarter of the Company. At the election of the Company and subject to certain restrictions contained in the Fourth Credit Agreement, following the occurrence of one or more Permitted Acquisitions (as defined in the Fourth Credit Agreement) involving aggregate consideration of $40.0 million or more during any contiguous 90-day period, such maximum Consolidated Net Leverage Ratio and Consolidated Secured Net Leverage Ratio may be increased to 4.50 to 1.00 and 4.00 to 1.00, respectively, for the fiscal quarter in which the Permitted Acquisition resulting in the aggregate consideration for all Permitted Acquisitions consummated during such contiguous 90-day period equaling or exceeding $40.0 million is consummated and the subsequent three fiscal quarters of the Company. The Company is also required to maintain a Consolidated Fixed Charge Coverage Ratio (as defined in the Fourth Credit Agreement) as of the last day of each fiscal quarter of the Company of not less than 1.25 to 1.00.</w:t>
      </w:r>
    </w:p>
    <w:p>
      <w:pPr>
        <w:spacing w:after="0" w:line="19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color w:val="auto"/>
        </w:rPr>
        <w:t>As of December 31, 2025 and 2024, $23.8 million and $18.9 million of letters of credit were outstanding, respectively. Total unused credit availability under the Company’s senior secured term loan and senior secured revolver loan with sub-facilities for letters of credit, swing-line loans and senior secured multi-currency loans was $167.6 million and $166.9 million at December 31, 2025 and 2024, respectively.</w:t>
      </w:r>
    </w:p>
    <w:p>
      <w:pPr>
        <w:spacing w:after="0" w:line="190"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20"/>
          <w:szCs w:val="20"/>
          <w:color w:val="auto"/>
        </w:rPr>
        <w:t>The weighted average stated interest rate on outstanding borrowings was 6.41% and 7.07% at December 31, 2025 and 2024, respectively. The effective interest rate was 7.06% and 7.82% at December 31, 2025 and 2024, respectively.</w:t>
      </w:r>
    </w:p>
    <w:p>
      <w:pPr>
        <w:spacing w:after="0" w:line="166"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9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In connection with the Credit Facility, the Company paid $0.8 million in customary closing fees during 2021, and $0.4 million in customary closing fees during 2023, that were deferred and classified as a debt discount, as a result of the associated amendments being accounted for as debt modifications. In 2024, $0.1 million of loss on extinguishments of debt was recorded related to the Third Credit Agreement. The remaining amount continues to be deferred and classified as a debt discount, along with $1.8 million in customary closing fees incurred during 2024, as these amounts relate to portions of the Third Credit Agreement accounted for as debt modifications.</w:t>
      </w:r>
    </w:p>
    <w:p>
      <w:pPr>
        <w:spacing w:after="0" w:line="19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0"/>
          <w:szCs w:val="20"/>
          <w:color w:val="auto"/>
        </w:rPr>
        <w:t>As of December 31, 2025 and 2024, the Company was in compliance with all related financial and other restrictive covenants under the Credit Facility.</w:t>
      </w:r>
    </w:p>
    <w:p>
      <w:pPr>
        <w:sectPr>
          <w:pgSz w:w="11880" w:h="15480" w:orient="portrait"/>
          <w:cols w:equalWidth="0" w:num="1">
            <w:col w:w="10680"/>
          </w:cols>
          <w:pgMar w:left="600" w:top="818" w:right="600" w:bottom="66"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680"/>
          </w:cols>
          <w:pgMar w:left="600" w:top="818" w:right="600" w:bottom="66" w:gutter="0" w:footer="0" w:header="0"/>
          <w:type w:val="continuous"/>
        </w:sectPr>
      </w:pPr>
    </w:p>
    <w:bookmarkStart w:id="77" w:name="page78"/>
    <w:bookmarkEnd w:id="77"/>
    <w:p>
      <w:pPr>
        <w:ind w:left="6"/>
        <w:spacing w:after="0"/>
        <w:rPr>
          <w:sz w:val="20"/>
          <w:szCs w:val="20"/>
          <w:color w:val="auto"/>
        </w:rPr>
      </w:pPr>
      <w:r>
        <w:rPr>
          <w:rFonts w:ascii="Times New Roman" w:cs="Times New Roman" w:eastAsia="Times New Roman" w:hAnsi="Times New Roman"/>
          <w:sz w:val="20"/>
          <w:szCs w:val="20"/>
          <w:i w:val="1"/>
          <w:iCs w:val="1"/>
          <w:color w:val="auto"/>
        </w:rPr>
        <w:t>Foreign Debt</w:t>
      </w:r>
    </w:p>
    <w:p>
      <w:pPr>
        <w:spacing w:after="0" w:line="232" w:lineRule="exact"/>
        <w:rPr>
          <w:sz w:val="20"/>
          <w:szCs w:val="20"/>
          <w:color w:val="auto"/>
        </w:rPr>
      </w:pPr>
    </w:p>
    <w:p>
      <w:pPr>
        <w:ind w:left="6"/>
        <w:spacing w:after="0" w:line="241" w:lineRule="auto"/>
        <w:rPr>
          <w:sz w:val="20"/>
          <w:szCs w:val="20"/>
          <w:color w:val="auto"/>
        </w:rPr>
      </w:pPr>
      <w:r>
        <w:rPr>
          <w:rFonts w:ascii="Times New Roman" w:cs="Times New Roman" w:eastAsia="Times New Roman" w:hAnsi="Times New Roman"/>
          <w:sz w:val="20"/>
          <w:szCs w:val="20"/>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$120.0 million from the bilateral lines of credit secured by pledged assets and collateral under the Credit Facility. As of December 31, 2025 and 2024, $41.6 million and $45.9 million in bank guarantees were outstanding, respectively, inclusive of $1.1 million and $2.1 million in outstanding bank guarantees as of December 31, 2025 and 2024, respectively, under a Euro-denominated bank guarantee agreement held by a subsidiary of the Company located in the Netherlands and secured by local assets, as well as $1.9 million and $2.1 million in outstanding bank guarantees as of December 31, 2025 and 2024, respectively, under Yuan-denominated bank guarantee agreements held by a subsidiary of the Company located in China and secured by local assets. As of December 31, 2025, the borrowers of these facilities and agreements were in compliance with all related financial and other restrictive covenants.</w:t>
      </w: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Joint Venture Debt</w:t>
      </w:r>
    </w:p>
    <w:p>
      <w:pPr>
        <w:spacing w:after="0" w:line="222" w:lineRule="exact"/>
        <w:rPr>
          <w:sz w:val="20"/>
          <w:szCs w:val="20"/>
          <w:color w:val="auto"/>
        </w:rPr>
      </w:pPr>
    </w:p>
    <w:p>
      <w:pPr>
        <w:ind w:left="6"/>
        <w:spacing w:after="0" w:line="242" w:lineRule="auto"/>
        <w:rPr>
          <w:sz w:val="20"/>
          <w:szCs w:val="20"/>
          <w:color w:val="auto"/>
        </w:rPr>
      </w:pPr>
      <w:r>
        <w:rPr>
          <w:rFonts w:ascii="Times New Roman" w:cs="Times New Roman" w:eastAsia="Times New Roman" w:hAnsi="Times New Roman"/>
          <w:sz w:val="20"/>
          <w:szCs w:val="20"/>
          <w:color w:val="auto"/>
        </w:rPr>
        <w:t>On March 7, 2022, the Company's Pinnacle Processes Inc. (formerly known as Effox-Flextor-Mader, Inc.) joint venture ("PPI JV") entered into a loan agreement secured by the assets of the PPI JV in the aggregate principal amount of $11.0 million for the acquisition of General Rubber, LLC, as further described in Note 14. As of December 31, 2025 and 2024, $5.6 million and $7.3 million was outstanding under the loan. Principal will be paid back to the lender monthly with the final installment due by February 27, 2027. Interest is accrued at the per annum rate based on PPI JV's choice of the 1/3/6 month Term SOFR rate plus 3.25%, with a floor rate of 3.75%. Interest is paid monthly on the last day of each month. The interest rate was 7.27% and 7.96% at December 31, 2025 and 2024, respectively. As of December 31, 2025, the PPI JV was in compliance with all related financial and other restrictive covenants under this loan agreement. This loan balance does not impact the Company’s borrowing capacity or the financial covenants under the Credit Facility.</w:t>
      </w:r>
    </w:p>
    <w:p>
      <w:pPr>
        <w:spacing w:after="0" w:line="200" w:lineRule="exact"/>
        <w:rPr>
          <w:sz w:val="20"/>
          <w:szCs w:val="20"/>
          <w:color w:val="auto"/>
        </w:rPr>
      </w:pPr>
    </w:p>
    <w:p>
      <w:pPr>
        <w:ind w:left="6"/>
        <w:spacing w:after="0" w:line="242" w:lineRule="auto"/>
        <w:rPr>
          <w:sz w:val="20"/>
          <w:szCs w:val="20"/>
          <w:color w:val="auto"/>
        </w:rPr>
      </w:pPr>
      <w:r>
        <w:rPr>
          <w:rFonts w:ascii="Times New Roman" w:cs="Times New Roman" w:eastAsia="Times New Roman" w:hAnsi="Times New Roman"/>
          <w:sz w:val="20"/>
          <w:szCs w:val="20"/>
          <w:color w:val="auto"/>
        </w:rPr>
        <w:t>As of December 31, 2025, there were $20.7 million in current assets (including $1.9 million of cash, $10.4 million of accounts receivable, and $4.3 million of inventories), $24.4 million in long-lived assets (including $23.9 million of goodwill and intangible assets), and $14.2 million in total liabilities (including $5.6 million of debt and $4.9 million of accounts payable and accrued expenses) related to the PPI JV included in the Consolidated Balance Sheets. As of December 31, 2024, there were $16.2 million in current assets (including $2.9 million of cash, $7.9 million of accounts receivable, and $3.9 million of inventories), $25.4 million in long-lived assets (including $24.8 million of goodwill and intangible assets), and $14.0 million in total liabilities (including $7.3 million of debt and $4.1 million of accounts payable and accrued expenses) related to the PPI JV included in the Consolidated Balance Sheets.</w:t>
      </w:r>
    </w:p>
    <w:p>
      <w:pPr>
        <w:spacing w:after="0" w:line="204" w:lineRule="exact"/>
        <w:rPr>
          <w:sz w:val="20"/>
          <w:szCs w:val="20"/>
          <w:color w:val="auto"/>
        </w:rPr>
      </w:pPr>
    </w:p>
    <w:p>
      <w:pPr>
        <w:ind w:left="6" w:right="160"/>
        <w:spacing w:after="0" w:line="256" w:lineRule="auto"/>
        <w:rPr>
          <w:sz w:val="20"/>
          <w:szCs w:val="20"/>
          <w:color w:val="auto"/>
        </w:rPr>
      </w:pPr>
      <w:r>
        <w:rPr>
          <w:rFonts w:ascii="Times New Roman" w:cs="Times New Roman" w:eastAsia="Times New Roman" w:hAnsi="Times New Roman"/>
          <w:sz w:val="20"/>
          <w:szCs w:val="20"/>
          <w:color w:val="auto"/>
        </w:rPr>
        <w:t>For the years ended December 31, 2025, 2024, and 2023, PPI JV accounted for $54.6 million, $47.0 million, and $37.7 million in revenue, respectively. For the years ended December 31, 2025, 2024, and 2023, PPI JV accounted for $7.8 million, $4.1 million, and $4.2 million in net income, respectively.</w:t>
      </w:r>
    </w:p>
    <w:p>
      <w:pPr>
        <w:spacing w:after="0" w:line="182" w:lineRule="exact"/>
        <w:rPr>
          <w:sz w:val="20"/>
          <w:szCs w:val="20"/>
          <w:color w:val="auto"/>
        </w:rPr>
      </w:pPr>
    </w:p>
    <w:p>
      <w:pPr>
        <w:ind w:left="486" w:hanging="486"/>
        <w:spacing w:after="0"/>
        <w:tabs>
          <w:tab w:leader="none" w:pos="48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Shareholders’ Equity</w:t>
      </w:r>
    </w:p>
    <w:p>
      <w:pPr>
        <w:spacing w:after="0" w:line="2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232" w:lineRule="exact"/>
        <w:rPr>
          <w:sz w:val="20"/>
          <w:szCs w:val="20"/>
          <w:color w:val="auto"/>
        </w:rPr>
      </w:pPr>
    </w:p>
    <w:p>
      <w:pPr>
        <w:ind w:left="6" w:right="20"/>
        <w:spacing w:after="0" w:line="242" w:lineRule="auto"/>
        <w:rPr>
          <w:sz w:val="20"/>
          <w:szCs w:val="20"/>
          <w:color w:val="auto"/>
        </w:rPr>
      </w:pPr>
      <w:r>
        <w:rPr>
          <w:rFonts w:ascii="Times New Roman" w:cs="Times New Roman" w:eastAsia="Times New Roman" w:hAnsi="Times New Roman"/>
          <w:sz w:val="20"/>
          <w:szCs w:val="20"/>
          <w:color w:val="auto"/>
        </w:rPr>
        <w:t>The Company’s 2021 Equity and Incentive Compensation Plan (the “2021 Plan”) was approved by the Company’s stockholders on May 25, 2021 which replaced the 2017 Equity Incentive Compensation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2025, 0.4 million shares remain available for future issuance. Stock options granted to employees generally vest equally over a period of four years from the date of the grant with a maximum contractual term of ten years from the date of the grant. Stock awards granted to employees generally vest over a period of two to four years from the date of the grant.</w:t>
      </w:r>
    </w:p>
    <w:p>
      <w:pPr>
        <w:spacing w:after="0" w:line="200" w:lineRule="exact"/>
        <w:rPr>
          <w:sz w:val="20"/>
          <w:szCs w:val="20"/>
          <w:color w:val="auto"/>
        </w:rPr>
      </w:pPr>
    </w:p>
    <w:p>
      <w:pPr>
        <w:ind w:left="6" w:right="60"/>
        <w:spacing w:after="0" w:line="245" w:lineRule="auto"/>
        <w:rPr>
          <w:sz w:val="20"/>
          <w:szCs w:val="20"/>
          <w:color w:val="auto"/>
        </w:rPr>
      </w:pPr>
      <w:r>
        <w:rPr>
          <w:rFonts w:ascii="Times New Roman" w:cs="Times New Roman" w:eastAsia="Times New Roman" w:hAnsi="Times New Roman"/>
          <w:sz w:val="20"/>
          <w:szCs w:val="20"/>
          <w:color w:val="auto"/>
        </w:rPr>
        <w:t>On July 6, 2020, in connection with the appointment of the Chief Executive Officer, the Company granted its Chief Executive Officer approximately 94,000 restricted stock units with a fair value of $0.6 million, which were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ectPr>
          <w:pgSz w:w="11880" w:h="15480" w:orient="portrait"/>
          <w:cols w:equalWidth="0" w:num="1">
            <w:col w:w="10686"/>
          </w:cols>
          <w:pgMar w:left="594" w:top="821" w:right="600" w:bottom="66"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686"/>
          </w:cols>
          <w:pgMar w:left="594" w:top="821" w:right="600" w:bottom="66" w:gutter="0" w:footer="0" w:header="0"/>
          <w:type w:val="continuous"/>
        </w:sectPr>
      </w:pPr>
    </w:p>
    <w:bookmarkStart w:id="78" w:name="page79"/>
    <w:bookmarkEnd w:id="78"/>
    <w:p>
      <w:pPr>
        <w:jc w:val="both"/>
        <w:spacing w:after="0" w:line="256" w:lineRule="auto"/>
        <w:rPr>
          <w:sz w:val="20"/>
          <w:szCs w:val="20"/>
          <w:color w:val="auto"/>
        </w:rPr>
      </w:pPr>
      <w:r>
        <w:rPr>
          <w:rFonts w:ascii="Times New Roman" w:cs="Times New Roman" w:eastAsia="Times New Roman" w:hAnsi="Times New Roman"/>
          <w:sz w:val="20"/>
          <w:szCs w:val="20"/>
          <w:color w:val="auto"/>
        </w:rPr>
        <w:t>Share-based compensation expense for stock options and restricted stock awards under these plans was $12.2 million, $7.2 million and $4.3 million for the years ended December 31, 2025, 2024 and 2023, respectively. The tax benefit related to share-based compensation expense was $2.8 million, $1.6 million and $0.8 million in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Stock Purchase Plan</w:t>
      </w:r>
    </w:p>
    <w:p>
      <w:pPr>
        <w:spacing w:after="0" w:line="2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9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2025, 1.1 million shares remain available for future issuance.</w:t>
      </w:r>
    </w:p>
    <w:p>
      <w:pPr>
        <w:spacing w:after="0" w:line="19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0"/>
          <w:szCs w:val="20"/>
          <w:color w:val="auto"/>
        </w:rPr>
        <w:t>The Company recognized employee stock purchase plan expense of $0.9 million, $0.3 million and $0.2 million in 2025, 2024 and 2023,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color w:val="auto"/>
        </w:rPr>
        <w:t>The estimated weighted-average fair value of stock options was determined using the Black-Scholes option-pricing model at the grant date based on the following assumptions:</w:t>
      </w:r>
    </w:p>
    <w:p>
      <w:pPr>
        <w:spacing w:after="0" w:line="16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u w:val="single" w:color="auto"/>
          <w:color w:val="auto"/>
        </w:rPr>
        <w:t>Expected Volatility</w:t>
      </w:r>
      <w:r>
        <w:rPr>
          <w:rFonts w:ascii="Times New Roman" w:cs="Times New Roman" w:eastAsia="Times New Roman" w:hAnsi="Times New Roman"/>
          <w:sz w:val="20"/>
          <w:szCs w:val="20"/>
          <w:color w:val="auto"/>
        </w:rPr>
        <w:t>: The Company utilizes a volatility factor based on the Company’s historical stock prices for a period of time equal to the expected term of the stock option utilizing weekly price observations.</w:t>
      </w:r>
    </w:p>
    <w:p>
      <w:pPr>
        <w:spacing w:after="0" w:line="16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0"/>
          <w:szCs w:val="20"/>
          <w:u w:val="single" w:color="auto"/>
          <w:color w:val="auto"/>
        </w:rPr>
        <w:t>Expected Term</w:t>
      </w:r>
      <w:r>
        <w:rPr>
          <w:rFonts w:ascii="Times New Roman" w:cs="Times New Roman" w:eastAsia="Times New Roman" w:hAnsi="Times New Roman"/>
          <w:sz w:val="20"/>
          <w:szCs w:val="20"/>
          <w:color w:val="auto"/>
        </w:rPr>
        <w:t>: Due to limited historical exercise data, the Company utilizes the simplified method of determining the expected term based on the vesting schedules and terms of the stock options.</w:t>
      </w:r>
    </w:p>
    <w:p>
      <w:pPr>
        <w:spacing w:after="0" w:line="16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u w:val="single" w:color="auto"/>
          <w:color w:val="auto"/>
        </w:rPr>
        <w:t>Risk-Free Interest Rate</w:t>
      </w:r>
      <w:r>
        <w:rPr>
          <w:rFonts w:ascii="Times New Roman" w:cs="Times New Roman" w:eastAsia="Times New Roman" w:hAnsi="Times New Roman"/>
          <w:sz w:val="20"/>
          <w:szCs w:val="20"/>
          <w:color w:val="auto"/>
        </w:rPr>
        <w:t>: The risk-free interest rate factor utilized is based upon the implied yields currently available on U.S. Treasury zero-coupon issues over the expected term of the stock options.</w:t>
      </w:r>
    </w:p>
    <w:p>
      <w:pPr>
        <w:spacing w:after="0" w:line="166"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20"/>
          <w:szCs w:val="20"/>
          <w:color w:val="auto"/>
        </w:rPr>
        <w:t>The Company granted approximately 67,000 and 25,000 stock options during the years ended December 31, 2025 and 2024, respectively. No stock options were granted for the year ended December 31, 2023.</w:t>
      </w:r>
    </w:p>
    <w:p>
      <w:pPr>
        <w:spacing w:after="0" w:line="166"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20"/>
          <w:szCs w:val="20"/>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16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20"/>
          <w:szCs w:val="20"/>
          <w:color w:val="auto"/>
        </w:rPr>
        <w:t>Information related to all stock options under the 2021 Plan, 2017 Plan and 2007 Plan, and the 2020 Inducement Awards for 2025, 2024 and 2023 is shown in the tables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Pr>
          <w:p>
            <w:pPr>
              <w:spacing w:after="0"/>
              <w:rPr>
                <w:sz w:val="19"/>
                <w:szCs w:val="19"/>
                <w:color w:val="auto"/>
              </w:rPr>
            </w:pPr>
          </w:p>
        </w:tc>
        <w:tc>
          <w:tcPr>
            <w:tcW w:w="1520" w:type="dxa"/>
            <w:vAlign w:val="bottom"/>
            <w:gridSpan w:val="3"/>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rPr>
              <w:t>Average</w:t>
            </w:r>
          </w:p>
        </w:tc>
        <w:tc>
          <w:tcPr>
            <w:tcW w:w="114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7"/>
              </w:rPr>
              <w:t>Aggregate</w:t>
            </w:r>
          </w:p>
        </w:tc>
        <w:tc>
          <w:tcPr>
            <w:tcW w:w="60" w:type="dxa"/>
            <w:vAlign w:val="bottom"/>
          </w:tcPr>
          <w:p>
            <w:pPr>
              <w:spacing w:after="0"/>
              <w:rPr>
                <w:sz w:val="19"/>
                <w:szCs w:val="19"/>
                <w:color w:val="auto"/>
              </w:rPr>
            </w:pPr>
          </w:p>
        </w:tc>
      </w:tr>
      <w:tr>
        <w:trPr>
          <w:trHeight w:val="228"/>
        </w:trPr>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20" w:type="dxa"/>
            <w:vAlign w:val="bottom"/>
          </w:tcPr>
          <w:p>
            <w:pPr>
              <w:spacing w:after="0"/>
              <w:rPr>
                <w:sz w:val="19"/>
                <w:szCs w:val="19"/>
                <w:color w:val="auto"/>
              </w:rPr>
            </w:pPr>
          </w:p>
        </w:tc>
        <w:tc>
          <w:tcPr>
            <w:tcW w:w="1520" w:type="dxa"/>
            <w:vAlign w:val="bottom"/>
            <w:gridSpan w:val="3"/>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114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rPr>
              <w:t>Intrinsic</w:t>
            </w:r>
          </w:p>
        </w:tc>
        <w:tc>
          <w:tcPr>
            <w:tcW w:w="60" w:type="dxa"/>
            <w:vAlign w:val="bottom"/>
          </w:tcPr>
          <w:p>
            <w:pPr>
              <w:spacing w:after="0"/>
              <w:rPr>
                <w:sz w:val="19"/>
                <w:szCs w:val="19"/>
                <w:color w:val="auto"/>
              </w:rPr>
            </w:pPr>
          </w:p>
        </w:tc>
      </w:tr>
      <w:tr>
        <w:trPr>
          <w:trHeight w:val="228"/>
        </w:trPr>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80"/>
              <w:spacing w:after="0" w:line="228" w:lineRule="exact"/>
              <w:rPr>
                <w:sz w:val="20"/>
                <w:szCs w:val="20"/>
                <w:color w:val="auto"/>
              </w:rPr>
            </w:pPr>
            <w:r>
              <w:rPr>
                <w:rFonts w:ascii="Times New Roman" w:cs="Times New Roman" w:eastAsia="Times New Roman" w:hAnsi="Times New Roman"/>
                <w:sz w:val="20"/>
                <w:szCs w:val="20"/>
                <w:b w:val="1"/>
                <w:bCs w:val="1"/>
                <w:color w:val="auto"/>
              </w:rPr>
              <w:t>Shares</w:t>
            </w:r>
          </w:p>
        </w:tc>
        <w:tc>
          <w:tcPr>
            <w:tcW w:w="160" w:type="dxa"/>
            <w:vAlign w:val="bottom"/>
          </w:tcPr>
          <w:p>
            <w:pPr>
              <w:spacing w:after="0"/>
              <w:rPr>
                <w:sz w:val="19"/>
                <w:szCs w:val="19"/>
                <w:color w:val="auto"/>
              </w:rPr>
            </w:pPr>
          </w:p>
        </w:tc>
        <w:tc>
          <w:tcPr>
            <w:tcW w:w="110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9"/>
              </w:rPr>
              <w:t>Exercise</w:t>
            </w:r>
          </w:p>
        </w:tc>
        <w:tc>
          <w:tcPr>
            <w:tcW w:w="220" w:type="dxa"/>
            <w:vAlign w:val="bottom"/>
          </w:tcPr>
          <w:p>
            <w:pPr>
              <w:spacing w:after="0"/>
              <w:rPr>
                <w:sz w:val="19"/>
                <w:szCs w:val="19"/>
                <w:color w:val="auto"/>
              </w:rPr>
            </w:pPr>
          </w:p>
        </w:tc>
        <w:tc>
          <w:tcPr>
            <w:tcW w:w="1520" w:type="dxa"/>
            <w:vAlign w:val="bottom"/>
            <w:gridSpan w:val="3"/>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rPr>
              <w:t>Contractual</w:t>
            </w:r>
          </w:p>
        </w:tc>
        <w:tc>
          <w:tcPr>
            <w:tcW w:w="114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9"/>
              </w:rPr>
              <w:t>Value</w:t>
            </w:r>
          </w:p>
        </w:tc>
        <w:tc>
          <w:tcPr>
            <w:tcW w:w="60" w:type="dxa"/>
            <w:vAlign w:val="bottom"/>
          </w:tcPr>
          <w:p>
            <w:pPr>
              <w:spacing w:after="0"/>
              <w:rPr>
                <w:sz w:val="19"/>
                <w:szCs w:val="19"/>
                <w:color w:val="auto"/>
              </w:rPr>
            </w:pPr>
          </w:p>
        </w:tc>
      </w:tr>
      <w:tr>
        <w:trPr>
          <w:trHeight w:val="252"/>
        </w:trPr>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160" w:type="dxa"/>
            <w:vAlign w:val="bottom"/>
          </w:tcPr>
          <w:p>
            <w:pPr>
              <w:spacing w:after="0"/>
              <w:rPr>
                <w:sz w:val="21"/>
                <w:szCs w:val="21"/>
                <w:color w:val="auto"/>
              </w:rPr>
            </w:pPr>
          </w:p>
        </w:tc>
        <w:tc>
          <w:tcPr>
            <w:tcW w:w="110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220" w:type="dxa"/>
            <w:vAlign w:val="bottom"/>
          </w:tcPr>
          <w:p>
            <w:pPr>
              <w:spacing w:after="0"/>
              <w:rPr>
                <w:sz w:val="21"/>
                <w:szCs w:val="21"/>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Term</w:t>
            </w:r>
          </w:p>
        </w:tc>
        <w:tc>
          <w:tcPr>
            <w:tcW w:w="114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7"/>
              </w:rPr>
              <w:t>(thousands)</w:t>
            </w:r>
          </w:p>
        </w:tc>
        <w:tc>
          <w:tcPr>
            <w:tcW w:w="60" w:type="dxa"/>
            <w:vAlign w:val="bottom"/>
          </w:tcPr>
          <w:p>
            <w:pPr>
              <w:spacing w:after="0"/>
              <w:rPr>
                <w:sz w:val="21"/>
                <w:szCs w:val="21"/>
                <w:color w:val="auto"/>
              </w:rPr>
            </w:pPr>
          </w:p>
        </w:tc>
      </w:tr>
      <w:tr>
        <w:trPr>
          <w:trHeight w:val="236"/>
        </w:trPr>
        <w:tc>
          <w:tcPr>
            <w:tcW w:w="488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20" w:type="dxa"/>
            <w:vAlign w:val="bottom"/>
            <w:tcBorders>
              <w:top w:val="single" w:sz="8" w:color="E6E6E6"/>
            </w:tcBorders>
            <w:shd w:val="clear" w:color="auto" w:fill="E6E6E6"/>
          </w:tcPr>
          <w:p>
            <w:pPr>
              <w:spacing w:after="0"/>
              <w:rPr>
                <w:sz w:val="20"/>
                <w:szCs w:val="20"/>
                <w:color w:val="auto"/>
              </w:rPr>
            </w:pPr>
          </w:p>
        </w:tc>
        <w:tc>
          <w:tcPr>
            <w:tcW w:w="12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22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11.35</w:t>
            </w:r>
          </w:p>
        </w:tc>
        <w:tc>
          <w:tcPr>
            <w:tcW w:w="220" w:type="dxa"/>
            <w:vAlign w:val="bottom"/>
            <w:tcBorders>
              <w:top w:val="single" w:sz="8" w:color="E6E6E6"/>
            </w:tcBorders>
            <w:shd w:val="clear" w:color="auto" w:fill="E6E6E6"/>
          </w:tcPr>
          <w:p>
            <w:pPr>
              <w:spacing w:after="0"/>
              <w:rPr>
                <w:sz w:val="20"/>
                <w:szCs w:val="20"/>
                <w:color w:val="auto"/>
              </w:rPr>
            </w:pPr>
          </w:p>
        </w:tc>
        <w:tc>
          <w:tcPr>
            <w:tcW w:w="1300" w:type="dxa"/>
            <w:vAlign w:val="bottom"/>
            <w:tcBorders>
              <w:top w:val="single" w:sz="8" w:color="auto"/>
            </w:tcBorders>
            <w:shd w:val="clear" w:color="auto" w:fill="E6E6E6"/>
          </w:tcPr>
          <w:p>
            <w:pPr>
              <w:ind w:left="560"/>
              <w:spacing w:after="0"/>
              <w:rPr>
                <w:sz w:val="20"/>
                <w:szCs w:val="20"/>
                <w:color w:val="auto"/>
              </w:rPr>
            </w:pPr>
            <w:r>
              <w:rPr>
                <w:rFonts w:ascii="Times New Roman" w:cs="Times New Roman" w:eastAsia="Times New Roman" w:hAnsi="Times New Roman"/>
                <w:sz w:val="20"/>
                <w:szCs w:val="20"/>
                <w:color w:val="auto"/>
                <w:w w:val="99"/>
              </w:rPr>
              <w:t>2.6 years</w:t>
            </w:r>
          </w:p>
        </w:tc>
        <w:tc>
          <w:tcPr>
            <w:tcW w:w="12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auto"/>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r>
      <w:tr>
        <w:trPr>
          <w:trHeight w:val="242"/>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Grants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23.50</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48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Exercised</w:t>
            </w:r>
          </w:p>
        </w:tc>
        <w:tc>
          <w:tcPr>
            <w:tcW w:w="1600" w:type="dxa"/>
            <w:vAlign w:val="bottom"/>
            <w:gridSpan w:val="3"/>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(301)</w:t>
            </w:r>
          </w:p>
        </w:tc>
        <w:tc>
          <w:tcPr>
            <w:tcW w:w="16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220" w:type="dxa"/>
            <w:vAlign w:val="bottom"/>
            <w:shd w:val="clear" w:color="auto" w:fill="E6E6E6"/>
          </w:tcPr>
          <w:p>
            <w:pPr>
              <w:spacing w:after="0"/>
              <w:rPr>
                <w:sz w:val="21"/>
                <w:szCs w:val="21"/>
                <w:color w:val="auto"/>
              </w:rPr>
            </w:pPr>
          </w:p>
        </w:tc>
        <w:tc>
          <w:tcPr>
            <w:tcW w:w="13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1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76"/>
        </w:trPr>
        <w:tc>
          <w:tcPr>
            <w:tcW w:w="48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Outstanding and expected to vest at December 31, 2025</w:t>
            </w:r>
          </w:p>
        </w:tc>
        <w:tc>
          <w:tcPr>
            <w:tcW w:w="120" w:type="dxa"/>
            <w:vAlign w:val="bottom"/>
            <w:tcBorders>
              <w:bottom w:val="single" w:sz="8" w:color="E6E6E6"/>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22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11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11.66</w:t>
            </w:r>
          </w:p>
        </w:tc>
        <w:tc>
          <w:tcPr>
            <w:tcW w:w="220" w:type="dxa"/>
            <w:vAlign w:val="bottom"/>
            <w:tcBorders>
              <w:bottom w:val="single" w:sz="8" w:color="E6E6E6"/>
            </w:tcBorders>
          </w:tcPr>
          <w:p>
            <w:pPr>
              <w:spacing w:after="0"/>
              <w:rPr>
                <w:sz w:val="24"/>
                <w:szCs w:val="24"/>
                <w:color w:val="auto"/>
              </w:rPr>
            </w:pPr>
          </w:p>
        </w:tc>
        <w:tc>
          <w:tcPr>
            <w:tcW w:w="1520" w:type="dxa"/>
            <w:vAlign w:val="bottom"/>
            <w:tcBorders>
              <w:bottom w:val="single" w:sz="8" w:color="E6E6E6"/>
            </w:tcBorders>
            <w:gridSpan w:val="3"/>
          </w:tcPr>
          <w:p>
            <w:pPr>
              <w:ind w:left="560"/>
              <w:spacing w:after="0"/>
              <w:rPr>
                <w:sz w:val="20"/>
                <w:szCs w:val="20"/>
                <w:color w:val="auto"/>
              </w:rPr>
            </w:pPr>
            <w:r>
              <w:rPr>
                <w:rFonts w:ascii="Times New Roman" w:cs="Times New Roman" w:eastAsia="Times New Roman" w:hAnsi="Times New Roman"/>
                <w:sz w:val="20"/>
                <w:szCs w:val="20"/>
                <w:color w:val="auto"/>
              </w:rPr>
              <w:t>2.2 years $</w:t>
            </w:r>
          </w:p>
        </w:tc>
        <w:tc>
          <w:tcPr>
            <w:tcW w:w="11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20"/>
                <w:szCs w:val="20"/>
                <w:color w:val="auto"/>
              </w:rPr>
              <w:t>48,573</w:t>
            </w:r>
          </w:p>
        </w:tc>
        <w:tc>
          <w:tcPr>
            <w:tcW w:w="60" w:type="dxa"/>
            <w:vAlign w:val="bottom"/>
            <w:tcBorders>
              <w:bottom w:val="single" w:sz="8" w:color="E6E6E6"/>
            </w:tcBorders>
          </w:tcPr>
          <w:p>
            <w:pPr>
              <w:spacing w:after="0"/>
              <w:rPr>
                <w:sz w:val="24"/>
                <w:szCs w:val="24"/>
                <w:color w:val="auto"/>
              </w:rPr>
            </w:pPr>
          </w:p>
        </w:tc>
      </w:tr>
      <w:tr>
        <w:trPr>
          <w:trHeight w:val="226"/>
        </w:trPr>
        <w:tc>
          <w:tcPr>
            <w:tcW w:w="48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Exercisable at December 31, 2025</w:t>
            </w:r>
          </w:p>
        </w:tc>
        <w:tc>
          <w:tcPr>
            <w:tcW w:w="120" w:type="dxa"/>
            <w:vAlign w:val="bottom"/>
            <w:shd w:val="clear" w:color="auto" w:fill="E6E6E6"/>
          </w:tcPr>
          <w:p>
            <w:pPr>
              <w:spacing w:after="0"/>
              <w:rPr>
                <w:sz w:val="19"/>
                <w:szCs w:val="19"/>
                <w:color w:val="auto"/>
              </w:rPr>
            </w:pPr>
          </w:p>
        </w:tc>
        <w:tc>
          <w:tcPr>
            <w:tcW w:w="126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207</w:t>
            </w:r>
          </w:p>
        </w:tc>
        <w:tc>
          <w:tcPr>
            <w:tcW w:w="2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10.62</w:t>
            </w:r>
          </w:p>
        </w:tc>
        <w:tc>
          <w:tcPr>
            <w:tcW w:w="220" w:type="dxa"/>
            <w:vAlign w:val="bottom"/>
            <w:shd w:val="clear" w:color="auto" w:fill="E6E6E6"/>
          </w:tcPr>
          <w:p>
            <w:pPr>
              <w:spacing w:after="0"/>
              <w:rPr>
                <w:sz w:val="19"/>
                <w:szCs w:val="19"/>
                <w:color w:val="auto"/>
              </w:rPr>
            </w:pPr>
          </w:p>
        </w:tc>
        <w:tc>
          <w:tcPr>
            <w:tcW w:w="1520" w:type="dxa"/>
            <w:vAlign w:val="bottom"/>
            <w:gridSpan w:val="3"/>
            <w:shd w:val="clear" w:color="auto" w:fill="E6E6E6"/>
          </w:tcPr>
          <w:p>
            <w:pPr>
              <w:ind w:left="560"/>
              <w:spacing w:after="0" w:line="226" w:lineRule="exact"/>
              <w:rPr>
                <w:sz w:val="20"/>
                <w:szCs w:val="20"/>
                <w:color w:val="auto"/>
              </w:rPr>
            </w:pPr>
            <w:r>
              <w:rPr>
                <w:rFonts w:ascii="Times New Roman" w:cs="Times New Roman" w:eastAsia="Times New Roman" w:hAnsi="Times New Roman"/>
                <w:sz w:val="20"/>
                <w:szCs w:val="20"/>
                <w:color w:val="auto"/>
              </w:rPr>
              <w:t>1.6 years</w:t>
            </w:r>
          </w:p>
        </w:tc>
        <w:tc>
          <w:tcPr>
            <w:tcW w:w="11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45,471</w:t>
            </w:r>
          </w:p>
        </w:tc>
        <w:tc>
          <w:tcPr>
            <w:tcW w:w="60" w:type="dxa"/>
            <w:vAlign w:val="bottom"/>
            <w:shd w:val="clear" w:color="auto" w:fill="E6E6E6"/>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680"/>
          </w:cols>
          <w:pgMar w:left="600" w:top="818" w:right="600" w:bottom="66"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Weighted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60"/>
              <w:spacing w:after="0" w:line="228"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center"/>
              <w:ind w:right="20"/>
              <w:spacing w:after="0" w:line="228" w:lineRule="exact"/>
              <w:rPr>
                <w:sz w:val="20"/>
                <w:szCs w:val="20"/>
                <w:color w:val="auto"/>
              </w:rPr>
            </w:pPr>
            <w:r>
              <w:rPr>
                <w:rFonts w:ascii="Times New Roman" w:cs="Times New Roman" w:eastAsia="Times New Roman" w:hAnsi="Times New Roman"/>
                <w:sz w:val="20"/>
                <w:szCs w:val="20"/>
                <w:b w:val="1"/>
                <w:bCs w:val="1"/>
                <w:color w:val="auto"/>
              </w:rPr>
              <w:t>Average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w w:val="97"/>
              </w:rPr>
              <w:t>Aggregate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60"/>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center"/>
              <w:ind w:right="20"/>
              <w:spacing w:after="0" w:line="228"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rPr>
              <w:t>Intrinsic</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3"/>
          </w:tcPr>
          <w:p>
            <w:pPr>
              <w:jc w:val="right"/>
              <w:ind w:right="580"/>
              <w:spacing w:after="0" w:line="228" w:lineRule="exact"/>
              <w:rPr>
                <w:sz w:val="20"/>
                <w:szCs w:val="20"/>
                <w:color w:val="auto"/>
              </w:rPr>
            </w:pPr>
            <w:r>
              <w:rPr>
                <w:rFonts w:ascii="Times New Roman" w:cs="Times New Roman" w:eastAsia="Times New Roman" w:hAnsi="Times New Roman"/>
                <w:sz w:val="20"/>
                <w:szCs w:val="20"/>
                <w:b w:val="1"/>
                <w:bCs w:val="1"/>
                <w:color w:val="auto"/>
              </w:rPr>
              <w:t>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80"/>
              <w:spacing w:after="0" w:line="228" w:lineRule="exact"/>
              <w:rPr>
                <w:sz w:val="20"/>
                <w:szCs w:val="20"/>
                <w:color w:val="auto"/>
              </w:rPr>
            </w:pPr>
            <w:r>
              <w:rPr>
                <w:rFonts w:ascii="Times New Roman" w:cs="Times New Roman" w:eastAsia="Times New Roman" w:hAnsi="Times New Roman"/>
                <w:sz w:val="20"/>
                <w:szCs w:val="20"/>
                <w:b w:val="1"/>
                <w:bCs w:val="1"/>
                <w:color w:val="auto"/>
                <w:w w:val="99"/>
              </w:rPr>
              <w:t>Exercise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center"/>
              <w:ind w:right="20"/>
              <w:spacing w:after="0" w:line="228" w:lineRule="exact"/>
              <w:rPr>
                <w:sz w:val="20"/>
                <w:szCs w:val="20"/>
                <w:color w:val="auto"/>
              </w:rPr>
            </w:pPr>
            <w:r>
              <w:rPr>
                <w:rFonts w:ascii="Times New Roman" w:cs="Times New Roman" w:eastAsia="Times New Roman" w:hAnsi="Times New Roman"/>
                <w:sz w:val="20"/>
                <w:szCs w:val="20"/>
                <w:b w:val="1"/>
                <w:bCs w:val="1"/>
                <w:color w:val="auto"/>
              </w:rPr>
              <w:t>Contractual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w w:val="99"/>
              </w:rPr>
              <w:t>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Term</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(thousands)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8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Outstanding at December 31, 2023</w:t>
            </w:r>
          </w:p>
        </w:tc>
        <w:tc>
          <w:tcPr>
            <w:tcW w:w="60" w:type="dxa"/>
            <w:vAlign w:val="bottom"/>
            <w:tcBorders>
              <w:top w:val="single" w:sz="8" w:color="E6E6E6"/>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1260" w:type="dxa"/>
            <w:vAlign w:val="bottom"/>
            <w:tcBorders>
              <w:top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1,247</w:t>
            </w:r>
          </w:p>
        </w:tc>
        <w:tc>
          <w:tcPr>
            <w:tcW w:w="20" w:type="dxa"/>
            <w:vAlign w:val="bottom"/>
            <w:tcBorders>
              <w:top w:val="single" w:sz="8" w:color="auto"/>
            </w:tcBorders>
            <w:shd w:val="clear" w:color="auto" w:fill="E6E6E6"/>
          </w:tcPr>
          <w:p>
            <w:pPr>
              <w:spacing w:after="0"/>
              <w:rPr>
                <w:sz w:val="20"/>
                <w:szCs w:val="20"/>
                <w:color w:val="auto"/>
              </w:rPr>
            </w:pP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11.09</w:t>
            </w: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300" w:type="dxa"/>
            <w:vAlign w:val="bottom"/>
            <w:tcBorders>
              <w:top w:val="single" w:sz="8" w:color="auto"/>
            </w:tcBorders>
            <w:gridSpan w:val="2"/>
            <w:shd w:val="clear" w:color="auto" w:fill="E6E6E6"/>
          </w:tcPr>
          <w:p>
            <w:pPr>
              <w:ind w:left="560"/>
              <w:spacing w:after="0"/>
              <w:rPr>
                <w:sz w:val="20"/>
                <w:szCs w:val="20"/>
                <w:color w:val="auto"/>
              </w:rPr>
            </w:pPr>
            <w:r>
              <w:rPr>
                <w:rFonts w:ascii="Times New Roman" w:cs="Times New Roman" w:eastAsia="Times New Roman" w:hAnsi="Times New Roman"/>
                <w:sz w:val="20"/>
                <w:szCs w:val="20"/>
                <w:color w:val="auto"/>
                <w:w w:val="99"/>
              </w:rPr>
              <w:t>3.4 years</w:t>
            </w:r>
          </w:p>
        </w:tc>
        <w:tc>
          <w:tcPr>
            <w:tcW w:w="1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auto"/>
            </w:tcBorders>
            <w:shd w:val="clear" w:color="auto" w:fill="E6E6E6"/>
          </w:tcPr>
          <w:p>
            <w:pPr>
              <w:spacing w:after="0"/>
              <w:rPr>
                <w:sz w:val="20"/>
                <w:szCs w:val="20"/>
                <w:color w:val="auto"/>
              </w:rPr>
            </w:pPr>
          </w:p>
        </w:tc>
        <w:tc>
          <w:tcPr>
            <w:tcW w:w="1100" w:type="dxa"/>
            <w:vAlign w:val="bottom"/>
            <w:tcBorders>
              <w:top w:val="single" w:sz="8" w:color="auto"/>
            </w:tcBorders>
            <w:shd w:val="clear" w:color="auto" w:fill="E6E6E6"/>
          </w:tcPr>
          <w:p>
            <w:pPr>
              <w:spacing w:after="0"/>
              <w:rPr>
                <w:sz w:val="20"/>
                <w:szCs w:val="20"/>
                <w:color w:val="auto"/>
              </w:rPr>
            </w:pPr>
          </w:p>
        </w:tc>
        <w:tc>
          <w:tcPr>
            <w:tcW w:w="4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Grants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21.32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Forfeitures</w:t>
            </w:r>
          </w:p>
        </w:tc>
        <w:tc>
          <w:tcPr>
            <w:tcW w:w="1600" w:type="dxa"/>
            <w:vAlign w:val="bottom"/>
            <w:gridSpan w:val="6"/>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10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13.08</w:t>
            </w:r>
          </w:p>
        </w:tc>
        <w:tc>
          <w:tcPr>
            <w:tcW w:w="2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2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1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600" w:type="dxa"/>
            <w:vAlign w:val="bottom"/>
            <w:gridSpan w:val="6"/>
          </w:tcPr>
          <w:p>
            <w:pPr>
              <w:jc w:val="right"/>
              <w:ind w:right="16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12.09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Outstanding and expected to vest at December 31, 2024</w:t>
            </w:r>
          </w:p>
        </w:tc>
        <w:tc>
          <w:tcPr>
            <w:tcW w:w="60" w:type="dxa"/>
            <w:vAlign w:val="bottom"/>
            <w:tcBorders>
              <w:top w:val="single" w:sz="8" w:color="E6E6E6"/>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126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20" w:type="dxa"/>
            <w:vAlign w:val="bottom"/>
            <w:tcBorders>
              <w:top w:val="single" w:sz="8" w:color="auto"/>
              <w:bottom w:val="single" w:sz="8" w:color="auto"/>
            </w:tcBorders>
            <w:shd w:val="clear" w:color="auto" w:fill="E6E6E6"/>
          </w:tcPr>
          <w:p>
            <w:pPr>
              <w:spacing w:after="0"/>
              <w:rPr>
                <w:sz w:val="20"/>
                <w:szCs w:val="20"/>
                <w:color w:val="auto"/>
              </w:rPr>
            </w:pP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40" w:type="dxa"/>
            <w:vAlign w:val="bottom"/>
            <w:tcBorders>
              <w:top w:val="single" w:sz="8" w:color="E6E6E6"/>
            </w:tcBorders>
            <w:shd w:val="clear" w:color="auto" w:fill="E6E6E6"/>
          </w:tcPr>
          <w:p>
            <w:pPr>
              <w:spacing w:after="0"/>
              <w:rPr>
                <w:sz w:val="20"/>
                <w:szCs w:val="20"/>
                <w:color w:val="auto"/>
              </w:rPr>
            </w:pPr>
          </w:p>
        </w:tc>
        <w:tc>
          <w:tcPr>
            <w:tcW w:w="1100" w:type="dxa"/>
            <w:vAlign w:val="bottom"/>
            <w:tcBorders>
              <w:top w:val="single" w:sz="8" w:color="E6E6E6"/>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11.35</w:t>
            </w:r>
          </w:p>
        </w:tc>
        <w:tc>
          <w:tcPr>
            <w:tcW w:w="2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1300" w:type="dxa"/>
            <w:vAlign w:val="bottom"/>
            <w:tcBorders>
              <w:top w:val="single" w:sz="8" w:color="E6E6E6"/>
            </w:tcBorders>
            <w:gridSpan w:val="2"/>
            <w:shd w:val="clear" w:color="auto" w:fill="E6E6E6"/>
          </w:tcPr>
          <w:p>
            <w:pPr>
              <w:ind w:left="560"/>
              <w:spacing w:after="0"/>
              <w:rPr>
                <w:sz w:val="20"/>
                <w:szCs w:val="20"/>
                <w:color w:val="auto"/>
              </w:rPr>
            </w:pPr>
            <w:r>
              <w:rPr>
                <w:rFonts w:ascii="Times New Roman" w:cs="Times New Roman" w:eastAsia="Times New Roman" w:hAnsi="Times New Roman"/>
                <w:sz w:val="20"/>
                <w:szCs w:val="20"/>
                <w:color w:val="auto"/>
                <w:w w:val="99"/>
              </w:rPr>
              <w:t>2.6 years</w:t>
            </w:r>
          </w:p>
        </w:tc>
        <w:tc>
          <w:tcPr>
            <w:tcW w:w="220" w:type="dxa"/>
            <w:vAlign w:val="bottom"/>
            <w:tcBorders>
              <w:top w:val="single" w:sz="8" w:color="E6E6E6"/>
            </w:tcBorders>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E6E6E6"/>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23,902</w:t>
            </w:r>
          </w:p>
        </w:tc>
        <w:tc>
          <w:tcPr>
            <w:tcW w:w="6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at December 31, 2024</w:t>
            </w: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11.15</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w w:val="99"/>
              </w:rPr>
              <w:t>2.5 years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23,676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880" w:type="dxa"/>
            <w:vAlign w:val="bottom"/>
            <w:vMerge w:val="continue"/>
          </w:tcPr>
          <w:p>
            <w:pPr>
              <w:spacing w:after="0"/>
              <w:rPr>
                <w:sz w:val="19"/>
                <w:szCs w:val="19"/>
                <w:color w:val="auto"/>
              </w:rPr>
            </w:pPr>
          </w:p>
        </w:tc>
        <w:tc>
          <w:tcPr>
            <w:tcW w:w="120" w:type="dxa"/>
            <w:vAlign w:val="bottom"/>
            <w:gridSpan w:val="2"/>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1,216</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00"/>
              <w:spacing w:after="0" w:line="228"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center"/>
              <w:ind w:right="40"/>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60"/>
              <w:spacing w:after="0" w:line="228" w:lineRule="exact"/>
              <w:rPr>
                <w:sz w:val="20"/>
                <w:szCs w:val="20"/>
                <w:color w:val="auto"/>
              </w:rPr>
            </w:pPr>
            <w:r>
              <w:rPr>
                <w:rFonts w:ascii="Times New Roman" w:cs="Times New Roman" w:eastAsia="Times New Roman" w:hAnsi="Times New Roman"/>
                <w:sz w:val="20"/>
                <w:szCs w:val="20"/>
                <w:b w:val="1"/>
                <w:bCs w:val="1"/>
                <w:color w:val="auto"/>
                <w:w w:val="97"/>
              </w:rPr>
              <w:t>Aggregate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00"/>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center"/>
              <w:ind w:right="60"/>
              <w:spacing w:after="0" w:line="228"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60"/>
              <w:spacing w:after="0" w:line="228" w:lineRule="exact"/>
              <w:rPr>
                <w:sz w:val="20"/>
                <w:szCs w:val="20"/>
                <w:color w:val="auto"/>
              </w:rPr>
            </w:pPr>
            <w:r>
              <w:rPr>
                <w:rFonts w:ascii="Times New Roman" w:cs="Times New Roman" w:eastAsia="Times New Roman" w:hAnsi="Times New Roman"/>
                <w:sz w:val="20"/>
                <w:szCs w:val="20"/>
                <w:b w:val="1"/>
                <w:bCs w:val="1"/>
                <w:color w:val="auto"/>
              </w:rPr>
              <w:t>Intrinsic</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3"/>
          </w:tcPr>
          <w:p>
            <w:pPr>
              <w:jc w:val="right"/>
              <w:ind w:right="540"/>
              <w:spacing w:after="0" w:line="228" w:lineRule="exact"/>
              <w:rPr>
                <w:sz w:val="20"/>
                <w:szCs w:val="20"/>
                <w:color w:val="auto"/>
              </w:rPr>
            </w:pPr>
            <w:r>
              <w:rPr>
                <w:rFonts w:ascii="Times New Roman" w:cs="Times New Roman" w:eastAsia="Times New Roman" w:hAnsi="Times New Roman"/>
                <w:sz w:val="20"/>
                <w:szCs w:val="20"/>
                <w:b w:val="1"/>
                <w:bCs w:val="1"/>
                <w:color w:val="auto"/>
              </w:rPr>
              <w:t>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80"/>
              <w:spacing w:after="0" w:line="228" w:lineRule="exact"/>
              <w:rPr>
                <w:sz w:val="20"/>
                <w:szCs w:val="20"/>
                <w:color w:val="auto"/>
              </w:rPr>
            </w:pPr>
            <w:r>
              <w:rPr>
                <w:rFonts w:ascii="Times New Roman" w:cs="Times New Roman" w:eastAsia="Times New Roman" w:hAnsi="Times New Roman"/>
                <w:sz w:val="20"/>
                <w:szCs w:val="20"/>
                <w:b w:val="1"/>
                <w:bCs w:val="1"/>
                <w:color w:val="auto"/>
                <w:w w:val="99"/>
              </w:rPr>
              <w:t>Exercise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center"/>
              <w:ind w:right="4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60"/>
              <w:spacing w:after="0" w:line="228" w:lineRule="exact"/>
              <w:rPr>
                <w:sz w:val="20"/>
                <w:szCs w:val="20"/>
                <w:color w:val="auto"/>
              </w:rPr>
            </w:pPr>
            <w:r>
              <w:rPr>
                <w:rFonts w:ascii="Times New Roman" w:cs="Times New Roman" w:eastAsia="Times New Roman" w:hAnsi="Times New Roman"/>
                <w:sz w:val="20"/>
                <w:szCs w:val="20"/>
                <w:b w:val="1"/>
                <w:bCs w:val="1"/>
                <w:color w:val="auto"/>
                <w:w w:val="99"/>
              </w:rPr>
              <w:t>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Term</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7"/>
              </w:rPr>
              <w:t>(thousands)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Outstanding at December 31, 2022</w:t>
            </w:r>
          </w:p>
        </w:tc>
        <w:tc>
          <w:tcPr>
            <w:tcW w:w="60" w:type="dxa"/>
            <w:vAlign w:val="bottom"/>
            <w:tcBorders>
              <w:top w:val="single" w:sz="8" w:color="auto"/>
            </w:tcBorders>
            <w:shd w:val="clear" w:color="auto" w:fill="E6E6E6"/>
          </w:tcPr>
          <w:p>
            <w:pPr>
              <w:spacing w:after="0"/>
              <w:rPr>
                <w:sz w:val="19"/>
                <w:szCs w:val="19"/>
                <w:color w:val="auto"/>
              </w:rPr>
            </w:pPr>
          </w:p>
        </w:tc>
        <w:tc>
          <w:tcPr>
            <w:tcW w:w="120" w:type="dxa"/>
            <w:vAlign w:val="bottom"/>
            <w:tcBorders>
              <w:top w:val="single" w:sz="8" w:color="E6E6E6"/>
            </w:tcBorders>
            <w:gridSpan w:val="2"/>
            <w:shd w:val="clear" w:color="auto" w:fill="E6E6E6"/>
          </w:tcPr>
          <w:p>
            <w:pPr>
              <w:spacing w:after="0"/>
              <w:rPr>
                <w:sz w:val="19"/>
                <w:szCs w:val="19"/>
                <w:color w:val="auto"/>
              </w:rPr>
            </w:pPr>
          </w:p>
        </w:tc>
        <w:tc>
          <w:tcPr>
            <w:tcW w:w="1200" w:type="dxa"/>
            <w:vAlign w:val="bottom"/>
            <w:tcBorders>
              <w:top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1,440</w:t>
            </w:r>
          </w:p>
        </w:tc>
        <w:tc>
          <w:tcPr>
            <w:tcW w:w="2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auto"/>
            </w:tcBorders>
            <w:gridSpan w:val="2"/>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11.30</w:t>
            </w:r>
          </w:p>
        </w:tc>
        <w:tc>
          <w:tcPr>
            <w:tcW w:w="4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280" w:type="dxa"/>
            <w:vAlign w:val="bottom"/>
            <w:tcBorders>
              <w:top w:val="single" w:sz="8" w:color="auto"/>
            </w:tcBorders>
            <w:shd w:val="clear" w:color="auto" w:fill="E6E6E6"/>
          </w:tcPr>
          <w:p>
            <w:pPr>
              <w:ind w:left="560"/>
              <w:spacing w:after="0" w:line="223" w:lineRule="exact"/>
              <w:rPr>
                <w:sz w:val="20"/>
                <w:szCs w:val="20"/>
                <w:color w:val="auto"/>
              </w:rPr>
            </w:pPr>
            <w:r>
              <w:rPr>
                <w:rFonts w:ascii="Times New Roman" w:cs="Times New Roman" w:eastAsia="Times New Roman" w:hAnsi="Times New Roman"/>
                <w:sz w:val="20"/>
                <w:szCs w:val="20"/>
                <w:color w:val="auto"/>
                <w:w w:val="96"/>
              </w:rPr>
              <w:t>4.0 years</w:t>
            </w:r>
          </w:p>
        </w:tc>
        <w:tc>
          <w:tcPr>
            <w:tcW w:w="20" w:type="dxa"/>
            <w:vAlign w:val="bottom"/>
            <w:tcBorders>
              <w:top w:val="single" w:sz="8" w:color="E6E6E6"/>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100" w:type="dxa"/>
            <w:vAlign w:val="bottom"/>
            <w:tcBorders>
              <w:top w:val="single" w:sz="8" w:color="auto"/>
            </w:tcBorders>
            <w:shd w:val="clear" w:color="auto" w:fill="E6E6E6"/>
          </w:tcPr>
          <w:p>
            <w:pPr>
              <w:spacing w:after="0"/>
              <w:rPr>
                <w:sz w:val="19"/>
                <w:szCs w:val="19"/>
                <w:color w:val="auto"/>
              </w:rPr>
            </w:pPr>
          </w:p>
        </w:tc>
        <w:tc>
          <w:tcPr>
            <w:tcW w:w="110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Forfeitures</w:t>
            </w:r>
          </w:p>
        </w:tc>
        <w:tc>
          <w:tcPr>
            <w:tcW w:w="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(92)</w:t>
            </w:r>
          </w:p>
        </w:tc>
        <w:tc>
          <w:tcPr>
            <w:tcW w:w="2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13.43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Exercised</w:t>
            </w:r>
          </w:p>
        </w:tc>
        <w:tc>
          <w:tcPr>
            <w:tcW w:w="1600" w:type="dxa"/>
            <w:vAlign w:val="bottom"/>
            <w:gridSpan w:val="6"/>
            <w:shd w:val="clear" w:color="auto" w:fill="E6E6E6"/>
          </w:tcPr>
          <w:p>
            <w:pPr>
              <w:jc w:val="right"/>
              <w:ind w:right="160"/>
              <w:spacing w:after="0" w:line="228" w:lineRule="exact"/>
              <w:rPr>
                <w:sz w:val="20"/>
                <w:szCs w:val="20"/>
                <w:color w:val="auto"/>
              </w:rPr>
            </w:pPr>
            <w:r>
              <w:rPr>
                <w:rFonts w:ascii="Times New Roman" w:cs="Times New Roman" w:eastAsia="Times New Roman" w:hAnsi="Times New Roman"/>
                <w:sz w:val="20"/>
                <w:szCs w:val="20"/>
                <w:color w:val="auto"/>
              </w:rPr>
              <w:t>(101)</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11.93</w:t>
            </w:r>
          </w:p>
        </w:tc>
        <w:tc>
          <w:tcPr>
            <w:tcW w:w="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E6E6E6"/>
            </w:tcBorders>
          </w:tcPr>
          <w:p>
            <w:pPr>
              <w:spacing w:after="0" w:line="223" w:lineRule="exact"/>
              <w:rPr>
                <w:sz w:val="20"/>
                <w:szCs w:val="20"/>
                <w:color w:val="auto"/>
              </w:rPr>
            </w:pPr>
            <w:r>
              <w:rPr>
                <w:rFonts w:ascii="Times New Roman" w:cs="Times New Roman" w:eastAsia="Times New Roman" w:hAnsi="Times New Roman"/>
                <w:sz w:val="20"/>
                <w:szCs w:val="20"/>
                <w:color w:val="auto"/>
              </w:rPr>
              <w:t>Outstanding and expected to vest at December 31, 2023</w:t>
            </w:r>
          </w:p>
        </w:tc>
        <w:tc>
          <w:tcPr>
            <w:tcW w:w="180" w:type="dxa"/>
            <w:vAlign w:val="bottom"/>
            <w:tcBorders>
              <w:bottom w:val="single" w:sz="8" w:color="E6E6E6"/>
            </w:tcBorders>
            <w:gridSpan w:val="3"/>
          </w:tcPr>
          <w:p>
            <w:pPr>
              <w:spacing w:after="0"/>
              <w:rPr>
                <w:sz w:val="22"/>
                <w:szCs w:val="22"/>
                <w:color w:val="auto"/>
              </w:rPr>
            </w:pPr>
          </w:p>
        </w:tc>
        <w:tc>
          <w:tcPr>
            <w:tcW w:w="12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1,247</w:t>
            </w:r>
          </w:p>
        </w:tc>
        <w:tc>
          <w:tcPr>
            <w:tcW w:w="20" w:type="dxa"/>
            <w:vAlign w:val="bottom"/>
            <w:tcBorders>
              <w:bottom w:val="single" w:sz="8" w:color="E6E6E6"/>
            </w:tcBorders>
          </w:tcPr>
          <w:p>
            <w:pPr>
              <w:spacing w:after="0"/>
              <w:rPr>
                <w:sz w:val="22"/>
                <w:szCs w:val="22"/>
                <w:color w:val="auto"/>
              </w:rPr>
            </w:pPr>
          </w:p>
        </w:tc>
        <w:tc>
          <w:tcPr>
            <w:tcW w:w="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1060" w:type="dxa"/>
            <w:vAlign w:val="bottom"/>
            <w:tcBorders>
              <w:bottom w:val="single" w:sz="8" w:color="E6E6E6"/>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11.09</w:t>
            </w:r>
          </w:p>
        </w:tc>
        <w:tc>
          <w:tcPr>
            <w:tcW w:w="40" w:type="dxa"/>
            <w:vAlign w:val="bottom"/>
            <w:tcBorders>
              <w:bottom w:val="single" w:sz="8" w:color="E6E6E6"/>
            </w:tcBorders>
          </w:tcPr>
          <w:p>
            <w:pPr>
              <w:spacing w:after="0"/>
              <w:rPr>
                <w:sz w:val="22"/>
                <w:szCs w:val="22"/>
                <w:color w:val="auto"/>
              </w:rPr>
            </w:pPr>
          </w:p>
        </w:tc>
        <w:tc>
          <w:tcPr>
            <w:tcW w:w="2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300" w:type="dxa"/>
            <w:vAlign w:val="bottom"/>
            <w:tcBorders>
              <w:bottom w:val="single" w:sz="8" w:color="E6E6E6"/>
            </w:tcBorders>
            <w:gridSpan w:val="2"/>
          </w:tcPr>
          <w:p>
            <w:pPr>
              <w:ind w:left="560"/>
              <w:spacing w:after="0" w:line="223" w:lineRule="exact"/>
              <w:rPr>
                <w:sz w:val="20"/>
                <w:szCs w:val="20"/>
                <w:color w:val="auto"/>
              </w:rPr>
            </w:pPr>
            <w:r>
              <w:rPr>
                <w:rFonts w:ascii="Times New Roman" w:cs="Times New Roman" w:eastAsia="Times New Roman" w:hAnsi="Times New Roman"/>
                <w:sz w:val="20"/>
                <w:szCs w:val="20"/>
                <w:color w:val="auto"/>
                <w:w w:val="99"/>
              </w:rPr>
              <w:t>3.4 years</w:t>
            </w:r>
          </w:p>
        </w:tc>
        <w:tc>
          <w:tcPr>
            <w:tcW w:w="220" w:type="dxa"/>
            <w:vAlign w:val="bottom"/>
            <w:tcBorders>
              <w:bottom w:val="single" w:sz="8" w:color="E6E6E6"/>
            </w:tcBorders>
            <w:gridSpan w:val="3"/>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E6E6E6"/>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11,452</w:t>
            </w:r>
          </w:p>
        </w:tc>
        <w:tc>
          <w:tcPr>
            <w:tcW w:w="4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E6E6E6"/>
          </w:tcPr>
          <w:p>
            <w:pPr>
              <w:spacing w:after="0" w:line="212" w:lineRule="exact"/>
              <w:rPr>
                <w:sz w:val="20"/>
                <w:szCs w:val="20"/>
                <w:color w:val="auto"/>
              </w:rPr>
            </w:pPr>
            <w:r>
              <w:rPr>
                <w:rFonts w:ascii="Times New Roman" w:cs="Times New Roman" w:eastAsia="Times New Roman" w:hAnsi="Times New Roman"/>
                <w:sz w:val="20"/>
                <w:szCs w:val="20"/>
                <w:color w:val="auto"/>
              </w:rPr>
              <w:t>Exercisable at December 31, 2023</w:t>
            </w:r>
          </w:p>
        </w:tc>
        <w:tc>
          <w:tcPr>
            <w:tcW w:w="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200" w:type="dxa"/>
            <w:vAlign w:val="bottom"/>
            <w:tcBorders>
              <w:bottom w:val="single" w:sz="8" w:color="auto"/>
            </w:tcBorders>
            <w:shd w:val="clear" w:color="auto" w:fill="E6E6E6"/>
          </w:tcPr>
          <w:p>
            <w:pPr>
              <w:jc w:val="right"/>
              <w:spacing w:after="0" w:line="212" w:lineRule="exact"/>
              <w:rPr>
                <w:sz w:val="20"/>
                <w:szCs w:val="20"/>
                <w:color w:val="auto"/>
              </w:rPr>
            </w:pPr>
            <w:r>
              <w:rPr>
                <w:rFonts w:ascii="Times New Roman" w:cs="Times New Roman" w:eastAsia="Times New Roman" w:hAnsi="Times New Roman"/>
                <w:sz w:val="20"/>
                <w:szCs w:val="20"/>
                <w:color w:val="auto"/>
              </w:rPr>
              <w:t>942</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line="212" w:lineRule="exact"/>
              <w:rPr>
                <w:sz w:val="20"/>
                <w:szCs w:val="20"/>
                <w:color w:val="auto"/>
              </w:rPr>
            </w:pPr>
            <w:r>
              <w:rPr>
                <w:rFonts w:ascii="Times New Roman" w:cs="Times New Roman" w:eastAsia="Times New Roman" w:hAnsi="Times New Roman"/>
                <w:sz w:val="20"/>
                <w:szCs w:val="20"/>
                <w:color w:val="auto"/>
              </w:rPr>
              <w:t>11.10</w:t>
            </w:r>
          </w:p>
        </w:tc>
        <w:tc>
          <w:tcPr>
            <w:tcW w:w="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300" w:type="dxa"/>
            <w:vAlign w:val="bottom"/>
            <w:gridSpan w:val="2"/>
            <w:shd w:val="clear" w:color="auto" w:fill="E6E6E6"/>
          </w:tcPr>
          <w:p>
            <w:pPr>
              <w:ind w:left="560"/>
              <w:spacing w:after="0" w:line="212" w:lineRule="exact"/>
              <w:rPr>
                <w:sz w:val="20"/>
                <w:szCs w:val="20"/>
                <w:color w:val="auto"/>
              </w:rPr>
            </w:pPr>
            <w:r>
              <w:rPr>
                <w:rFonts w:ascii="Times New Roman" w:cs="Times New Roman" w:eastAsia="Times New Roman" w:hAnsi="Times New Roman"/>
                <w:sz w:val="20"/>
                <w:szCs w:val="20"/>
                <w:color w:val="auto"/>
                <w:w w:val="99"/>
              </w:rPr>
              <w:t>3.4 years</w:t>
            </w:r>
          </w:p>
        </w:tc>
        <w:tc>
          <w:tcPr>
            <w:tcW w:w="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line="212" w:lineRule="exact"/>
              <w:rPr>
                <w:sz w:val="20"/>
                <w:szCs w:val="20"/>
                <w:color w:val="auto"/>
              </w:rPr>
            </w:pPr>
            <w:r>
              <w:rPr>
                <w:rFonts w:ascii="Times New Roman" w:cs="Times New Roman" w:eastAsia="Times New Roman" w:hAnsi="Times New Roman"/>
                <w:sz w:val="20"/>
                <w:szCs w:val="20"/>
                <w:color w:val="auto"/>
              </w:rPr>
              <w:t>8,652</w:t>
            </w:r>
          </w:p>
        </w:tc>
        <w:tc>
          <w:tcPr>
            <w:tcW w:w="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right="420"/>
        <w:spacing w:after="0" w:line="256" w:lineRule="auto"/>
        <w:rPr>
          <w:sz w:val="20"/>
          <w:szCs w:val="20"/>
          <w:color w:val="auto"/>
        </w:rPr>
      </w:pPr>
      <w:r>
        <w:rPr>
          <w:rFonts w:ascii="Times New Roman" w:cs="Times New Roman" w:eastAsia="Times New Roman" w:hAnsi="Times New Roman"/>
          <w:sz w:val="20"/>
          <w:szCs w:val="20"/>
          <w:color w:val="auto"/>
        </w:rPr>
        <w:t>The Company received $3.8 million, $0.4 million and $1.2 million of cash from employees exercising options in 2025, 2024 and 2023, respectively. The intrinsic value of options exercised during the years ended December 31, 2025, 2024 and 2023 was $11.3 million, $0.4 million and $0.3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Awards</w:t>
      </w:r>
    </w:p>
    <w:p>
      <w:pPr>
        <w:spacing w:after="0" w:line="23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Information related to restricted stock awards under the 2021 Plan, 2017 Plan, 2007 Plan, and the 2020 Inducement Awards for 2025, 2024 and 2023 is shown in the table below. The fair value of restricted stock awards is based on the price of the stock in the open market on the date of the grant, and the fair value of performance-based restricted stock units is determined by using the Monte Carlo valuation model. The fair value of the restricted stock awards is recorded as compensation expense on a straight-line basis over the vesting periods of the awards and forfeitures are accounted for when they occur.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r>
      <w:tr>
        <w:trPr>
          <w:trHeight w:val="228"/>
        </w:trPr>
        <w:tc>
          <w:tcPr>
            <w:tcW w:w="6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center"/>
              <w:ind w:right="141"/>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9"/>
                <w:szCs w:val="19"/>
                <w:color w:val="auto"/>
              </w:rPr>
            </w:pPr>
          </w:p>
        </w:tc>
      </w:tr>
      <w:tr>
        <w:trPr>
          <w:trHeight w:val="228"/>
        </w:trPr>
        <w:tc>
          <w:tcPr>
            <w:tcW w:w="6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860"/>
              <w:spacing w:after="0" w:line="228" w:lineRule="exact"/>
              <w:rPr>
                <w:sz w:val="20"/>
                <w:szCs w:val="20"/>
                <w:color w:val="auto"/>
              </w:rPr>
            </w:pPr>
            <w:r>
              <w:rPr>
                <w:rFonts w:ascii="Times New Roman" w:cs="Times New Roman" w:eastAsia="Times New Roman" w:hAnsi="Times New Roman"/>
                <w:sz w:val="20"/>
                <w:szCs w:val="20"/>
                <w:b w:val="1"/>
                <w:bCs w:val="1"/>
                <w:color w:val="auto"/>
              </w:rPr>
              <w:t>Shares</w:t>
            </w:r>
          </w:p>
        </w:tc>
        <w:tc>
          <w:tcPr>
            <w:tcW w:w="240" w:type="dxa"/>
            <w:vAlign w:val="bottom"/>
          </w:tcPr>
          <w:p>
            <w:pPr>
              <w:spacing w:after="0"/>
              <w:rPr>
                <w:sz w:val="19"/>
                <w:szCs w:val="19"/>
                <w:color w:val="auto"/>
              </w:rPr>
            </w:pPr>
          </w:p>
        </w:tc>
        <w:tc>
          <w:tcPr>
            <w:tcW w:w="1500" w:type="dxa"/>
            <w:vAlign w:val="bottom"/>
          </w:tcPr>
          <w:p>
            <w:pPr>
              <w:jc w:val="center"/>
              <w:ind w:right="161"/>
              <w:spacing w:after="0" w:line="228"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60" w:type="dxa"/>
            <w:vAlign w:val="bottom"/>
          </w:tcPr>
          <w:p>
            <w:pPr>
              <w:spacing w:after="0"/>
              <w:rPr>
                <w:sz w:val="19"/>
                <w:szCs w:val="19"/>
                <w:color w:val="auto"/>
              </w:rPr>
            </w:pPr>
          </w:p>
        </w:tc>
      </w:tr>
      <w:tr>
        <w:trPr>
          <w:trHeight w:val="252"/>
        </w:trPr>
        <w:tc>
          <w:tcPr>
            <w:tcW w:w="6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240" w:type="dxa"/>
            <w:vAlign w:val="bottom"/>
          </w:tcPr>
          <w:p>
            <w:pPr>
              <w:spacing w:after="0"/>
              <w:rPr>
                <w:sz w:val="21"/>
                <w:szCs w:val="21"/>
                <w:color w:val="auto"/>
              </w:rPr>
            </w:pPr>
          </w:p>
        </w:tc>
        <w:tc>
          <w:tcPr>
            <w:tcW w:w="150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8"/>
              </w:rPr>
              <w:t>Fair Value</w:t>
            </w:r>
          </w:p>
        </w:tc>
        <w:tc>
          <w:tcPr>
            <w:tcW w:w="60" w:type="dxa"/>
            <w:vAlign w:val="bottom"/>
          </w:tcPr>
          <w:p>
            <w:pPr>
              <w:spacing w:after="0"/>
              <w:rPr>
                <w:sz w:val="21"/>
                <w:szCs w:val="21"/>
                <w:color w:val="auto"/>
              </w:rPr>
            </w:pPr>
          </w:p>
        </w:tc>
      </w:tr>
      <w:tr>
        <w:trPr>
          <w:trHeight w:val="236"/>
        </w:trPr>
        <w:tc>
          <w:tcPr>
            <w:tcW w:w="670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Nonvested at December 31, 2022</w:t>
            </w:r>
          </w:p>
        </w:tc>
        <w:tc>
          <w:tcPr>
            <w:tcW w:w="160" w:type="dxa"/>
            <w:vAlign w:val="bottom"/>
            <w:tcBorders>
              <w:top w:val="single" w:sz="8" w:color="E6E6E6"/>
            </w:tcBorders>
            <w:shd w:val="clear" w:color="auto" w:fill="E6E6E6"/>
          </w:tcPr>
          <w:p>
            <w:pPr>
              <w:spacing w:after="0"/>
              <w:rPr>
                <w:sz w:val="20"/>
                <w:szCs w:val="20"/>
                <w:color w:val="auto"/>
              </w:rPr>
            </w:pPr>
          </w:p>
        </w:tc>
        <w:tc>
          <w:tcPr>
            <w:tcW w:w="17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2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60" w:type="dxa"/>
            <w:vAlign w:val="bottom"/>
            <w:tcBorders>
              <w:top w:val="single" w:sz="8" w:color="E6E6E6"/>
            </w:tcBorders>
            <w:shd w:val="clear" w:color="auto" w:fill="E6E6E6"/>
          </w:tcPr>
          <w:p>
            <w:pPr>
              <w:spacing w:after="0"/>
              <w:rPr>
                <w:sz w:val="20"/>
                <w:szCs w:val="20"/>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60" w:type="dxa"/>
            <w:vAlign w:val="bottom"/>
          </w:tcPr>
          <w:p>
            <w:pPr>
              <w:spacing w:after="0"/>
              <w:rPr>
                <w:sz w:val="21"/>
                <w:szCs w:val="21"/>
                <w:color w:val="auto"/>
              </w:rPr>
            </w:pPr>
          </w:p>
        </w:tc>
      </w:tr>
      <w:tr>
        <w:trPr>
          <w:trHeight w:val="242"/>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Vested</w:t>
            </w:r>
          </w:p>
        </w:tc>
        <w:tc>
          <w:tcPr>
            <w:tcW w:w="2180" w:type="dxa"/>
            <w:vAlign w:val="bottom"/>
            <w:gridSpan w:val="3"/>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(417)</w:t>
            </w:r>
          </w:p>
        </w:tc>
        <w:tc>
          <w:tcPr>
            <w:tcW w:w="24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60" w:type="dxa"/>
            <w:vAlign w:val="bottom"/>
            <w:shd w:val="clear" w:color="auto" w:fill="E6E6E6"/>
          </w:tcPr>
          <w:p>
            <w:pPr>
              <w:spacing w:after="0"/>
              <w:rPr>
                <w:sz w:val="21"/>
                <w:szCs w:val="21"/>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(174)</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60" w:type="dxa"/>
            <w:vAlign w:val="bottom"/>
          </w:tcPr>
          <w:p>
            <w:pPr>
              <w:spacing w:after="0"/>
              <w:rPr>
                <w:sz w:val="21"/>
                <w:szCs w:val="21"/>
                <w:color w:val="auto"/>
              </w:rPr>
            </w:pPr>
          </w:p>
        </w:tc>
      </w:tr>
      <w:tr>
        <w:trPr>
          <w:trHeight w:val="236"/>
        </w:trPr>
        <w:tc>
          <w:tcPr>
            <w:tcW w:w="67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Nonvested at December 31, 2023</w:t>
            </w:r>
          </w:p>
        </w:tc>
        <w:tc>
          <w:tcPr>
            <w:tcW w:w="160" w:type="dxa"/>
            <w:vAlign w:val="bottom"/>
            <w:tcBorders>
              <w:top w:val="single" w:sz="8" w:color="E6E6E6"/>
            </w:tcBorders>
            <w:shd w:val="clear" w:color="auto" w:fill="E6E6E6"/>
          </w:tcPr>
          <w:p>
            <w:pPr>
              <w:spacing w:after="0"/>
              <w:rPr>
                <w:sz w:val="20"/>
                <w:szCs w:val="20"/>
                <w:color w:val="auto"/>
              </w:rPr>
            </w:pPr>
          </w:p>
        </w:tc>
        <w:tc>
          <w:tcPr>
            <w:tcW w:w="17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1,321</w:t>
            </w:r>
          </w:p>
        </w:tc>
        <w:tc>
          <w:tcPr>
            <w:tcW w:w="2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E6E6E6"/>
            </w:tcBorders>
            <w:shd w:val="clear" w:color="auto" w:fill="E6E6E6"/>
          </w:tcPr>
          <w:p>
            <w:pPr>
              <w:spacing w:after="0"/>
              <w:rPr>
                <w:sz w:val="20"/>
                <w:szCs w:val="20"/>
                <w:color w:val="auto"/>
              </w:rPr>
            </w:pPr>
          </w:p>
        </w:tc>
        <w:tc>
          <w:tcPr>
            <w:tcW w:w="15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60" w:type="dxa"/>
            <w:vAlign w:val="bottom"/>
            <w:tcBorders>
              <w:top w:val="single" w:sz="8" w:color="E6E6E6"/>
            </w:tcBorders>
            <w:shd w:val="clear" w:color="auto" w:fill="E6E6E6"/>
          </w:tcPr>
          <w:p>
            <w:pPr>
              <w:spacing w:after="0"/>
              <w:rPr>
                <w:sz w:val="20"/>
                <w:szCs w:val="20"/>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w:t>
            </w:r>
          </w:p>
        </w:tc>
        <w:tc>
          <w:tcPr>
            <w:tcW w:w="60" w:type="dxa"/>
            <w:vAlign w:val="bottom"/>
          </w:tcPr>
          <w:p>
            <w:pPr>
              <w:spacing w:after="0"/>
              <w:rPr>
                <w:sz w:val="21"/>
                <w:szCs w:val="21"/>
                <w:color w:val="auto"/>
              </w:rPr>
            </w:pPr>
          </w:p>
        </w:tc>
      </w:tr>
      <w:tr>
        <w:trPr>
          <w:trHeight w:val="242"/>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Vested</w:t>
            </w:r>
          </w:p>
        </w:tc>
        <w:tc>
          <w:tcPr>
            <w:tcW w:w="2180" w:type="dxa"/>
            <w:vAlign w:val="bottom"/>
            <w:gridSpan w:val="3"/>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(409)</w:t>
            </w:r>
          </w:p>
        </w:tc>
        <w:tc>
          <w:tcPr>
            <w:tcW w:w="24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9.19</w:t>
            </w:r>
          </w:p>
        </w:tc>
        <w:tc>
          <w:tcPr>
            <w:tcW w:w="60" w:type="dxa"/>
            <w:vAlign w:val="bottom"/>
            <w:shd w:val="clear" w:color="auto" w:fill="E6E6E6"/>
          </w:tcPr>
          <w:p>
            <w:pPr>
              <w:spacing w:after="0"/>
              <w:rPr>
                <w:sz w:val="21"/>
                <w:szCs w:val="21"/>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(74)</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60" w:type="dxa"/>
            <w:vAlign w:val="bottom"/>
          </w:tcPr>
          <w:p>
            <w:pPr>
              <w:spacing w:after="0"/>
              <w:rPr>
                <w:sz w:val="21"/>
                <w:szCs w:val="21"/>
                <w:color w:val="auto"/>
              </w:rPr>
            </w:pPr>
          </w:p>
        </w:tc>
      </w:tr>
      <w:tr>
        <w:trPr>
          <w:trHeight w:val="236"/>
        </w:trPr>
        <w:tc>
          <w:tcPr>
            <w:tcW w:w="67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Nonvested at December 31, 2024</w:t>
            </w:r>
          </w:p>
        </w:tc>
        <w:tc>
          <w:tcPr>
            <w:tcW w:w="160" w:type="dxa"/>
            <w:vAlign w:val="bottom"/>
            <w:tcBorders>
              <w:top w:val="single" w:sz="8" w:color="E6E6E6"/>
            </w:tcBorders>
            <w:shd w:val="clear" w:color="auto" w:fill="E6E6E6"/>
          </w:tcPr>
          <w:p>
            <w:pPr>
              <w:spacing w:after="0"/>
              <w:rPr>
                <w:sz w:val="20"/>
                <w:szCs w:val="20"/>
                <w:color w:val="auto"/>
              </w:rPr>
            </w:pPr>
          </w:p>
        </w:tc>
        <w:tc>
          <w:tcPr>
            <w:tcW w:w="17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1,194</w:t>
            </w:r>
          </w:p>
        </w:tc>
        <w:tc>
          <w:tcPr>
            <w:tcW w:w="2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E6E6E6"/>
            </w:tcBorders>
            <w:shd w:val="clear" w:color="auto" w:fill="E6E6E6"/>
          </w:tcPr>
          <w:p>
            <w:pPr>
              <w:spacing w:after="0"/>
              <w:rPr>
                <w:sz w:val="20"/>
                <w:szCs w:val="20"/>
                <w:color w:val="auto"/>
              </w:rPr>
            </w:pPr>
          </w:p>
        </w:tc>
        <w:tc>
          <w:tcPr>
            <w:tcW w:w="15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14.98</w:t>
            </w:r>
          </w:p>
        </w:tc>
        <w:tc>
          <w:tcPr>
            <w:tcW w:w="60" w:type="dxa"/>
            <w:vAlign w:val="bottom"/>
            <w:tcBorders>
              <w:top w:val="single" w:sz="8" w:color="E6E6E6"/>
            </w:tcBorders>
            <w:shd w:val="clear" w:color="auto" w:fill="E6E6E6"/>
          </w:tcPr>
          <w:p>
            <w:pPr>
              <w:spacing w:after="0"/>
              <w:rPr>
                <w:sz w:val="20"/>
                <w:szCs w:val="20"/>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32.27</w:t>
            </w:r>
          </w:p>
        </w:tc>
        <w:tc>
          <w:tcPr>
            <w:tcW w:w="60" w:type="dxa"/>
            <w:vAlign w:val="bottom"/>
          </w:tcPr>
          <w:p>
            <w:pPr>
              <w:spacing w:after="0"/>
              <w:rPr>
                <w:sz w:val="21"/>
                <w:szCs w:val="21"/>
                <w:color w:val="auto"/>
              </w:rPr>
            </w:pPr>
          </w:p>
        </w:tc>
      </w:tr>
      <w:tr>
        <w:trPr>
          <w:trHeight w:val="242"/>
        </w:trPr>
        <w:tc>
          <w:tcPr>
            <w:tcW w:w="6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Vested</w:t>
            </w:r>
          </w:p>
        </w:tc>
        <w:tc>
          <w:tcPr>
            <w:tcW w:w="2180" w:type="dxa"/>
            <w:vAlign w:val="bottom"/>
            <w:gridSpan w:val="3"/>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(122)</w:t>
            </w:r>
          </w:p>
        </w:tc>
        <w:tc>
          <w:tcPr>
            <w:tcW w:w="24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shd w:val="clear" w:color="auto" w:fill="E6E6E6"/>
          </w:tcPr>
          <w:p>
            <w:pPr>
              <w:spacing w:after="0"/>
              <w:rPr>
                <w:sz w:val="21"/>
                <w:szCs w:val="21"/>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(140)</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w:t>
            </w:r>
          </w:p>
        </w:tc>
        <w:tc>
          <w:tcPr>
            <w:tcW w:w="60" w:type="dxa"/>
            <w:vAlign w:val="bottom"/>
          </w:tcPr>
          <w:p>
            <w:pPr>
              <w:spacing w:after="0"/>
              <w:rPr>
                <w:sz w:val="21"/>
                <w:szCs w:val="21"/>
                <w:color w:val="auto"/>
              </w:rPr>
            </w:pPr>
          </w:p>
        </w:tc>
      </w:tr>
      <w:tr>
        <w:trPr>
          <w:trHeight w:val="236"/>
        </w:trPr>
        <w:tc>
          <w:tcPr>
            <w:tcW w:w="67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Nonvested at December 31, 2025</w:t>
            </w:r>
          </w:p>
        </w:tc>
        <w:tc>
          <w:tcPr>
            <w:tcW w:w="160" w:type="dxa"/>
            <w:vAlign w:val="bottom"/>
            <w:tcBorders>
              <w:top w:val="single" w:sz="8" w:color="E6E6E6"/>
            </w:tcBorders>
            <w:shd w:val="clear" w:color="auto" w:fill="E6E6E6"/>
          </w:tcPr>
          <w:p>
            <w:pPr>
              <w:spacing w:after="0"/>
              <w:rPr>
                <w:sz w:val="20"/>
                <w:szCs w:val="20"/>
                <w:color w:val="auto"/>
              </w:rPr>
            </w:pPr>
          </w:p>
        </w:tc>
        <w:tc>
          <w:tcPr>
            <w:tcW w:w="17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1,481</w:t>
            </w:r>
          </w:p>
        </w:tc>
        <w:tc>
          <w:tcPr>
            <w:tcW w:w="2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E6E6E6"/>
            </w:tcBorders>
            <w:shd w:val="clear" w:color="auto" w:fill="E6E6E6"/>
          </w:tcPr>
          <w:p>
            <w:pPr>
              <w:spacing w:after="0"/>
              <w:rPr>
                <w:sz w:val="20"/>
                <w:szCs w:val="20"/>
                <w:color w:val="auto"/>
              </w:rPr>
            </w:pPr>
          </w:p>
        </w:tc>
        <w:tc>
          <w:tcPr>
            <w:tcW w:w="15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22.74</w:t>
            </w:r>
          </w:p>
        </w:tc>
        <w:tc>
          <w:tcPr>
            <w:tcW w:w="60" w:type="dxa"/>
            <w:vAlign w:val="bottom"/>
            <w:tcBorders>
              <w:top w:val="single" w:sz="8" w:color="E6E6E6"/>
            </w:tcBorders>
            <w:shd w:val="clear" w:color="auto" w:fill="E6E6E6"/>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1054" w:right="600" w:bottom="66"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680"/>
          </w:cols>
          <w:pgMar w:left="600" w:top="1054" w:right="600" w:bottom="66" w:gutter="0" w:footer="0" w:header="0"/>
          <w:type w:val="continuous"/>
        </w:sectPr>
      </w:pPr>
    </w:p>
    <w:bookmarkStart w:id="80" w:name="page81"/>
    <w:bookmarkEnd w:id="80"/>
    <w:p>
      <w:pPr>
        <w:ind w:left="6" w:right="620"/>
        <w:spacing w:after="0" w:line="275" w:lineRule="auto"/>
        <w:rPr>
          <w:sz w:val="20"/>
          <w:szCs w:val="20"/>
          <w:color w:val="auto"/>
        </w:rPr>
      </w:pPr>
      <w:r>
        <w:rPr>
          <w:rFonts w:ascii="Times New Roman" w:cs="Times New Roman" w:eastAsia="Times New Roman" w:hAnsi="Times New Roman"/>
          <w:sz w:val="20"/>
          <w:szCs w:val="20"/>
          <w:color w:val="auto"/>
        </w:rPr>
        <w:t>The fair value of awards vested and released during the years ended December 31, 2025, 2024 and 2023 was $5.0 million, $4.1 million, and $5.9 million, respectively.</w:t>
      </w:r>
    </w:p>
    <w:p>
      <w:pPr>
        <w:spacing w:after="0" w:line="166" w:lineRule="exact"/>
        <w:rPr>
          <w:sz w:val="20"/>
          <w:szCs w:val="20"/>
          <w:color w:val="auto"/>
        </w:rPr>
      </w:pPr>
    </w:p>
    <w:p>
      <w:pPr>
        <w:ind w:left="6" w:right="260"/>
        <w:spacing w:after="0" w:line="275" w:lineRule="auto"/>
        <w:rPr>
          <w:sz w:val="20"/>
          <w:szCs w:val="20"/>
          <w:color w:val="auto"/>
        </w:rPr>
      </w:pPr>
      <w:r>
        <w:rPr>
          <w:rFonts w:ascii="Times New Roman" w:cs="Times New Roman" w:eastAsia="Times New Roman" w:hAnsi="Times New Roman"/>
          <w:sz w:val="20"/>
          <w:szCs w:val="20"/>
          <w:color w:val="auto"/>
        </w:rPr>
        <w:t>Unrecognized compensation expense related to nonvested shares of stock options, restricted stock and performance units was $20.7 million at December 31, 2025 and will be recognized over a weighted average vesting period of 1.2 years.</w:t>
      </w:r>
    </w:p>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Common Stock Repurchase</w:t>
      </w:r>
    </w:p>
    <w:p>
      <w:pPr>
        <w:spacing w:after="0" w:line="232" w:lineRule="exact"/>
        <w:rPr>
          <w:sz w:val="20"/>
          <w:szCs w:val="20"/>
          <w:color w:val="auto"/>
        </w:rPr>
      </w:pPr>
    </w:p>
    <w:p>
      <w:pPr>
        <w:ind w:left="6" w:right="40"/>
        <w:spacing w:after="0" w:line="260" w:lineRule="auto"/>
        <w:rPr>
          <w:sz w:val="20"/>
          <w:szCs w:val="20"/>
          <w:color w:val="auto"/>
        </w:rPr>
      </w:pPr>
      <w:r>
        <w:rPr>
          <w:rFonts w:ascii="Times New Roman" w:cs="Times New Roman" w:eastAsia="Times New Roman" w:hAnsi="Times New Roman"/>
          <w:sz w:val="19"/>
          <w:szCs w:val="19"/>
          <w:color w:val="auto"/>
        </w:rPr>
        <w:t>On May 10, 2022, the Company's Board of Directors authorized a share repurchase program under which the Company may purchase up to $20.0 million of its outstanding shares of common stock through April 30, 2025. The authorization permitted the Company to repurchase shares in the open market, through accelerated share repurchases, block trades, Rule 10b5-1 trading plans or through privately negotiated transactions in accordance with applicable laws, rules and regulations. No repurchases occurred during the years ended December 31, 2023 and 2025. During the year ended December 31, 2024, the Company repurchased and retired approximately 230,000 shares of common stock at a cost of $5.0 million under the program. This program expired during the second quarter of 2025.</w:t>
      </w:r>
    </w:p>
    <w:p>
      <w:pPr>
        <w:spacing w:after="0" w:line="18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13" w:lineRule="exact"/>
        <w:rPr>
          <w:sz w:val="20"/>
          <w:szCs w:val="20"/>
          <w:color w:val="auto"/>
        </w:rPr>
      </w:pPr>
    </w:p>
    <w:p>
      <w:pPr>
        <w:ind w:left="6" w:right="80"/>
        <w:spacing w:after="0" w:line="246" w:lineRule="auto"/>
        <w:rPr>
          <w:sz w:val="20"/>
          <w:szCs w:val="20"/>
          <w:color w:val="auto"/>
        </w:rPr>
      </w:pPr>
      <w:r>
        <w:rPr>
          <w:rFonts w:ascii="Times New Roman" w:cs="Times New Roman" w:eastAsia="Times New Roman" w:hAnsi="Times New Roman"/>
          <w:sz w:val="20"/>
          <w:szCs w:val="20"/>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during the years ended December 31, 2025, 2024 or 2023.</w:t>
      </w:r>
    </w:p>
    <w:p>
      <w:pPr>
        <w:spacing w:after="0" w:line="194" w:lineRule="exact"/>
        <w:rPr>
          <w:sz w:val="20"/>
          <w:szCs w:val="20"/>
          <w:color w:val="auto"/>
        </w:rPr>
      </w:pPr>
    </w:p>
    <w:p>
      <w:pPr>
        <w:ind w:left="486" w:hanging="486"/>
        <w:spacing w:after="0"/>
        <w:tabs>
          <w:tab w:leader="none" w:pos="486"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and Employee Benefit Plans</w:t>
      </w:r>
    </w:p>
    <w:p>
      <w:pPr>
        <w:spacing w:after="0" w:line="238" w:lineRule="exact"/>
        <w:rPr>
          <w:sz w:val="20"/>
          <w:szCs w:val="20"/>
          <w:color w:val="auto"/>
        </w:rPr>
      </w:pPr>
    </w:p>
    <w:p>
      <w:pPr>
        <w:ind w:left="6" w:right="120"/>
        <w:spacing w:after="0" w:line="245" w:lineRule="auto"/>
        <w:rPr>
          <w:sz w:val="20"/>
          <w:szCs w:val="20"/>
          <w:color w:val="auto"/>
        </w:rPr>
      </w:pPr>
      <w:r>
        <w:rPr>
          <w:rFonts w:ascii="Times New Roman" w:cs="Times New Roman" w:eastAsia="Times New Roman" w:hAnsi="Times New Roman"/>
          <w:sz w:val="20"/>
          <w:szCs w:val="20"/>
          <w:color w:val="auto"/>
        </w:rPr>
        <w:t>The Company sponsored a non-contributory defined benefit pension plan for certain union employees. The accrual of future benefits for all participants who are non-union employees was frozen effective December 31, 2008. The plan was funded in accordance with the funding requirements of the Employee Retirement Income Security Act of 1974. On March 31, 2025, the pension plan was transferred to the purchaser of the Global Pump Solutions business, as discussed in Note 15. In conjunction with the transfer, the Company recognized $1.6 million, net of $0.5 million of taxes, within "Other operating expense" within the Consolidated Statements of Income, related to the recognition of previously unrealized losses on the plan.</w:t>
      </w:r>
    </w:p>
    <w:p>
      <w:pPr>
        <w:spacing w:after="0" w:line="1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accumulated benefit obligation as of December 31, 2025, 2024 and 2023, was zero, $24.7 million, and $26.8 million, respectively.</w:t>
      </w:r>
    </w:p>
    <w:p>
      <w:pPr>
        <w:spacing w:after="0" w:line="2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following tables set forth the plan changes in benefit obligations, plan assets and funded status on the measurement dates:</w:t>
      </w:r>
    </w:p>
    <w:p>
      <w:pPr>
        <w:spacing w:after="0" w:line="246"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58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Borders>
              <w:bottom w:val="single" w:sz="8" w:color="E6E6E6"/>
            </w:tcBorders>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E6E6E6"/>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Change in projected benefit obligation:</w:t>
            </w:r>
          </w:p>
        </w:tc>
        <w:tc>
          <w:tcPr>
            <w:tcW w:w="300" w:type="dxa"/>
            <w:vAlign w:val="bottom"/>
            <w:shd w:val="clear" w:color="auto" w:fill="E6E6E6"/>
          </w:tcPr>
          <w:p>
            <w:pPr>
              <w:spacing w:after="0"/>
              <w:rPr>
                <w:sz w:val="20"/>
                <w:szCs w:val="20"/>
                <w:color w:val="auto"/>
              </w:rPr>
            </w:pPr>
          </w:p>
        </w:tc>
        <w:tc>
          <w:tcPr>
            <w:tcW w:w="114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04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0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Projected benefit obligation at beginning of year</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26,760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Interest cost</w:t>
            </w:r>
          </w:p>
        </w:tc>
        <w:tc>
          <w:tcPr>
            <w:tcW w:w="30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1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1,215</w:t>
            </w:r>
          </w:p>
        </w:tc>
        <w:tc>
          <w:tcPr>
            <w:tcW w:w="2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Actuarial (gain) loss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Benefits paid</w:t>
            </w:r>
          </w:p>
        </w:tc>
        <w:tc>
          <w:tcPr>
            <w:tcW w:w="30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300" w:type="dxa"/>
            <w:vAlign w:val="bottom"/>
            <w:gridSpan w:val="2"/>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(2,073)</w:t>
            </w: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rPr>
              <w:t>(2,047)</w:t>
            </w: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Transferred with the sale of the Global Pump Solutions business</w:t>
            </w:r>
          </w:p>
        </w:tc>
        <w:tc>
          <w:tcPr>
            <w:tcW w:w="3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58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Projected benefit obligation at end of year</w:t>
            </w:r>
          </w:p>
        </w:tc>
        <w:tc>
          <w:tcPr>
            <w:tcW w:w="300" w:type="dxa"/>
            <w:vAlign w:val="bottom"/>
            <w:tcBorders>
              <w:top w:val="single" w:sz="8" w:color="auto"/>
              <w:bottom w:val="single" w:sz="8" w:color="auto"/>
            </w:tcBorders>
            <w:shd w:val="clear" w:color="auto" w:fill="E6E6E6"/>
          </w:tcPr>
          <w:p>
            <w:pPr>
              <w:spacing w:after="0"/>
              <w:rPr>
                <w:sz w:val="20"/>
                <w:szCs w:val="20"/>
                <w:color w:val="auto"/>
              </w:rPr>
            </w:pPr>
          </w:p>
        </w:tc>
        <w:tc>
          <w:tcPr>
            <w:tcW w:w="11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E6E6E6"/>
            </w:tcBorders>
            <w:shd w:val="clear" w:color="auto" w:fill="E6E6E6"/>
          </w:tcPr>
          <w:p>
            <w:pPr>
              <w:spacing w:after="0"/>
              <w:rPr>
                <w:sz w:val="20"/>
                <w:szCs w:val="20"/>
                <w:color w:val="auto"/>
              </w:rPr>
            </w:pPr>
          </w:p>
        </w:tc>
        <w:tc>
          <w:tcPr>
            <w:tcW w:w="280" w:type="dxa"/>
            <w:vAlign w:val="bottom"/>
            <w:tcBorders>
              <w:top w:val="single" w:sz="8" w:color="auto"/>
              <w:bottom w:val="single" w:sz="8" w:color="auto"/>
            </w:tcBorders>
            <w:shd w:val="clear" w:color="auto" w:fill="E6E6E6"/>
          </w:tcPr>
          <w:p>
            <w:pPr>
              <w:spacing w:after="0"/>
              <w:rPr>
                <w:sz w:val="20"/>
                <w:szCs w:val="20"/>
                <w:color w:val="auto"/>
              </w:rPr>
            </w:pPr>
          </w:p>
        </w:tc>
        <w:tc>
          <w:tcPr>
            <w:tcW w:w="10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24,665</w:t>
            </w:r>
          </w:p>
        </w:tc>
        <w:tc>
          <w:tcPr>
            <w:tcW w:w="260" w:type="dxa"/>
            <w:vAlign w:val="bottom"/>
            <w:tcBorders>
              <w:top w:val="single" w:sz="8" w:color="E6E6E6"/>
            </w:tcBorders>
            <w:shd w:val="clear" w:color="auto" w:fill="E6E6E6"/>
          </w:tcPr>
          <w:p>
            <w:pPr>
              <w:spacing w:after="0"/>
              <w:rPr>
                <w:sz w:val="20"/>
                <w:szCs w:val="20"/>
                <w:color w:val="auto"/>
              </w:rPr>
            </w:pPr>
          </w:p>
        </w:tc>
        <w:tc>
          <w:tcPr>
            <w:tcW w:w="80" w:type="dxa"/>
            <w:vAlign w:val="bottom"/>
            <w:tcBorders>
              <w:top w:val="single" w:sz="8" w:color="E6E6E6"/>
            </w:tcBorders>
            <w:shd w:val="clear" w:color="auto" w:fill="E6E6E6"/>
          </w:tcPr>
          <w:p>
            <w:pPr>
              <w:spacing w:after="0"/>
              <w:rPr>
                <w:sz w:val="20"/>
                <w:szCs w:val="20"/>
                <w:color w:val="auto"/>
              </w:rPr>
            </w:pPr>
          </w:p>
        </w:tc>
        <w:tc>
          <w:tcPr>
            <w:tcW w:w="280" w:type="dxa"/>
            <w:vAlign w:val="bottom"/>
            <w:tcBorders>
              <w:top w:val="single" w:sz="8" w:color="auto"/>
              <w:bottom w:val="single" w:sz="8" w:color="auto"/>
            </w:tcBorders>
            <w:shd w:val="clear" w:color="auto" w:fill="E6E6E6"/>
          </w:tcPr>
          <w:p>
            <w:pPr>
              <w:spacing w:after="0"/>
              <w:rPr>
                <w:sz w:val="20"/>
                <w:szCs w:val="20"/>
                <w:color w:val="auto"/>
              </w:rPr>
            </w:pP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26,760</w:t>
            </w:r>
          </w:p>
        </w:tc>
        <w:tc>
          <w:tcPr>
            <w:tcW w:w="20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Change in plan assets: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30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25,144</w:t>
            </w:r>
          </w:p>
        </w:tc>
        <w:tc>
          <w:tcPr>
            <w:tcW w:w="1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22,646</w:t>
            </w:r>
          </w:p>
        </w:tc>
        <w:tc>
          <w:tcPr>
            <w:tcW w:w="2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21,821</w:t>
            </w:r>
          </w:p>
        </w:tc>
        <w:tc>
          <w:tcPr>
            <w:tcW w:w="2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3,236</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Employer contributions</w:t>
            </w:r>
          </w:p>
        </w:tc>
        <w:tc>
          <w:tcPr>
            <w:tcW w:w="30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2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13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Benefits paid</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auto"/>
              </w:rPr>
              <w:t>(2,047)</w:t>
            </w: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Transferred with the sale of the Global Pump Solutions business</w:t>
            </w:r>
          </w:p>
        </w:tc>
        <w:tc>
          <w:tcPr>
            <w:tcW w:w="30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(25,499)</w:t>
            </w: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300" w:type="dxa"/>
            <w:vAlign w:val="bottom"/>
            <w:gridSpan w:val="2"/>
            <w:shd w:val="clear" w:color="auto" w:fill="E6E6E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13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58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Fair value of plan assets at end of year</w:t>
            </w: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E6E6E6"/>
            </w:tcBorders>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25,144</w:t>
            </w:r>
          </w:p>
        </w:tc>
        <w:tc>
          <w:tcPr>
            <w:tcW w:w="260" w:type="dxa"/>
            <w:vAlign w:val="bottom"/>
            <w:tcBorders>
              <w:bottom w:val="single" w:sz="8" w:color="E6E6E6"/>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22,646</w:t>
            </w:r>
          </w:p>
        </w:tc>
        <w:tc>
          <w:tcPr>
            <w:tcW w:w="20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Funded status at end of year</w:t>
            </w: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26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(4,114</w:t>
            </w:r>
          </w:p>
        </w:tc>
        <w:tc>
          <w:tcPr>
            <w:tcW w:w="200" w:type="dxa"/>
            <w:vAlign w:val="bottom"/>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assumptions used to determine benefit obligations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December 31:</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30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3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5.35%</w:t>
            </w: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86"/>
          </w:cols>
          <w:pgMar w:left="594" w:top="818" w:right="600" w:bottom="66"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686"/>
          </w:cols>
          <w:pgMar w:left="594" w:top="818" w:right="600" w:bottom="66" w:gutter="0" w:footer="0" w:header="0"/>
          <w:type w:val="continuous"/>
        </w:sectPr>
      </w:pPr>
    </w:p>
    <w:bookmarkStart w:id="81" w:name="page82"/>
    <w:bookmarkEnd w:id="81"/>
    <w:p>
      <w:pPr>
        <w:ind w:right="780"/>
        <w:spacing w:after="0" w:line="275" w:lineRule="auto"/>
        <w:rPr>
          <w:sz w:val="20"/>
          <w:szCs w:val="20"/>
          <w:color w:val="auto"/>
        </w:rPr>
      </w:pPr>
      <w:r>
        <w:rPr>
          <w:rFonts w:ascii="Times New Roman" w:cs="Times New Roman" w:eastAsia="Times New Roman" w:hAnsi="Times New Roman"/>
          <w:sz w:val="20"/>
          <w:szCs w:val="20"/>
          <w:color w:val="auto"/>
        </w:rPr>
        <w:t>The funded status as of December 31, 2025, 2024 and 2023, was zero, $0.5 million, and $(4.1) million, respectively, and was recognized in "Deferred charges and other assets" or "Other liabilities" within the Consolidated Balance Sheets.</w:t>
      </w:r>
    </w:p>
    <w:p>
      <w:pPr>
        <w:spacing w:after="0" w:line="16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color w:val="auto"/>
        </w:rPr>
        <w:t>The details of net periodic benefit cost for pension benefits included in the accompanying Consolidated Statements of Income were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21"/>
              <w:spacing w:after="0" w:line="223" w:lineRule="exact"/>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21"/>
              <w:spacing w:after="0" w:line="223" w:lineRule="exact"/>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Interest cost</w:t>
            </w:r>
          </w:p>
        </w:tc>
        <w:tc>
          <w:tcPr>
            <w:tcW w:w="320" w:type="dxa"/>
            <w:vAlign w:val="bottom"/>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1,215</w:t>
            </w:r>
          </w:p>
        </w:tc>
        <w:tc>
          <w:tcPr>
            <w:tcW w:w="240" w:type="dxa"/>
            <w:vAlign w:val="bottom"/>
          </w:tcPr>
          <w:p>
            <w:pPr>
              <w:spacing w:after="0"/>
              <w:rPr>
                <w:sz w:val="19"/>
                <w:szCs w:val="19"/>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Expected return on plan assets</w:t>
            </w:r>
          </w:p>
        </w:tc>
        <w:tc>
          <w:tcPr>
            <w:tcW w:w="32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(335)</w:t>
            </w:r>
          </w:p>
        </w:tc>
        <w:tc>
          <w:tcPr>
            <w:tcW w:w="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560" w:type="dxa"/>
            <w:vAlign w:val="bottom"/>
            <w:gridSpan w:val="2"/>
            <w:shd w:val="clear" w:color="auto" w:fill="E6E6E6"/>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(1,223)</w:t>
            </w: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(1,142)</w:t>
            </w:r>
          </w:p>
        </w:tc>
        <w:tc>
          <w:tcPr>
            <w:tcW w:w="0" w:type="dxa"/>
            <w:vAlign w:val="bottom"/>
          </w:tcPr>
          <w:p>
            <w:pPr>
              <w:spacing w:after="0"/>
              <w:rPr>
                <w:sz w:val="1"/>
                <w:szCs w:val="1"/>
                <w:color w:val="auto"/>
              </w:rPr>
            </w:pPr>
          </w:p>
        </w:tc>
      </w:tr>
      <w:tr>
        <w:trPr>
          <w:trHeight w:val="228"/>
        </w:trPr>
        <w:tc>
          <w:tcPr>
            <w:tcW w:w="58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Amortization of net loss</w:t>
            </w:r>
          </w:p>
        </w:tc>
        <w:tc>
          <w:tcPr>
            <w:tcW w:w="3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40"/>
              <w:spacing w:after="0" w:line="228" w:lineRule="exact"/>
              <w:rPr>
                <w:sz w:val="20"/>
                <w:szCs w:val="20"/>
                <w:color w:val="auto"/>
              </w:rPr>
            </w:pPr>
            <w:r>
              <w:rPr>
                <w:rFonts w:ascii="Times New Roman" w:cs="Times New Roman" w:eastAsia="Times New Roman" w:hAnsi="Times New Roman"/>
                <w:sz w:val="20"/>
                <w:szCs w:val="20"/>
                <w:color w:val="auto"/>
              </w:rPr>
              <w:t>226</w:t>
            </w:r>
          </w:p>
        </w:tc>
        <w:tc>
          <w:tcPr>
            <w:tcW w:w="300" w:type="dxa"/>
            <w:vAlign w:val="bottom"/>
          </w:tcPr>
          <w:p>
            <w:pPr>
              <w:spacing w:after="0"/>
              <w:rPr>
                <w:sz w:val="19"/>
                <w:szCs w:val="19"/>
                <w:color w:val="auto"/>
              </w:rPr>
            </w:pPr>
          </w:p>
        </w:tc>
        <w:tc>
          <w:tcPr>
            <w:tcW w:w="11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E6E6E6"/>
            </w:tcBorders>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Net periodic benefit (expense) income</w:t>
            </w:r>
          </w:p>
        </w:tc>
        <w:tc>
          <w:tcPr>
            <w:tcW w:w="320" w:type="dxa"/>
            <w:vAlign w:val="bottom"/>
            <w:tcBorders>
              <w:top w:val="single" w:sz="8" w:color="auto"/>
              <w:bottom w:val="single" w:sz="8" w:color="auto"/>
            </w:tcBorders>
            <w:shd w:val="clear" w:color="auto" w:fill="E6E6E6"/>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160" w:type="dxa"/>
            <w:vAlign w:val="bottom"/>
            <w:tcBorders>
              <w:top w:val="single" w:sz="8" w:color="E6E6E6"/>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80" w:type="dxa"/>
            <w:vAlign w:val="bottom"/>
            <w:tcBorders>
              <w:top w:val="single" w:sz="8" w:color="E6E6E6"/>
            </w:tcBorders>
            <w:shd w:val="clear" w:color="auto" w:fill="E6E6E6"/>
          </w:tcPr>
          <w:p>
            <w:pPr>
              <w:spacing w:after="0"/>
              <w:rPr>
                <w:sz w:val="19"/>
                <w:szCs w:val="19"/>
                <w:color w:val="auto"/>
              </w:rPr>
            </w:pPr>
          </w:p>
        </w:tc>
        <w:tc>
          <w:tcPr>
            <w:tcW w:w="12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218</w:t>
            </w:r>
          </w:p>
        </w:tc>
        <w:tc>
          <w:tcPr>
            <w:tcW w:w="240" w:type="dxa"/>
            <w:vAlign w:val="bottom"/>
            <w:tcBorders>
              <w:top w:val="single" w:sz="8" w:color="E6E6E6"/>
            </w:tcBorders>
            <w:shd w:val="clear" w:color="auto" w:fill="E6E6E6"/>
          </w:tcPr>
          <w:p>
            <w:pPr>
              <w:spacing w:after="0"/>
              <w:rPr>
                <w:sz w:val="19"/>
                <w:szCs w:val="19"/>
                <w:color w:val="auto"/>
              </w:rPr>
            </w:pPr>
          </w:p>
        </w:tc>
        <w:tc>
          <w:tcPr>
            <w:tcW w:w="300" w:type="dxa"/>
            <w:vAlign w:val="bottom"/>
            <w:tcBorders>
              <w:top w:val="single" w:sz="8" w:color="auto"/>
              <w:bottom w:val="single" w:sz="8" w:color="auto"/>
            </w:tcBorders>
            <w:shd w:val="clear" w:color="auto" w:fill="E6E6E6"/>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429</w:t>
            </w:r>
          </w:p>
        </w:tc>
        <w:tc>
          <w:tcPr>
            <w:tcW w:w="10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changes in plan assets and benefit obligations recognized in other comprehensive income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01"/>
              <w:spacing w:after="0" w:line="223" w:lineRule="exact"/>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00"/>
              <w:spacing w:after="0" w:line="223" w:lineRule="exact"/>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Net gain</w:t>
            </w:r>
          </w:p>
        </w:tc>
        <w:tc>
          <w:tcPr>
            <w:tcW w:w="320" w:type="dxa"/>
            <w:vAlign w:val="bottom"/>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(3,249</w:t>
            </w:r>
          </w:p>
        </w:tc>
        <w:tc>
          <w:tcPr>
            <w:tcW w:w="1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Pr>
          <w:p>
            <w:pPr>
              <w:spacing w:after="0"/>
              <w:rPr>
                <w:sz w:val="19"/>
                <w:szCs w:val="19"/>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82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Amortization of net actuarial loss</w:t>
            </w:r>
          </w:p>
        </w:tc>
        <w:tc>
          <w:tcPr>
            <w:tcW w:w="4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(9)</w:t>
            </w:r>
          </w:p>
        </w:tc>
        <w:tc>
          <w:tcPr>
            <w:tcW w:w="10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(226)</w:t>
            </w:r>
          </w:p>
        </w:tc>
        <w:tc>
          <w:tcPr>
            <w:tcW w:w="1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(297)</w:t>
            </w:r>
          </w:p>
        </w:tc>
        <w:tc>
          <w:tcPr>
            <w:tcW w:w="0" w:type="dxa"/>
            <w:vAlign w:val="bottom"/>
          </w:tcPr>
          <w:p>
            <w:pPr>
              <w:spacing w:after="0"/>
              <w:rPr>
                <w:sz w:val="1"/>
                <w:szCs w:val="1"/>
                <w:color w:val="auto"/>
              </w:rPr>
            </w:pPr>
          </w:p>
        </w:tc>
      </w:tr>
      <w:tr>
        <w:trPr>
          <w:trHeight w:val="263"/>
        </w:trPr>
        <w:tc>
          <w:tcPr>
            <w:tcW w:w="5820" w:type="dxa"/>
            <w:vAlign w:val="bottom"/>
            <w:tcBorders>
              <w:bottom w:val="single" w:sz="8" w:color="E6E6E6"/>
            </w:tcBorders>
          </w:tcPr>
          <w:p>
            <w:pPr>
              <w:spacing w:after="0" w:line="223" w:lineRule="exact"/>
              <w:rPr>
                <w:sz w:val="20"/>
                <w:szCs w:val="20"/>
                <w:color w:val="auto"/>
              </w:rPr>
            </w:pPr>
            <w:r>
              <w:rPr>
                <w:rFonts w:ascii="Times New Roman" w:cs="Times New Roman" w:eastAsia="Times New Roman" w:hAnsi="Times New Roman"/>
                <w:sz w:val="20"/>
                <w:szCs w:val="20"/>
                <w:color w:val="auto"/>
              </w:rPr>
              <w:t>Total recognized in other comprehensive income</w:t>
            </w:r>
          </w:p>
        </w:tc>
        <w:tc>
          <w:tcPr>
            <w:tcW w:w="320" w:type="dxa"/>
            <w:vAlign w:val="bottom"/>
            <w:tcBorders>
              <w:top w:val="single" w:sz="8" w:color="auto"/>
              <w:bottom w:val="single" w:sz="8" w:color="auto"/>
            </w:tcBorders>
            <w:gridSpan w:val="2"/>
          </w:tcPr>
          <w:p>
            <w:pPr>
              <w:jc w:val="right"/>
              <w:ind w:right="2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w:t>
            </w:r>
          </w:p>
        </w:tc>
        <w:tc>
          <w:tcPr>
            <w:tcW w:w="140" w:type="dxa"/>
            <w:vAlign w:val="bottom"/>
            <w:tcBorders>
              <w:bottom w:val="single" w:sz="8" w:color="E6E6E6"/>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E6E6E6"/>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(3,475</w:t>
            </w:r>
          </w:p>
        </w:tc>
        <w:tc>
          <w:tcPr>
            <w:tcW w:w="140" w:type="dxa"/>
            <w:vAlign w:val="bottom"/>
            <w:tcBorders>
              <w:bottom w:val="single" w:sz="8" w:color="E6E6E6"/>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tcBorders>
              <w:bottom w:val="single" w:sz="8" w:color="E6E6E6"/>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(1,845</w:t>
            </w:r>
          </w:p>
        </w:tc>
        <w:tc>
          <w:tcPr>
            <w:tcW w:w="1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5820" w:type="dxa"/>
            <w:vAlign w:val="bottom"/>
            <w:shd w:val="clear" w:color="auto" w:fill="E6E6E6"/>
          </w:tcPr>
          <w:p>
            <w:pPr>
              <w:spacing w:after="0" w:line="191" w:lineRule="exact"/>
              <w:rPr>
                <w:sz w:val="20"/>
                <w:szCs w:val="20"/>
                <w:color w:val="auto"/>
              </w:rPr>
            </w:pPr>
            <w:r>
              <w:rPr>
                <w:rFonts w:ascii="Times New Roman" w:cs="Times New Roman" w:eastAsia="Times New Roman" w:hAnsi="Times New Roman"/>
                <w:sz w:val="20"/>
                <w:szCs w:val="20"/>
                <w:color w:val="auto"/>
              </w:rPr>
              <w:t>Total recognized in net periodic benefit cost and other comprehensive</w:t>
            </w:r>
          </w:p>
        </w:tc>
        <w:tc>
          <w:tcPr>
            <w:tcW w:w="4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110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30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income</w:t>
            </w:r>
          </w:p>
        </w:tc>
        <w:tc>
          <w:tcPr>
            <w:tcW w:w="320" w:type="dxa"/>
            <w:vAlign w:val="bottom"/>
            <w:tcBorders>
              <w:bottom w:val="single" w:sz="8" w:color="auto"/>
            </w:tcBorders>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20" w:type="dxa"/>
            <w:vAlign w:val="bottom"/>
            <w:tcBorders>
              <w:bottom w:val="single" w:sz="8" w:color="auto"/>
            </w:tcBorders>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(3,257)</w:t>
            </w:r>
          </w:p>
        </w:tc>
        <w:tc>
          <w:tcPr>
            <w:tcW w:w="1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300" w:type="dxa"/>
            <w:vAlign w:val="bottom"/>
            <w:tcBorders>
              <w:bottom w:val="single" w:sz="8" w:color="auto"/>
            </w:tcBorders>
            <w:gridSpan w:val="2"/>
            <w:shd w:val="clear" w:color="auto" w:fill="E6E6E6"/>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(1,416)</w:t>
            </w: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4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Weighted-average assumptions used to determine net periodic benefit costs were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Discount Rate</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1"/>
              <w:spacing w:after="0" w:line="223" w:lineRule="exact"/>
              <w:rPr>
                <w:sz w:val="20"/>
                <w:szCs w:val="20"/>
                <w:color w:val="auto"/>
              </w:rPr>
            </w:pPr>
            <w:r>
              <w:rPr>
                <w:rFonts w:ascii="Times New Roman" w:cs="Times New Roman" w:eastAsia="Times New Roman" w:hAnsi="Times New Roman"/>
                <w:sz w:val="20"/>
                <w:szCs w:val="20"/>
                <w:b w:val="1"/>
                <w:bCs w:val="1"/>
                <w:color w:val="auto"/>
                <w:w w:val="99"/>
              </w:rPr>
              <w:t>2025</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181"/>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4.70%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220"/>
              <w:spacing w:after="0" w:line="223" w:lineRule="exact"/>
              <w:rPr>
                <w:sz w:val="20"/>
                <w:szCs w:val="20"/>
                <w:color w:val="auto"/>
              </w:rPr>
            </w:pPr>
            <w:r>
              <w:rPr>
                <w:rFonts w:ascii="Times New Roman" w:cs="Times New Roman" w:eastAsia="Times New Roman" w:hAnsi="Times New Roman"/>
                <w:sz w:val="20"/>
                <w:szCs w:val="20"/>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E6E6E6"/>
          </w:tcPr>
          <w:p>
            <w:pPr>
              <w:ind w:left="400"/>
              <w:spacing w:after="0" w:line="228" w:lineRule="exact"/>
              <w:rPr>
                <w:sz w:val="20"/>
                <w:szCs w:val="20"/>
                <w:color w:val="auto"/>
              </w:rPr>
            </w:pPr>
            <w:r>
              <w:rPr>
                <w:rFonts w:ascii="Times New Roman" w:cs="Times New Roman" w:eastAsia="Times New Roman" w:hAnsi="Times New Roman"/>
                <w:sz w:val="20"/>
                <w:szCs w:val="20"/>
                <w:color w:val="auto"/>
              </w:rPr>
              <w:t>Expected return on assets</w:t>
            </w:r>
          </w:p>
        </w:tc>
        <w:tc>
          <w:tcPr>
            <w:tcW w:w="4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340" w:type="dxa"/>
            <w:vAlign w:val="bottom"/>
            <w:gridSpan w:val="3"/>
            <w:shd w:val="clear" w:color="auto" w:fill="E6E6E6"/>
          </w:tcPr>
          <w:p>
            <w:pPr>
              <w:jc w:val="center"/>
              <w:ind w:right="380"/>
              <w:spacing w:after="0" w:line="228" w:lineRule="exact"/>
              <w:rPr>
                <w:sz w:val="20"/>
                <w:szCs w:val="20"/>
                <w:color w:val="auto"/>
              </w:rPr>
            </w:pPr>
            <w:r>
              <w:rPr>
                <w:rFonts w:ascii="Times New Roman" w:cs="Times New Roman" w:eastAsia="Times New Roman" w:hAnsi="Times New Roman"/>
                <w:sz w:val="20"/>
                <w:szCs w:val="20"/>
                <w:color w:val="auto"/>
                <w:w w:val="99"/>
              </w:rPr>
              <w:t>—</w:t>
            </w:r>
          </w:p>
        </w:tc>
        <w:tc>
          <w:tcPr>
            <w:tcW w:w="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line="228" w:lineRule="exact"/>
              <w:rPr>
                <w:sz w:val="20"/>
                <w:szCs w:val="20"/>
                <w:color w:val="auto"/>
              </w:rPr>
            </w:pPr>
            <w:r>
              <w:rPr>
                <w:rFonts w:ascii="Times New Roman" w:cs="Times New Roman" w:eastAsia="Times New Roman" w:hAnsi="Times New Roman"/>
                <w:sz w:val="20"/>
                <w:szCs w:val="20"/>
                <w:color w:val="auto"/>
              </w:rPr>
              <w:t>5.50%</w:t>
            </w:r>
          </w:p>
        </w:tc>
        <w:tc>
          <w:tcPr>
            <w:tcW w:w="1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20" w:type="dxa"/>
            <w:vAlign w:val="bottom"/>
            <w:shd w:val="clear" w:color="auto" w:fill="E6E6E6"/>
          </w:tcPr>
          <w:p>
            <w:pPr>
              <w:ind w:left="220"/>
              <w:spacing w:after="0" w:line="228" w:lineRule="exact"/>
              <w:rPr>
                <w:sz w:val="20"/>
                <w:szCs w:val="20"/>
                <w:color w:val="auto"/>
              </w:rPr>
            </w:pPr>
            <w:r>
              <w:rPr>
                <w:rFonts w:ascii="Times New Roman" w:cs="Times New Roman" w:eastAsia="Times New Roman" w:hAnsi="Times New Roman"/>
                <w:sz w:val="20"/>
                <w:szCs w:val="20"/>
                <w:color w:val="auto"/>
              </w:rPr>
              <w:t>5.50%</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basis of the long-term rate of return assumption reflected the asset mix for the pension plan of approximately 20% to 40% debt securities and 60% to 80% equity securities with assumed average annual returns of approximately 4% to 6% for debt securities and 8% to 12% for equity securities. The investment portfolio for the pension plan was adjusted periodically to maintain the current ratios of debt securities and equity securities. Additional consideration was given to the historical returns for the pension plan as well as future long range projections of investment returns for each asset category. The long-term rate of return also considered administrative expenses of the plan.</w:t>
      </w:r>
    </w:p>
    <w:p>
      <w:pPr>
        <w:spacing w:after="0" w:line="195"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20"/>
          <w:szCs w:val="20"/>
          <w:color w:val="auto"/>
        </w:rPr>
        <w:t>Benefits under the plan were not based on wages and, therefore, future wage adjustments had no effect on the projected benefit obligation.</w:t>
      </w:r>
    </w:p>
    <w:p>
      <w:pPr>
        <w:spacing w:after="0" w:line="166"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9"/>
          <w:szCs w:val="19"/>
          <w:color w:val="auto"/>
        </w:rPr>
        <w:t>During 2024 and 2023, the Company updated the mortality tables (RP-2021 Total Mortality Table, RP-2020 Total Mortality Table, and RP-2019 Total Mortality Table for each respective year) in the underlying assumptions used to determine the benefit obligation.</w:t>
      </w:r>
    </w:p>
    <w:p>
      <w:pPr>
        <w:spacing w:after="0" w:line="1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Pension plan assets were invested in trusts comprised primarily of investments in various debt and equity funds. A fiduciary committee established the target asset mix and monitors asset performance. The expected rate of return on assets included the determination of a real rate of return for equity and fixed income investment applied to the portfolio based on their relative weighting, increased by an underlying inflation 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defined benefit pension plan asset allocation by asset category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60" w:type="dxa"/>
            <w:vAlign w:val="bottom"/>
            <w:gridSpan w:val="3"/>
          </w:tcPr>
          <w:p>
            <w:pPr>
              <w:jc w:val="center"/>
              <w:ind w:right="1101"/>
              <w:spacing w:after="0"/>
              <w:rPr>
                <w:sz w:val="20"/>
                <w:szCs w:val="20"/>
                <w:color w:val="auto"/>
              </w:rPr>
            </w:pPr>
            <w:r>
              <w:rPr>
                <w:rFonts w:ascii="Times New Roman" w:cs="Times New Roman" w:eastAsia="Times New Roman" w:hAnsi="Times New Roman"/>
                <w:sz w:val="20"/>
                <w:szCs w:val="20"/>
                <w:b w:val="1"/>
                <w:bCs w:val="1"/>
                <w:color w:val="auto"/>
                <w:w w:val="99"/>
              </w:rPr>
              <w:t>Percentage of</w:t>
            </w:r>
          </w:p>
        </w:tc>
      </w:tr>
      <w:tr>
        <w:trPr>
          <w:trHeight w:val="252"/>
        </w:trPr>
        <w:tc>
          <w:tcPr>
            <w:tcW w:w="694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3"/>
          </w:tcPr>
          <w:p>
            <w:pPr>
              <w:jc w:val="center"/>
              <w:ind w:right="1101"/>
              <w:spacing w:after="0"/>
              <w:rPr>
                <w:sz w:val="20"/>
                <w:szCs w:val="20"/>
                <w:color w:val="auto"/>
              </w:rPr>
            </w:pPr>
            <w:r>
              <w:rPr>
                <w:rFonts w:ascii="Times New Roman" w:cs="Times New Roman" w:eastAsia="Times New Roman" w:hAnsi="Times New Roman"/>
                <w:sz w:val="20"/>
                <w:szCs w:val="20"/>
                <w:b w:val="1"/>
                <w:bCs w:val="1"/>
                <w:color w:val="auto"/>
                <w:w w:val="98"/>
              </w:rPr>
              <w:t>Plan Assets</w:t>
            </w:r>
          </w:p>
        </w:tc>
      </w:tr>
      <w:tr>
        <w:trPr>
          <w:trHeight w:val="236"/>
        </w:trPr>
        <w:tc>
          <w:tcPr>
            <w:tcW w:w="6940" w:type="dxa"/>
            <w:vAlign w:val="bottom"/>
          </w:tcPr>
          <w:p>
            <w:pPr>
              <w:spacing w:after="0"/>
              <w:rPr>
                <w:sz w:val="20"/>
                <w:szCs w:val="20"/>
                <w:color w:val="auto"/>
              </w:rPr>
            </w:pPr>
          </w:p>
        </w:tc>
        <w:tc>
          <w:tcPr>
            <w:tcW w:w="1180" w:type="dxa"/>
            <w:vAlign w:val="bottom"/>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5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b w:val="1"/>
                <w:bCs w:val="1"/>
                <w:color w:val="auto"/>
                <w:w w:val="99"/>
              </w:rPr>
              <w:t>2024</w:t>
            </w:r>
          </w:p>
        </w:tc>
      </w:tr>
      <w:tr>
        <w:trPr>
          <w:trHeight w:val="236"/>
        </w:trPr>
        <w:tc>
          <w:tcPr>
            <w:tcW w:w="6940" w:type="dxa"/>
            <w:vAlign w:val="bottom"/>
            <w:tcBorders>
              <w:top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Asset Category:</w:t>
            </w:r>
          </w:p>
        </w:tc>
        <w:tc>
          <w:tcPr>
            <w:tcW w:w="1180" w:type="dxa"/>
            <w:vAlign w:val="bottom"/>
            <w:tcBorders>
              <w:top w:val="single" w:sz="8" w:color="auto"/>
            </w:tcBorders>
            <w:shd w:val="clear" w:color="auto" w:fill="E6E6E6"/>
          </w:tcPr>
          <w:p>
            <w:pPr>
              <w:spacing w:after="0"/>
              <w:rPr>
                <w:sz w:val="20"/>
                <w:szCs w:val="20"/>
                <w:color w:val="auto"/>
              </w:rPr>
            </w:pPr>
          </w:p>
        </w:tc>
        <w:tc>
          <w:tcPr>
            <w:tcW w:w="600" w:type="dxa"/>
            <w:vAlign w:val="bottom"/>
            <w:tcBorders>
              <w:top w:val="single" w:sz="8" w:color="auto"/>
            </w:tcBorders>
            <w:shd w:val="clear" w:color="auto" w:fill="E6E6E6"/>
          </w:tcPr>
          <w:p>
            <w:pPr>
              <w:spacing w:after="0"/>
              <w:rPr>
                <w:sz w:val="20"/>
                <w:szCs w:val="20"/>
                <w:color w:val="auto"/>
              </w:rPr>
            </w:pPr>
          </w:p>
        </w:tc>
        <w:tc>
          <w:tcPr>
            <w:tcW w:w="180" w:type="dxa"/>
            <w:vAlign w:val="bottom"/>
            <w:tcBorders>
              <w:top w:val="single" w:sz="8" w:color="E6E6E6"/>
            </w:tcBorders>
            <w:shd w:val="clear" w:color="auto" w:fill="E6E6E6"/>
          </w:tcPr>
          <w:p>
            <w:pPr>
              <w:spacing w:after="0"/>
              <w:rPr>
                <w:sz w:val="20"/>
                <w:szCs w:val="20"/>
                <w:color w:val="auto"/>
              </w:rPr>
            </w:pPr>
          </w:p>
        </w:tc>
        <w:tc>
          <w:tcPr>
            <w:tcW w:w="1780" w:type="dxa"/>
            <w:vAlign w:val="bottom"/>
            <w:tcBorders>
              <w:top w:val="single" w:sz="8" w:color="auto"/>
            </w:tcBorders>
            <w:shd w:val="clear" w:color="auto" w:fill="E6E6E6"/>
          </w:tcPr>
          <w:p>
            <w:pPr>
              <w:spacing w:after="0"/>
              <w:rPr>
                <w:sz w:val="20"/>
                <w:szCs w:val="20"/>
                <w:color w:val="auto"/>
              </w:rPr>
            </w:pPr>
          </w:p>
        </w:tc>
      </w:tr>
      <w:tr>
        <w:trPr>
          <w:trHeight w:val="242"/>
        </w:trPr>
        <w:tc>
          <w:tcPr>
            <w:tcW w:w="6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18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r>
      <w:tr>
        <w:trPr>
          <w:trHeight w:val="242"/>
        </w:trPr>
        <w:tc>
          <w:tcPr>
            <w:tcW w:w="69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Equity securities</w:t>
            </w:r>
          </w:p>
        </w:tc>
        <w:tc>
          <w:tcPr>
            <w:tcW w:w="1180" w:type="dxa"/>
            <w:vAlign w:val="bottom"/>
            <w:shd w:val="clear" w:color="auto" w:fill="E6E6E6"/>
          </w:tcPr>
          <w:p>
            <w:pPr>
              <w:jc w:val="center"/>
              <w:ind w:left="481"/>
              <w:spacing w:after="0"/>
              <w:rPr>
                <w:sz w:val="20"/>
                <w:szCs w:val="20"/>
                <w:color w:val="auto"/>
              </w:rPr>
            </w:pPr>
            <w:r>
              <w:rPr>
                <w:rFonts w:ascii="Times New Roman" w:cs="Times New Roman" w:eastAsia="Times New Roman" w:hAnsi="Times New Roman"/>
                <w:sz w:val="20"/>
                <w:szCs w:val="20"/>
                <w:color w:val="auto"/>
                <w:w w:val="99"/>
              </w:rPr>
              <w:t>—</w:t>
            </w:r>
          </w:p>
        </w:tc>
        <w:tc>
          <w:tcPr>
            <w:tcW w:w="2560" w:type="dxa"/>
            <w:vAlign w:val="bottom"/>
            <w:gridSpan w:val="3"/>
            <w:shd w:val="clear" w:color="auto" w:fill="E6E6E6"/>
          </w:tcPr>
          <w:p>
            <w:pPr>
              <w:jc w:val="center"/>
              <w:ind w:left="661"/>
              <w:spacing w:after="0"/>
              <w:rPr>
                <w:sz w:val="20"/>
                <w:szCs w:val="20"/>
                <w:color w:val="auto"/>
              </w:rPr>
            </w:pPr>
            <w:r>
              <w:rPr>
                <w:rFonts w:ascii="Times New Roman" w:cs="Times New Roman" w:eastAsia="Times New Roman" w:hAnsi="Times New Roman"/>
                <w:sz w:val="20"/>
                <w:szCs w:val="20"/>
                <w:color w:val="auto"/>
                <w:w w:val="98"/>
              </w:rPr>
              <w:t>74%</w:t>
            </w:r>
          </w:p>
        </w:tc>
      </w:tr>
      <w:tr>
        <w:trPr>
          <w:trHeight w:val="242"/>
        </w:trPr>
        <w:tc>
          <w:tcPr>
            <w:tcW w:w="6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Debt securities</w:t>
            </w:r>
          </w:p>
        </w:tc>
        <w:tc>
          <w:tcPr>
            <w:tcW w:w="118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9"/>
              </w:rPr>
              <w:t>—</w:t>
            </w:r>
          </w:p>
        </w:tc>
        <w:tc>
          <w:tcPr>
            <w:tcW w:w="25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auto"/>
                <w:w w:val="98"/>
              </w:rPr>
              <w:t>25%</w:t>
            </w:r>
          </w:p>
        </w:tc>
      </w:tr>
      <w:tr>
        <w:trPr>
          <w:trHeight w:val="236"/>
        </w:trPr>
        <w:tc>
          <w:tcPr>
            <w:tcW w:w="6940" w:type="dxa"/>
            <w:vAlign w:val="bottom"/>
            <w:tcBorders>
              <w:top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1180" w:type="dxa"/>
            <w:vAlign w:val="bottom"/>
            <w:tcBorders>
              <w:top w:val="single" w:sz="8" w:color="auto"/>
              <w:bottom w:val="single" w:sz="8" w:color="auto"/>
            </w:tcBorders>
            <w:shd w:val="clear" w:color="auto" w:fill="E6E6E6"/>
          </w:tcPr>
          <w:p>
            <w:pPr>
              <w:jc w:val="center"/>
              <w:ind w:left="481"/>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Borders>
              <w:top w:val="single" w:sz="8" w:color="auto"/>
              <w:bottom w:val="single" w:sz="8" w:color="auto"/>
            </w:tcBorders>
            <w:shd w:val="clear" w:color="auto" w:fill="E6E6E6"/>
          </w:tcPr>
          <w:p>
            <w:pPr>
              <w:spacing w:after="0"/>
              <w:rPr>
                <w:sz w:val="20"/>
                <w:szCs w:val="20"/>
                <w:color w:val="auto"/>
              </w:rPr>
            </w:pPr>
          </w:p>
        </w:tc>
        <w:tc>
          <w:tcPr>
            <w:tcW w:w="180" w:type="dxa"/>
            <w:vAlign w:val="bottom"/>
            <w:tcBorders>
              <w:top w:val="single" w:sz="8" w:color="E6E6E6"/>
            </w:tcBorders>
            <w:shd w:val="clear" w:color="auto" w:fill="E6E6E6"/>
          </w:tcPr>
          <w:p>
            <w:pPr>
              <w:spacing w:after="0"/>
              <w:rPr>
                <w:sz w:val="20"/>
                <w:szCs w:val="20"/>
                <w:color w:val="auto"/>
              </w:rPr>
            </w:pPr>
          </w:p>
        </w:tc>
        <w:tc>
          <w:tcPr>
            <w:tcW w:w="1780" w:type="dxa"/>
            <w:vAlign w:val="bottom"/>
            <w:tcBorders>
              <w:top w:val="single" w:sz="8" w:color="auto"/>
              <w:bottom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0"/>
        </w:trPr>
        <w:tc>
          <w:tcPr>
            <w:tcW w:w="6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818" w:right="600" w:bottom="66" w:gutter="0" w:footer="0" w:header="0"/>
        </w:sectPr>
      </w:pP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680"/>
          </w:cols>
          <w:pgMar w:left="600" w:top="818" w:right="600" w:bottom="66" w:gutter="0" w:footer="0" w:header="0"/>
          <w:type w:val="continuous"/>
        </w:sectPr>
      </w:pPr>
    </w:p>
    <w:bookmarkStart w:id="82" w:name="page83"/>
    <w:bookmarkEnd w:id="82"/>
    <w:p>
      <w:pPr>
        <w:ind w:right="300"/>
        <w:spacing w:after="0" w:line="275" w:lineRule="auto"/>
        <w:rPr>
          <w:sz w:val="20"/>
          <w:szCs w:val="20"/>
          <w:color w:val="auto"/>
        </w:rPr>
      </w:pPr>
      <w:r>
        <w:rPr>
          <w:rFonts w:ascii="Times New Roman" w:cs="Times New Roman" w:eastAsia="Times New Roman" w:hAnsi="Times New Roman"/>
          <w:sz w:val="20"/>
          <w:szCs w:val="20"/>
          <w:color w:val="auto"/>
        </w:rPr>
        <w:t>No contributions were made in 2025 or 2023. The Company made contributions to the pension plan of $1.3 million during the year ended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 of Pension Plan Assets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description of the valuation methodologies used for pension assets measured at fair value:</w:t>
      </w:r>
    </w:p>
    <w:p>
      <w:pPr>
        <w:spacing w:after="0" w:line="23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20"/>
          <w:szCs w:val="20"/>
          <w:u w:val="single" w:color="auto"/>
          <w:color w:val="auto"/>
        </w:rPr>
        <w:t>Cash and cash equivalents</w:t>
      </w:r>
      <w:r>
        <w:rPr>
          <w:rFonts w:ascii="Times New Roman" w:cs="Times New Roman" w:eastAsia="Times New Roman" w:hAnsi="Times New Roman"/>
          <w:sz w:val="20"/>
          <w:szCs w:val="20"/>
          <w:color w:val="auto"/>
        </w:rPr>
        <w:t>: Cash and cash equivalents consisted primarily of cash on deposit in money market funds. Cash and cash equivalents were stated at cost, which approximates fair value.</w:t>
      </w:r>
    </w:p>
    <w:p>
      <w:pPr>
        <w:spacing w:after="0" w:line="16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20"/>
          <w:szCs w:val="20"/>
          <w:u w:val="single" w:color="auto"/>
          <w:color w:val="auto"/>
        </w:rPr>
        <w:t>Equity securities</w:t>
      </w:r>
      <w:r>
        <w:rPr>
          <w:rFonts w:ascii="Times New Roman" w:cs="Times New Roman" w:eastAsia="Times New Roman" w:hAnsi="Times New Roman"/>
          <w:sz w:val="20"/>
          <w:szCs w:val="20"/>
          <w:color w:val="auto"/>
        </w:rPr>
        <w:t>: Equity securities consisted of various managed funds that invest primarily in common stocks. These securities were valued at the net asset value of shares held by the plan at year end. The net asset value was calculated based on the underlying shares and investments held by the funds.</w:t>
      </w:r>
    </w:p>
    <w:p>
      <w:pPr>
        <w:spacing w:after="0" w:line="18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u w:val="single" w:color="auto"/>
          <w:color w:val="auto"/>
        </w:rPr>
        <w:t>Debt securities</w:t>
      </w:r>
      <w:r>
        <w:rPr>
          <w:rFonts w:ascii="Times New Roman" w:cs="Times New Roman" w:eastAsia="Times New Roman" w:hAnsi="Times New Roman"/>
          <w:sz w:val="20"/>
          <w:szCs w:val="20"/>
          <w:color w:val="auto"/>
        </w:rPr>
        <w:t>: Debt securities consisted of U.S. government and agency securities, corporate bonds and notes, and managed funds that invest in fixed income securities. U.S governmental and agency securities were valued at closing prices reported in the active market in which the individual securities are traded. Corporate bonds and notes were valued using market inputs including benchmark yields, reported trades, broker/dealer quotes, issuer spreads, two-sided markets, benchmark securities, bids, offers and reference data including market research publications. Inputs may have been prioritized differently at certain times based on market conditions. Managed funds were valued at the net asset value of shares held by the plan at year end. The net asset value was calculated based on the underlying investments held by the fund.</w:t>
      </w:r>
    </w:p>
    <w:p>
      <w:pPr>
        <w:spacing w:after="0" w:line="20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20"/>
          <w:szCs w:val="20"/>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levels assigned to the defined benefit plan assets as of December 31, 2024 are summarized in the tables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3"/>
        </w:trPr>
        <w:tc>
          <w:tcPr>
            <w:tcW w:w="5460" w:type="dxa"/>
            <w:vAlign w:val="bottom"/>
            <w:tcBorders>
              <w:top w:val="single" w:sz="8" w:color="E6E6E6"/>
            </w:tcBorders>
            <w:shd w:val="clear" w:color="auto" w:fill="E6E6E6"/>
          </w:tcPr>
          <w:p>
            <w:pPr>
              <w:spacing w:after="0" w:line="223" w:lineRule="exact"/>
              <w:rPr>
                <w:sz w:val="20"/>
                <w:szCs w:val="20"/>
                <w:color w:val="auto"/>
              </w:rPr>
            </w:pPr>
            <w:r>
              <w:rPr>
                <w:rFonts w:ascii="Times New Roman" w:cs="Times New Roman" w:eastAsia="Times New Roman" w:hAnsi="Times New Roman"/>
                <w:sz w:val="20"/>
                <w:szCs w:val="20"/>
                <w:color w:val="auto"/>
              </w:rPr>
              <w:t>Pension assets, at fair value:</w:t>
            </w:r>
          </w:p>
        </w:tc>
        <w:tc>
          <w:tcPr>
            <w:tcW w:w="180" w:type="dxa"/>
            <w:vAlign w:val="bottom"/>
            <w:tcBorders>
              <w:top w:val="single" w:sz="8" w:color="auto"/>
            </w:tcBorders>
            <w:shd w:val="clear" w:color="auto" w:fill="E6E6E6"/>
          </w:tcPr>
          <w:p>
            <w:pPr>
              <w:spacing w:after="0"/>
              <w:rPr>
                <w:sz w:val="19"/>
                <w:szCs w:val="19"/>
                <w:color w:val="auto"/>
              </w:rPr>
            </w:pPr>
          </w:p>
        </w:tc>
        <w:tc>
          <w:tcPr>
            <w:tcW w:w="94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920" w:type="dxa"/>
            <w:vAlign w:val="bottom"/>
            <w:tcBorders>
              <w:top w:val="single" w:sz="8" w:color="auto"/>
            </w:tcBorders>
            <w:shd w:val="clear" w:color="auto" w:fill="E6E6E6"/>
          </w:tcPr>
          <w:p>
            <w:pPr>
              <w:spacing w:after="0"/>
              <w:rPr>
                <w:sz w:val="19"/>
                <w:szCs w:val="19"/>
                <w:color w:val="auto"/>
              </w:rPr>
            </w:pPr>
          </w:p>
        </w:tc>
        <w:tc>
          <w:tcPr>
            <w:tcW w:w="240" w:type="dxa"/>
            <w:vAlign w:val="bottom"/>
            <w:tcBorders>
              <w:top w:val="single" w:sz="8" w:color="E6E6E6"/>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220" w:type="dxa"/>
            <w:vAlign w:val="bottom"/>
            <w:tcBorders>
              <w:top w:val="single" w:sz="8" w:color="auto"/>
            </w:tcBorders>
            <w:shd w:val="clear" w:color="auto" w:fill="E6E6E6"/>
          </w:tcPr>
          <w:p>
            <w:pPr>
              <w:spacing w:after="0"/>
              <w:rPr>
                <w:sz w:val="19"/>
                <w:szCs w:val="19"/>
                <w:color w:val="auto"/>
              </w:rPr>
            </w:pPr>
          </w:p>
        </w:tc>
        <w:tc>
          <w:tcPr>
            <w:tcW w:w="240" w:type="dxa"/>
            <w:vAlign w:val="bottom"/>
            <w:tcBorders>
              <w:top w:val="single" w:sz="8" w:color="E6E6E6"/>
            </w:tcBorders>
            <w:shd w:val="clear" w:color="auto" w:fill="E6E6E6"/>
          </w:tcPr>
          <w:p>
            <w:pPr>
              <w:spacing w:after="0"/>
              <w:rPr>
                <w:sz w:val="19"/>
                <w:szCs w:val="19"/>
                <w:color w:val="auto"/>
              </w:rPr>
            </w:pPr>
          </w:p>
        </w:tc>
        <w:tc>
          <w:tcPr>
            <w:tcW w:w="220" w:type="dxa"/>
            <w:vAlign w:val="bottom"/>
            <w:tcBorders>
              <w:top w:val="single" w:sz="8" w:color="auto"/>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spacing w:after="0"/>
              <w:rPr>
                <w:sz w:val="19"/>
                <w:szCs w:val="19"/>
                <w:color w:val="auto"/>
              </w:rPr>
            </w:pPr>
          </w:p>
        </w:tc>
        <w:tc>
          <w:tcPr>
            <w:tcW w:w="100" w:type="dxa"/>
            <w:vAlign w:val="bottom"/>
            <w:tcBorders>
              <w:top w:val="single" w:sz="8" w:color="E6E6E6"/>
            </w:tcBorders>
            <w:shd w:val="clear" w:color="auto" w:fill="E6E6E6"/>
          </w:tcPr>
          <w:p>
            <w:pPr>
              <w:spacing w:after="0"/>
              <w:rPr>
                <w:sz w:val="19"/>
                <w:szCs w:val="19"/>
                <w:color w:val="auto"/>
              </w:rPr>
            </w:pPr>
          </w:p>
        </w:tc>
      </w:tr>
      <w:tr>
        <w:trPr>
          <w:trHeight w:val="228"/>
        </w:trPr>
        <w:tc>
          <w:tcPr>
            <w:tcW w:w="546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198</w:t>
            </w:r>
          </w:p>
        </w:tc>
        <w:tc>
          <w:tcPr>
            <w:tcW w:w="220" w:type="dxa"/>
            <w:vAlign w:val="bottom"/>
          </w:tcPr>
          <w:p>
            <w:pPr>
              <w:spacing w:after="0"/>
              <w:rPr>
                <w:sz w:val="19"/>
                <w:szCs w:val="19"/>
                <w:color w:val="auto"/>
              </w:rPr>
            </w:pPr>
          </w:p>
        </w:tc>
        <w:tc>
          <w:tcPr>
            <w:tcW w:w="1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spacing w:after="0"/>
              <w:rPr>
                <w:sz w:val="19"/>
                <w:szCs w:val="19"/>
                <w:color w:val="auto"/>
              </w:rPr>
            </w:pPr>
          </w:p>
        </w:tc>
        <w:tc>
          <w:tcPr>
            <w:tcW w:w="880" w:type="dxa"/>
            <w:vAlign w:val="bottom"/>
          </w:tcPr>
          <w:p>
            <w:pPr>
              <w:jc w:val="right"/>
              <w:ind w:right="681"/>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spacing w:after="0"/>
              <w:rPr>
                <w:sz w:val="19"/>
                <w:szCs w:val="19"/>
                <w:color w:val="auto"/>
              </w:rPr>
            </w:pPr>
          </w:p>
        </w:tc>
        <w:tc>
          <w:tcPr>
            <w:tcW w:w="220" w:type="dxa"/>
            <w:vAlign w:val="bottom"/>
          </w:tcPr>
          <w:p>
            <w:pPr>
              <w:jc w:val="right"/>
              <w:ind w:right="21"/>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198</w:t>
            </w:r>
          </w:p>
        </w:tc>
        <w:tc>
          <w:tcPr>
            <w:tcW w:w="100" w:type="dxa"/>
            <w:vAlign w:val="bottom"/>
          </w:tcPr>
          <w:p>
            <w:pPr>
              <w:spacing w:after="0"/>
              <w:rPr>
                <w:sz w:val="19"/>
                <w:szCs w:val="19"/>
                <w:color w:val="auto"/>
              </w:rPr>
            </w:pPr>
          </w:p>
        </w:tc>
      </w:tr>
      <w:tr>
        <w:trPr>
          <w:trHeight w:val="228"/>
        </w:trPr>
        <w:tc>
          <w:tcPr>
            <w:tcW w:w="5460" w:type="dxa"/>
            <w:vAlign w:val="bottom"/>
            <w:shd w:val="clear" w:color="auto" w:fill="E6E6E6"/>
          </w:tcPr>
          <w:p>
            <w:pPr>
              <w:ind w:left="200"/>
              <w:spacing w:after="0" w:line="228" w:lineRule="exact"/>
              <w:rPr>
                <w:sz w:val="20"/>
                <w:szCs w:val="20"/>
                <w:color w:val="auto"/>
              </w:rPr>
            </w:pPr>
            <w:r>
              <w:rPr>
                <w:rFonts w:ascii="Times New Roman" w:cs="Times New Roman" w:eastAsia="Times New Roman" w:hAnsi="Times New Roman"/>
                <w:sz w:val="20"/>
                <w:szCs w:val="20"/>
                <w:color w:val="auto"/>
              </w:rPr>
              <w:t>Equity securities</w:t>
            </w:r>
          </w:p>
        </w:tc>
        <w:tc>
          <w:tcPr>
            <w:tcW w:w="180" w:type="dxa"/>
            <w:vAlign w:val="bottom"/>
            <w:shd w:val="clear" w:color="auto" w:fill="E6E6E6"/>
          </w:tcPr>
          <w:p>
            <w:pPr>
              <w:spacing w:after="0"/>
              <w:rPr>
                <w:sz w:val="19"/>
                <w:szCs w:val="19"/>
                <w:color w:val="auto"/>
              </w:rPr>
            </w:pPr>
          </w:p>
        </w:tc>
        <w:tc>
          <w:tcPr>
            <w:tcW w:w="1160" w:type="dxa"/>
            <w:vAlign w:val="bottom"/>
            <w:gridSpan w:val="2"/>
            <w:shd w:val="clear" w:color="auto" w:fill="E6E6E6"/>
          </w:tcPr>
          <w:p>
            <w:pPr>
              <w:jc w:val="right"/>
              <w:ind w:right="220"/>
              <w:spacing w:after="0" w:line="228" w:lineRule="exact"/>
              <w:rPr>
                <w:sz w:val="20"/>
                <w:szCs w:val="20"/>
                <w:color w:val="auto"/>
              </w:rPr>
            </w:pPr>
            <w:r>
              <w:rPr>
                <w:rFonts w:ascii="Times New Roman" w:cs="Times New Roman" w:eastAsia="Times New Roman" w:hAnsi="Times New Roman"/>
                <w:sz w:val="20"/>
                <w:szCs w:val="20"/>
                <w:color w:val="auto"/>
              </w:rPr>
              <w:t>18,622</w:t>
            </w:r>
          </w:p>
        </w:tc>
        <w:tc>
          <w:tcPr>
            <w:tcW w:w="180" w:type="dxa"/>
            <w:vAlign w:val="bottom"/>
            <w:shd w:val="clear" w:color="auto" w:fill="E6E6E6"/>
          </w:tcPr>
          <w:p>
            <w:pPr>
              <w:spacing w:after="0"/>
              <w:rPr>
                <w:sz w:val="19"/>
                <w:szCs w:val="19"/>
                <w:color w:val="auto"/>
              </w:rPr>
            </w:pPr>
          </w:p>
        </w:tc>
        <w:tc>
          <w:tcPr>
            <w:tcW w:w="1160" w:type="dxa"/>
            <w:vAlign w:val="bottom"/>
            <w:gridSpan w:val="2"/>
            <w:shd w:val="clear" w:color="auto" w:fill="E6E6E6"/>
          </w:tcPr>
          <w:p>
            <w:pPr>
              <w:ind w:left="740"/>
              <w:spacing w:after="0" w:line="228"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spacing w:after="0"/>
              <w:rPr>
                <w:sz w:val="19"/>
                <w:szCs w:val="19"/>
                <w:color w:val="auto"/>
              </w:rPr>
            </w:pPr>
          </w:p>
        </w:tc>
        <w:tc>
          <w:tcPr>
            <w:tcW w:w="460" w:type="dxa"/>
            <w:vAlign w:val="bottom"/>
            <w:gridSpan w:val="2"/>
            <w:shd w:val="clear" w:color="auto" w:fill="E6E6E6"/>
          </w:tcPr>
          <w:p>
            <w:pPr>
              <w:ind w:left="20"/>
              <w:spacing w:after="0" w:line="228"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980" w:type="dxa"/>
            <w:vAlign w:val="bottom"/>
            <w:gridSpan w:val="2"/>
            <w:shd w:val="clear" w:color="auto" w:fill="E6E6E6"/>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18,622</w:t>
            </w:r>
          </w:p>
        </w:tc>
      </w:tr>
      <w:tr>
        <w:trPr>
          <w:trHeight w:val="228"/>
        </w:trPr>
        <w:tc>
          <w:tcPr>
            <w:tcW w:w="546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Debt securities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line="228" w:lineRule="exact"/>
              <w:rPr>
                <w:sz w:val="20"/>
                <w:szCs w:val="20"/>
                <w:color w:val="auto"/>
              </w:rPr>
            </w:pPr>
            <w:r>
              <w:rPr>
                <w:rFonts w:ascii="Times New Roman" w:cs="Times New Roman" w:eastAsia="Times New Roman" w:hAnsi="Times New Roman"/>
                <w:sz w:val="20"/>
                <w:szCs w:val="20"/>
                <w:color w:val="auto"/>
              </w:rPr>
              <w:t>6,324</w:t>
            </w:r>
          </w:p>
        </w:tc>
        <w:tc>
          <w:tcPr>
            <w:tcW w:w="180" w:type="dxa"/>
            <w:vAlign w:val="bottom"/>
          </w:tcPr>
          <w:p>
            <w:pPr>
              <w:spacing w:after="0"/>
              <w:rPr>
                <w:sz w:val="19"/>
                <w:szCs w:val="19"/>
                <w:color w:val="auto"/>
              </w:rPr>
            </w:pPr>
          </w:p>
        </w:tc>
        <w:tc>
          <w:tcPr>
            <w:tcW w:w="1160" w:type="dxa"/>
            <w:vAlign w:val="bottom"/>
            <w:gridSpan w:val="2"/>
          </w:tcPr>
          <w:p>
            <w:pPr>
              <w:ind w:left="740"/>
              <w:spacing w:after="0" w:line="228"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spacing w:after="0"/>
              <w:rPr>
                <w:sz w:val="19"/>
                <w:szCs w:val="19"/>
                <w:color w:val="auto"/>
              </w:rPr>
            </w:pPr>
          </w:p>
        </w:tc>
        <w:tc>
          <w:tcPr>
            <w:tcW w:w="46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6,324</w:t>
            </w:r>
          </w:p>
        </w:tc>
      </w:tr>
      <w:tr>
        <w:trPr>
          <w:trHeight w:val="223"/>
        </w:trPr>
        <w:tc>
          <w:tcPr>
            <w:tcW w:w="5460" w:type="dxa"/>
            <w:vAlign w:val="bottom"/>
            <w:tcBorders>
              <w:top w:val="single" w:sz="8" w:color="E6E6E6"/>
            </w:tcBorders>
            <w:shd w:val="clear" w:color="auto" w:fill="E6E6E6"/>
          </w:tcPr>
          <w:p>
            <w:pPr>
              <w:ind w:left="400"/>
              <w:spacing w:after="0" w:line="223" w:lineRule="exact"/>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25,144</w:t>
            </w:r>
          </w:p>
        </w:tc>
        <w:tc>
          <w:tcPr>
            <w:tcW w:w="22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shd w:val="clear" w:color="auto" w:fill="E6E6E6"/>
          </w:tcPr>
          <w:p>
            <w:pPr>
              <w:ind w:left="74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top w:val="single" w:sz="8" w:color="E6E6E6"/>
            </w:tcBorders>
            <w:shd w:val="clear" w:color="auto" w:fill="E6E6E6"/>
          </w:tcPr>
          <w:p>
            <w:pPr>
              <w:spacing w:after="0"/>
              <w:rPr>
                <w:sz w:val="19"/>
                <w:szCs w:val="19"/>
                <w:color w:val="auto"/>
              </w:rPr>
            </w:pPr>
          </w:p>
        </w:tc>
        <w:tc>
          <w:tcPr>
            <w:tcW w:w="880" w:type="dxa"/>
            <w:vAlign w:val="bottom"/>
            <w:tcBorders>
              <w:top w:val="single" w:sz="8" w:color="auto"/>
              <w:bottom w:val="single" w:sz="8" w:color="auto"/>
            </w:tcBorders>
            <w:shd w:val="clear" w:color="auto" w:fill="E6E6E6"/>
          </w:tcPr>
          <w:p>
            <w:pPr>
              <w:jc w:val="right"/>
              <w:ind w:right="6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Borders>
              <w:top w:val="single" w:sz="8" w:color="auto"/>
              <w:bottom w:val="single" w:sz="8" w:color="auto"/>
            </w:tcBorders>
            <w:shd w:val="clear" w:color="auto" w:fill="E6E6E6"/>
          </w:tcPr>
          <w:p>
            <w:pPr>
              <w:ind w:left="2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top w:val="single" w:sz="8" w:color="E6E6E6"/>
            </w:tcBorders>
            <w:shd w:val="clear" w:color="auto" w:fill="E6E6E6"/>
          </w:tcPr>
          <w:p>
            <w:pPr>
              <w:spacing w:after="0"/>
              <w:rPr>
                <w:sz w:val="19"/>
                <w:szCs w:val="19"/>
                <w:color w:val="auto"/>
              </w:rPr>
            </w:pPr>
          </w:p>
        </w:tc>
        <w:tc>
          <w:tcPr>
            <w:tcW w:w="220" w:type="dxa"/>
            <w:vAlign w:val="bottom"/>
            <w:tcBorders>
              <w:top w:val="single" w:sz="8" w:color="auto"/>
              <w:bottom w:val="single" w:sz="8" w:color="auto"/>
            </w:tcBorders>
            <w:shd w:val="clear" w:color="auto" w:fill="E6E6E6"/>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E6E6E6"/>
          </w:tcPr>
          <w:p>
            <w:pPr>
              <w:jc w:val="right"/>
              <w:spacing w:after="0" w:line="223" w:lineRule="exact"/>
              <w:rPr>
                <w:sz w:val="20"/>
                <w:szCs w:val="20"/>
                <w:color w:val="auto"/>
              </w:rPr>
            </w:pPr>
            <w:r>
              <w:rPr>
                <w:rFonts w:ascii="Times New Roman" w:cs="Times New Roman" w:eastAsia="Times New Roman" w:hAnsi="Times New Roman"/>
                <w:sz w:val="20"/>
                <w:szCs w:val="20"/>
                <w:color w:val="auto"/>
              </w:rPr>
              <w:t>25,144</w:t>
            </w:r>
          </w:p>
        </w:tc>
        <w:tc>
          <w:tcPr>
            <w:tcW w:w="100" w:type="dxa"/>
            <w:vAlign w:val="bottom"/>
            <w:tcBorders>
              <w:top w:val="single" w:sz="8" w:color="E6E6E6"/>
            </w:tcBorders>
            <w:shd w:val="clear" w:color="auto" w:fill="E6E6E6"/>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0"/>
          <w:szCs w:val="20"/>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99" w:lineRule="exact"/>
        <w:rPr>
          <w:sz w:val="20"/>
          <w:szCs w:val="20"/>
          <w:color w:val="auto"/>
        </w:rPr>
      </w:pPr>
    </w:p>
    <w:p>
      <w:pPr>
        <w:ind w:left="960" w:right="420" w:hanging="481"/>
        <w:spacing w:after="0" w:line="274" w:lineRule="auto"/>
        <w:tabs>
          <w:tab w:leader="none" w:pos="9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Assets contributed to the multiemployer plan by one employer may be used to provide benefits to employees of other participating employers.</w:t>
      </w:r>
    </w:p>
    <w:p>
      <w:pPr>
        <w:spacing w:after="0" w:line="181" w:lineRule="exact"/>
        <w:rPr>
          <w:rFonts w:ascii="Arial" w:cs="Arial" w:eastAsia="Arial" w:hAnsi="Arial"/>
          <w:sz w:val="20"/>
          <w:szCs w:val="20"/>
          <w:color w:val="auto"/>
        </w:rPr>
      </w:pPr>
    </w:p>
    <w:p>
      <w:pPr>
        <w:ind w:left="960" w:right="600" w:hanging="481"/>
        <w:spacing w:after="0" w:line="274" w:lineRule="auto"/>
        <w:tabs>
          <w:tab w:leader="none" w:pos="9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If a participating employer stops contributing to the plan, the unfunded obligations of the plan may be borne by the remaining participating employers.</w:t>
      </w:r>
    </w:p>
    <w:p>
      <w:pPr>
        <w:spacing w:after="0" w:line="181" w:lineRule="exact"/>
        <w:rPr>
          <w:rFonts w:ascii="Arial" w:cs="Arial" w:eastAsia="Arial" w:hAnsi="Arial"/>
          <w:sz w:val="20"/>
          <w:szCs w:val="20"/>
          <w:color w:val="auto"/>
        </w:rPr>
      </w:pPr>
    </w:p>
    <w:p>
      <w:pPr>
        <w:ind w:left="960" w:right="380" w:hanging="481"/>
        <w:spacing w:after="0" w:line="274" w:lineRule="auto"/>
        <w:tabs>
          <w:tab w:leader="none" w:pos="96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If the Company chooses to stop participating in some of its multiemployer plans, CECO may be required to pay those plans an amount based on the underfunded status of the plan, referred to as a withdrawal liability.</w:t>
      </w: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680"/>
          </w:cols>
          <w:pgMar w:left="600" w:top="818" w:right="600" w:bottom="66" w:gutter="0" w:footer="0" w:header="0"/>
          <w:type w:val="continuous"/>
        </w:sectPr>
      </w:pPr>
    </w:p>
    <w:bookmarkStart w:id="83" w:name="page84"/>
    <w:bookmarkEnd w:id="83"/>
    <w:p>
      <w:pPr>
        <w:ind w:left="6" w:right="60"/>
        <w:spacing w:after="0" w:line="242" w:lineRule="auto"/>
        <w:rPr>
          <w:sz w:val="20"/>
          <w:szCs w:val="20"/>
          <w:color w:val="auto"/>
        </w:rPr>
      </w:pPr>
      <w:r>
        <w:rPr>
          <w:rFonts w:ascii="Times New Roman" w:cs="Times New Roman" w:eastAsia="Times New Roman" w:hAnsi="Times New Roman"/>
          <w:sz w:val="20"/>
          <w:szCs w:val="20"/>
          <w:color w:val="auto"/>
        </w:rPr>
        <w:t>The Company’s participation in these plans for the year ended December 31, 2025, is outlined in the table below. The “EIN/Pension Plan Number” column provides the Employer Identification Number and the three-digit plan number, if applicable. Unless otherwise noted, the most recent Pension Protection Act zone status available in 2025 is for the plan’s year-end at December 31, 2024.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212"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Pension</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8"/>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Protection</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Expiration</w:t>
            </w:r>
          </w:p>
        </w:tc>
      </w:tr>
      <w:tr>
        <w:trPr>
          <w:trHeight w:val="228"/>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Act Zone</w:t>
            </w:r>
          </w:p>
        </w:tc>
        <w:tc>
          <w:tcPr>
            <w:tcW w:w="100" w:type="dxa"/>
            <w:vAlign w:val="bottom"/>
          </w:tcPr>
          <w:p>
            <w:pPr>
              <w:spacing w:after="0"/>
              <w:rPr>
                <w:sz w:val="19"/>
                <w:szCs w:val="19"/>
                <w:color w:val="auto"/>
              </w:rPr>
            </w:pPr>
          </w:p>
        </w:tc>
        <w:tc>
          <w:tcPr>
            <w:tcW w:w="18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FIF/RP Status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7"/>
              </w:rPr>
              <w:t>of Collective</w:t>
            </w:r>
          </w:p>
        </w:tc>
      </w:tr>
      <w:tr>
        <w:trPr>
          <w:trHeight w:val="228"/>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EIN/Pension</w:t>
            </w:r>
          </w:p>
        </w:tc>
        <w:tc>
          <w:tcPr>
            <w:tcW w:w="120" w:type="dxa"/>
            <w:vAlign w:val="bottom"/>
          </w:tcPr>
          <w:p>
            <w:pPr>
              <w:spacing w:after="0"/>
              <w:rPr>
                <w:sz w:val="19"/>
                <w:szCs w:val="19"/>
                <w:color w:val="auto"/>
              </w:rPr>
            </w:pPr>
          </w:p>
        </w:tc>
        <w:tc>
          <w:tcPr>
            <w:tcW w:w="10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Status</w:t>
            </w:r>
          </w:p>
        </w:tc>
        <w:tc>
          <w:tcPr>
            <w:tcW w:w="100" w:type="dxa"/>
            <w:vAlign w:val="bottom"/>
          </w:tcPr>
          <w:p>
            <w:pPr>
              <w:spacing w:after="0"/>
              <w:rPr>
                <w:sz w:val="19"/>
                <w:szCs w:val="19"/>
                <w:color w:val="auto"/>
              </w:rPr>
            </w:pPr>
          </w:p>
        </w:tc>
        <w:tc>
          <w:tcPr>
            <w:tcW w:w="18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Pending/Implemente</w:t>
            </w:r>
          </w:p>
        </w:tc>
        <w:tc>
          <w:tcPr>
            <w:tcW w:w="120" w:type="dxa"/>
            <w:vAlign w:val="bottom"/>
          </w:tcPr>
          <w:p>
            <w:pPr>
              <w:spacing w:after="0"/>
              <w:rPr>
                <w:sz w:val="19"/>
                <w:szCs w:val="19"/>
                <w:color w:val="auto"/>
              </w:rPr>
            </w:pPr>
          </w:p>
        </w:tc>
        <w:tc>
          <w:tcPr>
            <w:tcW w:w="10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Surcharge</w:t>
            </w:r>
          </w:p>
        </w:tc>
        <w:tc>
          <w:tcPr>
            <w:tcW w:w="100" w:type="dxa"/>
            <w:vAlign w:val="bottom"/>
          </w:tcPr>
          <w:p>
            <w:pPr>
              <w:spacing w:after="0"/>
              <w:rPr>
                <w:sz w:val="19"/>
                <w:szCs w:val="19"/>
                <w:color w:val="auto"/>
              </w:rPr>
            </w:pPr>
          </w:p>
        </w:tc>
        <w:tc>
          <w:tcPr>
            <w:tcW w:w="13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Bargaining</w:t>
            </w:r>
          </w:p>
        </w:tc>
      </w:tr>
      <w:tr>
        <w:trPr>
          <w:trHeight w:val="252"/>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Pension Fund</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Plan Number</w:t>
            </w:r>
          </w:p>
        </w:tc>
        <w:tc>
          <w:tcPr>
            <w:tcW w:w="11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4"/>
              </w:rPr>
              <w:t>2012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d</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Imposed</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Agreement</w:t>
            </w:r>
          </w:p>
        </w:tc>
      </w:tr>
      <w:tr>
        <w:trPr>
          <w:trHeight w:val="215"/>
        </w:trPr>
        <w:tc>
          <w:tcPr>
            <w:tcW w:w="3520" w:type="dxa"/>
            <w:vAlign w:val="bottom"/>
            <w:tcBorders>
              <w:top w:val="single" w:sz="8" w:color="auto"/>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Sheet Metal Workers’ National Pension</w:t>
            </w:r>
          </w:p>
        </w:tc>
        <w:tc>
          <w:tcPr>
            <w:tcW w:w="100" w:type="dxa"/>
            <w:vAlign w:val="bottom"/>
            <w:tcBorders>
              <w:top w:val="single" w:sz="8" w:color="E6E6E6"/>
            </w:tcBorders>
            <w:shd w:val="clear" w:color="auto" w:fill="E6E6E6"/>
          </w:tcPr>
          <w:p>
            <w:pPr>
              <w:spacing w:after="0"/>
              <w:rPr>
                <w:sz w:val="18"/>
                <w:szCs w:val="18"/>
                <w:color w:val="auto"/>
              </w:rPr>
            </w:pPr>
          </w:p>
        </w:tc>
        <w:tc>
          <w:tcPr>
            <w:tcW w:w="1360" w:type="dxa"/>
            <w:vAlign w:val="bottom"/>
            <w:tcBorders>
              <w:top w:val="single" w:sz="8" w:color="auto"/>
            </w:tcBorders>
            <w:shd w:val="clear" w:color="auto" w:fill="E6E6E6"/>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52-6112463/001</w:t>
            </w:r>
          </w:p>
        </w:tc>
        <w:tc>
          <w:tcPr>
            <w:tcW w:w="120" w:type="dxa"/>
            <w:vAlign w:val="bottom"/>
            <w:tcBorders>
              <w:top w:val="single" w:sz="8" w:color="E6E6E6"/>
            </w:tcBorders>
            <w:shd w:val="clear" w:color="auto" w:fill="E6E6E6"/>
          </w:tcPr>
          <w:p>
            <w:pPr>
              <w:spacing w:after="0"/>
              <w:rPr>
                <w:sz w:val="18"/>
                <w:szCs w:val="18"/>
                <w:color w:val="auto"/>
              </w:rPr>
            </w:pPr>
          </w:p>
        </w:tc>
        <w:tc>
          <w:tcPr>
            <w:tcW w:w="1040" w:type="dxa"/>
            <w:vAlign w:val="bottom"/>
            <w:tcBorders>
              <w:top w:val="single" w:sz="8" w:color="auto"/>
            </w:tcBorders>
            <w:shd w:val="clear" w:color="auto" w:fill="E6E6E6"/>
          </w:tcPr>
          <w:p>
            <w:pPr>
              <w:jc w:val="center"/>
              <w:spacing w:after="0" w:line="215" w:lineRule="exact"/>
              <w:rPr>
                <w:sz w:val="20"/>
                <w:szCs w:val="20"/>
                <w:color w:val="auto"/>
              </w:rPr>
            </w:pPr>
            <w:r>
              <w:rPr>
                <w:rFonts w:ascii="Times New Roman" w:cs="Times New Roman" w:eastAsia="Times New Roman" w:hAnsi="Times New Roman"/>
                <w:sz w:val="20"/>
                <w:szCs w:val="20"/>
                <w:color w:val="auto"/>
              </w:rPr>
              <w:t>Green</w:t>
            </w:r>
          </w:p>
        </w:tc>
        <w:tc>
          <w:tcPr>
            <w:tcW w:w="100" w:type="dxa"/>
            <w:vAlign w:val="bottom"/>
            <w:tcBorders>
              <w:top w:val="single" w:sz="8" w:color="E6E6E6"/>
            </w:tcBorders>
            <w:shd w:val="clear" w:color="auto" w:fill="E6E6E6"/>
          </w:tcPr>
          <w:p>
            <w:pPr>
              <w:spacing w:after="0"/>
              <w:rPr>
                <w:sz w:val="18"/>
                <w:szCs w:val="18"/>
                <w:color w:val="auto"/>
              </w:rPr>
            </w:pPr>
          </w:p>
        </w:tc>
        <w:tc>
          <w:tcPr>
            <w:tcW w:w="1820" w:type="dxa"/>
            <w:vAlign w:val="bottom"/>
            <w:tcBorders>
              <w:top w:val="single" w:sz="8" w:color="auto"/>
            </w:tcBorders>
            <w:shd w:val="clear" w:color="auto" w:fill="E6E6E6"/>
          </w:tcPr>
          <w:p>
            <w:pPr>
              <w:jc w:val="center"/>
              <w:spacing w:after="0" w:line="215" w:lineRule="exact"/>
              <w:rPr>
                <w:sz w:val="20"/>
                <w:szCs w:val="20"/>
                <w:color w:val="auto"/>
              </w:rPr>
            </w:pPr>
            <w:r>
              <w:rPr>
                <w:rFonts w:ascii="Times New Roman" w:cs="Times New Roman" w:eastAsia="Times New Roman" w:hAnsi="Times New Roman"/>
                <w:sz w:val="20"/>
                <w:szCs w:val="20"/>
                <w:color w:val="auto"/>
              </w:rPr>
              <w:t>FIF: Yes - Implement</w:t>
            </w:r>
          </w:p>
        </w:tc>
        <w:tc>
          <w:tcPr>
            <w:tcW w:w="120" w:type="dxa"/>
            <w:vAlign w:val="bottom"/>
            <w:tcBorders>
              <w:top w:val="single" w:sz="8" w:color="E6E6E6"/>
            </w:tcBorders>
            <w:shd w:val="clear" w:color="auto" w:fill="E6E6E6"/>
          </w:tcPr>
          <w:p>
            <w:pPr>
              <w:spacing w:after="0"/>
              <w:rPr>
                <w:sz w:val="18"/>
                <w:szCs w:val="18"/>
                <w:color w:val="auto"/>
              </w:rPr>
            </w:pPr>
          </w:p>
        </w:tc>
        <w:tc>
          <w:tcPr>
            <w:tcW w:w="1040" w:type="dxa"/>
            <w:vAlign w:val="bottom"/>
            <w:tcBorders>
              <w:top w:val="single" w:sz="8" w:color="auto"/>
            </w:tcBorders>
            <w:shd w:val="clear" w:color="auto" w:fill="E6E6E6"/>
          </w:tcPr>
          <w:p>
            <w:pPr>
              <w:jc w:val="center"/>
              <w:spacing w:after="0" w:line="215" w:lineRule="exact"/>
              <w:rPr>
                <w:sz w:val="20"/>
                <w:szCs w:val="20"/>
                <w:color w:val="auto"/>
              </w:rPr>
            </w:pPr>
            <w:r>
              <w:rPr>
                <w:rFonts w:ascii="Times New Roman" w:cs="Times New Roman" w:eastAsia="Times New Roman" w:hAnsi="Times New Roman"/>
                <w:sz w:val="20"/>
                <w:szCs w:val="20"/>
                <w:color w:val="auto"/>
              </w:rPr>
              <w:t>No</w:t>
            </w:r>
          </w:p>
        </w:tc>
        <w:tc>
          <w:tcPr>
            <w:tcW w:w="100" w:type="dxa"/>
            <w:vAlign w:val="bottom"/>
            <w:tcBorders>
              <w:top w:val="single" w:sz="8" w:color="E6E6E6"/>
            </w:tcBorders>
            <w:shd w:val="clear" w:color="auto" w:fill="E6E6E6"/>
          </w:tcPr>
          <w:p>
            <w:pPr>
              <w:spacing w:after="0"/>
              <w:rPr>
                <w:sz w:val="18"/>
                <w:szCs w:val="18"/>
                <w:color w:val="auto"/>
              </w:rPr>
            </w:pPr>
          </w:p>
        </w:tc>
        <w:tc>
          <w:tcPr>
            <w:tcW w:w="1360" w:type="dxa"/>
            <w:vAlign w:val="bottom"/>
            <w:tcBorders>
              <w:top w:val="single" w:sz="8" w:color="auto"/>
            </w:tcBorders>
            <w:shd w:val="clear" w:color="auto" w:fill="E6E6E6"/>
          </w:tcPr>
          <w:p>
            <w:pPr>
              <w:jc w:val="center"/>
              <w:spacing w:after="0" w:line="215" w:lineRule="exact"/>
              <w:rPr>
                <w:sz w:val="20"/>
                <w:szCs w:val="20"/>
                <w:color w:val="auto"/>
              </w:rPr>
            </w:pPr>
            <w:r>
              <w:rPr>
                <w:rFonts w:ascii="Times New Roman" w:cs="Times New Roman" w:eastAsia="Times New Roman" w:hAnsi="Times New Roman"/>
                <w:sz w:val="20"/>
                <w:szCs w:val="20"/>
                <w:color w:val="auto"/>
              </w:rPr>
              <w:t>Various</w:t>
            </w:r>
          </w:p>
        </w:tc>
      </w:tr>
      <w:tr>
        <w:trPr>
          <w:trHeight w:val="228"/>
        </w:trPr>
        <w:tc>
          <w:tcPr>
            <w:tcW w:w="352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Fund</w:t>
            </w:r>
          </w:p>
        </w:tc>
        <w:tc>
          <w:tcPr>
            <w:tcW w:w="10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820" w:type="dxa"/>
            <w:vAlign w:val="bottom"/>
            <w:shd w:val="clear" w:color="auto" w:fill="E6E6E6"/>
          </w:tcPr>
          <w:p>
            <w:pPr>
              <w:jc w:val="center"/>
              <w:spacing w:after="0" w:line="228" w:lineRule="exact"/>
              <w:rPr>
                <w:sz w:val="20"/>
                <w:szCs w:val="20"/>
                <w:color w:val="auto"/>
              </w:rPr>
            </w:pPr>
            <w:r>
              <w:rPr>
                <w:rFonts w:ascii="Times New Roman" w:cs="Times New Roman" w:eastAsia="Times New Roman" w:hAnsi="Times New Roman"/>
                <w:sz w:val="20"/>
                <w:szCs w:val="20"/>
                <w:color w:val="auto"/>
                <w:w w:val="95"/>
              </w:rPr>
              <w:t>ed</w:t>
            </w:r>
          </w:p>
        </w:tc>
        <w:tc>
          <w:tcPr>
            <w:tcW w:w="12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r>
      <w:tr>
        <w:trPr>
          <w:trHeight w:val="228"/>
        </w:trPr>
        <w:tc>
          <w:tcPr>
            <w:tcW w:w="35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820" w:type="dxa"/>
            <w:vAlign w:val="bottom"/>
            <w:shd w:val="clear" w:color="auto" w:fill="E6E6E6"/>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RP: Yes - Implemente</w:t>
            </w:r>
          </w:p>
        </w:tc>
        <w:tc>
          <w:tcPr>
            <w:tcW w:w="12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60" w:type="dxa"/>
            <w:vAlign w:val="bottom"/>
            <w:shd w:val="clear" w:color="auto" w:fill="E6E6E6"/>
          </w:tcPr>
          <w:p>
            <w:pPr>
              <w:spacing w:after="0"/>
              <w:rPr>
                <w:sz w:val="19"/>
                <w:szCs w:val="19"/>
                <w:color w:val="auto"/>
              </w:rPr>
            </w:pPr>
          </w:p>
        </w:tc>
      </w:tr>
      <w:tr>
        <w:trPr>
          <w:trHeight w:val="249"/>
        </w:trPr>
        <w:tc>
          <w:tcPr>
            <w:tcW w:w="35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8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d</w:t>
            </w:r>
          </w:p>
        </w:tc>
        <w:tc>
          <w:tcPr>
            <w:tcW w:w="12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r>
      <w:tr>
        <w:trPr>
          <w:trHeight w:val="220"/>
        </w:trPr>
        <w:tc>
          <w:tcPr>
            <w:tcW w:w="35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Sheet Metal Workers Local No. 177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auto"/>
                <w:w w:val="98"/>
              </w:rPr>
              <w:t>April 30, 2026</w:t>
            </w:r>
          </w:p>
        </w:tc>
      </w:tr>
      <w:tr>
        <w:trPr>
          <w:trHeight w:val="26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Pension Fund</w:t>
            </w:r>
          </w:p>
        </w:tc>
        <w:tc>
          <w:tcPr>
            <w:tcW w:w="14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62-6093256/001</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Green</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Is not subject</w:t>
            </w: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bl>
    <w:p>
      <w:pPr>
        <w:spacing w:after="0" w:line="199" w:lineRule="exact"/>
        <w:rPr>
          <w:sz w:val="20"/>
          <w:szCs w:val="20"/>
          <w:color w:val="auto"/>
        </w:rPr>
      </w:pPr>
    </w:p>
    <w:p>
      <w:pPr>
        <w:ind w:left="6" w:right="180"/>
        <w:spacing w:after="0" w:line="250" w:lineRule="auto"/>
        <w:rPr>
          <w:sz w:val="20"/>
          <w:szCs w:val="20"/>
          <w:color w:val="auto"/>
        </w:rPr>
      </w:pPr>
      <w:r>
        <w:rPr>
          <w:rFonts w:ascii="Times New Roman" w:cs="Times New Roman" w:eastAsia="Times New Roman" w:hAnsi="Times New Roman"/>
          <w:sz w:val="20"/>
          <w:szCs w:val="20"/>
          <w:color w:val="auto"/>
        </w:rPr>
        <w:t>Kirk and Blum was listed in the Sheet Metal Workers Local No. 177 Pension Fund’s Form 5500 as providing more than five percent of total contributions for the year ended December 31, 2024. The Company was not listed in any of the other plans’ Forms 5500 as providing more than five percent of the total contributions for the plans and plan years. At the date the financial statements were issued, Forms 5500 were not available for the plan years ended December 31, 2025.</w:t>
      </w:r>
    </w:p>
    <w:p>
      <w:pPr>
        <w:spacing w:after="0" w:line="190" w:lineRule="exact"/>
        <w:rPr>
          <w:sz w:val="20"/>
          <w:szCs w:val="20"/>
          <w:color w:val="auto"/>
        </w:rPr>
      </w:pPr>
    </w:p>
    <w:p>
      <w:pPr>
        <w:ind w:left="6" w:right="1120"/>
        <w:spacing w:after="0" w:line="275" w:lineRule="auto"/>
        <w:rPr>
          <w:sz w:val="20"/>
          <w:szCs w:val="20"/>
          <w:color w:val="auto"/>
        </w:rPr>
      </w:pPr>
      <w:r>
        <w:rPr>
          <w:rFonts w:ascii="Times New Roman" w:cs="Times New Roman" w:eastAsia="Times New Roman" w:hAnsi="Times New Roman"/>
          <w:sz w:val="20"/>
          <w:szCs w:val="20"/>
          <w:color w:val="auto"/>
        </w:rPr>
        <w:t>The Company has no current intention of withdrawing from any plan and, therefore, no liability has been provided in the accompanying consolidated financial statements.</w:t>
      </w:r>
    </w:p>
    <w:p>
      <w:pPr>
        <w:spacing w:after="0" w:line="166" w:lineRule="exact"/>
        <w:rPr>
          <w:sz w:val="20"/>
          <w:szCs w:val="20"/>
          <w:color w:val="auto"/>
        </w:rPr>
      </w:pPr>
    </w:p>
    <w:p>
      <w:pPr>
        <w:ind w:left="6" w:right="280"/>
        <w:spacing w:after="0" w:line="275" w:lineRule="auto"/>
        <w:rPr>
          <w:sz w:val="20"/>
          <w:szCs w:val="20"/>
          <w:color w:val="auto"/>
        </w:rPr>
      </w:pPr>
      <w:r>
        <w:rPr>
          <w:rFonts w:ascii="Times New Roman" w:cs="Times New Roman" w:eastAsia="Times New Roman" w:hAnsi="Times New Roman"/>
          <w:sz w:val="20"/>
          <w:szCs w:val="20"/>
          <w:color w:val="auto"/>
        </w:rPr>
        <w:t>Amounts charged to pension expense under the above plans including the multi-employer plans totaled zero, $0.2 million, and $0.5 million for the years ended December 31, 2025, 2024 and 2023, respectively.</w:t>
      </w:r>
    </w:p>
    <w:p>
      <w:pPr>
        <w:spacing w:after="0" w:line="166" w:lineRule="exact"/>
        <w:rPr>
          <w:sz w:val="20"/>
          <w:szCs w:val="20"/>
          <w:color w:val="auto"/>
        </w:rPr>
      </w:pPr>
    </w:p>
    <w:p>
      <w:pPr>
        <w:ind w:left="6" w:right="80"/>
        <w:spacing w:after="0" w:line="246" w:lineRule="auto"/>
        <w:rPr>
          <w:sz w:val="20"/>
          <w:szCs w:val="20"/>
          <w:color w:val="auto"/>
        </w:rPr>
      </w:pPr>
      <w:r>
        <w:rPr>
          <w:rFonts w:ascii="Times New Roman" w:cs="Times New Roman" w:eastAsia="Times New Roman" w:hAnsi="Times New Roman"/>
          <w:sz w:val="20"/>
          <w:szCs w:val="20"/>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$3.2 million, $2.3 million, and $2.0 million during the years ended December 31, 2025, 2024 and 2023, respectively.</w:t>
      </w:r>
    </w:p>
    <w:p>
      <w:pPr>
        <w:spacing w:after="0" w:line="194" w:lineRule="exact"/>
        <w:rPr>
          <w:sz w:val="20"/>
          <w:szCs w:val="20"/>
          <w:color w:val="auto"/>
        </w:rPr>
      </w:pPr>
    </w:p>
    <w:p>
      <w:pPr>
        <w:ind w:left="486" w:hanging="486"/>
        <w:spacing w:after="0"/>
        <w:tabs>
          <w:tab w:leader="none" w:pos="486"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8" w:lineRule="exact"/>
        <w:rPr>
          <w:sz w:val="20"/>
          <w:szCs w:val="20"/>
          <w:color w:val="auto"/>
        </w:rPr>
      </w:pPr>
    </w:p>
    <w:p>
      <w:pPr>
        <w:ind w:left="6" w:right="80"/>
        <w:spacing w:after="0" w:line="260" w:lineRule="auto"/>
        <w:rPr>
          <w:sz w:val="20"/>
          <w:szCs w:val="20"/>
          <w:color w:val="auto"/>
        </w:rPr>
      </w:pPr>
      <w:r>
        <w:rPr>
          <w:rFonts w:ascii="Times New Roman" w:cs="Times New Roman" w:eastAsia="Times New Roman" w:hAnsi="Times New Roman"/>
          <w:sz w:val="19"/>
          <w:szCs w:val="19"/>
          <w:color w:val="auto"/>
        </w:rPr>
        <w:t>The Company's leasing activity is primarily related to buildings used for manufacturing, warehousing, sales, and administrative activities.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w:t>
      </w:r>
    </w:p>
    <w:p>
      <w:pPr>
        <w:spacing w:after="0" w:line="184" w:lineRule="exact"/>
        <w:rPr>
          <w:sz w:val="20"/>
          <w:szCs w:val="20"/>
          <w:color w:val="auto"/>
        </w:rPr>
      </w:pPr>
    </w:p>
    <w:p>
      <w:pPr>
        <w:ind w:left="6" w:right="200"/>
        <w:spacing w:after="0" w:line="246" w:lineRule="auto"/>
        <w:rPr>
          <w:sz w:val="20"/>
          <w:szCs w:val="20"/>
          <w:color w:val="auto"/>
        </w:rPr>
      </w:pPr>
      <w:r>
        <w:rPr>
          <w:rFonts w:ascii="Times New Roman" w:cs="Times New Roman" w:eastAsia="Times New Roman" w:hAnsi="Times New Roman"/>
          <w:sz w:val="20"/>
          <w:szCs w:val="20"/>
          <w:color w:val="auto"/>
        </w:rPr>
        <w:t>In determining its ROU assets and lease liabilities, the Company applies a discount rate to the minimum lease payments within each lease agreement.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 of asset(s) being leased, and the term of the associated lease.</w:t>
      </w:r>
    </w:p>
    <w:p>
      <w:pPr>
        <w:sectPr>
          <w:pgSz w:w="11880" w:h="15480" w:orient="portrait"/>
          <w:cols w:equalWidth="0" w:num="1">
            <w:col w:w="10686"/>
          </w:cols>
          <w:pgMar w:left="594"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686"/>
          </w:cols>
          <w:pgMar w:left="594" w:top="818" w:right="600" w:bottom="66"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The components of lease expense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16"/>
          </w:tcPr>
          <w:p>
            <w:pPr>
              <w:jc w:val="right"/>
              <w:ind w:right="38"/>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120" w:type="dxa"/>
            <w:vAlign w:val="bottom"/>
            <w:gridSpan w:val="2"/>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7,119</w:t>
            </w:r>
          </w:p>
        </w:tc>
        <w:tc>
          <w:tcPr>
            <w:tcW w:w="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6,146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8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9"/>
              </w:rPr>
              <w:t>309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Interest on lease liability</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Borders>
              <w:bottom w:val="single" w:sz="8" w:color="auto"/>
            </w:tcBorders>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spacing w:after="0"/>
              <w:rPr>
                <w:sz w:val="21"/>
                <w:szCs w:val="21"/>
                <w:color w:val="auto"/>
              </w:rPr>
            </w:pPr>
          </w:p>
        </w:tc>
        <w:tc>
          <w:tcPr>
            <w:tcW w:w="620" w:type="dxa"/>
            <w:vAlign w:val="bottom"/>
            <w:tcBorders>
              <w:bottom w:val="single" w:sz="8" w:color="auto"/>
            </w:tcBorders>
            <w:shd w:val="clear" w:color="auto" w:fill="E6E6E6"/>
          </w:tcPr>
          <w:p>
            <w:pPr>
              <w:spacing w:after="0"/>
              <w:rPr>
                <w:sz w:val="21"/>
                <w:szCs w:val="21"/>
                <w:color w:val="auto"/>
              </w:rPr>
            </w:pPr>
          </w:p>
        </w:tc>
        <w:tc>
          <w:tcPr>
            <w:tcW w:w="320" w:type="dxa"/>
            <w:vAlign w:val="bottom"/>
            <w:tcBorders>
              <w:bottom w:val="single" w:sz="8" w:color="auto"/>
            </w:tcBorders>
            <w:gridSpan w:val="5"/>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232</w:t>
            </w:r>
          </w:p>
        </w:tc>
        <w:tc>
          <w:tcPr>
            <w:tcW w:w="20" w:type="dxa"/>
            <w:vAlign w:val="bottom"/>
            <w:tcBorders>
              <w:bottom w:val="single" w:sz="8" w:color="auto"/>
            </w:tcBorders>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Total finance lease cost</w:t>
            </w:r>
          </w:p>
        </w:tc>
        <w:tc>
          <w:tcPr>
            <w:tcW w:w="10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w w:val="99"/>
              </w:rPr>
              <w:t>541</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E6E6E6"/>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6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7,249</w:t>
            </w:r>
          </w:p>
        </w:tc>
        <w:tc>
          <w:tcPr>
            <w:tcW w:w="20" w:type="dxa"/>
            <w:vAlign w:val="bottom"/>
            <w:tcBorders>
              <w:bottom w:val="single" w:sz="8" w:color="auto"/>
            </w:tcBorders>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50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gridSpan w:val="6"/>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6,687</w:t>
            </w:r>
          </w:p>
        </w:tc>
        <w:tc>
          <w:tcPr>
            <w:tcW w:w="20" w:type="dxa"/>
            <w:vAlign w:val="bottom"/>
            <w:tcBorders>
              <w:bottom w:val="single" w:sz="8" w:color="auto"/>
            </w:tcBorders>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5,164</w:t>
            </w:r>
          </w:p>
        </w:tc>
        <w:tc>
          <w:tcPr>
            <w:tcW w:w="6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6"/>
          </w:tcPr>
          <w:p>
            <w:pPr>
              <w:jc w:val="right"/>
              <w:ind w:right="58"/>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w w:val="94"/>
              </w:rPr>
              <w:t>2024</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420" w:type="dxa"/>
            <w:vAlign w:val="bottom"/>
            <w:gridSpan w:val="3"/>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6,710</w:t>
            </w:r>
          </w:p>
        </w:tc>
        <w:tc>
          <w:tcPr>
            <w:tcW w:w="20" w:type="dxa"/>
            <w:vAlign w:val="bottom"/>
            <w:shd w:val="clear" w:color="auto" w:fill="E6E6E6"/>
          </w:tcPr>
          <w:p>
            <w:pPr>
              <w:spacing w:after="0"/>
              <w:rPr>
                <w:sz w:val="21"/>
                <w:szCs w:val="21"/>
                <w:color w:val="auto"/>
              </w:rPr>
            </w:pPr>
          </w:p>
        </w:tc>
        <w:tc>
          <w:tcPr>
            <w:tcW w:w="740" w:type="dxa"/>
            <w:vAlign w:val="bottom"/>
            <w:gridSpan w:val="3"/>
            <w:shd w:val="clear" w:color="auto" w:fill="E6E6E6"/>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6"/>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5,594</w:t>
            </w: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320" w:type="dxa"/>
            <w:vAlign w:val="bottom"/>
            <w:gridSpan w:val="3"/>
            <w:shd w:val="clear" w:color="auto" w:fill="E6E6E6"/>
          </w:tcPr>
          <w:p>
            <w:pPr>
              <w:jc w:val="right"/>
              <w:ind w:right="58"/>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4,567</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60" w:type="dxa"/>
            <w:vAlign w:val="bottom"/>
            <w:tcBorders>
              <w:bottom w:val="single" w:sz="8" w:color="E6E6E6"/>
            </w:tcBorders>
            <w:vMerge w:val="continue"/>
          </w:tcPr>
          <w:p>
            <w:pPr>
              <w:spacing w:after="0"/>
              <w:rPr>
                <w:sz w:val="23"/>
                <w:szCs w:val="23"/>
                <w:color w:val="auto"/>
              </w:rPr>
            </w:pPr>
          </w:p>
        </w:tc>
        <w:tc>
          <w:tcPr>
            <w:tcW w:w="10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spacing w:after="0" w:line="226" w:lineRule="exact"/>
              <w:rPr>
                <w:sz w:val="20"/>
                <w:szCs w:val="20"/>
                <w:color w:val="auto"/>
              </w:rPr>
            </w:pPr>
            <w:r>
              <w:rPr>
                <w:rFonts w:ascii="Times New Roman" w:cs="Times New Roman" w:eastAsia="Times New Roman" w:hAnsi="Times New Roman"/>
                <w:sz w:val="20"/>
                <w:szCs w:val="20"/>
                <w:color w:val="auto"/>
              </w:rPr>
              <w:t>53</w:t>
            </w:r>
          </w:p>
        </w:tc>
        <w:tc>
          <w:tcPr>
            <w:tcW w:w="20" w:type="dxa"/>
            <w:vAlign w:val="bottom"/>
            <w:tcBorders>
              <w:bottom w:val="single" w:sz="8" w:color="E6E6E6"/>
            </w:tcBorders>
          </w:tcPr>
          <w:p>
            <w:pPr>
              <w:spacing w:after="0"/>
              <w:rPr>
                <w:sz w:val="23"/>
                <w:szCs w:val="23"/>
                <w:color w:val="auto"/>
              </w:rPr>
            </w:pPr>
          </w:p>
        </w:tc>
        <w:tc>
          <w:tcPr>
            <w:tcW w:w="22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gridSpan w:val="5"/>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w w:val="93"/>
              </w:rPr>
              <w:t>232</w:t>
            </w:r>
          </w:p>
        </w:tc>
        <w:tc>
          <w:tcPr>
            <w:tcW w:w="20" w:type="dxa"/>
            <w:vAlign w:val="bottom"/>
            <w:tcBorders>
              <w:bottom w:val="single" w:sz="8" w:color="E6E6E6"/>
            </w:tcBorders>
          </w:tcPr>
          <w:p>
            <w:pPr>
              <w:spacing w:after="0"/>
              <w:rPr>
                <w:sz w:val="23"/>
                <w:szCs w:val="23"/>
                <w:color w:val="auto"/>
              </w:rPr>
            </w:pPr>
          </w:p>
        </w:tc>
        <w:tc>
          <w:tcPr>
            <w:tcW w:w="14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289</w:t>
            </w:r>
          </w:p>
        </w:tc>
        <w:tc>
          <w:tcPr>
            <w:tcW w:w="60" w:type="dxa"/>
            <w:vAlign w:val="bottom"/>
            <w:tcBorders>
              <w:bottom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660" w:type="dxa"/>
            <w:vAlign w:val="bottom"/>
            <w:shd w:val="clear" w:color="auto" w:fill="E6E6E6"/>
          </w:tcPr>
          <w:p>
            <w:pPr>
              <w:ind w:left="140"/>
              <w:spacing w:after="0" w:line="226" w:lineRule="exact"/>
              <w:rPr>
                <w:sz w:val="20"/>
                <w:szCs w:val="20"/>
                <w:color w:val="auto"/>
              </w:rPr>
            </w:pPr>
            <w:r>
              <w:rPr>
                <w:rFonts w:ascii="Times New Roman" w:cs="Times New Roman" w:eastAsia="Times New Roman" w:hAnsi="Times New Roman"/>
                <w:sz w:val="20"/>
                <w:szCs w:val="20"/>
                <w:color w:val="auto"/>
              </w:rPr>
              <w:t>Financing cash flows from finance leases</w:t>
            </w:r>
          </w:p>
        </w:tc>
        <w:tc>
          <w:tcPr>
            <w:tcW w:w="100" w:type="dxa"/>
            <w:vAlign w:val="bottom"/>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300" w:type="dxa"/>
            <w:vAlign w:val="bottom"/>
            <w:tcBorders>
              <w:bottom w:val="single" w:sz="8" w:color="auto"/>
            </w:tcBorders>
            <w:shd w:val="clear" w:color="auto" w:fill="E6E6E6"/>
          </w:tcPr>
          <w:p>
            <w:pPr>
              <w:spacing w:after="0"/>
              <w:rPr>
                <w:sz w:val="19"/>
                <w:szCs w:val="19"/>
                <w:color w:val="auto"/>
              </w:rPr>
            </w:pPr>
          </w:p>
        </w:tc>
        <w:tc>
          <w:tcPr>
            <w:tcW w:w="1140" w:type="dxa"/>
            <w:vAlign w:val="bottom"/>
            <w:tcBorders>
              <w:bottom w:val="single" w:sz="8" w:color="auto"/>
            </w:tcBorders>
            <w:gridSpan w:val="3"/>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234</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500" w:type="dxa"/>
            <w:vAlign w:val="bottom"/>
            <w:tcBorders>
              <w:bottom w:val="single" w:sz="8" w:color="auto"/>
            </w:tcBorders>
            <w:shd w:val="clear" w:color="auto" w:fill="E6E6E6"/>
          </w:tcPr>
          <w:p>
            <w:pPr>
              <w:spacing w:after="0"/>
              <w:rPr>
                <w:sz w:val="19"/>
                <w:szCs w:val="19"/>
                <w:color w:val="auto"/>
              </w:rPr>
            </w:pPr>
          </w:p>
        </w:tc>
        <w:tc>
          <w:tcPr>
            <w:tcW w:w="620" w:type="dxa"/>
            <w:vAlign w:val="bottom"/>
            <w:tcBorders>
              <w:bottom w:val="single" w:sz="8" w:color="auto"/>
            </w:tcBorders>
            <w:shd w:val="clear" w:color="auto" w:fill="E6E6E6"/>
          </w:tcPr>
          <w:p>
            <w:pPr>
              <w:spacing w:after="0"/>
              <w:rPr>
                <w:sz w:val="19"/>
                <w:szCs w:val="19"/>
                <w:color w:val="auto"/>
              </w:rPr>
            </w:pPr>
          </w:p>
        </w:tc>
        <w:tc>
          <w:tcPr>
            <w:tcW w:w="320" w:type="dxa"/>
            <w:vAlign w:val="bottom"/>
            <w:tcBorders>
              <w:bottom w:val="single" w:sz="8" w:color="auto"/>
            </w:tcBorders>
            <w:gridSpan w:val="5"/>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w w:val="93"/>
              </w:rPr>
              <w:t>925</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220" w:type="dxa"/>
            <w:vAlign w:val="bottom"/>
            <w:tcBorders>
              <w:bottom w:val="single" w:sz="8" w:color="auto"/>
            </w:tcBorders>
            <w:shd w:val="clear" w:color="auto" w:fill="E6E6E6"/>
          </w:tcPr>
          <w:p>
            <w:pPr>
              <w:spacing w:after="0"/>
              <w:rPr>
                <w:sz w:val="19"/>
                <w:szCs w:val="19"/>
                <w:color w:val="auto"/>
              </w:rPr>
            </w:pPr>
          </w:p>
        </w:tc>
        <w:tc>
          <w:tcPr>
            <w:tcW w:w="122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907</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Right of use assets obtained in exchange for lease obligations</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Operating leases</w:t>
            </w:r>
          </w:p>
        </w:tc>
        <w:tc>
          <w:tcPr>
            <w:tcW w:w="100" w:type="dxa"/>
            <w:vAlign w:val="bottom"/>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6,789</w:t>
            </w: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spacing w:after="0"/>
              <w:rPr>
                <w:sz w:val="21"/>
                <w:szCs w:val="21"/>
                <w:color w:val="auto"/>
              </w:rPr>
            </w:pPr>
          </w:p>
        </w:tc>
        <w:tc>
          <w:tcPr>
            <w:tcW w:w="940" w:type="dxa"/>
            <w:vAlign w:val="bottom"/>
            <w:tcBorders>
              <w:bottom w:val="single" w:sz="8" w:color="auto"/>
            </w:tcBorders>
            <w:gridSpan w:val="6"/>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13,669</w:t>
            </w: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7,697</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14"/>
          </w:tcPr>
          <w:p>
            <w:pPr>
              <w:ind w:left="1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Right-of-use assets from operating leases</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40" w:type="dxa"/>
            <w:vAlign w:val="bottom"/>
            <w:gridSpan w:val="3"/>
            <w:shd w:val="clear" w:color="auto" w:fill="E6E6E6"/>
          </w:tcPr>
          <w:p>
            <w:pPr>
              <w:jc w:val="right"/>
              <w:ind w:right="15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28,251</w:t>
            </w:r>
          </w:p>
        </w:tc>
        <w:tc>
          <w:tcPr>
            <w:tcW w:w="480" w:type="dxa"/>
            <w:vAlign w:val="bottom"/>
            <w:gridSpan w:val="7"/>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25,102</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Accrued expenses</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40" w:type="dxa"/>
            <w:vAlign w:val="bottom"/>
            <w:gridSpan w:val="3"/>
            <w:shd w:val="clear" w:color="auto" w:fill="E6E6E6"/>
          </w:tcPr>
          <w:p>
            <w:pPr>
              <w:jc w:val="right"/>
              <w:ind w:right="15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4,642</w:t>
            </w:r>
          </w:p>
        </w:tc>
        <w:tc>
          <w:tcPr>
            <w:tcW w:w="480" w:type="dxa"/>
            <w:vAlign w:val="bottom"/>
            <w:gridSpan w:val="7"/>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4,262</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Borders>
              <w:bottom w:val="single" w:sz="8" w:color="E6E6E6"/>
            </w:tcBorders>
          </w:tcPr>
          <w:p>
            <w:pPr>
              <w:ind w:left="1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0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00" w:type="dxa"/>
            <w:vAlign w:val="bottom"/>
            <w:tcBorders>
              <w:bottom w:val="single" w:sz="8" w:color="E6E6E6"/>
            </w:tcBorders>
          </w:tcPr>
          <w:p>
            <w:pPr>
              <w:spacing w:after="0"/>
              <w:rPr>
                <w:sz w:val="21"/>
                <w:szCs w:val="21"/>
                <w:color w:val="auto"/>
              </w:rPr>
            </w:pPr>
          </w:p>
        </w:tc>
        <w:tc>
          <w:tcPr>
            <w:tcW w:w="80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22,961</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22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20,230</w:t>
            </w:r>
          </w:p>
        </w:tc>
        <w:tc>
          <w:tcPr>
            <w:tcW w:w="6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E6E6E6"/>
          </w:tcPr>
          <w:p>
            <w:pPr>
              <w:ind w:left="24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5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500" w:type="dxa"/>
            <w:vAlign w:val="bottom"/>
            <w:tcBorders>
              <w:bottom w:val="single" w:sz="8" w:color="auto"/>
            </w:tcBorders>
            <w:shd w:val="clear" w:color="auto" w:fill="E6E6E6"/>
          </w:tcPr>
          <w:p>
            <w:pPr>
              <w:spacing w:after="0"/>
              <w:rPr>
                <w:sz w:val="20"/>
                <w:szCs w:val="20"/>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27,603</w:t>
            </w:r>
          </w:p>
        </w:tc>
        <w:tc>
          <w:tcPr>
            <w:tcW w:w="20" w:type="dxa"/>
            <w:vAlign w:val="bottom"/>
            <w:tcBorders>
              <w:bottom w:val="single" w:sz="8" w:color="auto"/>
            </w:tcBorders>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200" w:type="dxa"/>
            <w:vAlign w:val="bottom"/>
            <w:tcBorders>
              <w:bottom w:val="single" w:sz="8" w:color="auto"/>
            </w:tcBorders>
            <w:gridSpan w:val="4"/>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tcBorders>
              <w:bottom w:val="single" w:sz="8" w:color="auto"/>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24,492</w:t>
            </w:r>
          </w:p>
        </w:tc>
        <w:tc>
          <w:tcPr>
            <w:tcW w:w="6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8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ind w:right="15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7"/>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Borders>
              <w:top w:val="single" w:sz="8" w:color="E6E6E6"/>
            </w:tcBorders>
            <w:shd w:val="clear" w:color="auto" w:fill="E6E6E6"/>
          </w:tcPr>
          <w:p>
            <w:pPr>
              <w:spacing w:after="0"/>
              <w:rPr>
                <w:sz w:val="20"/>
                <w:szCs w:val="20"/>
                <w:color w:val="auto"/>
              </w:rPr>
            </w:pPr>
          </w:p>
        </w:tc>
        <w:tc>
          <w:tcPr>
            <w:tcW w:w="1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E6E6E6"/>
            </w:tcBorders>
            <w:shd w:val="clear" w:color="auto" w:fill="E6E6E6"/>
          </w:tcPr>
          <w:p>
            <w:pPr>
              <w:spacing w:after="0"/>
              <w:rPr>
                <w:sz w:val="20"/>
                <w:szCs w:val="20"/>
                <w:color w:val="auto"/>
              </w:rPr>
            </w:pPr>
          </w:p>
        </w:tc>
        <w:tc>
          <w:tcPr>
            <w:tcW w:w="8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auto"/>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220" w:type="dxa"/>
            <w:vAlign w:val="bottom"/>
            <w:tcBorders>
              <w:top w:val="single" w:sz="8" w:color="auto"/>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500" w:type="dxa"/>
            <w:vAlign w:val="bottom"/>
            <w:tcBorders>
              <w:top w:val="single" w:sz="8" w:color="auto"/>
            </w:tcBorders>
            <w:shd w:val="clear" w:color="auto" w:fill="E6E6E6"/>
          </w:tcPr>
          <w:p>
            <w:pPr>
              <w:spacing w:after="0"/>
              <w:rPr>
                <w:sz w:val="20"/>
                <w:szCs w:val="20"/>
                <w:color w:val="auto"/>
              </w:rPr>
            </w:pPr>
          </w:p>
        </w:tc>
        <w:tc>
          <w:tcPr>
            <w:tcW w:w="620" w:type="dxa"/>
            <w:vAlign w:val="bottom"/>
            <w:tcBorders>
              <w:top w:val="single" w:sz="8" w:color="auto"/>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4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180" w:type="dxa"/>
            <w:vAlign w:val="bottom"/>
            <w:tcBorders>
              <w:top w:val="single" w:sz="8" w:color="auto"/>
            </w:tcBorders>
            <w:gridSpan w:val="3"/>
            <w:shd w:val="clear" w:color="auto" w:fill="E6E6E6"/>
          </w:tcPr>
          <w:p>
            <w:pPr>
              <w:spacing w:after="0"/>
              <w:rPr>
                <w:sz w:val="20"/>
                <w:szCs w:val="20"/>
                <w:color w:val="auto"/>
              </w:rPr>
            </w:pPr>
          </w:p>
        </w:tc>
        <w:tc>
          <w:tcPr>
            <w:tcW w:w="80" w:type="dxa"/>
            <w:vAlign w:val="bottom"/>
            <w:tcBorders>
              <w:top w:val="single" w:sz="8" w:color="auto"/>
            </w:tcBorders>
            <w:shd w:val="clear" w:color="auto" w:fill="E6E6E6"/>
          </w:tcPr>
          <w:p>
            <w:pPr>
              <w:spacing w:after="0"/>
              <w:rPr>
                <w:sz w:val="20"/>
                <w:szCs w:val="20"/>
                <w:color w:val="auto"/>
              </w:rPr>
            </w:pPr>
          </w:p>
        </w:tc>
        <w:tc>
          <w:tcPr>
            <w:tcW w:w="20" w:type="dxa"/>
            <w:vAlign w:val="bottom"/>
            <w:tcBorders>
              <w:top w:val="single" w:sz="8" w:color="auto"/>
            </w:tcBorders>
            <w:shd w:val="clear" w:color="auto" w:fill="E6E6E6"/>
          </w:tcPr>
          <w:p>
            <w:pPr>
              <w:spacing w:after="0"/>
              <w:rPr>
                <w:sz w:val="20"/>
                <w:szCs w:val="20"/>
                <w:color w:val="auto"/>
              </w:rPr>
            </w:pPr>
          </w:p>
        </w:tc>
        <w:tc>
          <w:tcPr>
            <w:tcW w:w="220" w:type="dxa"/>
            <w:vAlign w:val="bottom"/>
            <w:tcBorders>
              <w:top w:val="single" w:sz="8" w:color="auto"/>
            </w:tcBorders>
            <w:shd w:val="clear" w:color="auto" w:fill="E6E6E6"/>
          </w:tcPr>
          <w:p>
            <w:pPr>
              <w:spacing w:after="0"/>
              <w:rPr>
                <w:sz w:val="20"/>
                <w:szCs w:val="20"/>
                <w:color w:val="auto"/>
              </w:rPr>
            </w:pPr>
          </w:p>
        </w:tc>
        <w:tc>
          <w:tcPr>
            <w:tcW w:w="122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Accrued expenses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Other liabilities</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8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2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spacing w:after="0"/>
              <w:rPr>
                <w:sz w:val="21"/>
                <w:szCs w:val="21"/>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40" w:type="dxa"/>
            <w:vAlign w:val="bottom"/>
            <w:tcBorders>
              <w:bottom w:val="single" w:sz="8" w:color="auto"/>
            </w:tcBorders>
            <w:shd w:val="clear" w:color="auto" w:fill="E6E6E6"/>
          </w:tcPr>
          <w:p>
            <w:pPr>
              <w:spacing w:after="0"/>
              <w:rPr>
                <w:sz w:val="21"/>
                <w:szCs w:val="21"/>
                <w:color w:val="auto"/>
              </w:rPr>
            </w:pPr>
          </w:p>
        </w:tc>
        <w:tc>
          <w:tcPr>
            <w:tcW w:w="80" w:type="dxa"/>
            <w:vAlign w:val="bottom"/>
            <w:tcBorders>
              <w:bottom w:val="single" w:sz="8" w:color="auto"/>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4,101</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finance lease liabilities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were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4"/>
          </w:tcPr>
          <w:p>
            <w:pPr>
              <w:ind w:lef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leases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8 years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9 years</w:t>
            </w:r>
          </w:p>
        </w:tc>
        <w:tc>
          <w:tcPr>
            <w:tcW w:w="0" w:type="dxa"/>
            <w:vAlign w:val="bottom"/>
          </w:tcPr>
          <w:p>
            <w:pPr>
              <w:spacing w:after="0"/>
              <w:rPr>
                <w:sz w:val="1"/>
                <w:szCs w:val="1"/>
                <w:color w:val="auto"/>
              </w:rPr>
            </w:pPr>
          </w:p>
        </w:tc>
      </w:tr>
      <w:tr>
        <w:trPr>
          <w:trHeight w:val="256"/>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Finance leases</w:t>
            </w:r>
          </w:p>
        </w:tc>
        <w:tc>
          <w:tcPr>
            <w:tcW w:w="1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1100" w:type="dxa"/>
            <w:vAlign w:val="bottom"/>
            <w:gridSpan w:val="8"/>
            <w:shd w:val="clear" w:color="auto" w:fill="E6E6E6"/>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80" w:type="dxa"/>
            <w:vAlign w:val="bottom"/>
            <w:gridSpan w:val="2"/>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7 years</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Operating leases</w:t>
            </w:r>
          </w:p>
        </w:tc>
        <w:tc>
          <w:tcPr>
            <w:tcW w:w="1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7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20" w:type="dxa"/>
            <w:vAlign w:val="bottom"/>
            <w:shd w:val="clear" w:color="auto" w:fill="E6E6E6"/>
          </w:tcPr>
          <w:p>
            <w:pPr>
              <w:jc w:val="center"/>
              <w:ind w:right="341"/>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6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Finance leases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gridSpan w:val="8"/>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center"/>
              <w:ind w:right="341"/>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680"/>
          </w:cols>
          <w:pgMar w:left="600" w:top="818" w:right="600" w:bottom="66" w:gutter="0" w:footer="0" w:header="0"/>
          <w:type w:val="continuous"/>
        </w:sectPr>
      </w:pPr>
    </w:p>
    <w:bookmarkStart w:id="85" w:name="page86"/>
    <w:bookmarkEnd w:id="85"/>
    <w:tbl>
      <w:tblPr>
        <w:tblLayout w:type="fixed"/>
        <w:tblInd w:w="6" w:type="dxa"/>
        <w:tblCellMar>
          <w:top w:w="0" w:type="dxa"/>
          <w:left w:w="0" w:type="dxa"/>
          <w:bottom w:w="0" w:type="dxa"/>
          <w:right w:w="0" w:type="dxa"/>
        </w:tblCellMar>
      </w:tblPr>
      <w:tr>
        <w:trPr>
          <w:trHeight w:val="266"/>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2025, maturities of lease liabilities were as follows:</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62"/>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Operating Leases</w:t>
            </w:r>
          </w:p>
        </w:tc>
      </w:tr>
      <w:tr>
        <w:trPr>
          <w:trHeight w:val="236"/>
        </w:trPr>
        <w:tc>
          <w:tcPr>
            <w:tcW w:w="71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2026</w:t>
            </w:r>
          </w:p>
        </w:tc>
        <w:tc>
          <w:tcPr>
            <w:tcW w:w="1380" w:type="dxa"/>
            <w:vAlign w:val="bottom"/>
            <w:tcBorders>
              <w:top w:val="single" w:sz="8" w:color="E6E6E6"/>
            </w:tcBorders>
            <w:shd w:val="clear" w:color="auto" w:fill="E6E6E6"/>
          </w:tcPr>
          <w:p>
            <w:pPr>
              <w:spacing w:after="0"/>
              <w:rPr>
                <w:sz w:val="20"/>
                <w:szCs w:val="20"/>
                <w:color w:val="auto"/>
              </w:rPr>
            </w:pPr>
          </w:p>
        </w:tc>
        <w:tc>
          <w:tcPr>
            <w:tcW w:w="200" w:type="dxa"/>
            <w:vAlign w:val="bottom"/>
            <w:tcBorders>
              <w:top w:val="single" w:sz="8" w:color="auto"/>
            </w:tcBorders>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7,417</w:t>
            </w:r>
          </w:p>
        </w:tc>
        <w:tc>
          <w:tcPr>
            <w:tcW w:w="80" w:type="dxa"/>
            <w:vAlign w:val="bottom"/>
            <w:tcBorders>
              <w:top w:val="single" w:sz="8" w:color="E6E6E6"/>
            </w:tcBorders>
            <w:shd w:val="clear" w:color="auto" w:fill="E6E6E6"/>
          </w:tcPr>
          <w:p>
            <w:pPr>
              <w:spacing w:after="0"/>
              <w:rPr>
                <w:sz w:val="20"/>
                <w:szCs w:val="20"/>
                <w:color w:val="auto"/>
              </w:rPr>
            </w:pPr>
          </w:p>
        </w:tc>
      </w:tr>
      <w:tr>
        <w:trPr>
          <w:trHeight w:val="242"/>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6,917</w:t>
            </w:r>
          </w:p>
        </w:tc>
        <w:tc>
          <w:tcPr>
            <w:tcW w:w="80" w:type="dxa"/>
            <w:vAlign w:val="bottom"/>
          </w:tcPr>
          <w:p>
            <w:pPr>
              <w:spacing w:after="0"/>
              <w:rPr>
                <w:sz w:val="21"/>
                <w:szCs w:val="21"/>
                <w:color w:val="auto"/>
              </w:rPr>
            </w:pPr>
          </w:p>
        </w:tc>
      </w:tr>
      <w:tr>
        <w:trPr>
          <w:trHeight w:val="242"/>
        </w:trPr>
        <w:tc>
          <w:tcPr>
            <w:tcW w:w="71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2028</w:t>
            </w:r>
          </w:p>
        </w:tc>
        <w:tc>
          <w:tcPr>
            <w:tcW w:w="13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1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5,577</w:t>
            </w:r>
          </w:p>
        </w:tc>
        <w:tc>
          <w:tcPr>
            <w:tcW w:w="80" w:type="dxa"/>
            <w:vAlign w:val="bottom"/>
            <w:shd w:val="clear" w:color="auto" w:fill="E6E6E6"/>
          </w:tcPr>
          <w:p>
            <w:pPr>
              <w:spacing w:after="0"/>
              <w:rPr>
                <w:sz w:val="21"/>
                <w:szCs w:val="21"/>
                <w:color w:val="auto"/>
              </w:rPr>
            </w:pPr>
          </w:p>
        </w:tc>
      </w:tr>
      <w:tr>
        <w:trPr>
          <w:trHeight w:val="242"/>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4,469</w:t>
            </w:r>
          </w:p>
        </w:tc>
        <w:tc>
          <w:tcPr>
            <w:tcW w:w="80" w:type="dxa"/>
            <w:vAlign w:val="bottom"/>
          </w:tcPr>
          <w:p>
            <w:pPr>
              <w:spacing w:after="0"/>
              <w:rPr>
                <w:sz w:val="21"/>
                <w:szCs w:val="21"/>
                <w:color w:val="auto"/>
              </w:rPr>
            </w:pPr>
          </w:p>
        </w:tc>
      </w:tr>
      <w:tr>
        <w:trPr>
          <w:trHeight w:val="242"/>
        </w:trPr>
        <w:tc>
          <w:tcPr>
            <w:tcW w:w="71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2030</w:t>
            </w:r>
          </w:p>
        </w:tc>
        <w:tc>
          <w:tcPr>
            <w:tcW w:w="13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1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3,187</w:t>
            </w:r>
          </w:p>
        </w:tc>
        <w:tc>
          <w:tcPr>
            <w:tcW w:w="80" w:type="dxa"/>
            <w:vAlign w:val="bottom"/>
            <w:shd w:val="clear" w:color="auto" w:fill="E6E6E6"/>
          </w:tcPr>
          <w:p>
            <w:pPr>
              <w:spacing w:after="0"/>
              <w:rPr>
                <w:sz w:val="21"/>
                <w:szCs w:val="21"/>
                <w:color w:val="auto"/>
              </w:rPr>
            </w:pPr>
          </w:p>
        </w:tc>
      </w:tr>
      <w:tr>
        <w:trPr>
          <w:trHeight w:val="242"/>
        </w:trPr>
        <w:tc>
          <w:tcPr>
            <w:tcW w:w="71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38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8,628</w:t>
            </w:r>
          </w:p>
        </w:tc>
        <w:tc>
          <w:tcPr>
            <w:tcW w:w="80" w:type="dxa"/>
            <w:vAlign w:val="bottom"/>
            <w:tcBorders>
              <w:bottom w:val="single" w:sz="8" w:color="E6E6E6"/>
            </w:tcBorders>
          </w:tcPr>
          <w:p>
            <w:pPr>
              <w:spacing w:after="0"/>
              <w:rPr>
                <w:sz w:val="21"/>
                <w:szCs w:val="21"/>
                <w:color w:val="auto"/>
              </w:rPr>
            </w:pPr>
          </w:p>
        </w:tc>
      </w:tr>
      <w:tr>
        <w:trPr>
          <w:trHeight w:val="236"/>
        </w:trPr>
        <w:tc>
          <w:tcPr>
            <w:tcW w:w="71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1380" w:type="dxa"/>
            <w:vAlign w:val="bottom"/>
            <w:shd w:val="clear" w:color="auto" w:fill="E6E6E6"/>
          </w:tcPr>
          <w:p>
            <w:pPr>
              <w:spacing w:after="0"/>
              <w:rPr>
                <w:sz w:val="20"/>
                <w:szCs w:val="20"/>
                <w:color w:val="auto"/>
              </w:rPr>
            </w:pPr>
          </w:p>
        </w:tc>
        <w:tc>
          <w:tcPr>
            <w:tcW w:w="200" w:type="dxa"/>
            <w:vAlign w:val="bottom"/>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36,195</w:t>
            </w:r>
          </w:p>
        </w:tc>
        <w:tc>
          <w:tcPr>
            <w:tcW w:w="80" w:type="dxa"/>
            <w:vAlign w:val="bottom"/>
            <w:shd w:val="clear" w:color="auto" w:fill="E6E6E6"/>
          </w:tcPr>
          <w:p>
            <w:pPr>
              <w:spacing w:after="0"/>
              <w:rPr>
                <w:sz w:val="20"/>
                <w:szCs w:val="20"/>
                <w:color w:val="auto"/>
              </w:rPr>
            </w:pPr>
          </w:p>
        </w:tc>
      </w:tr>
      <w:tr>
        <w:trPr>
          <w:trHeight w:val="242"/>
        </w:trPr>
        <w:tc>
          <w:tcPr>
            <w:tcW w:w="71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38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(8,592)</w:t>
            </w:r>
          </w:p>
        </w:tc>
        <w:tc>
          <w:tcPr>
            <w:tcW w:w="80" w:type="dxa"/>
            <w:vAlign w:val="bottom"/>
            <w:tcBorders>
              <w:bottom w:val="single" w:sz="8" w:color="E6E6E6"/>
            </w:tcBorders>
          </w:tcPr>
          <w:p>
            <w:pPr>
              <w:spacing w:after="0"/>
              <w:rPr>
                <w:sz w:val="21"/>
                <w:szCs w:val="21"/>
                <w:color w:val="auto"/>
              </w:rPr>
            </w:pPr>
          </w:p>
        </w:tc>
      </w:tr>
      <w:tr>
        <w:trPr>
          <w:trHeight w:val="256"/>
        </w:trPr>
        <w:tc>
          <w:tcPr>
            <w:tcW w:w="71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3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27,603</w:t>
            </w:r>
          </w:p>
        </w:tc>
        <w:tc>
          <w:tcPr>
            <w:tcW w:w="80" w:type="dxa"/>
            <w:vAlign w:val="bottom"/>
            <w:tcBorders>
              <w:bottom w:val="single" w:sz="8" w:color="E6E6E6"/>
            </w:tcBorders>
            <w:shd w:val="clear" w:color="auto" w:fill="E6E6E6"/>
          </w:tcPr>
          <w:p>
            <w:pPr>
              <w:spacing w:after="0"/>
              <w:rPr>
                <w:sz w:val="22"/>
                <w:szCs w:val="22"/>
                <w:color w:val="auto"/>
              </w:rPr>
            </w:pPr>
          </w:p>
        </w:tc>
      </w:tr>
      <w:tr>
        <w:trPr>
          <w:trHeight w:val="20"/>
        </w:trPr>
        <w:tc>
          <w:tcPr>
            <w:tcW w:w="7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2" w:lineRule="exact"/>
        <w:rPr>
          <w:sz w:val="20"/>
          <w:szCs w:val="20"/>
          <w:color w:val="auto"/>
        </w:rPr>
      </w:pPr>
    </w:p>
    <w:p>
      <w:pPr>
        <w:ind w:left="486" w:hanging="486"/>
        <w:spacing w:after="0"/>
        <w:tabs>
          <w:tab w:leader="none" w:pos="486"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Legal Proceedings</w:t>
      </w:r>
    </w:p>
    <w:p>
      <w:pPr>
        <w:spacing w:after="0" w:line="232" w:lineRule="exact"/>
        <w:rPr>
          <w:sz w:val="20"/>
          <w:szCs w:val="20"/>
          <w:color w:val="auto"/>
        </w:rPr>
      </w:pPr>
    </w:p>
    <w:p>
      <w:pPr>
        <w:ind w:left="6" w:right="240"/>
        <w:spacing w:after="0" w:line="243" w:lineRule="auto"/>
        <w:rPr>
          <w:sz w:val="20"/>
          <w:szCs w:val="20"/>
          <w:color w:val="auto"/>
        </w:rPr>
      </w:pPr>
      <w:r>
        <w:rPr>
          <w:rFonts w:ascii="Times New Roman" w:cs="Times New Roman" w:eastAsia="Times New Roman" w:hAnsi="Times New Roman"/>
          <w:sz w:val="20"/>
          <w:szCs w:val="20"/>
          <w:color w:val="auto"/>
        </w:rPr>
        <w:t>The Company is subject to routine legal claims, proceedings, and investigations associated with contract and employment-related litigation matters, warranty claims, asbestos matters, and audits of state and local tax returns arising in the ordinary course of its business. The final outcome and impact of open matters, and related claims and investigations that may be brought in the future, are subject to many variables, and cannot be predicted. The Company regularly assesses such matters to determine the degree of probability that it will incur a material loss as a result of such matters, as well as the range of possible loss. The Company records accruals for estimated losses relating to claims and lawsuits when available information indicates that a loss is probable and the amount of the loss, or range of loss, can be reasonably estimated.</w:t>
      </w:r>
    </w:p>
    <w:p>
      <w:pPr>
        <w:spacing w:after="0" w:line="202" w:lineRule="exact"/>
        <w:rPr>
          <w:sz w:val="20"/>
          <w:szCs w:val="20"/>
          <w:color w:val="auto"/>
        </w:rPr>
      </w:pPr>
    </w:p>
    <w:p>
      <w:pPr>
        <w:ind w:left="6" w:right="240"/>
        <w:spacing w:after="0" w:line="256" w:lineRule="auto"/>
        <w:rPr>
          <w:sz w:val="20"/>
          <w:szCs w:val="20"/>
          <w:color w:val="auto"/>
        </w:rPr>
      </w:pPr>
      <w:r>
        <w:rPr>
          <w:rFonts w:ascii="Times New Roman" w:cs="Times New Roman" w:eastAsia="Times New Roman" w:hAnsi="Times New Roman"/>
          <w:sz w:val="20"/>
          <w:szCs w:val="20"/>
          <w:color w:val="auto"/>
        </w:rPr>
        <w:t>Based upon information presently available, and in light of legal and other factual defenses available to the Company, the Company does not believe that it is reasonably possible that such litigation will have a material adverse effect on the Company’s financial condition, future operating results or liquidity.</w:t>
      </w:r>
    </w:p>
    <w:p>
      <w:pPr>
        <w:spacing w:after="0" w:line="182" w:lineRule="exact"/>
        <w:rPr>
          <w:sz w:val="20"/>
          <w:szCs w:val="20"/>
          <w:color w:val="auto"/>
        </w:rPr>
      </w:pPr>
    </w:p>
    <w:p>
      <w:pPr>
        <w:ind w:left="486" w:hanging="486"/>
        <w:spacing w:after="0"/>
        <w:tabs>
          <w:tab w:leader="none" w:pos="486"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Income before income taxes was generated in the United States and globally as follows:</w:t>
      </w:r>
    </w:p>
    <w:p>
      <w:pPr>
        <w:spacing w:after="0" w:line="246"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40" w:type="dxa"/>
            <w:vAlign w:val="bottom"/>
          </w:tcPr>
          <w:p>
            <w:pPr>
              <w:spacing w:after="0"/>
              <w:rPr>
                <w:sz w:val="21"/>
                <w:szCs w:val="21"/>
                <w:color w:val="auto"/>
              </w:rPr>
            </w:pPr>
          </w:p>
        </w:tc>
      </w:t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20" w:type="dxa"/>
            <w:vAlign w:val="bottom"/>
          </w:tcPr>
          <w:p>
            <w:pPr>
              <w:spacing w:after="0"/>
              <w:rPr>
                <w:sz w:val="20"/>
                <w:szCs w:val="20"/>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63,690</w:t>
            </w:r>
          </w:p>
        </w:tc>
        <w:tc>
          <w:tcPr>
            <w:tcW w:w="10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8,222</w:t>
            </w:r>
          </w:p>
        </w:tc>
        <w:tc>
          <w:tcPr>
            <w:tcW w:w="8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7,444</w:t>
            </w:r>
          </w:p>
        </w:tc>
        <w:tc>
          <w:tcPr>
            <w:tcW w:w="40" w:type="dxa"/>
            <w:vAlign w:val="bottom"/>
          </w:tcPr>
          <w:p>
            <w:pPr>
              <w:spacing w:after="0"/>
              <w:rPr>
                <w:sz w:val="20"/>
                <w:szCs w:val="20"/>
                <w:color w:val="auto"/>
              </w:rPr>
            </w:pPr>
          </w:p>
        </w:tc>
      </w:tr>
      <w:tr>
        <w:trPr>
          <w:trHeight w:val="242"/>
        </w:trPr>
        <w:tc>
          <w:tcPr>
            <w:tcW w:w="62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w:t>
            </w:r>
          </w:p>
        </w:tc>
        <w:tc>
          <w:tcPr>
            <w:tcW w:w="20" w:type="dxa"/>
            <w:vAlign w:val="bottom"/>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19,155</w:t>
            </w:r>
          </w:p>
        </w:tc>
        <w:tc>
          <w:tcPr>
            <w:tcW w:w="100" w:type="dxa"/>
            <w:vAlign w:val="bottom"/>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9,469</w:t>
            </w:r>
          </w:p>
        </w:tc>
        <w:tc>
          <w:tcPr>
            <w:tcW w:w="80" w:type="dxa"/>
            <w:vAlign w:val="bottom"/>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14,081</w:t>
            </w:r>
          </w:p>
        </w:tc>
        <w:tc>
          <w:tcPr>
            <w:tcW w:w="40" w:type="dxa"/>
            <w:vAlign w:val="bottom"/>
            <w:shd w:val="clear" w:color="auto" w:fill="E6E6E6"/>
          </w:tcPr>
          <w:p>
            <w:pPr>
              <w:spacing w:after="0"/>
              <w:rPr>
                <w:sz w:val="21"/>
                <w:szCs w:val="21"/>
                <w:color w:val="auto"/>
              </w:rPr>
            </w:pPr>
          </w:p>
        </w:tc>
      </w:tr>
      <w:tr>
        <w:trPr>
          <w:trHeight w:val="236"/>
        </w:trPr>
        <w:tc>
          <w:tcPr>
            <w:tcW w:w="6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income before income taxes</w:t>
            </w: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82,845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17,691</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21,525</w:t>
            </w:r>
          </w:p>
        </w:tc>
        <w:tc>
          <w:tcPr>
            <w:tcW w:w="4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7" w:lineRule="exact"/>
        <w:rPr>
          <w:sz w:val="20"/>
          <w:szCs w:val="20"/>
          <w:color w:val="auto"/>
        </w:rPr>
      </w:pPr>
    </w:p>
    <w:p>
      <w:pPr>
        <w:ind w:left="6" w:right="20"/>
        <w:spacing w:after="0" w:line="246" w:lineRule="auto"/>
        <w:rPr>
          <w:sz w:val="20"/>
          <w:szCs w:val="20"/>
          <w:color w:val="auto"/>
        </w:rPr>
      </w:pPr>
      <w:r>
        <w:rPr>
          <w:rFonts w:ascii="Times New Roman" w:cs="Times New Roman" w:eastAsia="Times New Roman" w:hAnsi="Times New Roman"/>
          <w:sz w:val="20"/>
          <w:szCs w:val="20"/>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$1.3 million has been recorded for the deferred taxes on such undistributed foreign earnings as of December 31, 2025. The deferred taxes are attributable primarily to the foreign withholding taxes that would become payable should the Company repatriate cash held in its foreign operations.</w:t>
      </w:r>
    </w:p>
    <w:p>
      <w:pPr>
        <w:spacing w:after="0" w:line="19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Income tax expense consisted of the following for the years ended December 31:</w:t>
      </w:r>
    </w:p>
    <w:p>
      <w:pPr>
        <w:spacing w:after="0" w:line="260"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Pr>
          <w:p>
            <w:pPr>
              <w:spacing w:after="0"/>
              <w:rPr>
                <w:sz w:val="21"/>
                <w:szCs w:val="21"/>
                <w:color w:val="auto"/>
              </w:rPr>
            </w:pPr>
          </w:p>
        </w:tc>
      </w:tr>
      <w:tr>
        <w:trPr>
          <w:trHeight w:val="25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Current tax expense:</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2"/>
        </w:trPr>
        <w:tc>
          <w:tcPr>
            <w:tcW w:w="62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15,361</w:t>
            </w:r>
          </w:p>
        </w:tc>
        <w:tc>
          <w:tcPr>
            <w:tcW w:w="36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2,829</w:t>
            </w:r>
          </w:p>
        </w:tc>
        <w:tc>
          <w:tcPr>
            <w:tcW w:w="140" w:type="dxa"/>
            <w:vAlign w:val="bottom"/>
            <w:shd w:val="clear" w:color="auto" w:fill="E6E6E6"/>
          </w:tcPr>
          <w:p>
            <w:pPr>
              <w:spacing w:after="0"/>
              <w:rPr>
                <w:sz w:val="21"/>
                <w:szCs w:val="21"/>
                <w:color w:val="auto"/>
              </w:rPr>
            </w:pPr>
          </w:p>
        </w:tc>
        <w:tc>
          <w:tcPr>
            <w:tcW w:w="32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3,940</w:t>
            </w:r>
          </w:p>
        </w:tc>
        <w:tc>
          <w:tcPr>
            <w:tcW w:w="160" w:type="dxa"/>
            <w:vAlign w:val="bottom"/>
            <w:shd w:val="clear" w:color="auto" w:fill="E6E6E6"/>
          </w:tcPr>
          <w:p>
            <w:pPr>
              <w:spacing w:after="0"/>
              <w:rPr>
                <w:sz w:val="21"/>
                <w:szCs w:val="21"/>
                <w:color w:val="auto"/>
              </w:rPr>
            </w:pPr>
          </w:p>
        </w:tc>
      </w:tr>
      <w:tr>
        <w:trPr>
          <w:trHeight w:val="242"/>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160" w:type="dxa"/>
            <w:vAlign w:val="bottom"/>
          </w:tcPr>
          <w:p>
            <w:pPr>
              <w:spacing w:after="0"/>
              <w:rPr>
                <w:sz w:val="21"/>
                <w:szCs w:val="21"/>
                <w:color w:val="auto"/>
              </w:rPr>
            </w:pPr>
          </w:p>
        </w:tc>
      </w:tr>
      <w:tr>
        <w:trPr>
          <w:trHeight w:val="242"/>
        </w:trPr>
        <w:tc>
          <w:tcPr>
            <w:tcW w:w="62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shd w:val="clear" w:color="auto" w:fill="E6E6E6"/>
          </w:tcPr>
          <w:p>
            <w:pPr>
              <w:spacing w:after="0"/>
              <w:rPr>
                <w:sz w:val="21"/>
                <w:szCs w:val="21"/>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7,218</w:t>
            </w:r>
          </w:p>
        </w:tc>
        <w:tc>
          <w:tcPr>
            <w:tcW w:w="80" w:type="dxa"/>
            <w:vAlign w:val="bottom"/>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3,359</w:t>
            </w: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spacing w:after="0"/>
              <w:rPr>
                <w:sz w:val="21"/>
                <w:szCs w:val="21"/>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2,107</w:t>
            </w:r>
          </w:p>
        </w:tc>
        <w:tc>
          <w:tcPr>
            <w:tcW w:w="160" w:type="dxa"/>
            <w:vAlign w:val="bottom"/>
            <w:shd w:val="clear" w:color="auto" w:fill="E6E6E6"/>
          </w:tcPr>
          <w:p>
            <w:pPr>
              <w:spacing w:after="0"/>
              <w:rPr>
                <w:sz w:val="21"/>
                <w:szCs w:val="21"/>
                <w:color w:val="auto"/>
              </w:rPr>
            </w:pPr>
          </w:p>
        </w:tc>
      </w:tr>
      <w:tr>
        <w:trPr>
          <w:trHeight w:val="236"/>
        </w:trPr>
        <w:tc>
          <w:tcPr>
            <w:tcW w:w="6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7,147</w:t>
            </w:r>
          </w:p>
        </w:tc>
        <w:tc>
          <w:tcPr>
            <w:tcW w:w="160" w:type="dxa"/>
            <w:vAlign w:val="bottom"/>
          </w:tcPr>
          <w:p>
            <w:pPr>
              <w:spacing w:after="0"/>
              <w:rPr>
                <w:sz w:val="20"/>
                <w:szCs w:val="20"/>
                <w:color w:val="auto"/>
              </w:rPr>
            </w:pPr>
          </w:p>
        </w:tc>
      </w:tr>
      <w:tr>
        <w:trPr>
          <w:trHeight w:val="242"/>
        </w:trPr>
        <w:tc>
          <w:tcPr>
            <w:tcW w:w="6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Deferred tax expense (benefit):</w:t>
            </w:r>
          </w:p>
        </w:tc>
        <w:tc>
          <w:tcPr>
            <w:tcW w:w="300" w:type="dxa"/>
            <w:vAlign w:val="bottom"/>
            <w:shd w:val="clear" w:color="auto" w:fill="E6E6E6"/>
          </w:tcPr>
          <w:p>
            <w:pPr>
              <w:spacing w:after="0"/>
              <w:rPr>
                <w:sz w:val="21"/>
                <w:szCs w:val="21"/>
                <w:color w:val="auto"/>
              </w:rPr>
            </w:pPr>
          </w:p>
        </w:tc>
        <w:tc>
          <w:tcPr>
            <w:tcW w:w="11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r>
      <w:tr>
        <w:trPr>
          <w:trHeight w:val="242"/>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(495)</w:t>
            </w:r>
          </w:p>
        </w:tc>
      </w:tr>
      <w:tr>
        <w:trPr>
          <w:trHeight w:val="242"/>
        </w:trPr>
        <w:tc>
          <w:tcPr>
            <w:tcW w:w="62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shd w:val="clear" w:color="auto" w:fill="E6E6E6"/>
          </w:tcPr>
          <w:p>
            <w:pPr>
              <w:spacing w:after="0"/>
              <w:rPr>
                <w:sz w:val="21"/>
                <w:szCs w:val="21"/>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2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(295)</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1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(208)</w:t>
            </w:r>
          </w:p>
        </w:tc>
      </w:tr>
      <w:tr>
        <w:trPr>
          <w:trHeight w:val="242"/>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(1,472)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160" w:type="dxa"/>
            <w:vAlign w:val="bottom"/>
          </w:tcPr>
          <w:p>
            <w:pPr>
              <w:spacing w:after="0"/>
              <w:rPr>
                <w:sz w:val="21"/>
                <w:szCs w:val="21"/>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6"/>
          </w:cols>
          <w:pgMar w:left="594" w:top="818" w:right="600" w:bottom="66" w:gutter="0" w:footer="0" w:header="0"/>
        </w:sectPr>
      </w:pPr>
    </w:p>
    <w:p>
      <w:pPr>
        <w:spacing w:after="0" w:line="4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686"/>
          </w:cols>
          <w:pgMar w:left="594" w:top="818" w:right="600" w:bottom="66"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56"/>
        </w:trPr>
        <w:tc>
          <w:tcPr>
            <w:tcW w:w="6260" w:type="dxa"/>
            <w:vAlign w:val="bottom"/>
            <w:tcBorders>
              <w:top w:val="single" w:sz="8" w:color="E6E6E6"/>
            </w:tcBorders>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Total deferred tax expense (benefit)</w:t>
            </w:r>
          </w:p>
        </w:tc>
        <w:tc>
          <w:tcPr>
            <w:tcW w:w="480" w:type="dxa"/>
            <w:vAlign w:val="bottom"/>
            <w:tcBorders>
              <w:top w:val="single" w:sz="8" w:color="auto"/>
            </w:tcBorders>
            <w:shd w:val="clear" w:color="auto" w:fill="E6E6E6"/>
          </w:tcPr>
          <w:p>
            <w:pPr>
              <w:spacing w:after="0"/>
              <w:rPr>
                <w:sz w:val="22"/>
                <w:szCs w:val="22"/>
                <w:color w:val="auto"/>
              </w:rPr>
            </w:pPr>
          </w:p>
        </w:tc>
        <w:tc>
          <w:tcPr>
            <w:tcW w:w="9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6,312</w:t>
            </w:r>
          </w:p>
        </w:tc>
        <w:tc>
          <w:tcPr>
            <w:tcW w:w="80" w:type="dxa"/>
            <w:vAlign w:val="bottom"/>
            <w:tcBorders>
              <w:top w:val="single" w:sz="8" w:color="E6E6E6"/>
            </w:tcBorders>
            <w:shd w:val="clear" w:color="auto" w:fill="E6E6E6"/>
          </w:tcPr>
          <w:p>
            <w:pPr>
              <w:spacing w:after="0"/>
              <w:rPr>
                <w:sz w:val="22"/>
                <w:szCs w:val="22"/>
                <w:color w:val="auto"/>
              </w:rPr>
            </w:pPr>
          </w:p>
        </w:tc>
        <w:tc>
          <w:tcPr>
            <w:tcW w:w="460" w:type="dxa"/>
            <w:vAlign w:val="bottom"/>
            <w:tcBorders>
              <w:top w:val="single" w:sz="8" w:color="auto"/>
            </w:tcBorders>
            <w:shd w:val="clear" w:color="auto" w:fill="E6E6E6"/>
          </w:tcPr>
          <w:p>
            <w:pPr>
              <w:spacing w:after="0"/>
              <w:rPr>
                <w:sz w:val="22"/>
                <w:szCs w:val="22"/>
                <w:color w:val="auto"/>
              </w:rPr>
            </w:pPr>
          </w:p>
        </w:tc>
        <w:tc>
          <w:tcPr>
            <w:tcW w:w="8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(3,672</w:t>
            </w:r>
          </w:p>
        </w:tc>
        <w:tc>
          <w:tcPr>
            <w:tcW w:w="1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6E6E6"/>
            </w:tcBorders>
            <w:shd w:val="clear" w:color="auto" w:fill="E6E6E6"/>
          </w:tcPr>
          <w:p>
            <w:pPr>
              <w:spacing w:after="0"/>
              <w:rPr>
                <w:sz w:val="22"/>
                <w:szCs w:val="22"/>
                <w:color w:val="auto"/>
              </w:rPr>
            </w:pPr>
          </w:p>
        </w:tc>
        <w:tc>
          <w:tcPr>
            <w:tcW w:w="420" w:type="dxa"/>
            <w:vAlign w:val="bottom"/>
            <w:tcBorders>
              <w:top w:val="single" w:sz="8" w:color="auto"/>
            </w:tcBorders>
            <w:shd w:val="clear" w:color="auto" w:fill="E6E6E6"/>
          </w:tcPr>
          <w:p>
            <w:pPr>
              <w:spacing w:after="0"/>
              <w:rPr>
                <w:sz w:val="22"/>
                <w:szCs w:val="22"/>
                <w:color w:val="auto"/>
              </w:rPr>
            </w:pPr>
          </w:p>
        </w:tc>
        <w:tc>
          <w:tcPr>
            <w:tcW w:w="7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60" w:type="dxa"/>
            <w:vAlign w:val="bottom"/>
            <w:tcBorders>
              <w:top w:val="single" w:sz="8" w:color="E6E6E6"/>
            </w:tcBorders>
            <w:shd w:val="clear" w:color="auto" w:fill="E6E6E6"/>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56"/>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42"/>
        </w:trPr>
        <w:tc>
          <w:tcPr>
            <w:tcW w:w="62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Federal</w:t>
            </w:r>
          </w:p>
        </w:tc>
        <w:tc>
          <w:tcPr>
            <w:tcW w:w="480" w:type="dxa"/>
            <w:vAlign w:val="bottom"/>
            <w:shd w:val="clear" w:color="auto" w:fill="E6E6E6"/>
          </w:tcPr>
          <w:p>
            <w:pPr>
              <w:spacing w:after="0"/>
              <w:rPr>
                <w:sz w:val="21"/>
                <w:szCs w:val="21"/>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20,500</w:t>
            </w:r>
          </w:p>
        </w:tc>
        <w:tc>
          <w:tcPr>
            <w:tcW w:w="8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3,445</w:t>
            </w:r>
          </w:p>
        </w:tc>
        <w:tc>
          <w:tcPr>
            <w:tcW w:w="160" w:type="dxa"/>
            <w:vAlign w:val="bottom"/>
            <w:shd w:val="clear" w:color="auto" w:fill="E6E6E6"/>
          </w:tcPr>
          <w:p>
            <w:pPr>
              <w:spacing w:after="0"/>
              <w:rPr>
                <w:sz w:val="21"/>
                <w:szCs w:val="21"/>
                <w:color w:val="auto"/>
              </w:rPr>
            </w:pPr>
          </w:p>
        </w:tc>
      </w:tr>
      <w:tr>
        <w:trPr>
          <w:trHeight w:val="242"/>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160" w:type="dxa"/>
            <w:vAlign w:val="bottom"/>
          </w:tcPr>
          <w:p>
            <w:pPr>
              <w:spacing w:after="0"/>
              <w:rPr>
                <w:sz w:val="21"/>
                <w:szCs w:val="21"/>
                <w:color w:val="auto"/>
              </w:rPr>
            </w:pPr>
          </w:p>
        </w:tc>
      </w:tr>
      <w:tr>
        <w:trPr>
          <w:trHeight w:val="242"/>
        </w:trPr>
        <w:tc>
          <w:tcPr>
            <w:tcW w:w="62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480" w:type="dxa"/>
            <w:vAlign w:val="bottom"/>
            <w:tcBorders>
              <w:bottom w:val="single" w:sz="8" w:color="auto"/>
            </w:tcBorders>
            <w:shd w:val="clear" w:color="auto" w:fill="E6E6E6"/>
          </w:tcPr>
          <w:p>
            <w:pPr>
              <w:spacing w:after="0"/>
              <w:rPr>
                <w:sz w:val="21"/>
                <w:szCs w:val="21"/>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7,696</w:t>
            </w:r>
          </w:p>
        </w:tc>
        <w:tc>
          <w:tcPr>
            <w:tcW w:w="80" w:type="dxa"/>
            <w:vAlign w:val="bottom"/>
            <w:shd w:val="clear" w:color="auto" w:fill="E6E6E6"/>
          </w:tcPr>
          <w:p>
            <w:pPr>
              <w:spacing w:after="0"/>
              <w:rPr>
                <w:sz w:val="21"/>
                <w:szCs w:val="21"/>
                <w:color w:val="auto"/>
              </w:rPr>
            </w:pPr>
          </w:p>
        </w:tc>
        <w:tc>
          <w:tcPr>
            <w:tcW w:w="460" w:type="dxa"/>
            <w:vAlign w:val="bottom"/>
            <w:tcBorders>
              <w:bottom w:val="single" w:sz="8" w:color="auto"/>
            </w:tcBorders>
            <w:shd w:val="clear" w:color="auto" w:fill="E6E6E6"/>
          </w:tcPr>
          <w:p>
            <w:pPr>
              <w:spacing w:after="0"/>
              <w:rPr>
                <w:sz w:val="21"/>
                <w:szCs w:val="21"/>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1,887</w:t>
            </w:r>
          </w:p>
        </w:tc>
        <w:tc>
          <w:tcPr>
            <w:tcW w:w="1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420" w:type="dxa"/>
            <w:vAlign w:val="bottom"/>
            <w:tcBorders>
              <w:bottom w:val="single" w:sz="8" w:color="auto"/>
            </w:tcBorders>
            <w:shd w:val="clear" w:color="auto" w:fill="E6E6E6"/>
          </w:tcPr>
          <w:p>
            <w:pPr>
              <w:spacing w:after="0"/>
              <w:rPr>
                <w:sz w:val="21"/>
                <w:szCs w:val="21"/>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2,687</w:t>
            </w:r>
          </w:p>
        </w:tc>
        <w:tc>
          <w:tcPr>
            <w:tcW w:w="160" w:type="dxa"/>
            <w:vAlign w:val="bottom"/>
            <w:shd w:val="clear" w:color="auto" w:fill="E6E6E6"/>
          </w:tcPr>
          <w:p>
            <w:pPr>
              <w:spacing w:after="0"/>
              <w:rPr>
                <w:sz w:val="21"/>
                <w:szCs w:val="21"/>
                <w:color w:val="auto"/>
              </w:rPr>
            </w:pPr>
          </w:p>
        </w:tc>
      </w:tr>
      <w:tr>
        <w:trPr>
          <w:trHeight w:val="236"/>
        </w:trPr>
        <w:tc>
          <w:tcPr>
            <w:tcW w:w="6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income tax expense</w:t>
            </w:r>
          </w:p>
        </w:tc>
        <w:tc>
          <w:tcPr>
            <w:tcW w:w="4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29,738</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7,024</w:t>
            </w:r>
          </w:p>
        </w:tc>
        <w:tc>
          <w:tcPr>
            <w:tcW w:w="16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income tax expense differs from the statutory rate due to the following for the years ending December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75"/>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0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Amount</w:t>
            </w:r>
          </w:p>
        </w:tc>
        <w:tc>
          <w:tcPr>
            <w:tcW w:w="1440" w:type="dxa"/>
            <w:vAlign w:val="bottom"/>
            <w:gridSpan w:val="2"/>
          </w:tcPr>
          <w:p>
            <w:pPr>
              <w:jc w:val="right"/>
              <w:ind w:right="561"/>
              <w:spacing w:after="0"/>
              <w:rPr>
                <w:sz w:val="20"/>
                <w:szCs w:val="20"/>
                <w:color w:val="auto"/>
              </w:rPr>
            </w:pPr>
            <w:r>
              <w:rPr>
                <w:rFonts w:ascii="Times New Roman" w:cs="Times New Roman" w:eastAsia="Times New Roman" w:hAnsi="Times New Roman"/>
                <w:sz w:val="20"/>
                <w:szCs w:val="20"/>
                <w:color w:val="auto"/>
              </w:rPr>
              <w:t>Percent</w:t>
            </w:r>
          </w:p>
        </w:tc>
      </w:tr>
      <w:tr>
        <w:trPr>
          <w:trHeight w:val="236"/>
        </w:trPr>
        <w:tc>
          <w:tcPr>
            <w:tcW w:w="72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United States federal statutory income tax rate</w:t>
            </w:r>
          </w:p>
        </w:tc>
        <w:tc>
          <w:tcPr>
            <w:tcW w:w="300" w:type="dxa"/>
            <w:vAlign w:val="bottom"/>
            <w:tcBorders>
              <w:top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12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spacing w:after="0"/>
              <w:rPr>
                <w:sz w:val="20"/>
                <w:szCs w:val="20"/>
                <w:color w:val="auto"/>
              </w:rPr>
            </w:pPr>
          </w:p>
        </w:tc>
        <w:tc>
          <w:tcPr>
            <w:tcW w:w="12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2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E6E6E6"/>
              </w:rPr>
              <w:t>%</w:t>
            </w:r>
          </w:p>
        </w:tc>
      </w:tr>
      <w:tr>
        <w:trPr>
          <w:trHeight w:val="242"/>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Domestic federal:</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2"/>
        </w:trPr>
        <w:tc>
          <w:tcPr>
            <w:tcW w:w="724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Cross-border tax laws</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r>
      <w:tr>
        <w:trPr>
          <w:trHeight w:val="242"/>
        </w:trPr>
        <w:tc>
          <w:tcPr>
            <w:tcW w:w="7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Global intangible low-taxed income</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42"/>
        </w:trPr>
        <w:tc>
          <w:tcPr>
            <w:tcW w:w="724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0.04%</w:t>
            </w:r>
          </w:p>
        </w:tc>
      </w:tr>
      <w:tr>
        <w:trPr>
          <w:trHeight w:val="242"/>
        </w:trPr>
        <w:tc>
          <w:tcPr>
            <w:tcW w:w="7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credits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2"/>
        </w:trPr>
        <w:tc>
          <w:tcPr>
            <w:tcW w:w="724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Foreign tax credits</w:t>
            </w:r>
          </w:p>
        </w:tc>
        <w:tc>
          <w:tcPr>
            <w:tcW w:w="30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(1,141)</w:t>
            </w: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42"/>
        </w:trPr>
        <w:tc>
          <w:tcPr>
            <w:tcW w:w="7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(551)</w:t>
            </w: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-0.66%</w:t>
            </w:r>
          </w:p>
        </w:tc>
      </w:tr>
      <w:tr>
        <w:trPr>
          <w:trHeight w:val="242"/>
        </w:trPr>
        <w:tc>
          <w:tcPr>
            <w:tcW w:w="724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30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(744)</w:t>
            </w: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-0.90%</w:t>
            </w:r>
          </w:p>
        </w:tc>
      </w:tr>
      <w:tr>
        <w:trPr>
          <w:trHeight w:val="242"/>
        </w:trPr>
        <w:tc>
          <w:tcPr>
            <w:tcW w:w="7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Nontaxable and nondeductible items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2"/>
        </w:trPr>
        <w:tc>
          <w:tcPr>
            <w:tcW w:w="724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Share-based payment awards</w:t>
            </w:r>
          </w:p>
        </w:tc>
        <w:tc>
          <w:tcPr>
            <w:tcW w:w="30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(1,867)</w:t>
            </w: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-2.25%</w:t>
            </w:r>
          </w:p>
        </w:tc>
      </w:tr>
      <w:tr>
        <w:trPr>
          <w:trHeight w:val="242"/>
        </w:trPr>
        <w:tc>
          <w:tcPr>
            <w:tcW w:w="7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Excess Compensation</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4.84%</w:t>
            </w:r>
          </w:p>
        </w:tc>
      </w:tr>
      <w:tr>
        <w:trPr>
          <w:trHeight w:val="242"/>
        </w:trPr>
        <w:tc>
          <w:tcPr>
            <w:tcW w:w="724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0.64%</w:t>
            </w:r>
          </w:p>
        </w:tc>
      </w:tr>
      <w:tr>
        <w:trPr>
          <w:trHeight w:val="242"/>
        </w:trPr>
        <w:tc>
          <w:tcPr>
            <w:tcW w:w="7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2"/>
        </w:trPr>
        <w:tc>
          <w:tcPr>
            <w:tcW w:w="724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Divestiture</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6,041</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7.29%</w:t>
            </w:r>
          </w:p>
        </w:tc>
      </w:tr>
      <w:tr>
        <w:trPr>
          <w:trHeight w:val="242"/>
        </w:trPr>
        <w:tc>
          <w:tcPr>
            <w:tcW w:w="72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(184)</w:t>
            </w: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w:t>
            </w:r>
          </w:p>
        </w:tc>
      </w:tr>
      <w:tr>
        <w:trPr>
          <w:trHeight w:val="242"/>
        </w:trPr>
        <w:tc>
          <w:tcPr>
            <w:tcW w:w="7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Domestic state and local income taxes, net of federal income tax effect</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1.65%</w:t>
            </w:r>
          </w:p>
        </w:tc>
      </w:tr>
      <w:tr>
        <w:trPr>
          <w:trHeight w:val="242"/>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2"/>
        </w:trPr>
        <w:tc>
          <w:tcPr>
            <w:tcW w:w="72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Netherlands</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r>
      <w:tr>
        <w:trPr>
          <w:trHeight w:val="242"/>
        </w:trPr>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Provision-to-return adjustments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42"/>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0.72%</w:t>
            </w:r>
          </w:p>
        </w:tc>
      </w:tr>
      <w:tr>
        <w:trPr>
          <w:trHeight w:val="242"/>
        </w:trPr>
        <w:tc>
          <w:tcPr>
            <w:tcW w:w="7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Arab Emirates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0"/>
        </w:trPr>
        <w:tc>
          <w:tcPr>
            <w:tcW w:w="7240" w:type="dxa"/>
            <w:vAlign w:val="bottom"/>
            <w:shd w:val="clear" w:color="auto" w:fill="E6E6E6"/>
          </w:tcPr>
          <w:p>
            <w:pPr>
              <w:ind w:left="400"/>
              <w:spacing w:after="0" w:line="221" w:lineRule="exact"/>
              <w:rPr>
                <w:sz w:val="20"/>
                <w:szCs w:val="20"/>
                <w:color w:val="auto"/>
              </w:rPr>
            </w:pPr>
            <w:r>
              <w:rPr>
                <w:rFonts w:ascii="Times New Roman" w:cs="Times New Roman" w:eastAsia="Times New Roman" w:hAnsi="Times New Roman"/>
                <w:sz w:val="20"/>
                <w:szCs w:val="20"/>
                <w:color w:val="auto"/>
              </w:rPr>
              <w:t>Statutory rate difference between United Arab Emirates and United</w:t>
            </w:r>
          </w:p>
        </w:tc>
        <w:tc>
          <w:tcPr>
            <w:tcW w:w="30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2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r>
      <w:tr>
        <w:trPr>
          <w:trHeight w:val="249"/>
        </w:trPr>
        <w:tc>
          <w:tcPr>
            <w:tcW w:w="724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20"/>
                <w:szCs w:val="20"/>
                <w:color w:val="auto"/>
              </w:rPr>
              <w:t>States</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1,005</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42"/>
        </w:trPr>
        <w:tc>
          <w:tcPr>
            <w:tcW w:w="7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(273)</w:t>
            </w: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-0.33%</w:t>
            </w:r>
          </w:p>
        </w:tc>
      </w:tr>
      <w:tr>
        <w:trPr>
          <w:trHeight w:val="242"/>
        </w:trPr>
        <w:tc>
          <w:tcPr>
            <w:tcW w:w="72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3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904</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42"/>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0.07%</w:t>
            </w:r>
          </w:p>
        </w:tc>
      </w:tr>
      <w:tr>
        <w:trPr>
          <w:trHeight w:val="236"/>
        </w:trPr>
        <w:tc>
          <w:tcPr>
            <w:tcW w:w="72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top w:val="single" w:sz="8" w:color="auto"/>
              <w:bottom w:val="single" w:sz="8" w:color="auto"/>
            </w:tcBorders>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29,738</w:t>
            </w:r>
          </w:p>
        </w:tc>
        <w:tc>
          <w:tcPr>
            <w:tcW w:w="12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bottom w:val="single" w:sz="8" w:color="auto"/>
            </w:tcBorders>
            <w:shd w:val="clear" w:color="auto" w:fill="E6E6E6"/>
          </w:tcPr>
          <w:p>
            <w:pPr>
              <w:spacing w:after="0"/>
              <w:rPr>
                <w:sz w:val="20"/>
                <w:szCs w:val="20"/>
                <w:color w:val="auto"/>
              </w:rPr>
            </w:pPr>
          </w:p>
        </w:tc>
        <w:tc>
          <w:tcPr>
            <w:tcW w:w="12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35.89</w:t>
            </w:r>
          </w:p>
        </w:tc>
        <w:tc>
          <w:tcPr>
            <w:tcW w:w="2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E6E6E6"/>
              </w:rPr>
              <w:t>%</w:t>
            </w: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819"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680"/>
          </w:cols>
          <w:pgMar w:left="600" w:top="819" w:right="600" w:bottom="66"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52"/>
        </w:trPr>
        <w:tc>
          <w:tcPr>
            <w:tcW w:w="71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bottom w:val="single" w:sz="8" w:color="E6E6E6"/>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6E6E6"/>
            </w:tcBorders>
          </w:tcPr>
          <w:p>
            <w:pPr>
              <w:spacing w:after="0"/>
              <w:rPr>
                <w:sz w:val="21"/>
                <w:szCs w:val="21"/>
                <w:color w:val="auto"/>
              </w:rPr>
            </w:pPr>
          </w:p>
        </w:tc>
      </w:tr>
      <w:tr>
        <w:trPr>
          <w:trHeight w:val="236"/>
        </w:trPr>
        <w:tc>
          <w:tcPr>
            <w:tcW w:w="7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Tax expense at statutory rate</w:t>
            </w:r>
          </w:p>
        </w:tc>
        <w:tc>
          <w:tcPr>
            <w:tcW w:w="20" w:type="dxa"/>
            <w:vAlign w:val="bottom"/>
            <w:shd w:val="clear" w:color="auto" w:fill="E6E6E6"/>
          </w:tcPr>
          <w:p>
            <w:pPr>
              <w:spacing w:after="0"/>
              <w:rPr>
                <w:sz w:val="20"/>
                <w:szCs w:val="20"/>
                <w:color w:val="auto"/>
              </w:rPr>
            </w:pPr>
          </w:p>
        </w:tc>
        <w:tc>
          <w:tcPr>
            <w:tcW w:w="360" w:type="dxa"/>
            <w:vAlign w:val="bottom"/>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3,715</w:t>
            </w:r>
          </w:p>
        </w:tc>
        <w:tc>
          <w:tcPr>
            <w:tcW w:w="120" w:type="dxa"/>
            <w:vAlign w:val="bottom"/>
            <w:shd w:val="clear" w:color="auto" w:fill="E6E6E6"/>
          </w:tcPr>
          <w:p>
            <w:pPr>
              <w:spacing w:after="0"/>
              <w:rPr>
                <w:sz w:val="20"/>
                <w:szCs w:val="20"/>
                <w:color w:val="auto"/>
              </w:rPr>
            </w:pPr>
          </w:p>
        </w:tc>
        <w:tc>
          <w:tcPr>
            <w:tcW w:w="340" w:type="dxa"/>
            <w:vAlign w:val="bottom"/>
            <w:shd w:val="clear" w:color="auto" w:fill="E6E6E6"/>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4,488</w:t>
            </w:r>
          </w:p>
        </w:tc>
        <w:tc>
          <w:tcPr>
            <w:tcW w:w="80" w:type="dxa"/>
            <w:vAlign w:val="bottom"/>
            <w:shd w:val="clear" w:color="auto" w:fill="E6E6E6"/>
          </w:tcPr>
          <w:p>
            <w:pPr>
              <w:spacing w:after="0"/>
              <w:rPr>
                <w:sz w:val="20"/>
                <w:szCs w:val="20"/>
                <w:color w:val="auto"/>
              </w:rPr>
            </w:pPr>
          </w:p>
        </w:tc>
      </w:tr>
      <w:tr>
        <w:trPr>
          <w:trHeight w:val="24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Increase (decrease) in tax resulting from:</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71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State income tax, net of federal benefit</w:t>
            </w:r>
          </w:p>
        </w:tc>
        <w:tc>
          <w:tcPr>
            <w:tcW w:w="380" w:type="dxa"/>
            <w:vAlign w:val="bottom"/>
            <w:gridSpan w:val="2"/>
            <w:shd w:val="clear" w:color="auto" w:fill="E6E6E6"/>
          </w:tcPr>
          <w:p>
            <w:pPr>
              <w:jc w:val="right"/>
              <w:ind w:right="198"/>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120" w:type="dxa"/>
            <w:vAlign w:val="bottom"/>
            <w:shd w:val="clear" w:color="auto" w:fill="E6E6E6"/>
          </w:tcPr>
          <w:p>
            <w:pPr>
              <w:spacing w:after="0"/>
              <w:rPr>
                <w:sz w:val="21"/>
                <w:szCs w:val="21"/>
                <w:color w:val="auto"/>
              </w:rPr>
            </w:pPr>
          </w:p>
        </w:tc>
        <w:tc>
          <w:tcPr>
            <w:tcW w:w="340" w:type="dxa"/>
            <w:vAlign w:val="bottom"/>
            <w:shd w:val="clear" w:color="auto" w:fill="E6E6E6"/>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80" w:type="dxa"/>
            <w:vAlign w:val="bottom"/>
            <w:shd w:val="clear" w:color="auto" w:fill="E6E6E6"/>
          </w:tcPr>
          <w:p>
            <w:pPr>
              <w:spacing w:after="0"/>
              <w:rPr>
                <w:sz w:val="21"/>
                <w:szCs w:val="21"/>
                <w:color w:val="auto"/>
              </w:rPr>
            </w:pPr>
          </w:p>
        </w:tc>
      </w:tr>
      <w:tr>
        <w:trPr>
          <w:trHeight w:val="242"/>
        </w:trPr>
        <w:tc>
          <w:tcPr>
            <w:tcW w:w="7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Capital loss carryforward</w:t>
            </w:r>
          </w:p>
        </w:tc>
        <w:tc>
          <w:tcPr>
            <w:tcW w:w="380" w:type="dxa"/>
            <w:vAlign w:val="bottom"/>
            <w:gridSpan w:val="2"/>
          </w:tcPr>
          <w:p>
            <w:pPr>
              <w:jc w:val="right"/>
              <w:ind w:right="198"/>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(618)</w:t>
            </w: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7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 permanent differences</w:t>
            </w: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961</w:t>
            </w:r>
          </w:p>
        </w:tc>
        <w:tc>
          <w:tcPr>
            <w:tcW w:w="12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80" w:type="dxa"/>
            <w:vAlign w:val="bottom"/>
            <w:shd w:val="clear" w:color="auto" w:fill="E6E6E6"/>
          </w:tcPr>
          <w:p>
            <w:pPr>
              <w:spacing w:after="0"/>
              <w:rPr>
                <w:sz w:val="21"/>
                <w:szCs w:val="21"/>
                <w:color w:val="auto"/>
              </w:rPr>
            </w:pPr>
          </w:p>
        </w:tc>
      </w:tr>
      <w:tr>
        <w:trPr>
          <w:trHeight w:val="242"/>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Impact of rate differences and adjustments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(1,046)</w:t>
            </w:r>
          </w:p>
        </w:tc>
      </w:tr>
      <w:tr>
        <w:trPr>
          <w:trHeight w:val="242"/>
        </w:trPr>
        <w:tc>
          <w:tcPr>
            <w:tcW w:w="7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United States tax credits and incentives</w:t>
            </w: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50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(534)</w:t>
            </w:r>
          </w:p>
        </w:tc>
        <w:tc>
          <w:tcPr>
            <w:tcW w:w="3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(532)</w:t>
            </w:r>
          </w:p>
        </w:tc>
      </w:tr>
      <w:tr>
        <w:trPr>
          <w:trHeight w:val="242"/>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tax credits and incentives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(3,142)</w:t>
            </w:r>
          </w:p>
        </w:tc>
        <w:tc>
          <w:tcPr>
            <w:tcW w:w="3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(812)</w:t>
            </w:r>
          </w:p>
        </w:tc>
      </w:tr>
      <w:tr>
        <w:trPr>
          <w:trHeight w:val="242"/>
        </w:trPr>
        <w:tc>
          <w:tcPr>
            <w:tcW w:w="7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50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(1,508)</w:t>
            </w:r>
          </w:p>
        </w:tc>
        <w:tc>
          <w:tcPr>
            <w:tcW w:w="34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80" w:type="dxa"/>
            <w:vAlign w:val="bottom"/>
            <w:shd w:val="clear" w:color="auto" w:fill="E6E6E6"/>
          </w:tcPr>
          <w:p>
            <w:pPr>
              <w:spacing w:after="0"/>
              <w:rPr>
                <w:sz w:val="21"/>
                <w:szCs w:val="21"/>
                <w:color w:val="auto"/>
              </w:rPr>
            </w:pPr>
          </w:p>
        </w:tc>
      </w:tr>
      <w:tr>
        <w:trPr>
          <w:trHeight w:val="242"/>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withholding taxes on repatriation of foreign earnings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(592)</w:t>
            </w:r>
          </w:p>
        </w:tc>
      </w:tr>
      <w:tr>
        <w:trPr>
          <w:trHeight w:val="242"/>
        </w:trPr>
        <w:tc>
          <w:tcPr>
            <w:tcW w:w="7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Earnout expense (income)</w:t>
            </w: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shd w:val="clear" w:color="auto" w:fill="E6E6E6"/>
          </w:tcPr>
          <w:p>
            <w:pPr>
              <w:spacing w:after="0"/>
              <w:rPr>
                <w:sz w:val="21"/>
                <w:szCs w:val="21"/>
                <w:color w:val="auto"/>
              </w:rPr>
            </w:pPr>
          </w:p>
        </w:tc>
      </w:tr>
      <w:tr>
        <w:trPr>
          <w:trHeight w:val="242"/>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Equity compensation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(82)</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80" w:type="dxa"/>
            <w:vAlign w:val="bottom"/>
          </w:tcPr>
          <w:p>
            <w:pPr>
              <w:spacing w:after="0"/>
              <w:rPr>
                <w:sz w:val="21"/>
                <w:szCs w:val="21"/>
                <w:color w:val="auto"/>
              </w:rPr>
            </w:pPr>
          </w:p>
        </w:tc>
      </w:tr>
      <w:tr>
        <w:trPr>
          <w:trHeight w:val="242"/>
        </w:trPr>
        <w:tc>
          <w:tcPr>
            <w:tcW w:w="7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Excess compensation</w:t>
            </w: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12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80" w:type="dxa"/>
            <w:vAlign w:val="bottom"/>
            <w:shd w:val="clear" w:color="auto" w:fill="E6E6E6"/>
          </w:tcPr>
          <w:p>
            <w:pPr>
              <w:spacing w:after="0"/>
              <w:rPr>
                <w:sz w:val="21"/>
                <w:szCs w:val="21"/>
                <w:color w:val="auto"/>
              </w:rPr>
            </w:pPr>
          </w:p>
        </w:tc>
      </w:tr>
      <w:tr>
        <w:trPr>
          <w:trHeight w:val="242"/>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Provision-to-return adjustments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(468)</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80" w:type="dxa"/>
            <w:vAlign w:val="bottom"/>
          </w:tcPr>
          <w:p>
            <w:pPr>
              <w:spacing w:after="0"/>
              <w:rPr>
                <w:sz w:val="21"/>
                <w:szCs w:val="21"/>
                <w:color w:val="auto"/>
              </w:rPr>
            </w:pPr>
          </w:p>
        </w:tc>
      </w:tr>
      <w:tr>
        <w:trPr>
          <w:trHeight w:val="242"/>
        </w:trPr>
        <w:tc>
          <w:tcPr>
            <w:tcW w:w="7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Investment in joint venture</w:t>
            </w: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50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(371)</w:t>
            </w:r>
          </w:p>
        </w:tc>
        <w:tc>
          <w:tcPr>
            <w:tcW w:w="3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42"/>
        </w:trPr>
        <w:tc>
          <w:tcPr>
            <w:tcW w:w="71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effect GILTI and FDII</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80" w:type="dxa"/>
            <w:vAlign w:val="bottom"/>
          </w:tcPr>
          <w:p>
            <w:pPr>
              <w:spacing w:after="0"/>
              <w:rPr>
                <w:sz w:val="21"/>
                <w:szCs w:val="21"/>
                <w:color w:val="auto"/>
              </w:rPr>
            </w:pPr>
          </w:p>
        </w:tc>
      </w:tr>
      <w:tr>
        <w:trPr>
          <w:trHeight w:val="262"/>
        </w:trPr>
        <w:tc>
          <w:tcPr>
            <w:tcW w:w="71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150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(428)</w:t>
            </w:r>
          </w:p>
        </w:tc>
        <w:tc>
          <w:tcPr>
            <w:tcW w:w="34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80" w:type="dxa"/>
            <w:vAlign w:val="bottom"/>
            <w:shd w:val="clear" w:color="auto" w:fill="E6E6E6"/>
          </w:tcPr>
          <w:p>
            <w:pPr>
              <w:spacing w:after="0"/>
              <w:rPr>
                <w:sz w:val="22"/>
                <w:szCs w:val="22"/>
                <w:color w:val="auto"/>
              </w:rPr>
            </w:pPr>
          </w:p>
        </w:tc>
      </w:tr>
      <w:tr>
        <w:trPr>
          <w:trHeight w:val="216"/>
        </w:trPr>
        <w:tc>
          <w:tcPr>
            <w:tcW w:w="7180" w:type="dxa"/>
            <w:vAlign w:val="bottom"/>
            <w:tcBorders>
              <w:top w:val="single" w:sz="8" w:color="E6E6E6"/>
            </w:tcBorders>
          </w:tcPr>
          <w:p>
            <w:pPr>
              <w:spacing w:after="0" w:line="216" w:lineRule="exact"/>
              <w:rPr>
                <w:sz w:val="20"/>
                <w:szCs w:val="20"/>
                <w:color w:val="auto"/>
              </w:rPr>
            </w:pPr>
            <w:r>
              <w:rPr>
                <w:rFonts w:ascii="Times New Roman" w:cs="Times New Roman" w:eastAsia="Times New Roman" w:hAnsi="Times New Roman"/>
                <w:sz w:val="20"/>
                <w:szCs w:val="20"/>
                <w:color w:val="auto"/>
              </w:rPr>
              <w:t>Total tax expense</w:t>
            </w:r>
          </w:p>
        </w:tc>
        <w:tc>
          <w:tcPr>
            <w:tcW w:w="20" w:type="dxa"/>
            <w:vAlign w:val="bottom"/>
            <w:tcBorders>
              <w:top w:val="single" w:sz="8" w:color="E6E6E6"/>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3,270</w:t>
            </w:r>
          </w:p>
        </w:tc>
        <w:tc>
          <w:tcPr>
            <w:tcW w:w="120" w:type="dxa"/>
            <w:vAlign w:val="bottom"/>
            <w:tcBorders>
              <w:top w:val="single" w:sz="8" w:color="E6E6E6"/>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7,024</w:t>
            </w:r>
          </w:p>
        </w:tc>
        <w:tc>
          <w:tcPr>
            <w:tcW w:w="80" w:type="dxa"/>
            <w:vAlign w:val="bottom"/>
            <w:tcBorders>
              <w:top w:val="single" w:sz="8" w:color="E6E6E6"/>
            </w:tcBorders>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 2025, state and local income taxes in California, New York, Illinois, and Arizona comprise the majority of the domestic state and local income taxes, net of federal effect category. In 2024, state and local income taxes in Texas and Minnesota comprise the majority of the domestic state and local income taxes, net of federal effect category. In 2023, state and local income taxes in Tennessee, Pennsylvania, New York, and California comprise the majority of the domestic state and local income taxes, net of federal effect category.</w:t>
      </w:r>
    </w:p>
    <w:p>
      <w:pPr>
        <w:spacing w:after="0" w:line="188" w:lineRule="exact"/>
        <w:rPr>
          <w:sz w:val="20"/>
          <w:szCs w:val="20"/>
          <w:color w:val="auto"/>
        </w:rPr>
      </w:pPr>
    </w:p>
    <w:p>
      <w:pPr>
        <w:jc w:val="both"/>
        <w:ind w:right="600"/>
        <w:spacing w:after="0" w:line="256" w:lineRule="auto"/>
        <w:rPr>
          <w:sz w:val="20"/>
          <w:szCs w:val="20"/>
          <w:color w:val="auto"/>
        </w:rPr>
      </w:pPr>
      <w:r>
        <w:rPr>
          <w:rFonts w:ascii="Times New Roman" w:cs="Times New Roman" w:eastAsia="Times New Roman" w:hAnsi="Times New Roman"/>
          <w:sz w:val="20"/>
          <w:szCs w:val="20"/>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6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bottom w:val="single" w:sz="8" w:color="E6E6E6"/>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E6E6E6"/>
            </w:tcBorders>
          </w:tcPr>
          <w:p>
            <w:pPr>
              <w:spacing w:after="0"/>
              <w:rPr>
                <w:sz w:val="21"/>
                <w:szCs w:val="21"/>
                <w:color w:val="auto"/>
              </w:rPr>
            </w:pPr>
          </w:p>
        </w:tc>
      </w:tr>
      <w:tr>
        <w:trPr>
          <w:trHeight w:val="236"/>
        </w:trPr>
        <w:tc>
          <w:tcPr>
            <w:tcW w:w="86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Gross deferred tax assets:</w:t>
            </w:r>
          </w:p>
        </w:tc>
        <w:tc>
          <w:tcPr>
            <w:tcW w:w="20" w:type="dxa"/>
            <w:vAlign w:val="bottom"/>
            <w:shd w:val="clear" w:color="auto" w:fill="E6E6E6"/>
          </w:tcPr>
          <w:p>
            <w:pPr>
              <w:spacing w:after="0"/>
              <w:rPr>
                <w:sz w:val="20"/>
                <w:szCs w:val="20"/>
                <w:color w:val="auto"/>
              </w:rPr>
            </w:pPr>
          </w:p>
        </w:tc>
        <w:tc>
          <w:tcPr>
            <w:tcW w:w="420" w:type="dxa"/>
            <w:vAlign w:val="bottom"/>
            <w:shd w:val="clear" w:color="auto" w:fill="E6E6E6"/>
          </w:tcPr>
          <w:p>
            <w:pPr>
              <w:spacing w:after="0"/>
              <w:rPr>
                <w:sz w:val="20"/>
                <w:szCs w:val="20"/>
                <w:color w:val="auto"/>
              </w:rPr>
            </w:pPr>
          </w:p>
        </w:tc>
        <w:tc>
          <w:tcPr>
            <w:tcW w:w="154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0" w:type="dxa"/>
            <w:vAlign w:val="bottom"/>
          </w:tcPr>
          <w:p>
            <w:pPr>
              <w:spacing w:after="0"/>
              <w:rPr>
                <w:sz w:val="21"/>
                <w:szCs w:val="21"/>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6,809</w:t>
            </w:r>
          </w:p>
        </w:tc>
        <w:tc>
          <w:tcPr>
            <w:tcW w:w="80" w:type="dxa"/>
            <w:vAlign w:val="bottom"/>
          </w:tcPr>
          <w:p>
            <w:pPr>
              <w:spacing w:after="0"/>
              <w:rPr>
                <w:sz w:val="21"/>
                <w:szCs w:val="21"/>
                <w:color w:val="auto"/>
              </w:rPr>
            </w:pP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Leases</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6,395</w:t>
            </w:r>
          </w:p>
        </w:tc>
        <w:tc>
          <w:tcPr>
            <w:tcW w:w="80" w:type="dxa"/>
            <w:vAlign w:val="bottom"/>
            <w:shd w:val="clear" w:color="auto" w:fill="E6E6E6"/>
          </w:tcPr>
          <w:p>
            <w:pPr>
              <w:spacing w:after="0"/>
              <w:rPr>
                <w:sz w:val="21"/>
                <w:szCs w:val="21"/>
                <w:color w:val="auto"/>
              </w:rPr>
            </w:pP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Reserves on assets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2,080</w:t>
            </w:r>
          </w:p>
        </w:tc>
        <w:tc>
          <w:tcPr>
            <w:tcW w:w="80" w:type="dxa"/>
            <w:vAlign w:val="bottom"/>
          </w:tcPr>
          <w:p>
            <w:pPr>
              <w:spacing w:after="0"/>
              <w:rPr>
                <w:sz w:val="21"/>
                <w:szCs w:val="21"/>
                <w:color w:val="auto"/>
              </w:rPr>
            </w:pP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Tax credit carry-forwards</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1,923</w:t>
            </w:r>
          </w:p>
        </w:tc>
        <w:tc>
          <w:tcPr>
            <w:tcW w:w="80" w:type="dxa"/>
            <w:vAlign w:val="bottom"/>
            <w:shd w:val="clear" w:color="auto" w:fill="E6E6E6"/>
          </w:tcPr>
          <w:p>
            <w:pPr>
              <w:spacing w:after="0"/>
              <w:rPr>
                <w:sz w:val="21"/>
                <w:szCs w:val="21"/>
                <w:color w:val="auto"/>
              </w:rPr>
            </w:pP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80" w:type="dxa"/>
            <w:vAlign w:val="bottom"/>
          </w:tcPr>
          <w:p>
            <w:pPr>
              <w:spacing w:after="0"/>
              <w:rPr>
                <w:sz w:val="21"/>
                <w:szCs w:val="21"/>
                <w:color w:val="auto"/>
              </w:rPr>
            </w:pP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Share-based compensation awards</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80" w:type="dxa"/>
            <w:vAlign w:val="bottom"/>
            <w:shd w:val="clear" w:color="auto" w:fill="E6E6E6"/>
          </w:tcPr>
          <w:p>
            <w:pPr>
              <w:spacing w:after="0"/>
              <w:rPr>
                <w:sz w:val="21"/>
                <w:szCs w:val="21"/>
                <w:color w:val="auto"/>
              </w:rPr>
            </w:pP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in Partnership</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80" w:type="dxa"/>
            <w:vAlign w:val="bottom"/>
          </w:tcPr>
          <w:p>
            <w:pPr>
              <w:spacing w:after="0"/>
              <w:rPr>
                <w:sz w:val="21"/>
                <w:szCs w:val="21"/>
                <w:color w:val="auto"/>
              </w:rPr>
            </w:pP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Prepaid expenses and inventory</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80" w:type="dxa"/>
            <w:vAlign w:val="bottom"/>
            <w:shd w:val="clear" w:color="auto" w:fill="E6E6E6"/>
          </w:tcPr>
          <w:p>
            <w:pPr>
              <w:spacing w:after="0"/>
              <w:rPr>
                <w:sz w:val="21"/>
                <w:szCs w:val="21"/>
                <w:color w:val="auto"/>
              </w:rPr>
            </w:pP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Section 174</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80" w:type="dxa"/>
            <w:vAlign w:val="bottom"/>
          </w:tcPr>
          <w:p>
            <w:pPr>
              <w:spacing w:after="0"/>
              <w:rPr>
                <w:sz w:val="21"/>
                <w:szCs w:val="21"/>
                <w:color w:val="auto"/>
              </w:rPr>
            </w:pP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E6E6E6"/>
          </w:tcPr>
          <w:p>
            <w:pPr>
              <w:spacing w:after="0"/>
              <w:rPr>
                <w:sz w:val="21"/>
                <w:szCs w:val="21"/>
                <w:color w:val="auto"/>
              </w:rPr>
            </w:pPr>
          </w:p>
        </w:tc>
        <w:tc>
          <w:tcPr>
            <w:tcW w:w="420" w:type="dxa"/>
            <w:vAlign w:val="bottom"/>
            <w:tcBorders>
              <w:bottom w:val="single" w:sz="8" w:color="auto"/>
            </w:tcBorders>
            <w:shd w:val="clear" w:color="auto" w:fill="E6E6E6"/>
          </w:tcPr>
          <w:p>
            <w:pPr>
              <w:spacing w:after="0"/>
              <w:rPr>
                <w:sz w:val="21"/>
                <w:szCs w:val="21"/>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80" w:type="dxa"/>
            <w:vAlign w:val="bottom"/>
            <w:shd w:val="clear" w:color="auto" w:fill="E6E6E6"/>
          </w:tcPr>
          <w:p>
            <w:pPr>
              <w:spacing w:after="0"/>
              <w:rPr>
                <w:sz w:val="21"/>
                <w:szCs w:val="21"/>
                <w:color w:val="auto"/>
              </w:rPr>
            </w:pPr>
          </w:p>
        </w:tc>
      </w:tr>
      <w:tr>
        <w:trPr>
          <w:trHeight w:val="236"/>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20,839</w:t>
            </w:r>
          </w:p>
        </w:tc>
        <w:tc>
          <w:tcPr>
            <w:tcW w:w="80" w:type="dxa"/>
            <w:vAlign w:val="bottom"/>
          </w:tcPr>
          <w:p>
            <w:pPr>
              <w:spacing w:after="0"/>
              <w:rPr>
                <w:sz w:val="20"/>
                <w:szCs w:val="20"/>
                <w:color w:val="auto"/>
              </w:rPr>
            </w:pP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Valuation allowances</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6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(8,349)</w:t>
            </w:r>
          </w:p>
        </w:tc>
      </w:tr>
      <w:tr>
        <w:trPr>
          <w:trHeight w:val="236"/>
        </w:trPr>
        <w:tc>
          <w:tcPr>
            <w:tcW w:w="8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12,491</w:t>
            </w:r>
          </w:p>
        </w:tc>
        <w:tc>
          <w:tcPr>
            <w:tcW w:w="80" w:type="dxa"/>
            <w:vAlign w:val="bottom"/>
          </w:tcPr>
          <w:p>
            <w:pPr>
              <w:spacing w:after="0"/>
              <w:rPr>
                <w:sz w:val="20"/>
                <w:szCs w:val="20"/>
                <w:color w:val="auto"/>
              </w:rPr>
            </w:pPr>
          </w:p>
        </w:tc>
      </w:tr>
      <w:tr>
        <w:trPr>
          <w:trHeight w:val="242"/>
        </w:trPr>
        <w:tc>
          <w:tcPr>
            <w:tcW w:w="86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54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and intangibles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(26,840)</w:t>
            </w: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Leases</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6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(6,248)</w:t>
            </w: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(5,228)</w:t>
            </w: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Withholding tax on unremitted foreign earnings</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6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(1,323)</w:t>
            </w: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Revenue recognition</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w:t>
            </w:r>
          </w:p>
        </w:tc>
      </w:tr>
      <w:tr>
        <w:trPr>
          <w:trHeight w:val="242"/>
        </w:trPr>
        <w:tc>
          <w:tcPr>
            <w:tcW w:w="86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Minimum pension / post retirement</w:t>
            </w:r>
          </w:p>
        </w:tc>
        <w:tc>
          <w:tcPr>
            <w:tcW w:w="2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6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42"/>
        </w:trPr>
        <w:tc>
          <w:tcPr>
            <w:tcW w:w="8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inventory</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2"/>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r>
      <w:tr>
        <w:trPr>
          <w:trHeight w:val="236"/>
        </w:trPr>
        <w:tc>
          <w:tcPr>
            <w:tcW w:w="862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420" w:type="dxa"/>
            <w:vAlign w:val="bottom"/>
            <w:tcBorders>
              <w:top w:val="single" w:sz="8" w:color="auto"/>
              <w:bottom w:val="single" w:sz="8" w:color="auto"/>
            </w:tcBorders>
            <w:shd w:val="clear" w:color="auto" w:fill="E6E6E6"/>
          </w:tcPr>
          <w:p>
            <w:pPr>
              <w:spacing w:after="0"/>
              <w:rPr>
                <w:sz w:val="20"/>
                <w:szCs w:val="20"/>
                <w:color w:val="auto"/>
              </w:rPr>
            </w:pPr>
          </w:p>
        </w:tc>
        <w:tc>
          <w:tcPr>
            <w:tcW w:w="15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(39,961</w:t>
            </w:r>
          </w:p>
        </w:tc>
        <w:tc>
          <w:tcPr>
            <w:tcW w:w="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6E6E6"/>
              </w:rPr>
              <w:t>)</w:t>
            </w:r>
          </w:p>
        </w:tc>
      </w:tr>
      <w:tr>
        <w:trPr>
          <w:trHeight w:val="236"/>
        </w:trPr>
        <w:tc>
          <w:tcPr>
            <w:tcW w:w="862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liabilities</w:t>
            </w:r>
          </w:p>
        </w:tc>
        <w:tc>
          <w:tcPr>
            <w:tcW w:w="20" w:type="dxa"/>
            <w:vAlign w:val="bottom"/>
          </w:tcPr>
          <w:p>
            <w:pPr>
              <w:spacing w:after="0"/>
              <w:rPr>
                <w:sz w:val="20"/>
                <w:szCs w:val="20"/>
                <w:color w:val="auto"/>
              </w:rPr>
            </w:pPr>
          </w:p>
        </w:tc>
        <w:tc>
          <w:tcPr>
            <w:tcW w:w="4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(27,471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680"/>
          </w:cols>
          <w:pgMar w:left="600" w:top="829" w:right="600" w:bottom="66"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680"/>
          </w:cols>
          <w:pgMar w:left="600" w:top="829" w:right="600" w:bottom="66"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52"/>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1"/>
                <w:szCs w:val="21"/>
                <w:color w:val="auto"/>
              </w:rPr>
            </w:pPr>
          </w:p>
        </w:tc>
      </w:tr>
      <w:tr>
        <w:trPr>
          <w:trHeight w:val="236"/>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Gross deferred tax assets: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360" w:type="dxa"/>
            <w:vAlign w:val="bottom"/>
            <w:shd w:val="clear" w:color="auto" w:fill="E6E6E6"/>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3,135</w:t>
            </w:r>
          </w:p>
        </w:tc>
        <w:tc>
          <w:tcPr>
            <w:tcW w:w="900" w:type="dxa"/>
            <w:vAlign w:val="bottom"/>
            <w:shd w:val="clear" w:color="auto" w:fill="E6E6E6"/>
          </w:tcPr>
          <w:p>
            <w:pPr>
              <w:spacing w:after="0"/>
              <w:rPr>
                <w:sz w:val="21"/>
                <w:szCs w:val="21"/>
                <w:color w:val="auto"/>
              </w:rPr>
            </w:pPr>
          </w:p>
        </w:tc>
        <w:tc>
          <w:tcPr>
            <w:tcW w:w="220" w:type="dxa"/>
            <w:vAlign w:val="bottom"/>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80" w:type="dxa"/>
            <w:vAlign w:val="bottom"/>
            <w:shd w:val="clear" w:color="auto" w:fill="E6E6E6"/>
          </w:tcPr>
          <w:p>
            <w:pPr>
              <w:spacing w:after="0"/>
              <w:rPr>
                <w:sz w:val="21"/>
                <w:szCs w:val="21"/>
                <w:color w:val="auto"/>
              </w:rPr>
            </w:pP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Reserves on assets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2,370</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w:t>
            </w:r>
          </w:p>
        </w:tc>
        <w:tc>
          <w:tcPr>
            <w:tcW w:w="80" w:type="dxa"/>
            <w:vAlign w:val="bottom"/>
          </w:tcPr>
          <w:p>
            <w:pPr>
              <w:spacing w:after="0"/>
              <w:rPr>
                <w:sz w:val="21"/>
                <w:szCs w:val="21"/>
                <w:color w:val="auto"/>
              </w:rPr>
            </w:pP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Share-based compensation awards</w:t>
            </w:r>
          </w:p>
        </w:tc>
        <w:tc>
          <w:tcPr>
            <w:tcW w:w="360" w:type="dxa"/>
            <w:vAlign w:val="bottom"/>
            <w:shd w:val="clear" w:color="auto" w:fill="E6E6E6"/>
          </w:tcPr>
          <w:p>
            <w:pPr>
              <w:spacing w:after="0"/>
              <w:rPr>
                <w:sz w:val="21"/>
                <w:szCs w:val="21"/>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9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80" w:type="dxa"/>
            <w:vAlign w:val="bottom"/>
            <w:shd w:val="clear" w:color="auto" w:fill="E6E6E6"/>
          </w:tcPr>
          <w:p>
            <w:pPr>
              <w:spacing w:after="0"/>
              <w:rPr>
                <w:sz w:val="21"/>
                <w:szCs w:val="21"/>
                <w:color w:val="auto"/>
              </w:rPr>
            </w:pP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Minimum pension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w:t>
            </w:r>
          </w:p>
        </w:tc>
        <w:tc>
          <w:tcPr>
            <w:tcW w:w="80" w:type="dxa"/>
            <w:vAlign w:val="bottom"/>
          </w:tcPr>
          <w:p>
            <w:pPr>
              <w:spacing w:after="0"/>
              <w:rPr>
                <w:sz w:val="21"/>
                <w:szCs w:val="21"/>
                <w:color w:val="auto"/>
              </w:rPr>
            </w:pP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60" w:type="dxa"/>
            <w:vAlign w:val="bottom"/>
            <w:shd w:val="clear" w:color="auto" w:fill="E6E6E6"/>
          </w:tcPr>
          <w:p>
            <w:pPr>
              <w:spacing w:after="0"/>
              <w:rPr>
                <w:sz w:val="21"/>
                <w:szCs w:val="21"/>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3,437</w:t>
            </w:r>
          </w:p>
        </w:tc>
        <w:tc>
          <w:tcPr>
            <w:tcW w:w="9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3,785</w:t>
            </w:r>
          </w:p>
        </w:tc>
        <w:tc>
          <w:tcPr>
            <w:tcW w:w="80" w:type="dxa"/>
            <w:vAlign w:val="bottom"/>
            <w:shd w:val="clear" w:color="auto" w:fill="E6E6E6"/>
          </w:tcPr>
          <w:p>
            <w:pPr>
              <w:spacing w:after="0"/>
              <w:rPr>
                <w:sz w:val="21"/>
                <w:szCs w:val="21"/>
                <w:color w:val="auto"/>
              </w:rPr>
            </w:pP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credit carry-forwards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2,461</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2,302</w:t>
            </w:r>
          </w:p>
        </w:tc>
        <w:tc>
          <w:tcPr>
            <w:tcW w:w="80" w:type="dxa"/>
            <w:vAlign w:val="bottom"/>
          </w:tcPr>
          <w:p>
            <w:pPr>
              <w:spacing w:after="0"/>
              <w:rPr>
                <w:sz w:val="21"/>
                <w:szCs w:val="21"/>
                <w:color w:val="auto"/>
              </w:rPr>
            </w:pP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Investment in joint venture</w:t>
            </w:r>
          </w:p>
        </w:tc>
        <w:tc>
          <w:tcPr>
            <w:tcW w:w="360" w:type="dxa"/>
            <w:vAlign w:val="bottom"/>
            <w:shd w:val="clear" w:color="auto" w:fill="E6E6E6"/>
          </w:tcPr>
          <w:p>
            <w:pPr>
              <w:spacing w:after="0"/>
              <w:rPr>
                <w:sz w:val="21"/>
                <w:szCs w:val="21"/>
                <w:color w:val="auto"/>
              </w:rPr>
            </w:pP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9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80" w:type="dxa"/>
            <w:vAlign w:val="bottom"/>
            <w:shd w:val="clear" w:color="auto" w:fill="E6E6E6"/>
          </w:tcPr>
          <w:p>
            <w:pPr>
              <w:spacing w:after="0"/>
              <w:rPr>
                <w:sz w:val="21"/>
                <w:szCs w:val="21"/>
                <w:color w:val="auto"/>
              </w:rPr>
            </w:pP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3,699</w:t>
            </w:r>
          </w:p>
        </w:tc>
        <w:tc>
          <w:tcPr>
            <w:tcW w:w="80" w:type="dxa"/>
            <w:vAlign w:val="bottom"/>
          </w:tcPr>
          <w:p>
            <w:pPr>
              <w:spacing w:after="0"/>
              <w:rPr>
                <w:sz w:val="21"/>
                <w:szCs w:val="21"/>
                <w:color w:val="auto"/>
              </w:rPr>
            </w:pPr>
          </w:p>
        </w:tc>
      </w:tr>
      <w:tr>
        <w:trPr>
          <w:trHeight w:val="262"/>
        </w:trPr>
        <w:tc>
          <w:tcPr>
            <w:tcW w:w="7000" w:type="dxa"/>
            <w:vAlign w:val="bottom"/>
            <w:tcBorders>
              <w:bottom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Research and development costs</w:t>
            </w:r>
          </w:p>
        </w:tc>
        <w:tc>
          <w:tcPr>
            <w:tcW w:w="360" w:type="dxa"/>
            <w:vAlign w:val="bottom"/>
            <w:tcBorders>
              <w:bottom w:val="single" w:sz="8" w:color="auto"/>
            </w:tcBorders>
            <w:shd w:val="clear" w:color="auto" w:fill="E6E6E6"/>
          </w:tcPr>
          <w:p>
            <w:pPr>
              <w:spacing w:after="0"/>
              <w:rPr>
                <w:sz w:val="22"/>
                <w:szCs w:val="22"/>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4,549</w:t>
            </w:r>
          </w:p>
        </w:tc>
        <w:tc>
          <w:tcPr>
            <w:tcW w:w="90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3,857</w:t>
            </w:r>
          </w:p>
        </w:tc>
        <w:tc>
          <w:tcPr>
            <w:tcW w:w="80" w:type="dxa"/>
            <w:vAlign w:val="bottom"/>
            <w:tcBorders>
              <w:bottom w:val="single" w:sz="8" w:color="E6E6E6"/>
            </w:tcBorders>
            <w:shd w:val="clear" w:color="auto" w:fill="E6E6E6"/>
          </w:tcPr>
          <w:p>
            <w:pPr>
              <w:spacing w:after="0"/>
              <w:rPr>
                <w:sz w:val="22"/>
                <w:szCs w:val="22"/>
                <w:color w:val="auto"/>
              </w:rPr>
            </w:pPr>
          </w:p>
        </w:tc>
      </w:tr>
      <w:tr>
        <w:trPr>
          <w:trHeight w:val="216"/>
        </w:trPr>
        <w:tc>
          <w:tcPr>
            <w:tcW w:w="70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 gross deferred tax assets</w:t>
            </w:r>
          </w:p>
        </w:tc>
        <w:tc>
          <w:tcPr>
            <w:tcW w:w="36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24,036</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19,359</w:t>
            </w:r>
          </w:p>
        </w:tc>
        <w:tc>
          <w:tcPr>
            <w:tcW w:w="80" w:type="dxa"/>
            <w:vAlign w:val="bottom"/>
          </w:tcPr>
          <w:p>
            <w:pPr>
              <w:spacing w:after="0"/>
              <w:rPr>
                <w:sz w:val="18"/>
                <w:szCs w:val="18"/>
                <w:color w:val="auto"/>
              </w:rPr>
            </w:pP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Valuation allowances</w:t>
            </w:r>
          </w:p>
        </w:tc>
        <w:tc>
          <w:tcPr>
            <w:tcW w:w="360" w:type="dxa"/>
            <w:vAlign w:val="bottom"/>
            <w:shd w:val="clear" w:color="auto" w:fill="E6E6E6"/>
          </w:tcPr>
          <w:p>
            <w:pPr>
              <w:spacing w:after="0"/>
              <w:rPr>
                <w:sz w:val="21"/>
                <w:szCs w:val="21"/>
                <w:color w:val="auto"/>
              </w:rPr>
            </w:pPr>
          </w:p>
        </w:tc>
        <w:tc>
          <w:tcPr>
            <w:tcW w:w="2140" w:type="dxa"/>
            <w:vAlign w:val="bottom"/>
            <w:gridSpan w:val="2"/>
            <w:shd w:val="clear" w:color="auto" w:fill="E6E6E6"/>
          </w:tcPr>
          <w:p>
            <w:pPr>
              <w:jc w:val="right"/>
              <w:ind w:right="758"/>
              <w:spacing w:after="0"/>
              <w:rPr>
                <w:sz w:val="20"/>
                <w:szCs w:val="20"/>
                <w:color w:val="auto"/>
              </w:rPr>
            </w:pPr>
            <w:r>
              <w:rPr>
                <w:rFonts w:ascii="Times New Roman" w:cs="Times New Roman" w:eastAsia="Times New Roman" w:hAnsi="Times New Roman"/>
                <w:sz w:val="20"/>
                <w:szCs w:val="20"/>
                <w:color w:val="auto"/>
              </w:rPr>
              <w:t>(5,415)</w:t>
            </w:r>
          </w:p>
        </w:tc>
        <w:tc>
          <w:tcPr>
            <w:tcW w:w="220" w:type="dxa"/>
            <w:vAlign w:val="bottom"/>
            <w:shd w:val="clear" w:color="auto" w:fill="E6E6E6"/>
          </w:tcPr>
          <w:p>
            <w:pPr>
              <w:spacing w:after="0"/>
              <w:rPr>
                <w:sz w:val="21"/>
                <w:szCs w:val="21"/>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(6,545)</w:t>
            </w:r>
          </w:p>
        </w:tc>
      </w:tr>
      <w:tr>
        <w:trPr>
          <w:trHeight w:val="236"/>
        </w:trPr>
        <w:tc>
          <w:tcPr>
            <w:tcW w:w="7000" w:type="dxa"/>
            <w:vAlign w:val="bottom"/>
            <w:tcBorders>
              <w:top w:val="single" w:sz="8" w:color="E6E6E6"/>
              <w:bottom w:val="single" w:sz="8" w:color="E6E6E6"/>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18,621</w:t>
            </w:r>
          </w:p>
        </w:tc>
        <w:tc>
          <w:tcPr>
            <w:tcW w:w="900" w:type="dxa"/>
            <w:vAlign w:val="bottom"/>
            <w:tcBorders>
              <w:top w:val="single" w:sz="8" w:color="E6E6E6"/>
              <w:bottom w:val="single" w:sz="8" w:color="E6E6E6"/>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12,814</w:t>
            </w:r>
          </w:p>
        </w:tc>
        <w:tc>
          <w:tcPr>
            <w:tcW w:w="80" w:type="dxa"/>
            <w:vAlign w:val="bottom"/>
            <w:tcBorders>
              <w:top w:val="single" w:sz="8" w:color="E6E6E6"/>
              <w:bottom w:val="single" w:sz="8" w:color="E6E6E6"/>
            </w:tcBorders>
          </w:tcPr>
          <w:p>
            <w:pPr>
              <w:spacing w:after="0"/>
              <w:rPr>
                <w:sz w:val="20"/>
                <w:szCs w:val="20"/>
                <w:color w:val="auto"/>
              </w:rPr>
            </w:pPr>
          </w:p>
        </w:tc>
      </w:tr>
      <w:tr>
        <w:trPr>
          <w:trHeight w:val="236"/>
        </w:trPr>
        <w:tc>
          <w:tcPr>
            <w:tcW w:w="7000" w:type="dxa"/>
            <w:vAlign w:val="bottom"/>
            <w:shd w:val="clear" w:color="auto" w:fill="E6E6E6"/>
          </w:tcPr>
          <w:p>
            <w:pPr>
              <w:spacing w:after="0"/>
              <w:rPr>
                <w:sz w:val="20"/>
                <w:szCs w:val="20"/>
                <w:color w:val="auto"/>
              </w:rPr>
            </w:pPr>
          </w:p>
        </w:tc>
        <w:tc>
          <w:tcPr>
            <w:tcW w:w="360" w:type="dxa"/>
            <w:vAlign w:val="bottom"/>
            <w:shd w:val="clear" w:color="auto" w:fill="E6E6E6"/>
          </w:tcPr>
          <w:p>
            <w:pPr>
              <w:spacing w:after="0"/>
              <w:rPr>
                <w:sz w:val="20"/>
                <w:szCs w:val="20"/>
                <w:color w:val="auto"/>
              </w:rPr>
            </w:pPr>
          </w:p>
        </w:tc>
        <w:tc>
          <w:tcPr>
            <w:tcW w:w="1240" w:type="dxa"/>
            <w:vAlign w:val="bottom"/>
            <w:shd w:val="clear" w:color="auto" w:fill="E6E6E6"/>
          </w:tcPr>
          <w:p>
            <w:pPr>
              <w:spacing w:after="0"/>
              <w:rPr>
                <w:sz w:val="20"/>
                <w:szCs w:val="20"/>
                <w:color w:val="auto"/>
              </w:rPr>
            </w:pPr>
          </w:p>
        </w:tc>
        <w:tc>
          <w:tcPr>
            <w:tcW w:w="90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r>
      <w:tr>
        <w:trPr>
          <w:trHeight w:val="242"/>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360" w:type="dxa"/>
            <w:vAlign w:val="bottom"/>
            <w:shd w:val="clear" w:color="auto" w:fill="E6E6E6"/>
          </w:tcPr>
          <w:p>
            <w:pPr>
              <w:spacing w:after="0"/>
              <w:rPr>
                <w:sz w:val="21"/>
                <w:szCs w:val="21"/>
                <w:color w:val="auto"/>
              </w:rPr>
            </w:pPr>
          </w:p>
        </w:tc>
        <w:tc>
          <w:tcPr>
            <w:tcW w:w="2140" w:type="dxa"/>
            <w:vAlign w:val="bottom"/>
            <w:gridSpan w:val="2"/>
            <w:shd w:val="clear" w:color="auto" w:fill="E6E6E6"/>
          </w:tcPr>
          <w:p>
            <w:pPr>
              <w:jc w:val="right"/>
              <w:ind w:right="758"/>
              <w:spacing w:after="0"/>
              <w:rPr>
                <w:sz w:val="20"/>
                <w:szCs w:val="20"/>
                <w:color w:val="auto"/>
              </w:rPr>
            </w:pPr>
            <w:r>
              <w:rPr>
                <w:rFonts w:ascii="Times New Roman" w:cs="Times New Roman" w:eastAsia="Times New Roman" w:hAnsi="Times New Roman"/>
                <w:sz w:val="20"/>
                <w:szCs w:val="20"/>
                <w:color w:val="auto"/>
              </w:rPr>
              <w:t>(2,099)</w:t>
            </w:r>
          </w:p>
        </w:tc>
        <w:tc>
          <w:tcPr>
            <w:tcW w:w="220" w:type="dxa"/>
            <w:vAlign w:val="bottom"/>
            <w:shd w:val="clear" w:color="auto" w:fill="E6E6E6"/>
          </w:tcPr>
          <w:p>
            <w:pPr>
              <w:spacing w:after="0"/>
              <w:rPr>
                <w:sz w:val="21"/>
                <w:szCs w:val="21"/>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(1,809)</w:t>
            </w: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 and intangibles</w:t>
            </w:r>
          </w:p>
        </w:tc>
        <w:tc>
          <w:tcPr>
            <w:tcW w:w="360" w:type="dxa"/>
            <w:vAlign w:val="bottom"/>
          </w:tcPr>
          <w:p>
            <w:pPr>
              <w:spacing w:after="0"/>
              <w:rPr>
                <w:sz w:val="21"/>
                <w:szCs w:val="21"/>
                <w:color w:val="auto"/>
              </w:rPr>
            </w:pPr>
          </w:p>
        </w:tc>
        <w:tc>
          <w:tcPr>
            <w:tcW w:w="2140" w:type="dxa"/>
            <w:vAlign w:val="bottom"/>
            <w:gridSpan w:val="2"/>
          </w:tcPr>
          <w:p>
            <w:pPr>
              <w:jc w:val="right"/>
              <w:ind w:right="758"/>
              <w:spacing w:after="0"/>
              <w:rPr>
                <w:sz w:val="20"/>
                <w:szCs w:val="20"/>
                <w:color w:val="auto"/>
              </w:rPr>
            </w:pPr>
            <w:r>
              <w:rPr>
                <w:rFonts w:ascii="Times New Roman" w:cs="Times New Roman" w:eastAsia="Times New Roman" w:hAnsi="Times New Roman"/>
                <w:sz w:val="20"/>
                <w:szCs w:val="20"/>
                <w:color w:val="auto"/>
              </w:rPr>
              <w:t>(19,652)</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(14,299)</w:t>
            </w: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Prepaid expenses and inventory</w:t>
            </w:r>
          </w:p>
        </w:tc>
        <w:tc>
          <w:tcPr>
            <w:tcW w:w="360" w:type="dxa"/>
            <w:vAlign w:val="bottom"/>
            <w:shd w:val="clear" w:color="auto" w:fill="E6E6E6"/>
          </w:tcPr>
          <w:p>
            <w:pPr>
              <w:spacing w:after="0"/>
              <w:rPr>
                <w:sz w:val="21"/>
                <w:szCs w:val="21"/>
                <w:color w:val="auto"/>
              </w:rPr>
            </w:pPr>
          </w:p>
        </w:tc>
        <w:tc>
          <w:tcPr>
            <w:tcW w:w="2140" w:type="dxa"/>
            <w:vAlign w:val="bottom"/>
            <w:gridSpan w:val="2"/>
            <w:shd w:val="clear" w:color="auto" w:fill="E6E6E6"/>
          </w:tcPr>
          <w:p>
            <w:pPr>
              <w:jc w:val="right"/>
              <w:ind w:right="758"/>
              <w:spacing w:after="0"/>
              <w:rPr>
                <w:sz w:val="20"/>
                <w:szCs w:val="20"/>
                <w:color w:val="auto"/>
              </w:rPr>
            </w:pPr>
            <w:r>
              <w:rPr>
                <w:rFonts w:ascii="Times New Roman" w:cs="Times New Roman" w:eastAsia="Times New Roman" w:hAnsi="Times New Roman"/>
                <w:sz w:val="20"/>
                <w:szCs w:val="20"/>
                <w:color w:val="auto"/>
              </w:rPr>
              <w:t>(45)</w:t>
            </w:r>
          </w:p>
        </w:tc>
        <w:tc>
          <w:tcPr>
            <w:tcW w:w="220" w:type="dxa"/>
            <w:vAlign w:val="bottom"/>
            <w:shd w:val="clear" w:color="auto" w:fill="E6E6E6"/>
          </w:tcPr>
          <w:p>
            <w:pPr>
              <w:spacing w:after="0"/>
              <w:rPr>
                <w:sz w:val="21"/>
                <w:szCs w:val="21"/>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Withholding tax on unremitted foreign earnings</w:t>
            </w:r>
          </w:p>
        </w:tc>
        <w:tc>
          <w:tcPr>
            <w:tcW w:w="360" w:type="dxa"/>
            <w:vAlign w:val="bottom"/>
          </w:tcPr>
          <w:p>
            <w:pPr>
              <w:spacing w:after="0"/>
              <w:rPr>
                <w:sz w:val="21"/>
                <w:szCs w:val="21"/>
                <w:color w:val="auto"/>
              </w:rPr>
            </w:pPr>
          </w:p>
        </w:tc>
        <w:tc>
          <w:tcPr>
            <w:tcW w:w="2140" w:type="dxa"/>
            <w:vAlign w:val="bottom"/>
            <w:gridSpan w:val="2"/>
          </w:tcPr>
          <w:p>
            <w:pPr>
              <w:jc w:val="right"/>
              <w:ind w:right="758"/>
              <w:spacing w:after="0"/>
              <w:rPr>
                <w:sz w:val="20"/>
                <w:szCs w:val="20"/>
                <w:color w:val="auto"/>
              </w:rPr>
            </w:pPr>
            <w:r>
              <w:rPr>
                <w:rFonts w:ascii="Times New Roman" w:cs="Times New Roman" w:eastAsia="Times New Roman" w:hAnsi="Times New Roman"/>
                <w:sz w:val="20"/>
                <w:szCs w:val="20"/>
                <w:color w:val="auto"/>
              </w:rPr>
              <w:t>(915)</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(662)</w:t>
            </w: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Leases</w:t>
            </w:r>
          </w:p>
        </w:tc>
        <w:tc>
          <w:tcPr>
            <w:tcW w:w="360" w:type="dxa"/>
            <w:vAlign w:val="bottom"/>
            <w:shd w:val="clear" w:color="auto" w:fill="E6E6E6"/>
          </w:tcPr>
          <w:p>
            <w:pPr>
              <w:spacing w:after="0"/>
              <w:rPr>
                <w:sz w:val="21"/>
                <w:szCs w:val="21"/>
                <w:color w:val="auto"/>
              </w:rPr>
            </w:pPr>
          </w:p>
        </w:tc>
        <w:tc>
          <w:tcPr>
            <w:tcW w:w="2140" w:type="dxa"/>
            <w:vAlign w:val="bottom"/>
            <w:gridSpan w:val="2"/>
            <w:shd w:val="clear" w:color="auto" w:fill="E6E6E6"/>
          </w:tcPr>
          <w:p>
            <w:pPr>
              <w:jc w:val="right"/>
              <w:ind w:right="758"/>
              <w:spacing w:after="0"/>
              <w:rPr>
                <w:sz w:val="20"/>
                <w:szCs w:val="20"/>
                <w:color w:val="auto"/>
              </w:rPr>
            </w:pPr>
            <w:r>
              <w:rPr>
                <w:rFonts w:ascii="Times New Roman" w:cs="Times New Roman" w:eastAsia="Times New Roman" w:hAnsi="Times New Roman"/>
                <w:sz w:val="20"/>
                <w:szCs w:val="20"/>
                <w:color w:val="auto"/>
              </w:rPr>
              <w:t>(5,883)</w:t>
            </w:r>
          </w:p>
        </w:tc>
        <w:tc>
          <w:tcPr>
            <w:tcW w:w="220" w:type="dxa"/>
            <w:vAlign w:val="bottom"/>
            <w:shd w:val="clear" w:color="auto" w:fill="E6E6E6"/>
          </w:tcPr>
          <w:p>
            <w:pPr>
              <w:spacing w:after="0"/>
              <w:rPr>
                <w:sz w:val="21"/>
                <w:szCs w:val="21"/>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(3,571)</w:t>
            </w: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Revenue recognition</w:t>
            </w:r>
          </w:p>
        </w:tc>
        <w:tc>
          <w:tcPr>
            <w:tcW w:w="360" w:type="dxa"/>
            <w:vAlign w:val="bottom"/>
          </w:tcPr>
          <w:p>
            <w:pPr>
              <w:spacing w:after="0"/>
              <w:rPr>
                <w:sz w:val="21"/>
                <w:szCs w:val="21"/>
                <w:color w:val="auto"/>
              </w:rPr>
            </w:pPr>
          </w:p>
        </w:tc>
        <w:tc>
          <w:tcPr>
            <w:tcW w:w="2140" w:type="dxa"/>
            <w:vAlign w:val="bottom"/>
            <w:gridSpan w:val="2"/>
          </w:tcPr>
          <w:p>
            <w:pPr>
              <w:jc w:val="right"/>
              <w:ind w:right="758"/>
              <w:spacing w:after="0"/>
              <w:rPr>
                <w:sz w:val="20"/>
                <w:szCs w:val="20"/>
                <w:color w:val="auto"/>
              </w:rPr>
            </w:pPr>
            <w:r>
              <w:rPr>
                <w:rFonts w:ascii="Times New Roman" w:cs="Times New Roman" w:eastAsia="Times New Roman" w:hAnsi="Times New Roman"/>
                <w:sz w:val="20"/>
                <w:szCs w:val="20"/>
                <w:color w:val="auto"/>
              </w:rPr>
              <w:t>(407)</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(694)</w:t>
            </w:r>
          </w:p>
        </w:tc>
      </w:tr>
      <w:tr>
        <w:trPr>
          <w:trHeight w:val="242"/>
        </w:trPr>
        <w:tc>
          <w:tcPr>
            <w:tcW w:w="70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Minimum pension</w:t>
            </w:r>
          </w:p>
        </w:tc>
        <w:tc>
          <w:tcPr>
            <w:tcW w:w="360" w:type="dxa"/>
            <w:vAlign w:val="bottom"/>
            <w:shd w:val="clear" w:color="auto" w:fill="E6E6E6"/>
          </w:tcPr>
          <w:p>
            <w:pPr>
              <w:spacing w:after="0"/>
              <w:rPr>
                <w:sz w:val="21"/>
                <w:szCs w:val="21"/>
                <w:color w:val="auto"/>
              </w:rPr>
            </w:pPr>
          </w:p>
        </w:tc>
        <w:tc>
          <w:tcPr>
            <w:tcW w:w="2140" w:type="dxa"/>
            <w:vAlign w:val="bottom"/>
            <w:gridSpan w:val="2"/>
            <w:shd w:val="clear" w:color="auto" w:fill="E6E6E6"/>
          </w:tcPr>
          <w:p>
            <w:pPr>
              <w:jc w:val="right"/>
              <w:ind w:right="758"/>
              <w:spacing w:after="0"/>
              <w:rPr>
                <w:sz w:val="20"/>
                <w:szCs w:val="20"/>
                <w:color w:val="auto"/>
              </w:rPr>
            </w:pPr>
            <w:r>
              <w:rPr>
                <w:rFonts w:ascii="Times New Roman" w:cs="Times New Roman" w:eastAsia="Times New Roman" w:hAnsi="Times New Roman"/>
                <w:sz w:val="20"/>
                <w:szCs w:val="20"/>
                <w:color w:val="auto"/>
              </w:rPr>
              <w:t>(106)</w:t>
            </w:r>
          </w:p>
        </w:tc>
        <w:tc>
          <w:tcPr>
            <w:tcW w:w="220" w:type="dxa"/>
            <w:vAlign w:val="bottom"/>
            <w:shd w:val="clear" w:color="auto" w:fill="E6E6E6"/>
          </w:tcPr>
          <w:p>
            <w:pPr>
              <w:spacing w:after="0"/>
              <w:rPr>
                <w:sz w:val="21"/>
                <w:szCs w:val="21"/>
                <w:color w:val="auto"/>
              </w:rPr>
            </w:pPr>
          </w:p>
        </w:tc>
        <w:tc>
          <w:tcPr>
            <w:tcW w:w="960" w:type="dxa"/>
            <w:vAlign w:val="bottom"/>
            <w:gridSpan w:val="2"/>
            <w:shd w:val="clear" w:color="auto" w:fill="E6E6E6"/>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w:t>
            </w:r>
          </w:p>
        </w:tc>
      </w:tr>
      <w:tr>
        <w:trPr>
          <w:trHeight w:val="236"/>
        </w:trPr>
        <w:tc>
          <w:tcPr>
            <w:tcW w:w="70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gross deferred tax liabilities</w:t>
            </w:r>
          </w:p>
        </w:tc>
        <w:tc>
          <w:tcPr>
            <w:tcW w:w="360" w:type="dxa"/>
            <w:vAlign w:val="bottom"/>
            <w:tcBorders>
              <w:top w:val="single" w:sz="8" w:color="auto"/>
              <w:bottom w:val="single" w:sz="8" w:color="auto"/>
            </w:tcBorders>
            <w:shd w:val="clear" w:color="auto" w:fill="E6E6E6"/>
          </w:tcPr>
          <w:p>
            <w:pPr>
              <w:spacing w:after="0"/>
              <w:rPr>
                <w:sz w:val="20"/>
                <w:szCs w:val="20"/>
                <w:color w:val="auto"/>
              </w:rPr>
            </w:pPr>
          </w:p>
        </w:tc>
        <w:tc>
          <w:tcPr>
            <w:tcW w:w="12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(28,977</w:t>
            </w:r>
          </w:p>
        </w:tc>
        <w:tc>
          <w:tcPr>
            <w:tcW w:w="900" w:type="dxa"/>
            <w:vAlign w:val="bottom"/>
            <w:tcBorders>
              <w:top w:val="single" w:sz="8" w:color="E6E6E6"/>
            </w:tcBorders>
            <w:shd w:val="clear" w:color="auto" w:fill="E6E6E6"/>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E6E6E6"/>
          </w:tcPr>
          <w:p>
            <w:pPr>
              <w:spacing w:after="0"/>
              <w:rPr>
                <w:sz w:val="20"/>
                <w:szCs w:val="20"/>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(21,348</w:t>
            </w:r>
          </w:p>
        </w:tc>
        <w:tc>
          <w:tcPr>
            <w:tcW w:w="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6E6E6"/>
              </w:rPr>
              <w:t>)</w:t>
            </w:r>
          </w:p>
        </w:tc>
      </w:tr>
      <w:tr>
        <w:trPr>
          <w:trHeight w:val="236"/>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3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(10,356</w:t>
            </w: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As of December 31, 2025, federal net operating loss carry forwards total $3.7 million, which expire from 2029 to 2034. As of December 31, 2025, state and local net operating loss carry forwards total $46.5 million, which expire from 2026 to 2045. The Company has recorded a valuation allowance on certain of these net operating loss carry forwards to reflect expected realization. The Company also has net operating loss carry forwards in foreign jurisdictions totaling $22.3 million. As of December 31, 2025 and 2024, the Company has recorded a valuation reserve, including but not limited to net operating losses, in the amount of $7.9 million and $5.4 million, respectively. The changes in the valuation allowance resulted in additional income tax expense (benefit) of $2.5 million, $(1.1) million, and $1.5 million in 2025, 2024, and 2023, respectively.</w:t>
      </w:r>
    </w:p>
    <w:p>
      <w:pPr>
        <w:spacing w:after="0" w:line="20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2025. The amount of the deferred tax assets considered realizable, however, could be reduced in the near term if estimates of future taxable income during the carryforward period are reduced.</w:t>
      </w:r>
    </w:p>
    <w:p>
      <w:pPr>
        <w:spacing w:after="0" w:line="204"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0"/>
          <w:szCs w:val="20"/>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ectPr>
          <w:pgSz w:w="11880" w:h="15480" w:orient="portrait"/>
          <w:cols w:equalWidth="0" w:num="1">
            <w:col w:w="10680"/>
          </w:cols>
          <w:pgMar w:left="600" w:top="1295"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680"/>
          </w:cols>
          <w:pgMar w:left="600" w:top="1295" w:right="600" w:bottom="66" w:gutter="0" w:footer="0" w:header="0"/>
          <w:type w:val="continuous"/>
        </w:sectPr>
      </w:pPr>
    </w:p>
    <w:bookmarkStart w:id="89" w:name="page90"/>
    <w:bookmarkEnd w:id="89"/>
    <w:p>
      <w:pPr>
        <w:ind w:left="6"/>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uncertain tax position reserves included in Other liabilities on the</w:t>
      </w:r>
    </w:p>
    <w:p>
      <w:pPr>
        <w:ind w:left="6"/>
        <w:spacing w:after="0"/>
        <w:rPr>
          <w:sz w:val="20"/>
          <w:szCs w:val="20"/>
          <w:color w:val="auto"/>
        </w:rPr>
      </w:pPr>
      <w:r>
        <w:rPr>
          <w:rFonts w:ascii="Times New Roman" w:cs="Times New Roman" w:eastAsia="Times New Roman" w:hAnsi="Times New Roman"/>
          <w:sz w:val="20"/>
          <w:szCs w:val="20"/>
          <w:color w:val="auto"/>
        </w:rPr>
        <w:t>Consolidated Balance Sheets is as follows:</w:t>
      </w:r>
    </w:p>
    <w:p>
      <w:pPr>
        <w:spacing w:after="0" w:line="246"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69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78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E6E6E6"/>
            </w:tcBorders>
          </w:tcPr>
          <w:p>
            <w:pPr>
              <w:spacing w:after="0"/>
              <w:rPr>
                <w:sz w:val="21"/>
                <w:szCs w:val="21"/>
                <w:color w:val="auto"/>
              </w:rPr>
            </w:pPr>
          </w:p>
        </w:tc>
      </w:tr>
      <w:tr>
        <w:trPr>
          <w:trHeight w:val="236"/>
        </w:trPr>
        <w:tc>
          <w:tcPr>
            <w:tcW w:w="69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as of January 1,</w:t>
            </w:r>
          </w:p>
        </w:tc>
        <w:tc>
          <w:tcPr>
            <w:tcW w:w="400" w:type="dxa"/>
            <w:vAlign w:val="bottom"/>
            <w:shd w:val="clear" w:color="auto" w:fill="E6E6E6"/>
          </w:tcPr>
          <w:p>
            <w:pPr>
              <w:spacing w:after="0"/>
              <w:rPr>
                <w:sz w:val="20"/>
                <w:szCs w:val="20"/>
                <w:color w:val="auto"/>
              </w:rPr>
            </w:pPr>
          </w:p>
        </w:tc>
        <w:tc>
          <w:tcPr>
            <w:tcW w:w="13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r>
      <w:tr>
        <w:trPr>
          <w:trHeight w:val="242"/>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Tax positions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0" w:type="dxa"/>
            <w:vAlign w:val="bottom"/>
          </w:tcPr>
          <w:p>
            <w:pPr>
              <w:spacing w:after="0"/>
              <w:rPr>
                <w:sz w:val="21"/>
                <w:szCs w:val="21"/>
                <w:color w:val="auto"/>
              </w:rPr>
            </w:pPr>
          </w:p>
        </w:tc>
      </w:tr>
      <w:tr>
        <w:trPr>
          <w:trHeight w:val="262"/>
        </w:trPr>
        <w:tc>
          <w:tcPr>
            <w:tcW w:w="69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Additions for tax positions of acquired company</w:t>
            </w:r>
          </w:p>
        </w:tc>
        <w:tc>
          <w:tcPr>
            <w:tcW w:w="400" w:type="dxa"/>
            <w:vAlign w:val="bottom"/>
            <w:tcBorders>
              <w:bottom w:val="single" w:sz="8" w:color="auto"/>
            </w:tcBorders>
            <w:shd w:val="clear" w:color="auto" w:fill="E6E6E6"/>
          </w:tcPr>
          <w:p>
            <w:pPr>
              <w:spacing w:after="0"/>
              <w:rPr>
                <w:sz w:val="22"/>
                <w:szCs w:val="22"/>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78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927</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16"/>
        </w:trPr>
        <w:tc>
          <w:tcPr>
            <w:tcW w:w="69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Balance as of December 31,</w:t>
            </w:r>
          </w:p>
        </w:tc>
        <w:tc>
          <w:tcPr>
            <w:tcW w:w="400" w:type="dxa"/>
            <w:vAlign w:val="bottom"/>
            <w:tcBorders>
              <w:bottom w:val="single" w:sz="8" w:color="auto"/>
            </w:tcBorders>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1,204</w:t>
            </w:r>
          </w:p>
        </w:tc>
        <w:tc>
          <w:tcPr>
            <w:tcW w:w="780" w:type="dxa"/>
            <w:vAlign w:val="bottom"/>
          </w:tcPr>
          <w:p>
            <w:pPr>
              <w:spacing w:after="0"/>
              <w:rPr>
                <w:sz w:val="18"/>
                <w:szCs w:val="18"/>
                <w:color w:val="auto"/>
              </w:rPr>
            </w:pPr>
          </w:p>
        </w:tc>
        <w:tc>
          <w:tcPr>
            <w:tcW w:w="240" w:type="dxa"/>
            <w:vAlign w:val="bottom"/>
            <w:tcBorders>
              <w:bottom w:val="single" w:sz="8" w:color="auto"/>
            </w:tcBorders>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1,063</w:t>
            </w:r>
          </w:p>
        </w:tc>
        <w:tc>
          <w:tcPr>
            <w:tcW w:w="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
        <w:spacing w:after="0" w:line="246"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uncertain tax positions in income tax expense. Total accrued penalties and net accrued interest was $0.1 million and zero as of December 31, 2025 and 2024, respectively. The balance of total unrecognized tax benefits at December 31, 2025 and 2024, are potential benefits of $1.2 million and $1.1 million, respectively, that if recognized, would affect the effective rate on income from continuing operations. Tax years going back to 2019 remain open for examination by all significant federal, state and foreign authorities.</w:t>
      </w:r>
    </w:p>
    <w:p>
      <w:pPr>
        <w:spacing w:after="0" w:line="1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Income taxes paid consisted of the following for the year ended December 31, 2025:</w:t>
      </w:r>
    </w:p>
    <w:p>
      <w:pPr>
        <w:spacing w:after="0" w:line="237"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86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E6E6E6"/>
            </w:tcBorders>
          </w:tcPr>
          <w:p>
            <w:pPr>
              <w:spacing w:after="0"/>
              <w:rPr>
                <w:sz w:val="21"/>
                <w:szCs w:val="21"/>
                <w:color w:val="auto"/>
              </w:rPr>
            </w:pPr>
          </w:p>
        </w:tc>
      </w:tr>
      <w:tr>
        <w:trPr>
          <w:trHeight w:val="236"/>
        </w:trPr>
        <w:tc>
          <w:tcPr>
            <w:tcW w:w="86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US federal</w:t>
            </w:r>
          </w:p>
        </w:tc>
        <w:tc>
          <w:tcPr>
            <w:tcW w:w="440" w:type="dxa"/>
            <w:vAlign w:val="bottom"/>
            <w:shd w:val="clear" w:color="auto" w:fill="E6E6E6"/>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17,530</w:t>
            </w:r>
          </w:p>
        </w:tc>
        <w:tc>
          <w:tcPr>
            <w:tcW w:w="60" w:type="dxa"/>
            <w:vAlign w:val="bottom"/>
            <w:shd w:val="clear" w:color="auto" w:fill="E6E6E6"/>
          </w:tcPr>
          <w:p>
            <w:pPr>
              <w:spacing w:after="0"/>
              <w:rPr>
                <w:sz w:val="20"/>
                <w:szCs w:val="20"/>
                <w:color w:val="auto"/>
              </w:rPr>
            </w:pPr>
          </w:p>
        </w:tc>
      </w:tr>
      <w:tr>
        <w:trPr>
          <w:trHeight w:val="242"/>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US state and local</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86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440" w:type="dxa"/>
            <w:vAlign w:val="bottom"/>
            <w:shd w:val="clear" w:color="auto" w:fill="E6E6E6"/>
          </w:tcPr>
          <w:p>
            <w:pPr>
              <w:spacing w:after="0"/>
              <w:rPr>
                <w:sz w:val="21"/>
                <w:szCs w:val="21"/>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2,291</w:t>
            </w:r>
          </w:p>
        </w:tc>
        <w:tc>
          <w:tcPr>
            <w:tcW w:w="60" w:type="dxa"/>
            <w:vAlign w:val="bottom"/>
            <w:shd w:val="clear" w:color="auto" w:fill="E6E6E6"/>
          </w:tcPr>
          <w:p>
            <w:pPr>
              <w:spacing w:after="0"/>
              <w:rPr>
                <w:sz w:val="21"/>
                <w:szCs w:val="21"/>
                <w:color w:val="auto"/>
              </w:rPr>
            </w:pPr>
          </w:p>
        </w:tc>
      </w:tr>
      <w:tr>
        <w:trPr>
          <w:trHeight w:val="242"/>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86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Netherlands</w:t>
            </w:r>
          </w:p>
        </w:tc>
        <w:tc>
          <w:tcPr>
            <w:tcW w:w="440" w:type="dxa"/>
            <w:vAlign w:val="bottom"/>
            <w:shd w:val="clear" w:color="auto" w:fill="E6E6E6"/>
          </w:tcPr>
          <w:p>
            <w:pPr>
              <w:spacing w:after="0"/>
              <w:rPr>
                <w:sz w:val="21"/>
                <w:szCs w:val="21"/>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2,314</w:t>
            </w:r>
          </w:p>
        </w:tc>
        <w:tc>
          <w:tcPr>
            <w:tcW w:w="60" w:type="dxa"/>
            <w:vAlign w:val="bottom"/>
            <w:shd w:val="clear" w:color="auto" w:fill="E6E6E6"/>
          </w:tcPr>
          <w:p>
            <w:pPr>
              <w:spacing w:after="0"/>
              <w:rPr>
                <w:sz w:val="21"/>
                <w:szCs w:val="21"/>
                <w:color w:val="auto"/>
              </w:rPr>
            </w:pPr>
          </w:p>
        </w:tc>
      </w:tr>
      <w:tr>
        <w:trPr>
          <w:trHeight w:val="242"/>
        </w:trPr>
        <w:tc>
          <w:tcPr>
            <w:tcW w:w="8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Canada</w:t>
            </w: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60" w:type="dxa"/>
            <w:vAlign w:val="bottom"/>
          </w:tcPr>
          <w:p>
            <w:pPr>
              <w:spacing w:after="0"/>
              <w:rPr>
                <w:sz w:val="21"/>
                <w:szCs w:val="21"/>
                <w:color w:val="auto"/>
              </w:rPr>
            </w:pPr>
          </w:p>
        </w:tc>
      </w:tr>
      <w:tr>
        <w:trPr>
          <w:trHeight w:val="242"/>
        </w:trPr>
        <w:tc>
          <w:tcPr>
            <w:tcW w:w="864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440" w:type="dxa"/>
            <w:vAlign w:val="bottom"/>
            <w:tcBorders>
              <w:bottom w:val="single" w:sz="8" w:color="auto"/>
            </w:tcBorders>
            <w:shd w:val="clear" w:color="auto" w:fill="E6E6E6"/>
          </w:tcPr>
          <w:p>
            <w:pPr>
              <w:spacing w:after="0"/>
              <w:rPr>
                <w:sz w:val="21"/>
                <w:szCs w:val="21"/>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1,320</w:t>
            </w:r>
          </w:p>
        </w:tc>
        <w:tc>
          <w:tcPr>
            <w:tcW w:w="60" w:type="dxa"/>
            <w:vAlign w:val="bottom"/>
            <w:shd w:val="clear" w:color="auto" w:fill="E6E6E6"/>
          </w:tcPr>
          <w:p>
            <w:pPr>
              <w:spacing w:after="0"/>
              <w:rPr>
                <w:sz w:val="21"/>
                <w:szCs w:val="21"/>
                <w:color w:val="auto"/>
              </w:rPr>
            </w:pPr>
          </w:p>
        </w:tc>
      </w:t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4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24,731</w:t>
            </w:r>
          </w:p>
        </w:tc>
        <w:tc>
          <w:tcPr>
            <w:tcW w:w="60" w:type="dxa"/>
            <w:vAlign w:val="bottom"/>
          </w:tcPr>
          <w:p>
            <w:pPr>
              <w:spacing w:after="0"/>
              <w:rPr>
                <w:sz w:val="20"/>
                <w:szCs w:val="20"/>
                <w:color w:val="auto"/>
              </w:rPr>
            </w:pP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 w:right="80"/>
        <w:spacing w:after="0" w:line="257" w:lineRule="auto"/>
        <w:rPr>
          <w:sz w:val="20"/>
          <w:szCs w:val="20"/>
          <w:color w:val="auto"/>
        </w:rPr>
      </w:pPr>
      <w:r>
        <w:rPr>
          <w:rFonts w:ascii="Times New Roman" w:cs="Times New Roman" w:eastAsia="Times New Roman" w:hAnsi="Times New Roman"/>
          <w:sz w:val="19"/>
          <w:szCs w:val="19"/>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84" w:lineRule="exact"/>
        <w:rPr>
          <w:sz w:val="20"/>
          <w:szCs w:val="20"/>
          <w:color w:val="auto"/>
        </w:rPr>
      </w:pPr>
    </w:p>
    <w:p>
      <w:pPr>
        <w:ind w:left="486" w:hanging="486"/>
        <w:spacing w:after="0"/>
        <w:tabs>
          <w:tab w:leader="none" w:pos="486"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auto"/>
        </w:rPr>
        <w:t>Profire Energy, Inc.</w:t>
      </w:r>
    </w:p>
    <w:p>
      <w:pPr>
        <w:spacing w:after="0" w:line="232" w:lineRule="exact"/>
        <w:rPr>
          <w:sz w:val="20"/>
          <w:szCs w:val="20"/>
          <w:color w:val="auto"/>
        </w:rPr>
      </w:pPr>
    </w:p>
    <w:p>
      <w:pPr>
        <w:ind w:left="6"/>
        <w:spacing w:after="0" w:line="242" w:lineRule="auto"/>
        <w:rPr>
          <w:sz w:val="20"/>
          <w:szCs w:val="20"/>
          <w:color w:val="auto"/>
        </w:rPr>
      </w:pPr>
      <w:r>
        <w:rPr>
          <w:rFonts w:ascii="Times New Roman" w:cs="Times New Roman" w:eastAsia="Times New Roman" w:hAnsi="Times New Roman"/>
          <w:sz w:val="20"/>
          <w:szCs w:val="20"/>
          <w:color w:val="auto"/>
        </w:rPr>
        <w:t>On January 3, 2025, the Company acquired all outstanding shares of Profire for $122.7 million in cash, including $4.6 million of cash used to settle outstanding equity awards for which $2.3 million represents the acceleration of such awards and thus recorded within "Acquisition and integration expenses" on the Condensed Consolidated Statements of Income. Resulting consideration transferred for the acquisition was $120.4 million. The transaction was financed through a combination of cash on hand and a draw on the Company's revolving credit facility. Profire is a technology company and provider of intelligent control solutions that enhance the efficiency, safety, and reliability of industrial combustion appliances. The business operates primarily from locations in Lindon, Utah and Acheson, Alberta and is reported within the Engineered Systems segment. The following table summarizes the preliminary fair values of the assets acquired and liabilities assumed at the date of closing.</w:t>
      </w:r>
    </w:p>
    <w:p>
      <w:pPr>
        <w:sectPr>
          <w:pgSz w:w="11880" w:h="15480" w:orient="portrait"/>
          <w:cols w:equalWidth="0" w:num="1">
            <w:col w:w="10686"/>
          </w:cols>
          <w:pgMar w:left="594" w:top="816"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686"/>
          </w:cols>
          <w:pgMar w:left="594" w:top="816" w:right="600" w:bottom="66"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27"/>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Current assets (including cash and cash equivalents of $22,675 and accounts receivable of $14,151)</w:t>
            </w:r>
          </w:p>
        </w:tc>
        <w:tc>
          <w:tcPr>
            <w:tcW w:w="640" w:type="dxa"/>
            <w:vAlign w:val="bottom"/>
            <w:shd w:val="clear" w:color="auto" w:fill="E6E6E6"/>
          </w:tcPr>
          <w:p>
            <w:pPr>
              <w:jc w:val="right"/>
              <w:ind w:right="44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54,867</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17,416</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Intangible - finite life</w:t>
            </w:r>
          </w:p>
        </w:tc>
        <w:tc>
          <w:tcPr>
            <w:tcW w:w="64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41,810</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25,572</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640" w:type="dxa"/>
            <w:vAlign w:val="bottom"/>
            <w:tcBorders>
              <w:bottom w:val="single" w:sz="8" w:color="auto"/>
            </w:tcBorders>
            <w:shd w:val="clear" w:color="auto" w:fill="E6E6E6"/>
          </w:tcPr>
          <w:p>
            <w:pPr>
              <w:spacing w:after="0"/>
              <w:rPr>
                <w:sz w:val="21"/>
                <w:szCs w:val="21"/>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80" w:type="dxa"/>
            <w:vAlign w:val="bottom"/>
            <w:shd w:val="clear" w:color="auto" w:fill="E6E6E6"/>
          </w:tcPr>
          <w:p>
            <w:pPr>
              <w:spacing w:after="0"/>
              <w:rPr>
                <w:sz w:val="21"/>
                <w:szCs w:val="21"/>
                <w:color w:val="auto"/>
              </w:rPr>
            </w:pPr>
          </w:p>
        </w:tc>
      </w:tr>
      <w:tr>
        <w:trPr>
          <w:trHeight w:val="236"/>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assets acquired</w:t>
            </w:r>
          </w:p>
        </w:tc>
        <w:tc>
          <w:tcPr>
            <w:tcW w:w="6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140,466</w:t>
            </w:r>
          </w:p>
        </w:tc>
        <w:tc>
          <w:tcPr>
            <w:tcW w:w="80" w:type="dxa"/>
            <w:vAlign w:val="bottom"/>
          </w:tcPr>
          <w:p>
            <w:pPr>
              <w:spacing w:after="0"/>
              <w:rPr>
                <w:sz w:val="20"/>
                <w:szCs w:val="20"/>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Current liabilities assumed</w:t>
            </w:r>
          </w:p>
        </w:tc>
        <w:tc>
          <w:tcPr>
            <w:tcW w:w="6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(8,567)</w:t>
            </w: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liability</w:t>
            </w:r>
          </w:p>
        </w:tc>
        <w:tc>
          <w:tcPr>
            <w:tcW w:w="6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(11,226)</w:t>
            </w: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liabilities assumed</w:t>
            </w:r>
          </w:p>
        </w:tc>
        <w:tc>
          <w:tcPr>
            <w:tcW w:w="6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(291)</w:t>
            </w:r>
          </w:p>
        </w:tc>
      </w:tr>
      <w:tr>
        <w:trPr>
          <w:trHeight w:val="236"/>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assets acquired</w:t>
            </w:r>
          </w:p>
        </w:tc>
        <w:tc>
          <w:tcPr>
            <w:tcW w:w="6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120,382</w:t>
            </w:r>
          </w:p>
        </w:tc>
        <w:tc>
          <w:tcPr>
            <w:tcW w:w="80" w:type="dxa"/>
            <w:vAlign w:val="bottom"/>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20"/>
          <w:szCs w:val="20"/>
          <w:color w:val="auto"/>
        </w:rPr>
        <w:t>The Company acquired property and equipment consisting of $14.7 million of land, building and improvements, $2.1 million of vehicles, and $0.6 million of machinery and equipment and other.</w:t>
      </w:r>
    </w:p>
    <w:p>
      <w:pPr>
        <w:spacing w:after="0" w:line="16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20"/>
          <w:szCs w:val="20"/>
          <w:color w:val="auto"/>
        </w:rPr>
        <w:t>The Company acquired technology, customer lists, and tradename intangible assets valued at $3.6 million, $34.5 million, and $3.7 million, respectively. These assets were determined to have useful lives of 7, 10, and 10 years, respectively.</w:t>
      </w:r>
    </w:p>
    <w:p>
      <w:pPr>
        <w:spacing w:after="0" w:line="16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20"/>
          <w:szCs w:val="20"/>
          <w:color w:val="auto"/>
        </w:rPr>
        <w:t>During the year ended December 31, 2025, Profire accounted for $62.7 million in revenue and $1.6 million in net income, in the Company's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Verantis Environmental Solutions Group</w:t>
      </w:r>
    </w:p>
    <w:p>
      <w:pPr>
        <w:spacing w:after="0" w:line="23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On December 17, 2024, the Company acquired 100% of the equity interests of Verantis Environmental Solutions Group ("Verantis") for $69.2 million in cash, which was financed with a draw on the Company's revolving credit facility. Verantis is a global leader in engineering services and environmental systems that focuses on process improvement in a wide range of general industrial and high technology processes within the Industrial Processing Solutions segment. During 2025, the Company recorded measurement period adjustments and an increase in consideration of $3.7 million related to the acquisition of Verantis, resulting in an increase to goodwill, other liabilities, and deferred income tax liability as of the acquisition date of $10.2 million, $0.2 million, and $2.8 million, respectively, and decrease to other assets of $0.1 million and current assets of $3.3 million, including $3.0 million of accounts receivable. The following table summarizes the preliminary fair values of the assets acquired and liabilities assumed at the date of closing.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Current assets (including accounts receivable of $8,661)</w:t>
            </w:r>
          </w:p>
        </w:tc>
        <w:tc>
          <w:tcPr>
            <w:tcW w:w="660" w:type="dxa"/>
            <w:vAlign w:val="bottom"/>
            <w:shd w:val="clear" w:color="auto" w:fill="E6E6E6"/>
          </w:tcPr>
          <w:p>
            <w:pPr>
              <w:jc w:val="right"/>
              <w:ind w:right="46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17,812</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Intangible - finite life</w:t>
            </w:r>
          </w:p>
        </w:tc>
        <w:tc>
          <w:tcPr>
            <w:tcW w:w="66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22,070</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Goodwill</w:t>
            </w:r>
          </w:p>
        </w:tc>
        <w:tc>
          <w:tcPr>
            <w:tcW w:w="6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54,834</w:t>
            </w:r>
          </w:p>
        </w:tc>
        <w:tc>
          <w:tcPr>
            <w:tcW w:w="80" w:type="dxa"/>
            <w:vAlign w:val="bottom"/>
            <w:tcBorders>
              <w:bottom w:val="single" w:sz="8" w:color="E6E6E6"/>
            </w:tcBorders>
          </w:tcPr>
          <w:p>
            <w:pPr>
              <w:spacing w:after="0"/>
              <w:rPr>
                <w:sz w:val="21"/>
                <w:szCs w:val="21"/>
                <w:color w:val="auto"/>
              </w:rPr>
            </w:pPr>
          </w:p>
        </w:tc>
      </w:tr>
      <w:tr>
        <w:trPr>
          <w:trHeight w:val="236"/>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Total assets acquired</w:t>
            </w:r>
          </w:p>
        </w:tc>
        <w:tc>
          <w:tcPr>
            <w:tcW w:w="660" w:type="dxa"/>
            <w:vAlign w:val="bottom"/>
            <w:shd w:val="clear" w:color="auto" w:fill="E6E6E6"/>
          </w:tcPr>
          <w:p>
            <w:pPr>
              <w:spacing w:after="0"/>
              <w:rPr>
                <w:sz w:val="20"/>
                <w:szCs w:val="20"/>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95,089</w:t>
            </w:r>
          </w:p>
        </w:tc>
        <w:tc>
          <w:tcPr>
            <w:tcW w:w="80" w:type="dxa"/>
            <w:vAlign w:val="bottom"/>
            <w:shd w:val="clear" w:color="auto" w:fill="E6E6E6"/>
          </w:tcPr>
          <w:p>
            <w:pPr>
              <w:spacing w:after="0"/>
              <w:rPr>
                <w:sz w:val="20"/>
                <w:szCs w:val="20"/>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 assumed</w:t>
            </w: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(17,624)</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Deferred income tax liability</w:t>
            </w:r>
          </w:p>
        </w:tc>
        <w:tc>
          <w:tcPr>
            <w:tcW w:w="66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(7,135)</w:t>
            </w: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 assumed</w:t>
            </w:r>
          </w:p>
        </w:tc>
        <w:tc>
          <w:tcPr>
            <w:tcW w:w="6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(1,161)</w:t>
            </w:r>
          </w:p>
        </w:tc>
      </w:tr>
      <w:tr>
        <w:trPr>
          <w:trHeight w:val="236"/>
        </w:trPr>
        <w:tc>
          <w:tcPr>
            <w:tcW w:w="8760" w:type="dxa"/>
            <w:vAlign w:val="bottom"/>
            <w:tcBorders>
              <w:top w:val="single" w:sz="8" w:color="E6E6E6"/>
            </w:tcBorders>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Net assets acquired</w:t>
            </w:r>
          </w:p>
        </w:tc>
        <w:tc>
          <w:tcPr>
            <w:tcW w:w="660" w:type="dxa"/>
            <w:vAlign w:val="bottom"/>
            <w:tcBorders>
              <w:top w:val="single" w:sz="8" w:color="auto"/>
              <w:bottom w:val="single" w:sz="8" w:color="auto"/>
            </w:tcBorders>
            <w:shd w:val="clear" w:color="auto" w:fill="E6E6E6"/>
          </w:tcPr>
          <w:p>
            <w:pPr>
              <w:jc w:val="right"/>
              <w:ind w:right="46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69,169</w:t>
            </w:r>
          </w:p>
        </w:tc>
        <w:tc>
          <w:tcPr>
            <w:tcW w:w="80" w:type="dxa"/>
            <w:vAlign w:val="bottom"/>
            <w:tcBorders>
              <w:top w:val="single" w:sz="8" w:color="E6E6E6"/>
            </w:tcBorders>
            <w:shd w:val="clear" w:color="auto" w:fill="E6E6E6"/>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20"/>
          <w:szCs w:val="20"/>
          <w:color w:val="auto"/>
        </w:rPr>
        <w:t>The Company acquired technology, customer lists and tradename intangible assets valued at $2.4 million, $17.0 million and $2.6 million, respectively. These assets were determined to have useful lives of 7, 10 and 10 years, respectively.</w:t>
      </w:r>
    </w:p>
    <w:p>
      <w:pPr>
        <w:spacing w:after="0" w:line="16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20"/>
          <w:szCs w:val="20"/>
          <w:color w:val="auto"/>
        </w:rPr>
        <w:t>During the year ended December 31, 2024, Verantis accounted for $2.4 million in revenue and $0.2 million of net income in the Company's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WK Group</w:t>
      </w:r>
    </w:p>
    <w:p>
      <w:pPr>
        <w:spacing w:after="0" w:line="23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On October 2, 2024, the Company acquired 100% of the equity interests of WK Germany KG, GmbH and WK Asia-Pacific Pte. Ltd. (collectively, "WK Group") for $6.8 million in cash, which was financed with a draw on the Company's revolving credit facility. As additional consideration in the acquisition of WK Group, the former owners of WK Group were also entitled to earn-out payments up to $27.5 million based upon specified financial results through September 30, 2025. Based on projections at the acquisition date, the Company estimated the fair value of the earn-out to be $6.3 million, recorded within "Other liabilities" on its Consolidated Balance</w:t>
      </w:r>
    </w:p>
    <w:p>
      <w:pPr>
        <w:sectPr>
          <w:pgSz w:w="11880" w:h="15480" w:orient="portrait"/>
          <w:cols w:equalWidth="0" w:num="1">
            <w:col w:w="10680"/>
          </w:cols>
          <w:pgMar w:left="600" w:top="868" w:right="600" w:bottom="66"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680"/>
          </w:cols>
          <w:pgMar w:left="600" w:top="868" w:right="600" w:bottom="66" w:gutter="0" w:footer="0" w:header="0"/>
          <w:type w:val="continuous"/>
        </w:sectPr>
      </w:pPr>
    </w:p>
    <w:bookmarkStart w:id="91" w:name="page92"/>
    <w:bookmarkEnd w:id="91"/>
    <w:p>
      <w:pPr>
        <w:ind w:right="40"/>
        <w:spacing w:after="0" w:line="255" w:lineRule="auto"/>
        <w:rPr>
          <w:sz w:val="20"/>
          <w:szCs w:val="20"/>
          <w:color w:val="auto"/>
        </w:rPr>
      </w:pPr>
      <w:r>
        <w:rPr>
          <w:rFonts w:ascii="Times New Roman" w:cs="Times New Roman" w:eastAsia="Times New Roman" w:hAnsi="Times New Roman"/>
          <w:sz w:val="19"/>
          <w:szCs w:val="19"/>
          <w:color w:val="auto"/>
        </w:rPr>
        <w:t>Sheets as of December 31, 2024. During the second quarter of 2025, the Company recorded a fair value adjustment such that the earn-out liability was reduced to zero. The associated gain of $7.4 million, inclusive of $1.1 million of foreign currency adjustments, was recorded within "Other operating expense" on the Consolidated Statements of Income. No additional adjustments were necessary at the expiration of the earn-out period in the third quarter of 2025. This fair value measurement is based on inputs not observable in the market, which is considered Level 3 on the fair value hierarchy. WK Group designs and engineers a broad range of cutting-edge technical equipment and systems for process and environmental and surface technology applications, as well as innovative sustainable solutions within the Industrial Processing Solutions segment. During 2025, the Company recorded measurement period adjustments related to the acquisition of WK Group, resulting in increases to goodwill, deferred income tax liability and other liabilities as of the acquisition date of $9.8 million, $2.6 million and $0.7 million, respectively, and decrease of $6.5 million in current assets, including a decrease of $2.3 million of accounts receivable. These adjustments relate to working capital and the associated tax balances. The following table summarizes the preliminary fair values of the assets acquired and liabilities assumed at the date of closing.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Current assets (including accounts receivable of $7,438)</w:t>
            </w:r>
          </w:p>
        </w:tc>
        <w:tc>
          <w:tcPr>
            <w:tcW w:w="660" w:type="dxa"/>
            <w:vAlign w:val="bottom"/>
            <w:shd w:val="clear" w:color="auto" w:fill="E6E6E6"/>
          </w:tcPr>
          <w:p>
            <w:pPr>
              <w:jc w:val="right"/>
              <w:ind w:right="46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13,819</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Intangible - finite life</w:t>
            </w:r>
          </w:p>
        </w:tc>
        <w:tc>
          <w:tcPr>
            <w:tcW w:w="660" w:type="dxa"/>
            <w:vAlign w:val="bottom"/>
            <w:shd w:val="clear" w:color="auto" w:fill="E6E6E6"/>
          </w:tcPr>
          <w:p>
            <w:pPr>
              <w:spacing w:after="0"/>
              <w:rPr>
                <w:sz w:val="21"/>
                <w:szCs w:val="21"/>
                <w:color w:val="auto"/>
              </w:rPr>
            </w:pP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3,114</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12,732</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660" w:type="dxa"/>
            <w:vAlign w:val="bottom"/>
            <w:tcBorders>
              <w:bottom w:val="single" w:sz="8" w:color="auto"/>
            </w:tcBorders>
            <w:shd w:val="clear" w:color="auto" w:fill="E6E6E6"/>
          </w:tcPr>
          <w:p>
            <w:pPr>
              <w:spacing w:after="0"/>
              <w:rPr>
                <w:sz w:val="21"/>
                <w:szCs w:val="21"/>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80" w:type="dxa"/>
            <w:vAlign w:val="bottom"/>
            <w:shd w:val="clear" w:color="auto" w:fill="E6E6E6"/>
          </w:tcPr>
          <w:p>
            <w:pPr>
              <w:spacing w:after="0"/>
              <w:rPr>
                <w:sz w:val="21"/>
                <w:szCs w:val="21"/>
                <w:color w:val="auto"/>
              </w:rPr>
            </w:pPr>
          </w:p>
        </w:tc>
      </w:tr>
      <w:tr>
        <w:trPr>
          <w:trHeight w:val="236"/>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assets acquired</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30,933</w:t>
            </w:r>
          </w:p>
        </w:tc>
        <w:tc>
          <w:tcPr>
            <w:tcW w:w="80" w:type="dxa"/>
            <w:vAlign w:val="bottom"/>
          </w:tcPr>
          <w:p>
            <w:pPr>
              <w:spacing w:after="0"/>
              <w:rPr>
                <w:sz w:val="20"/>
                <w:szCs w:val="20"/>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Current liabilities assumed</w:t>
            </w:r>
          </w:p>
        </w:tc>
        <w:tc>
          <w:tcPr>
            <w:tcW w:w="66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(14,997)</w:t>
            </w: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liability</w:t>
            </w:r>
          </w:p>
        </w:tc>
        <w:tc>
          <w:tcPr>
            <w:tcW w:w="6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(806)</w:t>
            </w: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liabilities assumed</w:t>
            </w:r>
          </w:p>
        </w:tc>
        <w:tc>
          <w:tcPr>
            <w:tcW w:w="660" w:type="dxa"/>
            <w:vAlign w:val="bottom"/>
            <w:shd w:val="clear" w:color="auto" w:fill="E6E6E6"/>
          </w:tcPr>
          <w:p>
            <w:pPr>
              <w:spacing w:after="0"/>
              <w:rPr>
                <w:sz w:val="21"/>
                <w:szCs w:val="21"/>
                <w:color w:val="auto"/>
              </w:rPr>
            </w:pPr>
          </w:p>
        </w:tc>
        <w:tc>
          <w:tcPr>
            <w:tcW w:w="12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(2,051)</w:t>
            </w:r>
          </w:p>
        </w:tc>
      </w:tr>
      <w:tr>
        <w:trPr>
          <w:trHeight w:val="236"/>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assets acquired</w:t>
            </w:r>
          </w:p>
        </w:tc>
        <w:tc>
          <w:tcPr>
            <w:tcW w:w="66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13,079</w:t>
            </w:r>
          </w:p>
        </w:tc>
        <w:tc>
          <w:tcPr>
            <w:tcW w:w="80" w:type="dxa"/>
            <w:vAlign w:val="bottom"/>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20"/>
          <w:szCs w:val="20"/>
          <w:color w:val="auto"/>
        </w:rPr>
        <w:t>The Company acquired technology, customer lists and tradename intangible assets valued at $1.0 million, $1.2 million and $1.0 million, respectively. These assets were determined to have useful lives of 7, 10 and 10 years, respectively.</w:t>
      </w:r>
    </w:p>
    <w:p>
      <w:pPr>
        <w:spacing w:after="0" w:line="166"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0"/>
          <w:szCs w:val="20"/>
          <w:color w:val="auto"/>
        </w:rPr>
        <w:t>During the year ended December 31, 2024, WK Group accounted for $4.6 million in revenue and $0.7 million of net loss in the Company's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EnviroCare International LLC</w:t>
      </w:r>
    </w:p>
    <w:p>
      <w:pPr>
        <w:spacing w:after="0" w:line="23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On July 29, 2024, the Company acquired 100% of the equity interests of EnviroCare International LLC (“EnviroCare") for $16.7 million, including $15.7 million paid at closing, which was financed with a draw on the Company's revolving credit facility, and a seller promissory note of $1.7 million, which was repaid in the third quarter of 2025, partially offset by a working capital adjustment of $0.7 million. EnviroCare is an international designer and provider of industrial exhaust air contamination treatment and control systems, solutions and services across a wide range of industrial and municipal applications within the Industrial Processing Solutions segment. The following table summarizes the preliminary fair values of the assets acquired and liabilities assumed at the date of closing.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Current assets (including cash of $596 and accounts receivable of $405)</w:t>
            </w:r>
          </w:p>
        </w:tc>
        <w:tc>
          <w:tcPr>
            <w:tcW w:w="700" w:type="dxa"/>
            <w:vAlign w:val="bottom"/>
            <w:shd w:val="clear" w:color="auto" w:fill="E6E6E6"/>
          </w:tcPr>
          <w:p>
            <w:pPr>
              <w:jc w:val="right"/>
              <w:ind w:right="5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3,111</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Intangible - finite life</w:t>
            </w:r>
          </w:p>
        </w:tc>
        <w:tc>
          <w:tcPr>
            <w:tcW w:w="70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7,250</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Goodwill</w:t>
            </w: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11,348</w:t>
            </w:r>
          </w:p>
        </w:tc>
        <w:tc>
          <w:tcPr>
            <w:tcW w:w="80" w:type="dxa"/>
            <w:vAlign w:val="bottom"/>
            <w:tcBorders>
              <w:bottom w:val="single" w:sz="8" w:color="E6E6E6"/>
            </w:tcBorders>
          </w:tcPr>
          <w:p>
            <w:pPr>
              <w:spacing w:after="0"/>
              <w:rPr>
                <w:sz w:val="21"/>
                <w:szCs w:val="21"/>
                <w:color w:val="auto"/>
              </w:rPr>
            </w:pPr>
          </w:p>
        </w:tc>
      </w:tr>
      <w:tr>
        <w:trPr>
          <w:trHeight w:val="236"/>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Total assets acquired</w:t>
            </w:r>
          </w:p>
        </w:tc>
        <w:tc>
          <w:tcPr>
            <w:tcW w:w="70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21,726</w:t>
            </w:r>
          </w:p>
        </w:tc>
        <w:tc>
          <w:tcPr>
            <w:tcW w:w="80" w:type="dxa"/>
            <w:vAlign w:val="bottom"/>
            <w:shd w:val="clear" w:color="auto" w:fill="E6E6E6"/>
          </w:tcPr>
          <w:p>
            <w:pPr>
              <w:spacing w:after="0"/>
              <w:rPr>
                <w:sz w:val="20"/>
                <w:szCs w:val="20"/>
                <w:color w:val="auto"/>
              </w:rPr>
            </w:pPr>
          </w:p>
        </w:tc>
      </w:tr>
      <w:tr>
        <w:trPr>
          <w:trHeight w:val="242"/>
        </w:trPr>
        <w:tc>
          <w:tcPr>
            <w:tcW w:w="87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Current liabilities assumed</w:t>
            </w: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(5,024)</w:t>
            </w:r>
          </w:p>
        </w:tc>
        <w:tc>
          <w:tcPr>
            <w:tcW w:w="80" w:type="dxa"/>
            <w:vAlign w:val="bottom"/>
            <w:tcBorders>
              <w:bottom w:val="single" w:sz="8" w:color="E6E6E6"/>
            </w:tcBorders>
          </w:tcPr>
          <w:p>
            <w:pPr>
              <w:spacing w:after="0"/>
              <w:rPr>
                <w:sz w:val="21"/>
                <w:szCs w:val="21"/>
                <w:color w:val="auto"/>
              </w:rPr>
            </w:pPr>
          </w:p>
        </w:tc>
      </w:tr>
      <w:tr>
        <w:trPr>
          <w:trHeight w:val="236"/>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Net assets acquired</w:t>
            </w:r>
          </w:p>
        </w:tc>
        <w:tc>
          <w:tcPr>
            <w:tcW w:w="700" w:type="dxa"/>
            <w:vAlign w:val="bottom"/>
            <w:tcBorders>
              <w:bottom w:val="single" w:sz="8" w:color="auto"/>
            </w:tcBorders>
            <w:shd w:val="clear" w:color="auto" w:fill="E6E6E6"/>
          </w:tcPr>
          <w:p>
            <w:pPr>
              <w:jc w:val="right"/>
              <w:ind w:right="5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16,702</w:t>
            </w:r>
          </w:p>
        </w:tc>
        <w:tc>
          <w:tcPr>
            <w:tcW w:w="80" w:type="dxa"/>
            <w:vAlign w:val="bottom"/>
            <w:shd w:val="clear" w:color="auto" w:fill="E6E6E6"/>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20"/>
          <w:szCs w:val="20"/>
          <w:color w:val="auto"/>
        </w:rPr>
        <w:t>The Company acquired technology, customer lists and tradename intangible assets valued at $0.8 million, $0.8 million and $5.7 million, respectively. These assets were determined to have useful lives of 7, 10 and 10 years, respectively.</w:t>
      </w:r>
    </w:p>
    <w:p>
      <w:pPr>
        <w:spacing w:after="0" w:line="16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0"/>
          <w:szCs w:val="20"/>
          <w:color w:val="auto"/>
        </w:rPr>
        <w:t>During the year ended December 31, 2024, EnviroCare accounted for $6.0 million in revenue and $0.9 million of net income in the Company's results.</w:t>
      </w:r>
    </w:p>
    <w:p>
      <w:pPr>
        <w:spacing w:after="0" w:line="166"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9"/>
          <w:szCs w:val="19"/>
          <w:color w:val="auto"/>
        </w:rPr>
        <w:t>During the year ended December 31, 2023, the Company acquired Kemco Systems Co., LLC ("Kemco"). As additional consideration in the acquisition of Kemco Systems Co., LLC ("Kemco"), the former owners of Kemco are entitled to earn-out payments up to $4.0</w:t>
      </w:r>
    </w:p>
    <w:p>
      <w:pPr>
        <w:sectPr>
          <w:pgSz w:w="11880" w:h="15480" w:orient="portrait"/>
          <w:cols w:equalWidth="0" w:num="1">
            <w:col w:w="10680"/>
          </w:cols>
          <w:pgMar w:left="600" w:top="818" w:right="600" w:bottom="66"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680"/>
          </w:cols>
          <w:pgMar w:left="600" w:top="818" w:right="600" w:bottom="66" w:gutter="0" w:footer="0" w:header="0"/>
          <w:type w:val="continuous"/>
        </w:sectPr>
      </w:pPr>
    </w:p>
    <w:bookmarkStart w:id="92" w:name="page93"/>
    <w:bookmarkEnd w:id="92"/>
    <w:p>
      <w:pPr>
        <w:ind w:left="6" w:right="40"/>
        <w:spacing w:after="0" w:line="243" w:lineRule="auto"/>
        <w:rPr>
          <w:sz w:val="20"/>
          <w:szCs w:val="20"/>
          <w:color w:val="auto"/>
        </w:rPr>
      </w:pPr>
      <w:r>
        <w:rPr>
          <w:rFonts w:ascii="Times New Roman" w:cs="Times New Roman" w:eastAsia="Times New Roman" w:hAnsi="Times New Roman"/>
          <w:sz w:val="20"/>
          <w:szCs w:val="20"/>
          <w:color w:val="auto"/>
        </w:rPr>
        <w:t>million based upon specified financial results through August 31, 2026. Based on projections at the acquisition date, the Company estimated the fair value of the earn-out to be $2.2 million. As of December 31, 2024, the earnout liability recorded in "Accrued expenses" on its Consolidated Balance Sheets was $0.1 million, reflecting earnout payments of $2.8 million made in the year ended December 31, 2024 and fair value adjustments of $0.7 million during the year ended December 31, 2024. During the year ended December 31, 2025, the Company reduced the earnout to zero. The fair value adjustments were recorded in "Other operating expense" on the Consolidated Statement of Income. This fair value measurement is based on inputs not observable in the market, which is considered Level 3 on the fair value hierarchy.</w:t>
      </w:r>
    </w:p>
    <w:p>
      <w:pPr>
        <w:spacing w:after="0" w:line="202" w:lineRule="exact"/>
        <w:rPr>
          <w:sz w:val="20"/>
          <w:szCs w:val="20"/>
          <w:color w:val="auto"/>
        </w:rPr>
      </w:pPr>
    </w:p>
    <w:p>
      <w:pPr>
        <w:ind w:left="6" w:right="8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2023, Kemco accounted for $13.1 million in revenue and $2.0 million of net income included in the Company’s results. During the year ended December 31, 2023, the Company also acquired Transcend Solutions which accounted for $10.3 million in revenue and $1.7 million of net income included in the Company’s results, and Malvar Engineering Limited, including its subsidiaries Arkanum Management Limited and Wakefield Acoustics Limited, which accounted for $13.8 million in revenue and $1.3 million of net income included in the Company’s results.</w:t>
      </w:r>
    </w:p>
    <w:p>
      <w:pPr>
        <w:spacing w:after="0" w:line="19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Company has finalized the valuation of assets acquired and liabilities assumed related to these acquisitions.</w:t>
      </w:r>
    </w:p>
    <w:p>
      <w:pPr>
        <w:spacing w:after="0" w:line="235" w:lineRule="exact"/>
        <w:rPr>
          <w:sz w:val="20"/>
          <w:szCs w:val="20"/>
          <w:color w:val="auto"/>
        </w:rPr>
      </w:pPr>
    </w:p>
    <w:p>
      <w:pPr>
        <w:ind w:left="6" w:right="360"/>
        <w:spacing w:after="0" w:line="276" w:lineRule="auto"/>
        <w:rPr>
          <w:sz w:val="20"/>
          <w:szCs w:val="20"/>
          <w:color w:val="auto"/>
        </w:rPr>
      </w:pPr>
      <w:r>
        <w:rPr>
          <w:rFonts w:ascii="Times New Roman" w:cs="Times New Roman" w:eastAsia="Times New Roman" w:hAnsi="Times New Roman"/>
          <w:sz w:val="19"/>
          <w:szCs w:val="19"/>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57" w:lineRule="exact"/>
        <w:rPr>
          <w:sz w:val="20"/>
          <w:szCs w:val="20"/>
          <w:color w:val="auto"/>
        </w:rPr>
      </w:pPr>
    </w:p>
    <w:p>
      <w:pPr>
        <w:ind w:left="6" w:right="360"/>
        <w:spacing w:after="0" w:line="275" w:lineRule="auto"/>
        <w:rPr>
          <w:sz w:val="20"/>
          <w:szCs w:val="20"/>
          <w:color w:val="auto"/>
        </w:rPr>
      </w:pPr>
      <w:r>
        <w:rPr>
          <w:rFonts w:ascii="Times New Roman" w:cs="Times New Roman" w:eastAsia="Times New Roman" w:hAnsi="Times New Roman"/>
          <w:sz w:val="20"/>
          <w:szCs w:val="20"/>
          <w:color w:val="auto"/>
        </w:rPr>
        <w:t>Acquisition and integration expenses on the Consolidated Statements of Income are related to acquisition activities, which include retention, legal, accounting, banking, and other expenses.</w:t>
      </w:r>
    </w:p>
    <w:p>
      <w:pPr>
        <w:spacing w:after="0" w:line="156" w:lineRule="exact"/>
        <w:rPr>
          <w:sz w:val="20"/>
          <w:szCs w:val="20"/>
          <w:color w:val="auto"/>
        </w:rPr>
      </w:pPr>
    </w:p>
    <w:p>
      <w:pPr>
        <w:ind w:left="6" w:right="240"/>
        <w:spacing w:after="0" w:line="275" w:lineRule="auto"/>
        <w:rPr>
          <w:sz w:val="20"/>
          <w:szCs w:val="20"/>
          <w:color w:val="auto"/>
        </w:rPr>
      </w:pPr>
      <w:r>
        <w:rPr>
          <w:rFonts w:ascii="Times New Roman" w:cs="Times New Roman" w:eastAsia="Times New Roman" w:hAnsi="Times New Roman"/>
          <w:sz w:val="20"/>
          <w:szCs w:val="20"/>
          <w:color w:val="auto"/>
        </w:rPr>
        <w:t>The following unaudited pro forma financial information represents the Company’s results of operations as if these acquisitions had occurred at the beginning of the fiscal year prior to the acquisition:</w:t>
      </w:r>
    </w:p>
    <w:p>
      <w:pPr>
        <w:spacing w:after="0" w:line="167" w:lineRule="exact"/>
        <w:rPr>
          <w:sz w:val="20"/>
          <w:szCs w:val="20"/>
          <w:color w:val="auto"/>
        </w:rPr>
      </w:pPr>
    </w:p>
    <w:tbl>
      <w:tblPr>
        <w:tblLayout w:type="fixed"/>
        <w:tblInd w:w="6" w:type="dxa"/>
        <w:tblCellMar>
          <w:top w:w="0" w:type="dxa"/>
          <w:left w:w="0" w:type="dxa"/>
          <w:bottom w:w="0" w:type="dxa"/>
          <w:right w:w="0" w:type="dxa"/>
        </w:tblCellMar>
      </w:tblPr>
      <w:tr>
        <w:trPr>
          <w:trHeight w:val="252"/>
        </w:trPr>
        <w:tc>
          <w:tcPr>
            <w:tcW w:w="5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70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774,381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701,265</w:t>
            </w:r>
          </w:p>
        </w:tc>
        <w:tc>
          <w:tcPr>
            <w:tcW w:w="240" w:type="dxa"/>
            <w:vAlign w:val="bottom"/>
          </w:tcPr>
          <w:p>
            <w:pPr>
              <w:spacing w:after="0"/>
              <w:rPr>
                <w:sz w:val="20"/>
                <w:szCs w:val="20"/>
                <w:color w:val="auto"/>
              </w:rPr>
            </w:pP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642,670</w:t>
            </w:r>
          </w:p>
        </w:tc>
        <w:tc>
          <w:tcPr>
            <w:tcW w:w="60" w:type="dxa"/>
            <w:vAlign w:val="bottom"/>
          </w:tcPr>
          <w:p>
            <w:pPr>
              <w:spacing w:after="0"/>
              <w:rPr>
                <w:sz w:val="20"/>
                <w:szCs w:val="20"/>
                <w:color w:val="auto"/>
              </w:rPr>
            </w:pPr>
          </w:p>
        </w:tc>
      </w:tr>
      <w:tr>
        <w:trPr>
          <w:trHeight w:val="242"/>
        </w:trPr>
        <w:tc>
          <w:tcPr>
            <w:tcW w:w="50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income attributable to CECO Environmental Corp.</w:t>
            </w:r>
          </w:p>
        </w:tc>
        <w:tc>
          <w:tcPr>
            <w:tcW w:w="1000" w:type="dxa"/>
            <w:vAlign w:val="bottom"/>
            <w:gridSpan w:val="2"/>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50,051</w:t>
            </w:r>
          </w:p>
        </w:tc>
        <w:tc>
          <w:tcPr>
            <w:tcW w:w="3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10,164</w:t>
            </w:r>
          </w:p>
        </w:tc>
        <w:tc>
          <w:tcPr>
            <w:tcW w:w="560" w:type="dxa"/>
            <w:vAlign w:val="bottom"/>
            <w:gridSpan w:val="2"/>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17,362</w:t>
            </w:r>
          </w:p>
        </w:tc>
        <w:tc>
          <w:tcPr>
            <w:tcW w:w="60" w:type="dxa"/>
            <w:vAlign w:val="bottom"/>
            <w:shd w:val="clear" w:color="auto" w:fill="E6E6E6"/>
          </w:tcPr>
          <w:p>
            <w:pPr>
              <w:spacing w:after="0"/>
              <w:rPr>
                <w:sz w:val="21"/>
                <w:szCs w:val="21"/>
                <w:color w:val="auto"/>
              </w:rPr>
            </w:pPr>
          </w:p>
        </w:tc>
      </w:tr>
      <w:tr>
        <w:trPr>
          <w:trHeight w:val="242"/>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50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Basic</w:t>
            </w:r>
          </w:p>
        </w:tc>
        <w:tc>
          <w:tcPr>
            <w:tcW w:w="1000" w:type="dxa"/>
            <w:vAlign w:val="bottom"/>
            <w:gridSpan w:val="2"/>
            <w:shd w:val="clear" w:color="auto" w:fill="E6E6E6"/>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3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560" w:type="dxa"/>
            <w:vAlign w:val="bottom"/>
            <w:gridSpan w:val="2"/>
            <w:shd w:val="clear" w:color="auto" w:fill="E6E6E6"/>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60" w:type="dxa"/>
            <w:vAlign w:val="bottom"/>
            <w:shd w:val="clear" w:color="auto" w:fill="E6E6E6"/>
          </w:tcPr>
          <w:p>
            <w:pPr>
              <w:spacing w:after="0"/>
              <w:rPr>
                <w:sz w:val="21"/>
                <w:szCs w:val="21"/>
                <w:color w:val="auto"/>
              </w:rPr>
            </w:pP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10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60" w:type="dxa"/>
            <w:vAlign w:val="bottom"/>
          </w:tcPr>
          <w:p>
            <w:pPr>
              <w:spacing w:after="0"/>
              <w:rPr>
                <w:sz w:val="23"/>
                <w:szCs w:val="23"/>
                <w:color w:val="auto"/>
              </w:rPr>
            </w:pPr>
          </w:p>
        </w:tc>
      </w:tr>
    </w:tbl>
    <w:p>
      <w:pPr>
        <w:spacing w:after="0" w:line="236" w:lineRule="exact"/>
        <w:rPr>
          <w:sz w:val="20"/>
          <w:szCs w:val="20"/>
          <w:color w:val="auto"/>
        </w:rPr>
      </w:pPr>
    </w:p>
    <w:p>
      <w:pPr>
        <w:ind w:left="6" w:right="120"/>
        <w:spacing w:after="0" w:line="246" w:lineRule="auto"/>
        <w:rPr>
          <w:sz w:val="20"/>
          <w:szCs w:val="20"/>
          <w:color w:val="auto"/>
        </w:rPr>
      </w:pPr>
      <w:r>
        <w:rPr>
          <w:rFonts w:ascii="Times New Roman" w:cs="Times New Roman" w:eastAsia="Times New Roman" w:hAnsi="Times New Roman"/>
          <w:sz w:val="20"/>
          <w:szCs w:val="20"/>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94" w:lineRule="exact"/>
        <w:rPr>
          <w:sz w:val="20"/>
          <w:szCs w:val="20"/>
          <w:color w:val="auto"/>
        </w:rPr>
      </w:pPr>
    </w:p>
    <w:p>
      <w:pPr>
        <w:ind w:left="486" w:hanging="486"/>
        <w:spacing w:after="0"/>
        <w:tabs>
          <w:tab w:leader="none" w:pos="486"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Divestiture</w:t>
      </w:r>
    </w:p>
    <w:p>
      <w:pPr>
        <w:spacing w:after="0" w:line="238" w:lineRule="exact"/>
        <w:rPr>
          <w:sz w:val="20"/>
          <w:szCs w:val="20"/>
          <w:color w:val="auto"/>
        </w:rPr>
      </w:pPr>
    </w:p>
    <w:p>
      <w:pPr>
        <w:ind w:left="6" w:right="60"/>
        <w:spacing w:after="0" w:line="260" w:lineRule="auto"/>
        <w:rPr>
          <w:sz w:val="20"/>
          <w:szCs w:val="20"/>
          <w:color w:val="auto"/>
        </w:rPr>
      </w:pPr>
      <w:r>
        <w:rPr>
          <w:rFonts w:ascii="Times New Roman" w:cs="Times New Roman" w:eastAsia="Times New Roman" w:hAnsi="Times New Roman"/>
          <w:sz w:val="19"/>
          <w:szCs w:val="19"/>
          <w:color w:val="auto"/>
        </w:rPr>
        <w:t>On March 31, 2025, the Company finalized the sale of its Global Pump Solutions business to a third party for a purchase price of $108.7 million, as adjusted for purchase adjustments. In the third quarter of 2025, the Company agreed to a working capital adjustment with the purchaser that reduced the amount to be released from escrow by $0.8 million, with a corresponding reduction in the previously recognized gain. The Company received cash proceeds of $107.9 million, inclusive of the purchase price, purchase price adjustments and $2.0 million released from escrow in the third quarter of 2025. The Company recognized a pre-tax gain on sale of business of $63.7 million. The Global Pump Solutions business consists of three niche leadership severe service industrial metallic,</w:t>
      </w:r>
    </w:p>
    <w:p>
      <w:pPr>
        <w:sectPr>
          <w:pgSz w:w="11880" w:h="15480" w:orient="portrait"/>
          <w:cols w:equalWidth="0" w:num="1">
            <w:col w:w="10686"/>
          </w:cols>
          <w:pgMar w:left="594"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686"/>
          </w:cols>
          <w:pgMar w:left="594" w:top="818" w:right="600" w:bottom="66" w:gutter="0" w:footer="0" w:header="0"/>
          <w:type w:val="continuous"/>
        </w:sectPr>
      </w:pPr>
    </w:p>
    <w:bookmarkStart w:id="93" w:name="page94"/>
    <w:bookmarkEnd w:id="93"/>
    <w:p>
      <w:pPr>
        <w:ind w:left="6" w:right="340"/>
        <w:spacing w:after="0" w:line="275" w:lineRule="auto"/>
        <w:rPr>
          <w:sz w:val="20"/>
          <w:szCs w:val="20"/>
          <w:color w:val="auto"/>
        </w:rPr>
      </w:pPr>
      <w:r>
        <w:rPr>
          <w:rFonts w:ascii="Times New Roman" w:cs="Times New Roman" w:eastAsia="Times New Roman" w:hAnsi="Times New Roman"/>
          <w:sz w:val="20"/>
          <w:szCs w:val="20"/>
          <w:color w:val="auto"/>
        </w:rPr>
        <w:t>fiberglass and thermoplastic centrifugal pump brands: Dean, Fybroc and Sethco. The business primarily operates from locations in Indianapolis, Indiana and Telford, Pennsylvania, and was included within the Industrial Processing Solutions segment.</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Amounts related to the transaction are as follows:</w:t>
      </w:r>
    </w:p>
    <w:p>
      <w:pPr>
        <w:spacing w:after="0" w:line="271" w:lineRule="exact"/>
        <w:rPr>
          <w:sz w:val="20"/>
          <w:szCs w:val="20"/>
          <w:color w:val="auto"/>
        </w:rPr>
      </w:pPr>
    </w:p>
    <w:tbl>
      <w:tblPr>
        <w:tblLayout w:type="fixed"/>
        <w:tblInd w:w="6" w:type="dxa"/>
        <w:tblCellMar>
          <w:top w:w="0" w:type="dxa"/>
          <w:left w:w="0" w:type="dxa"/>
          <w:bottom w:w="0" w:type="dxa"/>
          <w:right w:w="0" w:type="dxa"/>
        </w:tblCellMar>
      </w:tblPr>
      <w:tr>
        <w:trPr>
          <w:trHeight w:val="227"/>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Proceeds from sale of Global Pump Solutions business</w:t>
            </w:r>
          </w:p>
        </w:tc>
        <w:tc>
          <w:tcPr>
            <w:tcW w:w="640" w:type="dxa"/>
            <w:vAlign w:val="bottom"/>
            <w:shd w:val="clear" w:color="auto" w:fill="E6E6E6"/>
          </w:tcPr>
          <w:p>
            <w:pPr>
              <w:jc w:val="right"/>
              <w:ind w:right="44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107,808</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Less: Assets transferred</w:t>
            </w: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Accounts receivable, net</w:t>
            </w:r>
          </w:p>
        </w:tc>
        <w:tc>
          <w:tcPr>
            <w:tcW w:w="6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(4,230)</w:t>
            </w:r>
          </w:p>
        </w:tc>
      </w:tr>
      <w:tr>
        <w:trPr>
          <w:trHeight w:val="242"/>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Inventories</w:t>
            </w:r>
          </w:p>
        </w:tc>
        <w:tc>
          <w:tcPr>
            <w:tcW w:w="6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(9,268)</w:t>
            </w:r>
          </w:p>
        </w:tc>
      </w:tr>
      <w:tr>
        <w:trPr>
          <w:trHeight w:val="242"/>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Property and equipment</w:t>
            </w:r>
          </w:p>
        </w:tc>
        <w:tc>
          <w:tcPr>
            <w:tcW w:w="6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(5,247)</w:t>
            </w:r>
          </w:p>
        </w:tc>
      </w:tr>
      <w:tr>
        <w:trPr>
          <w:trHeight w:val="242"/>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Goodwill</w:t>
            </w:r>
          </w:p>
        </w:tc>
        <w:tc>
          <w:tcPr>
            <w:tcW w:w="6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(26,838)</w:t>
            </w:r>
          </w:p>
        </w:tc>
      </w:tr>
      <w:tr>
        <w:trPr>
          <w:trHeight w:val="242"/>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Intangible assets – finite life, net</w:t>
            </w:r>
          </w:p>
        </w:tc>
        <w:tc>
          <w:tcPr>
            <w:tcW w:w="6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(4,029)</w:t>
            </w:r>
          </w:p>
        </w:tc>
      </w:tr>
      <w:tr>
        <w:trPr>
          <w:trHeight w:val="242"/>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Pension plan assets</w:t>
            </w:r>
          </w:p>
        </w:tc>
        <w:tc>
          <w:tcPr>
            <w:tcW w:w="6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(425)</w:t>
            </w:r>
          </w:p>
        </w:tc>
      </w:tr>
      <w:tr>
        <w:trPr>
          <w:trHeight w:val="242"/>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Other assets</w:t>
            </w:r>
          </w:p>
        </w:tc>
        <w:tc>
          <w:tcPr>
            <w:tcW w:w="64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(119)</w:t>
            </w:r>
          </w:p>
        </w:tc>
      </w:tr>
      <w:tr>
        <w:trPr>
          <w:trHeight w:val="242"/>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Less: Transaction costs</w:t>
            </w:r>
          </w:p>
        </w:tc>
        <w:tc>
          <w:tcPr>
            <w:tcW w:w="6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(616)</w:t>
            </w:r>
          </w:p>
        </w:tc>
      </w:tr>
      <w:tr>
        <w:trPr>
          <w:trHeight w:val="242"/>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Plus: Liabilities transferred</w:t>
            </w:r>
          </w:p>
        </w:tc>
        <w:tc>
          <w:tcPr>
            <w:tcW w:w="640" w:type="dxa"/>
            <w:vAlign w:val="bottom"/>
            <w:shd w:val="clear" w:color="auto" w:fill="E6E6E6"/>
          </w:tcPr>
          <w:p>
            <w:pPr>
              <w:spacing w:after="0"/>
              <w:rPr>
                <w:sz w:val="21"/>
                <w:szCs w:val="21"/>
                <w:color w:val="auto"/>
              </w:rPr>
            </w:pPr>
          </w:p>
        </w:tc>
        <w:tc>
          <w:tcPr>
            <w:tcW w:w="12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r>
      <w:tr>
        <w:trPr>
          <w:trHeight w:val="242"/>
        </w:trPr>
        <w:tc>
          <w:tcPr>
            <w:tcW w:w="8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80" w:type="dxa"/>
            <w:vAlign w:val="bottom"/>
          </w:tcPr>
          <w:p>
            <w:pPr>
              <w:spacing w:after="0"/>
              <w:rPr>
                <w:sz w:val="21"/>
                <w:szCs w:val="21"/>
                <w:color w:val="auto"/>
              </w:rPr>
            </w:pPr>
          </w:p>
        </w:tc>
      </w:tr>
      <w:tr>
        <w:trPr>
          <w:trHeight w:val="242"/>
        </w:trPr>
        <w:tc>
          <w:tcPr>
            <w:tcW w:w="87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640" w:type="dxa"/>
            <w:vAlign w:val="bottom"/>
            <w:shd w:val="clear" w:color="auto" w:fill="E6E6E6"/>
          </w:tcPr>
          <w:p>
            <w:pPr>
              <w:spacing w:after="0"/>
              <w:rPr>
                <w:sz w:val="21"/>
                <w:szCs w:val="21"/>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1,731</w:t>
            </w:r>
          </w:p>
        </w:tc>
        <w:tc>
          <w:tcPr>
            <w:tcW w:w="80" w:type="dxa"/>
            <w:vAlign w:val="bottom"/>
            <w:shd w:val="clear" w:color="auto" w:fill="E6E6E6"/>
          </w:tcPr>
          <w:p>
            <w:pPr>
              <w:spacing w:after="0"/>
              <w:rPr>
                <w:sz w:val="21"/>
                <w:szCs w:val="21"/>
                <w:color w:val="auto"/>
              </w:rPr>
            </w:pPr>
          </w:p>
        </w:tc>
      </w:tr>
      <w:tr>
        <w:trPr>
          <w:trHeight w:val="242"/>
        </w:trPr>
        <w:tc>
          <w:tcPr>
            <w:tcW w:w="87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Other liabilities assumed</w:t>
            </w:r>
          </w:p>
        </w:tc>
        <w:tc>
          <w:tcPr>
            <w:tcW w:w="6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3,910</w:t>
            </w:r>
          </w:p>
        </w:tc>
        <w:tc>
          <w:tcPr>
            <w:tcW w:w="80" w:type="dxa"/>
            <w:vAlign w:val="bottom"/>
            <w:tcBorders>
              <w:bottom w:val="single" w:sz="8" w:color="E6E6E6"/>
            </w:tcBorders>
          </w:tcPr>
          <w:p>
            <w:pPr>
              <w:spacing w:after="0"/>
              <w:rPr>
                <w:sz w:val="21"/>
                <w:szCs w:val="21"/>
                <w:color w:val="auto"/>
              </w:rPr>
            </w:pPr>
          </w:p>
        </w:tc>
      </w:tr>
      <w:tr>
        <w:trPr>
          <w:trHeight w:val="236"/>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Gain on sale of Global Pump Solutions business</w:t>
            </w:r>
          </w:p>
        </w:tc>
        <w:tc>
          <w:tcPr>
            <w:tcW w:w="640" w:type="dxa"/>
            <w:vAlign w:val="bottom"/>
            <w:tcBorders>
              <w:bottom w:val="single" w:sz="8" w:color="auto"/>
            </w:tcBorders>
            <w:shd w:val="clear" w:color="auto" w:fill="E6E6E6"/>
          </w:tcPr>
          <w:p>
            <w:pPr>
              <w:jc w:val="right"/>
              <w:ind w:right="44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63,701</w:t>
            </w:r>
          </w:p>
        </w:tc>
        <w:tc>
          <w:tcPr>
            <w:tcW w:w="80" w:type="dxa"/>
            <w:vAlign w:val="bottom"/>
            <w:shd w:val="clear" w:color="auto" w:fill="E6E6E6"/>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6" w:hanging="486"/>
        <w:spacing w:after="0"/>
        <w:tabs>
          <w:tab w:leader="none" w:pos="486"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 Information</w:t>
      </w:r>
    </w:p>
    <w:p>
      <w:pPr>
        <w:spacing w:after="0" w:line="238" w:lineRule="exact"/>
        <w:rPr>
          <w:sz w:val="20"/>
          <w:szCs w:val="20"/>
          <w:color w:val="auto"/>
        </w:rPr>
      </w:pPr>
    </w:p>
    <w:p>
      <w:pPr>
        <w:ind w:left="6" w:right="80"/>
        <w:spacing w:after="0" w:line="242" w:lineRule="auto"/>
        <w:rPr>
          <w:sz w:val="20"/>
          <w:szCs w:val="20"/>
          <w:color w:val="auto"/>
        </w:rPr>
      </w:pPr>
      <w:r>
        <w:rPr>
          <w:rFonts w:ascii="Times New Roman" w:cs="Times New Roman" w:eastAsia="Times New Roman" w:hAnsi="Times New Roman"/>
          <w:sz w:val="20"/>
          <w:szCs w:val="20"/>
          <w:color w:val="auto"/>
        </w:rPr>
        <w:t>The Company’s operations are organized and reviewed by management along its product lines or end markets that the segment serves and are presented in two reportable segments. Segment profit is reviewed quarterly by the chief operating decision maker ("CODM"), which is the Company's Chief Executive Officer, for the purposes of allocating resources, including personnel, capital, and financial resources, and assessing performance, including the monitoring of budget versus actual results. During the fourth quarter of 2025, management updated the definition of the segment profit measure used by the CODM. The presentation of prior period segment information has been recast to conform to this updated measure. Asset information by segment is not reported internally or otherwise regularly reviewed by the CODM. The accounting policies of the segments are the same as those described in the summary of significant accounting policies in Note 1 to the Consolidated Financial Statements.</w:t>
      </w:r>
    </w:p>
    <w:p>
      <w:pPr>
        <w:spacing w:after="0" w:line="2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Company’s reportable segments are organized as groups of similar products and services, as described as follows:</w:t>
      </w:r>
    </w:p>
    <w:p>
      <w:pPr>
        <w:spacing w:after="0" w:line="235" w:lineRule="exact"/>
        <w:rPr>
          <w:sz w:val="20"/>
          <w:szCs w:val="20"/>
          <w:color w:val="auto"/>
        </w:rPr>
      </w:pPr>
    </w:p>
    <w:p>
      <w:pPr>
        <w:ind w:left="6" w:right="300"/>
        <w:spacing w:after="0" w:line="246" w:lineRule="auto"/>
        <w:rPr>
          <w:sz w:val="20"/>
          <w:szCs w:val="20"/>
          <w:color w:val="auto"/>
        </w:rPr>
      </w:pPr>
      <w:r>
        <w:rPr>
          <w:rFonts w:ascii="Times New Roman" w:cs="Times New Roman" w:eastAsia="Times New Roman" w:hAnsi="Times New Roman"/>
          <w:sz w:val="20"/>
          <w:szCs w:val="20"/>
          <w:u w:val="single" w:color="auto"/>
          <w:color w:val="auto"/>
        </w:rPr>
        <w:t>Engineered Systems segment:</w:t>
      </w:r>
      <w:r>
        <w:rPr>
          <w:rFonts w:ascii="Times New Roman" w:cs="Times New Roman" w:eastAsia="Times New Roman" w:hAnsi="Times New Roman"/>
          <w:sz w:val="20"/>
          <w:szCs w:val="20"/>
          <w:color w:val="auto"/>
        </w:rPr>
        <w:t xml:space="preserve"> The Company's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197" w:lineRule="exact"/>
        <w:rPr>
          <w:sz w:val="20"/>
          <w:szCs w:val="20"/>
          <w:color w:val="auto"/>
        </w:rPr>
      </w:pPr>
    </w:p>
    <w:p>
      <w:pPr>
        <w:ind w:left="6" w:right="100"/>
        <w:spacing w:after="0" w:line="243" w:lineRule="auto"/>
        <w:rPr>
          <w:sz w:val="20"/>
          <w:szCs w:val="20"/>
          <w:color w:val="auto"/>
        </w:rPr>
      </w:pPr>
      <w:r>
        <w:rPr>
          <w:rFonts w:ascii="Times New Roman" w:cs="Times New Roman" w:eastAsia="Times New Roman" w:hAnsi="Times New Roman"/>
          <w:sz w:val="20"/>
          <w:szCs w:val="20"/>
          <w:u w:val="single" w:color="auto"/>
          <w:color w:val="auto"/>
        </w:rPr>
        <w:t>Industrial Process Solutions segment:</w:t>
      </w:r>
      <w:r>
        <w:rPr>
          <w:rFonts w:ascii="Times New Roman" w:cs="Times New Roman" w:eastAsia="Times New Roman" w:hAnsi="Times New Roman"/>
          <w:sz w:val="20"/>
          <w:szCs w:val="20"/>
          <w:color w:val="auto"/>
        </w:rPr>
        <w:t xml:space="preserve"> The Company's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83" w:lineRule="exact"/>
        <w:rPr>
          <w:sz w:val="20"/>
          <w:szCs w:val="20"/>
          <w:color w:val="auto"/>
        </w:rPr>
      </w:pPr>
    </w:p>
    <w:p>
      <w:pPr>
        <w:ind w:left="6" w:right="500"/>
        <w:spacing w:after="0" w:line="275" w:lineRule="auto"/>
        <w:rPr>
          <w:sz w:val="20"/>
          <w:szCs w:val="20"/>
          <w:color w:val="auto"/>
        </w:rPr>
      </w:pPr>
      <w:r>
        <w:rPr>
          <w:rFonts w:ascii="Times New Roman" w:cs="Times New Roman" w:eastAsia="Times New Roman" w:hAnsi="Times New Roman"/>
          <w:sz w:val="20"/>
          <w:szCs w:val="20"/>
          <w:color w:val="auto"/>
        </w:rPr>
        <w:t>A reconciliation of total segment sales to total consolidated sales, as well as total segment profit to total consolidated net income before taxes is as follows for the year ended December 31, 2025:</w:t>
      </w:r>
    </w:p>
    <w:p>
      <w:pPr>
        <w:sectPr>
          <w:pgSz w:w="11880" w:h="15480" w:orient="portrait"/>
          <w:cols w:equalWidth="0" w:num="1">
            <w:col w:w="10686"/>
          </w:cols>
          <w:pgMar w:left="594" w:top="818"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686"/>
          </w:cols>
          <w:pgMar w:left="594" w:top="818" w:right="600" w:bottom="66"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Industrial Process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Engineered Systems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2"/>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Solutions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1"/>
                <w:szCs w:val="21"/>
                <w:color w:val="auto"/>
              </w:rPr>
            </w:pPr>
          </w:p>
        </w:tc>
      </w:tr>
      <w:tr>
        <w:trPr>
          <w:trHeight w:val="236"/>
        </w:trPr>
        <w:tc>
          <w:tcPr>
            <w:tcW w:w="42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sales</w:t>
            </w:r>
          </w:p>
        </w:tc>
        <w:tc>
          <w:tcPr>
            <w:tcW w:w="620" w:type="dxa"/>
            <w:vAlign w:val="bottom"/>
            <w:tcBorders>
              <w:top w:val="single" w:sz="8" w:color="auto"/>
            </w:tcBorders>
            <w:shd w:val="clear" w:color="auto" w:fill="E6E6E6"/>
          </w:tcPr>
          <w:p>
            <w:pPr>
              <w:jc w:val="right"/>
              <w:ind w:right="42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544,298</w:t>
            </w:r>
          </w:p>
        </w:tc>
        <w:tc>
          <w:tcPr>
            <w:tcW w:w="30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auto"/>
            </w:tcBorders>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230,083</w:t>
            </w:r>
          </w:p>
        </w:tc>
        <w:tc>
          <w:tcPr>
            <w:tcW w:w="300" w:type="dxa"/>
            <w:vAlign w:val="bottom"/>
            <w:tcBorders>
              <w:top w:val="single" w:sz="8" w:color="E6E6E6"/>
            </w:tcBorders>
            <w:shd w:val="clear" w:color="auto" w:fill="E6E6E6"/>
          </w:tcPr>
          <w:p>
            <w:pPr>
              <w:spacing w:after="0"/>
              <w:rPr>
                <w:sz w:val="20"/>
                <w:szCs w:val="20"/>
                <w:color w:val="auto"/>
              </w:rPr>
            </w:pPr>
          </w:p>
        </w:tc>
        <w:tc>
          <w:tcPr>
            <w:tcW w:w="20" w:type="dxa"/>
            <w:vAlign w:val="bottom"/>
            <w:tcBorders>
              <w:top w:val="single" w:sz="8" w:color="E6E6E6"/>
            </w:tcBorders>
            <w:shd w:val="clear" w:color="auto" w:fill="E6E6E6"/>
          </w:tcPr>
          <w:p>
            <w:pPr>
              <w:spacing w:after="0"/>
              <w:rPr>
                <w:sz w:val="20"/>
                <w:szCs w:val="20"/>
                <w:color w:val="auto"/>
              </w:rPr>
            </w:pPr>
          </w:p>
        </w:tc>
        <w:tc>
          <w:tcPr>
            <w:tcW w:w="360" w:type="dxa"/>
            <w:vAlign w:val="bottom"/>
            <w:tcBorders>
              <w:top w:val="single" w:sz="8" w:color="auto"/>
            </w:tcBorders>
            <w:shd w:val="clear" w:color="auto" w:fill="E6E6E6"/>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774,381</w:t>
            </w:r>
          </w:p>
        </w:tc>
        <w:tc>
          <w:tcPr>
            <w:tcW w:w="60" w:type="dxa"/>
            <w:vAlign w:val="bottom"/>
            <w:tcBorders>
              <w:top w:val="single" w:sz="8" w:color="E6E6E6"/>
            </w:tcBorders>
            <w:shd w:val="clear" w:color="auto" w:fill="E6E6E6"/>
          </w:tcPr>
          <w:p>
            <w:pPr>
              <w:spacing w:after="0"/>
              <w:rPr>
                <w:sz w:val="20"/>
                <w:szCs w:val="20"/>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Direct cost of sales</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333,000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146,525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Shop burden</w:t>
            </w:r>
          </w:p>
        </w:tc>
        <w:tc>
          <w:tcPr>
            <w:tcW w:w="62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14,653</w:t>
            </w:r>
          </w:p>
        </w:tc>
        <w:tc>
          <w:tcPr>
            <w:tcW w:w="3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10,977</w:t>
            </w:r>
          </w:p>
        </w:tc>
        <w:tc>
          <w:tcPr>
            <w:tcW w:w="3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4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Selling expense</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32,012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Project engineering expense</w:t>
            </w:r>
          </w:p>
        </w:tc>
        <w:tc>
          <w:tcPr>
            <w:tcW w:w="62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18,393</w:t>
            </w:r>
          </w:p>
        </w:tc>
        <w:tc>
          <w:tcPr>
            <w:tcW w:w="3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10,991</w:t>
            </w:r>
          </w:p>
        </w:tc>
        <w:tc>
          <w:tcPr>
            <w:tcW w:w="3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4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Gain on the sale of Global Pump Solutions</w:t>
            </w:r>
          </w:p>
        </w:tc>
        <w:tc>
          <w:tcPr>
            <w:tcW w:w="620" w:type="dxa"/>
            <w:vAlign w:val="bottom"/>
            <w:shd w:val="clear" w:color="auto" w:fill="E6E6E6"/>
          </w:tcPr>
          <w:p>
            <w:pPr>
              <w:spacing w:after="0"/>
              <w:rPr>
                <w:sz w:val="22"/>
                <w:szCs w:val="22"/>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2300" w:type="dxa"/>
            <w:vAlign w:val="bottom"/>
            <w:gridSpan w:val="2"/>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(63,701)</w:t>
            </w:r>
          </w:p>
        </w:tc>
        <w:tc>
          <w:tcPr>
            <w:tcW w:w="2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14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r>
      <w:tr>
        <w:trPr>
          <w:trHeight w:val="216"/>
        </w:trPr>
        <w:tc>
          <w:tcPr>
            <w:tcW w:w="4240" w:type="dxa"/>
            <w:vAlign w:val="bottom"/>
            <w:tcBorders>
              <w:top w:val="single" w:sz="8" w:color="E6E6E6"/>
            </w:tcBorders>
          </w:tcPr>
          <w:p>
            <w:pPr>
              <w:spacing w:after="0" w:line="216" w:lineRule="exact"/>
              <w:rPr>
                <w:sz w:val="20"/>
                <w:szCs w:val="20"/>
                <w:color w:val="auto"/>
              </w:rPr>
            </w:pPr>
            <w:r>
              <w:rPr>
                <w:rFonts w:ascii="Times New Roman" w:cs="Times New Roman" w:eastAsia="Times New Roman" w:hAnsi="Times New Roman"/>
                <w:sz w:val="20"/>
                <w:szCs w:val="20"/>
                <w:color w:val="auto"/>
              </w:rPr>
              <w:t>Segment profit</w:t>
            </w: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111,834</w:t>
            </w:r>
          </w:p>
        </w:tc>
        <w:tc>
          <w:tcPr>
            <w:tcW w:w="300" w:type="dxa"/>
            <w:vAlign w:val="bottom"/>
            <w:tcBorders>
              <w:top w:val="single" w:sz="8" w:color="E6E6E6"/>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101,140</w:t>
            </w:r>
          </w:p>
        </w:tc>
        <w:tc>
          <w:tcPr>
            <w:tcW w:w="300" w:type="dxa"/>
            <w:vAlign w:val="bottom"/>
            <w:tcBorders>
              <w:top w:val="single" w:sz="8" w:color="E6E6E6"/>
            </w:tcBorders>
          </w:tcPr>
          <w:p>
            <w:pPr>
              <w:spacing w:after="0"/>
              <w:rPr>
                <w:sz w:val="18"/>
                <w:szCs w:val="18"/>
                <w:color w:val="auto"/>
              </w:rPr>
            </w:pPr>
          </w:p>
        </w:tc>
        <w:tc>
          <w:tcPr>
            <w:tcW w:w="20" w:type="dxa"/>
            <w:vAlign w:val="bottom"/>
            <w:tcBorders>
              <w:top w:val="single" w:sz="8" w:color="E6E6E6"/>
            </w:tcBorders>
          </w:tcPr>
          <w:p>
            <w:pPr>
              <w:spacing w:after="0"/>
              <w:rPr>
                <w:sz w:val="18"/>
                <w:szCs w:val="18"/>
                <w:color w:val="auto"/>
              </w:rPr>
            </w:pPr>
          </w:p>
        </w:tc>
        <w:tc>
          <w:tcPr>
            <w:tcW w:w="360" w:type="dxa"/>
            <w:vAlign w:val="bottom"/>
            <w:tcBorders>
              <w:top w:val="single" w:sz="8" w:color="E6E6E6"/>
            </w:tcBorders>
          </w:tcPr>
          <w:p>
            <w:pPr>
              <w:spacing w:after="0"/>
              <w:rPr>
                <w:sz w:val="18"/>
                <w:szCs w:val="18"/>
                <w:color w:val="auto"/>
              </w:rPr>
            </w:pPr>
          </w:p>
        </w:tc>
        <w:tc>
          <w:tcPr>
            <w:tcW w:w="1400" w:type="dxa"/>
            <w:vAlign w:val="bottom"/>
            <w:tcBorders>
              <w:top w:val="single" w:sz="8" w:color="E6E6E6"/>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212,974</w:t>
            </w:r>
          </w:p>
        </w:tc>
        <w:tc>
          <w:tcPr>
            <w:tcW w:w="60" w:type="dxa"/>
            <w:vAlign w:val="bottom"/>
            <w:tcBorders>
              <w:top w:val="single" w:sz="8" w:color="E6E6E6"/>
            </w:tcBorders>
          </w:tcPr>
          <w:p>
            <w:pPr>
              <w:spacing w:after="0"/>
              <w:rPr>
                <w:sz w:val="18"/>
                <w:szCs w:val="18"/>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62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13,105</w:t>
            </w: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16,166</w:t>
            </w:r>
          </w:p>
        </w:tc>
        <w:tc>
          <w:tcPr>
            <w:tcW w:w="6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line="241" w:lineRule="exact"/>
              <w:rPr>
                <w:sz w:val="20"/>
                <w:szCs w:val="20"/>
                <w:color w:val="auto"/>
              </w:rPr>
            </w:pPr>
            <w:r>
              <w:rPr>
                <w:rFonts w:ascii="Times New Roman" w:cs="Times New Roman" w:eastAsia="Times New Roman" w:hAnsi="Times New Roman"/>
                <w:sz w:val="20"/>
                <w:szCs w:val="20"/>
                <w:color w:val="auto"/>
              </w:rPr>
              <w:t>Other corporate expenses</w:t>
            </w:r>
            <w:r>
              <w:rPr>
                <w:rFonts w:ascii="Times New Roman" w:cs="Times New Roman" w:eastAsia="Times New Roman" w:hAnsi="Times New Roman"/>
                <w:sz w:val="25"/>
                <w:szCs w:val="25"/>
                <w:color w:val="auto"/>
                <w:vertAlign w:val="superscript"/>
              </w:rPr>
              <w:t>(1)</w:t>
            </w:r>
          </w:p>
        </w:tc>
        <w:tc>
          <w:tcPr>
            <w:tcW w:w="62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60" w:type="dxa"/>
            <w:vAlign w:val="bottom"/>
            <w:shd w:val="clear" w:color="auto" w:fill="E6E6E6"/>
          </w:tcPr>
          <w:p>
            <w:pPr>
              <w:spacing w:after="0"/>
              <w:rPr>
                <w:sz w:val="21"/>
                <w:szCs w:val="21"/>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77,844</w:t>
            </w: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20,913</w:t>
            </w:r>
          </w:p>
        </w:tc>
        <w:tc>
          <w:tcPr>
            <w:tcW w:w="60" w:type="dxa"/>
            <w:vAlign w:val="bottom"/>
          </w:tcPr>
          <w:p>
            <w:pPr>
              <w:spacing w:after="0"/>
              <w:rPr>
                <w:sz w:val="21"/>
                <w:szCs w:val="21"/>
                <w:color w:val="auto"/>
              </w:rPr>
            </w:pPr>
          </w:p>
        </w:tc>
      </w:tr>
      <w:tr>
        <w:trPr>
          <w:trHeight w:val="262"/>
        </w:trPr>
        <w:tc>
          <w:tcPr>
            <w:tcW w:w="4240" w:type="dxa"/>
            <w:vAlign w:val="bottom"/>
            <w:tcBorders>
              <w:bottom w:val="single" w:sz="8" w:color="E6E6E6"/>
            </w:tcBorders>
            <w:shd w:val="clear" w:color="auto" w:fill="E6E6E6"/>
          </w:tcPr>
          <w:p>
            <w:pPr>
              <w:spacing w:after="0" w:line="241" w:lineRule="exact"/>
              <w:rPr>
                <w:sz w:val="20"/>
                <w:szCs w:val="20"/>
                <w:color w:val="auto"/>
              </w:rPr>
            </w:pPr>
            <w:r>
              <w:rPr>
                <w:rFonts w:ascii="Times New Roman" w:cs="Times New Roman" w:eastAsia="Times New Roman" w:hAnsi="Times New Roman"/>
                <w:sz w:val="20"/>
                <w:szCs w:val="20"/>
                <w:color w:val="auto"/>
              </w:rPr>
              <w:t>Other profit or loss</w:t>
            </w:r>
            <w:r>
              <w:rPr>
                <w:rFonts w:ascii="Times New Roman" w:cs="Times New Roman" w:eastAsia="Times New Roman" w:hAnsi="Times New Roman"/>
                <w:sz w:val="25"/>
                <w:szCs w:val="25"/>
                <w:color w:val="auto"/>
                <w:vertAlign w:val="superscript"/>
              </w:rPr>
              <w:t>(2)</w:t>
            </w:r>
          </w:p>
        </w:tc>
        <w:tc>
          <w:tcPr>
            <w:tcW w:w="620" w:type="dxa"/>
            <w:vAlign w:val="bottom"/>
            <w:tcBorders>
              <w:bottom w:val="single" w:sz="8" w:color="E6E6E6"/>
            </w:tcBorders>
            <w:shd w:val="clear" w:color="auto" w:fill="E6E6E6"/>
          </w:tcPr>
          <w:p>
            <w:pPr>
              <w:spacing w:after="0"/>
              <w:rPr>
                <w:sz w:val="22"/>
                <w:szCs w:val="22"/>
                <w:color w:val="auto"/>
              </w:rPr>
            </w:pPr>
          </w:p>
        </w:tc>
        <w:tc>
          <w:tcPr>
            <w:tcW w:w="11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200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spacing w:after="0"/>
              <w:rPr>
                <w:sz w:val="22"/>
                <w:szCs w:val="22"/>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2,101</w:t>
            </w:r>
          </w:p>
        </w:tc>
        <w:tc>
          <w:tcPr>
            <w:tcW w:w="60" w:type="dxa"/>
            <w:vAlign w:val="bottom"/>
            <w:tcBorders>
              <w:bottom w:val="single" w:sz="8" w:color="E6E6E6"/>
            </w:tcBorders>
            <w:shd w:val="clear" w:color="auto" w:fill="E6E6E6"/>
          </w:tcPr>
          <w:p>
            <w:pPr>
              <w:spacing w:after="0"/>
              <w:rPr>
                <w:sz w:val="22"/>
                <w:szCs w:val="22"/>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 consolidated income before income taxes</w:t>
            </w: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82,845</w:t>
            </w:r>
          </w:p>
        </w:tc>
        <w:tc>
          <w:tcPr>
            <w:tcW w:w="6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8" w:lineRule="exact"/>
        <w:rPr>
          <w:sz w:val="20"/>
          <w:szCs w:val="20"/>
          <w:color w:val="auto"/>
        </w:rPr>
      </w:pPr>
    </w:p>
    <w:p>
      <w:pPr>
        <w:ind w:left="700" w:right="660" w:firstLine="7"/>
        <w:spacing w:after="0" w:line="237" w:lineRule="auto"/>
        <w:tabs>
          <w:tab w:leader="none" w:pos="9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corporate compensation, professional services, information technology, and other general, administrative corporate expenses.</w:t>
      </w:r>
    </w:p>
    <w:p>
      <w:pPr>
        <w:spacing w:after="0" w:line="1" w:lineRule="exact"/>
        <w:rPr>
          <w:rFonts w:ascii="Times New Roman" w:cs="Times New Roman" w:eastAsia="Times New Roman" w:hAnsi="Times New Roman"/>
          <w:sz w:val="20"/>
          <w:szCs w:val="20"/>
          <w:color w:val="auto"/>
        </w:rPr>
      </w:pPr>
    </w:p>
    <w:p>
      <w:pPr>
        <w:ind w:left="980" w:hanging="273"/>
        <w:spacing w:after="0"/>
        <w:tabs>
          <w:tab w:leader="none" w:pos="9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foreign exchange (gain) loss and pension expense.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segment information is as follows for the year ended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Engineered Systems</w:t>
            </w:r>
          </w:p>
        </w:tc>
        <w:tc>
          <w:tcPr>
            <w:tcW w:w="3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w w:val="99"/>
              </w:rPr>
              <w:t>Industrial Process Solutions</w:t>
            </w:r>
          </w:p>
        </w:tc>
        <w:tc>
          <w:tcPr>
            <w:tcW w:w="60" w:type="dxa"/>
            <w:vAlign w:val="bottom"/>
            <w:tcBorders>
              <w:bottom w:val="single" w:sz="8" w:color="E6E6E6"/>
            </w:tcBorders>
          </w:tcPr>
          <w:p>
            <w:pPr>
              <w:spacing w:after="0"/>
              <w:rPr>
                <w:sz w:val="21"/>
                <w:szCs w:val="21"/>
                <w:color w:val="auto"/>
              </w:rPr>
            </w:pPr>
          </w:p>
        </w:tc>
      </w:tr>
      <w:tr>
        <w:trPr>
          <w:trHeight w:val="236"/>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Property and equipment additions</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3,514</w:t>
            </w:r>
          </w:p>
        </w:tc>
        <w:tc>
          <w:tcPr>
            <w:tcW w:w="360" w:type="dxa"/>
            <w:vAlign w:val="bottom"/>
            <w:shd w:val="clear" w:color="auto" w:fill="E6E6E6"/>
          </w:tcPr>
          <w:p>
            <w:pPr>
              <w:spacing w:after="0"/>
              <w:rPr>
                <w:sz w:val="20"/>
                <w:szCs w:val="20"/>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2,006</w:t>
            </w:r>
          </w:p>
        </w:tc>
        <w:tc>
          <w:tcPr>
            <w:tcW w:w="60" w:type="dxa"/>
            <w:vAlign w:val="bottom"/>
            <w:shd w:val="clear" w:color="auto" w:fill="E6E6E6"/>
          </w:tcPr>
          <w:p>
            <w:pPr>
              <w:spacing w:after="0"/>
              <w:rPr>
                <w:sz w:val="20"/>
                <w:szCs w:val="20"/>
                <w:color w:val="auto"/>
              </w:rPr>
            </w:pPr>
          </w:p>
        </w:tc>
      </w:tr>
      <w:tr>
        <w:trPr>
          <w:trHeight w:val="353"/>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12,623</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7,912</w:t>
            </w:r>
          </w:p>
        </w:tc>
        <w:tc>
          <w:tcPr>
            <w:tcW w:w="60" w:type="dxa"/>
            <w:vAlign w:val="bottom"/>
          </w:tcPr>
          <w:p>
            <w:pPr>
              <w:spacing w:after="0"/>
              <w:rPr>
                <w:sz w:val="24"/>
                <w:szCs w:val="24"/>
                <w:color w:val="auto"/>
              </w:rPr>
            </w:pPr>
          </w:p>
        </w:tc>
      </w:tr>
    </w:tbl>
    <w:p>
      <w:pPr>
        <w:ind w:left="700" w:right="400" w:firstLine="7"/>
        <w:spacing w:after="0" w:line="275" w:lineRule="auto"/>
        <w:tabs>
          <w:tab w:leader="none" w:pos="9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of depreciation and amortization disclosed by reportable segment are included within the other segment expense captions, such as shop burden or general and administrative expense.</w:t>
      </w:r>
    </w:p>
    <w:p>
      <w:pPr>
        <w:spacing w:after="0" w:line="166"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20"/>
          <w:szCs w:val="20"/>
          <w:color w:val="auto"/>
        </w:rPr>
        <w:t>A reconciliation of total segment sales to total consolidated sales, as well as total segment profit to total consolidated net income before taxes is as follows for the year ended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Industrial Process</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Engineered Systems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Solutions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60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384,025</w:t>
            </w:r>
          </w:p>
        </w:tc>
        <w:tc>
          <w:tcPr>
            <w:tcW w:w="320" w:type="dxa"/>
            <w:vAlign w:val="bottom"/>
          </w:tcPr>
          <w:p>
            <w:pPr>
              <w:spacing w:after="0"/>
              <w:rPr>
                <w:sz w:val="20"/>
                <w:szCs w:val="20"/>
                <w:color w:val="auto"/>
              </w:rPr>
            </w:pPr>
          </w:p>
        </w:tc>
        <w:tc>
          <w:tcPr>
            <w:tcW w:w="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173,908</w:t>
            </w:r>
          </w:p>
        </w:tc>
        <w:tc>
          <w:tcPr>
            <w:tcW w:w="300" w:type="dxa"/>
            <w:vAlign w:val="bottom"/>
          </w:tcPr>
          <w:p>
            <w:pPr>
              <w:spacing w:after="0"/>
              <w:rPr>
                <w:sz w:val="20"/>
                <w:szCs w:val="20"/>
                <w:color w:val="auto"/>
              </w:rPr>
            </w:pPr>
          </w:p>
        </w:tc>
        <w:tc>
          <w:tcPr>
            <w:tcW w:w="38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557,933</w:t>
            </w:r>
          </w:p>
        </w:tc>
        <w:tc>
          <w:tcPr>
            <w:tcW w:w="60" w:type="dxa"/>
            <w:vAlign w:val="bottom"/>
          </w:tcPr>
          <w:p>
            <w:pPr>
              <w:spacing w:after="0"/>
              <w:rPr>
                <w:sz w:val="20"/>
                <w:szCs w:val="20"/>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Direct cost of sales</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241,616</w:t>
            </w: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99,946</w:t>
            </w: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4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Shop burden</w:t>
            </w:r>
          </w:p>
        </w:tc>
        <w:tc>
          <w:tcPr>
            <w:tcW w:w="6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11,857</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Selling expense</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21,999</w:t>
            </w: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11,993</w:t>
            </w: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4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Project engineering expense</w:t>
            </w:r>
          </w:p>
        </w:tc>
        <w:tc>
          <w:tcPr>
            <w:tcW w:w="6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60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19,085</w:t>
            </w:r>
          </w:p>
        </w:tc>
        <w:tc>
          <w:tcPr>
            <w:tcW w:w="320" w:type="dxa"/>
            <w:vAlign w:val="bottom"/>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2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9,939</w:t>
            </w: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4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Segment profit</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79,137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32,323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111,460</w:t>
            </w:r>
          </w:p>
        </w:tc>
        <w:tc>
          <w:tcPr>
            <w:tcW w:w="60" w:type="dxa"/>
            <w:vAlign w:val="bottom"/>
          </w:tcPr>
          <w:p>
            <w:pPr>
              <w:spacing w:after="0"/>
              <w:rPr>
                <w:sz w:val="20"/>
                <w:szCs w:val="20"/>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7,514</w:t>
            </w: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8,723</w:t>
            </w:r>
          </w:p>
        </w:tc>
        <w:tc>
          <w:tcPr>
            <w:tcW w:w="6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line="241" w:lineRule="exact"/>
              <w:rPr>
                <w:sz w:val="20"/>
                <w:szCs w:val="20"/>
                <w:color w:val="auto"/>
              </w:rPr>
            </w:pPr>
            <w:r>
              <w:rPr>
                <w:rFonts w:ascii="Times New Roman" w:cs="Times New Roman" w:eastAsia="Times New Roman" w:hAnsi="Times New Roman"/>
                <w:sz w:val="20"/>
                <w:szCs w:val="20"/>
                <w:color w:val="auto"/>
              </w:rPr>
              <w:t>Other corporate expenses</w:t>
            </w:r>
            <w:r>
              <w:rPr>
                <w:rFonts w:ascii="Times New Roman" w:cs="Times New Roman" w:eastAsia="Times New Roman" w:hAnsi="Times New Roman"/>
                <w:sz w:val="25"/>
                <w:szCs w:val="25"/>
                <w:color w:val="auto"/>
                <w:vertAlign w:val="superscript"/>
              </w:rPr>
              <w:t>(1)</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59,820</w:t>
            </w:r>
          </w:p>
        </w:tc>
        <w:tc>
          <w:tcPr>
            <w:tcW w:w="6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13,020</w:t>
            </w:r>
          </w:p>
        </w:tc>
        <w:tc>
          <w:tcPr>
            <w:tcW w:w="6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line="241" w:lineRule="exact"/>
              <w:rPr>
                <w:sz w:val="20"/>
                <w:szCs w:val="20"/>
                <w:color w:val="auto"/>
              </w:rPr>
            </w:pPr>
            <w:r>
              <w:rPr>
                <w:rFonts w:ascii="Times New Roman" w:cs="Times New Roman" w:eastAsia="Times New Roman" w:hAnsi="Times New Roman"/>
                <w:sz w:val="20"/>
                <w:szCs w:val="20"/>
                <w:color w:val="auto"/>
              </w:rPr>
              <w:t>Other profit or loss</w:t>
            </w:r>
            <w:r>
              <w:rPr>
                <w:rFonts w:ascii="Times New Roman" w:cs="Times New Roman" w:eastAsia="Times New Roman" w:hAnsi="Times New Roman"/>
                <w:sz w:val="25"/>
                <w:szCs w:val="25"/>
                <w:color w:val="auto"/>
                <w:vertAlign w:val="superscript"/>
              </w:rPr>
              <w:t>(2)</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380" w:type="dxa"/>
            <w:vAlign w:val="bottom"/>
            <w:tcBorders>
              <w:bottom w:val="single" w:sz="8" w:color="auto"/>
            </w:tcBorders>
            <w:shd w:val="clear" w:color="auto" w:fill="E6E6E6"/>
          </w:tcPr>
          <w:p>
            <w:pPr>
              <w:spacing w:after="0"/>
              <w:rPr>
                <w:sz w:val="21"/>
                <w:szCs w:val="21"/>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4,692</w:t>
            </w:r>
          </w:p>
        </w:tc>
        <w:tc>
          <w:tcPr>
            <w:tcW w:w="60" w:type="dxa"/>
            <w:vAlign w:val="bottom"/>
            <w:shd w:val="clear" w:color="auto" w:fill="E6E6E6"/>
          </w:tcPr>
          <w:p>
            <w:pPr>
              <w:spacing w:after="0"/>
              <w:rPr>
                <w:sz w:val="21"/>
                <w:szCs w:val="2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Total consolidated income before income taxes</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17,691</w:t>
            </w:r>
          </w:p>
        </w:tc>
        <w:tc>
          <w:tcPr>
            <w:tcW w:w="6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8" w:lineRule="exact"/>
        <w:rPr>
          <w:sz w:val="20"/>
          <w:szCs w:val="20"/>
          <w:color w:val="auto"/>
        </w:rPr>
      </w:pPr>
    </w:p>
    <w:p>
      <w:pPr>
        <w:ind w:left="700" w:right="660" w:firstLine="7"/>
        <w:spacing w:after="0" w:line="237" w:lineRule="auto"/>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corporate compensation, professional services, information technology, and other general, administrative corporate expenses.</w:t>
      </w:r>
    </w:p>
    <w:p>
      <w:pPr>
        <w:spacing w:after="0" w:line="1" w:lineRule="exact"/>
        <w:rPr>
          <w:rFonts w:ascii="Times New Roman" w:cs="Times New Roman" w:eastAsia="Times New Roman" w:hAnsi="Times New Roman"/>
          <w:sz w:val="20"/>
          <w:szCs w:val="20"/>
          <w:color w:val="auto"/>
        </w:rPr>
      </w:pPr>
    </w:p>
    <w:p>
      <w:pPr>
        <w:ind w:left="980" w:hanging="273"/>
        <w:spacing w:after="0"/>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foreign exchange (gain) loss and pension expense.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segment information is as follows for the year ended December 31, 2024:</w:t>
      </w:r>
    </w:p>
    <w:p>
      <w:pPr>
        <w:sectPr>
          <w:pgSz w:w="11880" w:h="15480" w:orient="portrait"/>
          <w:cols w:equalWidth="0" w:num="1">
            <w:col w:w="10680"/>
          </w:cols>
          <w:pgMar w:left="600" w:top="827"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680"/>
          </w:cols>
          <w:pgMar w:left="600" w:top="827" w:right="600" w:bottom="66"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52"/>
        </w:trPr>
        <w:tc>
          <w:tcPr>
            <w:tcW w:w="5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Engineered Systems</w:t>
            </w:r>
          </w:p>
        </w:tc>
        <w:tc>
          <w:tcPr>
            <w:tcW w:w="3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w w:val="99"/>
              </w:rPr>
              <w:t>Industrial Process Solutions</w:t>
            </w:r>
          </w:p>
        </w:tc>
        <w:tc>
          <w:tcPr>
            <w:tcW w:w="60" w:type="dxa"/>
            <w:vAlign w:val="bottom"/>
            <w:tcBorders>
              <w:bottom w:val="single" w:sz="8" w:color="E6E6E6"/>
            </w:tcBorders>
          </w:tcPr>
          <w:p>
            <w:pPr>
              <w:spacing w:after="0"/>
              <w:rPr>
                <w:sz w:val="21"/>
                <w:szCs w:val="21"/>
                <w:color w:val="auto"/>
              </w:rPr>
            </w:pPr>
          </w:p>
        </w:tc>
      </w:tr>
      <w:tr>
        <w:trPr>
          <w:trHeight w:val="236"/>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Property and equipment additions</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3,926</w:t>
            </w:r>
          </w:p>
        </w:tc>
        <w:tc>
          <w:tcPr>
            <w:tcW w:w="360" w:type="dxa"/>
            <w:vAlign w:val="bottom"/>
            <w:shd w:val="clear" w:color="auto" w:fill="E6E6E6"/>
          </w:tcPr>
          <w:p>
            <w:pPr>
              <w:spacing w:after="0"/>
              <w:rPr>
                <w:sz w:val="20"/>
                <w:szCs w:val="20"/>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2,863</w:t>
            </w:r>
          </w:p>
        </w:tc>
        <w:tc>
          <w:tcPr>
            <w:tcW w:w="60" w:type="dxa"/>
            <w:vAlign w:val="bottom"/>
            <w:shd w:val="clear" w:color="auto" w:fill="E6E6E6"/>
          </w:tcPr>
          <w:p>
            <w:pPr>
              <w:spacing w:after="0"/>
              <w:rPr>
                <w:sz w:val="20"/>
                <w:szCs w:val="20"/>
                <w:color w:val="auto"/>
              </w:rPr>
            </w:pPr>
          </w:p>
        </w:tc>
      </w:tr>
      <w:tr>
        <w:trPr>
          <w:trHeight w:val="353"/>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4,678</w:t>
            </w:r>
          </w:p>
        </w:tc>
        <w:tc>
          <w:tcPr>
            <w:tcW w:w="60" w:type="dxa"/>
            <w:vAlign w:val="bottom"/>
          </w:tcPr>
          <w:p>
            <w:pPr>
              <w:spacing w:after="0"/>
              <w:rPr>
                <w:sz w:val="24"/>
                <w:szCs w:val="24"/>
                <w:color w:val="auto"/>
              </w:rPr>
            </w:pPr>
          </w:p>
        </w:tc>
      </w:tr>
    </w:tbl>
    <w:p>
      <w:pPr>
        <w:ind w:left="700" w:right="400" w:firstLine="7"/>
        <w:spacing w:after="0" w:line="275" w:lineRule="auto"/>
        <w:tabs>
          <w:tab w:leader="none" w:pos="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of depreciation and amortization disclosed by reportable segment are included within the other segment expense captions, such as shop burden or general and administrative expense.</w:t>
      </w:r>
    </w:p>
    <w:p>
      <w:pPr>
        <w:spacing w:after="0" w:line="166"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20"/>
          <w:szCs w:val="20"/>
          <w:color w:val="auto"/>
        </w:rPr>
        <w:t>A reconciliation of total segment sales to total consolidated sales, as well as total segment profit to total consolidated net income before taxes is as follows for the year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Industrial Process</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2"/>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Engineered Systems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Solutions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6"/>
        </w:trPr>
        <w:tc>
          <w:tcPr>
            <w:tcW w:w="42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sales</w:t>
            </w:r>
          </w:p>
        </w:tc>
        <w:tc>
          <w:tcPr>
            <w:tcW w:w="60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380,108</w:t>
            </w:r>
          </w:p>
        </w:tc>
        <w:tc>
          <w:tcPr>
            <w:tcW w:w="32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auto"/>
            </w:tcBorders>
            <w:shd w:val="clear" w:color="auto" w:fill="E6E6E6"/>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164,737</w:t>
            </w:r>
          </w:p>
        </w:tc>
        <w:tc>
          <w:tcPr>
            <w:tcW w:w="300" w:type="dxa"/>
            <w:vAlign w:val="bottom"/>
            <w:tcBorders>
              <w:top w:val="single" w:sz="8" w:color="E6E6E6"/>
            </w:tcBorders>
            <w:shd w:val="clear" w:color="auto" w:fill="E6E6E6"/>
          </w:tcPr>
          <w:p>
            <w:pPr>
              <w:spacing w:after="0"/>
              <w:rPr>
                <w:sz w:val="20"/>
                <w:szCs w:val="20"/>
                <w:color w:val="auto"/>
              </w:rPr>
            </w:pPr>
          </w:p>
        </w:tc>
        <w:tc>
          <w:tcPr>
            <w:tcW w:w="380" w:type="dxa"/>
            <w:vAlign w:val="bottom"/>
            <w:tcBorders>
              <w:top w:val="single" w:sz="8" w:color="auto"/>
            </w:tcBorders>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544,845</w:t>
            </w:r>
          </w:p>
        </w:tc>
        <w:tc>
          <w:tcPr>
            <w:tcW w:w="80" w:type="dxa"/>
            <w:vAlign w:val="bottom"/>
            <w:tcBorders>
              <w:top w:val="single" w:sz="8" w:color="E6E6E6"/>
            </w:tcBorders>
            <w:shd w:val="clear" w:color="auto" w:fill="E6E6E6"/>
          </w:tcPr>
          <w:p>
            <w:pPr>
              <w:spacing w:after="0"/>
              <w:rPr>
                <w:sz w:val="20"/>
                <w:szCs w:val="20"/>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Direct cost of sales</w:t>
            </w:r>
          </w:p>
        </w:tc>
        <w:tc>
          <w:tcPr>
            <w:tcW w:w="6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254,258</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100,394</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Shop burden</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7,563</w:t>
            </w: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11,614</w:t>
            </w: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8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Selling expense</w:t>
            </w:r>
          </w:p>
        </w:tc>
        <w:tc>
          <w:tcPr>
            <w:tcW w:w="6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11,832</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Project engineering expense</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11,359</w:t>
            </w: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5,588</w:t>
            </w: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8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r>
      <w:tr>
        <w:trPr>
          <w:trHeight w:val="242"/>
        </w:trPr>
        <w:tc>
          <w:tcPr>
            <w:tcW w:w="42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23,370</w:t>
            </w:r>
          </w:p>
        </w:tc>
        <w:tc>
          <w:tcPr>
            <w:tcW w:w="32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10,003</w:t>
            </w:r>
          </w:p>
        </w:tc>
        <w:tc>
          <w:tcPr>
            <w:tcW w:w="300" w:type="dxa"/>
            <w:vAlign w:val="bottom"/>
            <w:tcBorders>
              <w:bottom w:val="single" w:sz="8" w:color="E6E6E6"/>
            </w:tcBorders>
          </w:tcPr>
          <w:p>
            <w:pPr>
              <w:spacing w:after="0"/>
              <w:rPr>
                <w:sz w:val="21"/>
                <w:szCs w:val="21"/>
                <w:color w:val="auto"/>
              </w:rPr>
            </w:pPr>
          </w:p>
        </w:tc>
        <w:tc>
          <w:tcPr>
            <w:tcW w:w="380" w:type="dxa"/>
            <w:vAlign w:val="bottom"/>
            <w:tcBorders>
              <w:bottom w:val="single" w:sz="8" w:color="E6E6E6"/>
            </w:tcBorders>
          </w:tcPr>
          <w:p>
            <w:pPr>
              <w:spacing w:after="0"/>
              <w:rPr>
                <w:sz w:val="21"/>
                <w:szCs w:val="21"/>
                <w:color w:val="auto"/>
              </w:rPr>
            </w:pPr>
          </w:p>
        </w:tc>
        <w:tc>
          <w:tcPr>
            <w:tcW w:w="138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r>
      <w:tr>
        <w:trPr>
          <w:trHeight w:val="236"/>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Segment profit</w:t>
            </w:r>
          </w:p>
        </w:tc>
        <w:tc>
          <w:tcPr>
            <w:tcW w:w="60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65,625</w:t>
            </w:r>
          </w:p>
        </w:tc>
        <w:tc>
          <w:tcPr>
            <w:tcW w:w="32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25,306</w:t>
            </w:r>
          </w:p>
        </w:tc>
        <w:tc>
          <w:tcPr>
            <w:tcW w:w="30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90,931</w:t>
            </w:r>
          </w:p>
        </w:tc>
        <w:tc>
          <w:tcPr>
            <w:tcW w:w="80" w:type="dxa"/>
            <w:vAlign w:val="bottom"/>
            <w:shd w:val="clear" w:color="auto" w:fill="E6E6E6"/>
          </w:tcPr>
          <w:p>
            <w:pPr>
              <w:spacing w:after="0"/>
              <w:rPr>
                <w:sz w:val="20"/>
                <w:szCs w:val="20"/>
                <w:color w:val="auto"/>
              </w:rPr>
            </w:pPr>
          </w:p>
        </w:tc>
      </w:tr>
      <w:tr>
        <w:trPr>
          <w:trHeight w:val="24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4,533</w:t>
            </w:r>
          </w:p>
        </w:tc>
        <w:tc>
          <w:tcPr>
            <w:tcW w:w="8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7,446</w:t>
            </w:r>
          </w:p>
        </w:tc>
        <w:tc>
          <w:tcPr>
            <w:tcW w:w="8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line="241" w:lineRule="exact"/>
              <w:rPr>
                <w:sz w:val="20"/>
                <w:szCs w:val="20"/>
                <w:color w:val="auto"/>
              </w:rPr>
            </w:pPr>
            <w:r>
              <w:rPr>
                <w:rFonts w:ascii="Times New Roman" w:cs="Times New Roman" w:eastAsia="Times New Roman" w:hAnsi="Times New Roman"/>
                <w:sz w:val="20"/>
                <w:szCs w:val="20"/>
                <w:color w:val="auto"/>
              </w:rPr>
              <w:t>Other corporate expenses</w:t>
            </w:r>
            <w:r>
              <w:rPr>
                <w:rFonts w:ascii="Times New Roman" w:cs="Times New Roman" w:eastAsia="Times New Roman" w:hAnsi="Times New Roman"/>
                <w:sz w:val="25"/>
                <w:szCs w:val="25"/>
                <w:color w:val="auto"/>
                <w:vertAlign w:val="superscript"/>
              </w:rPr>
              <w:t>(1)</w:t>
            </w: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44,383</w:t>
            </w:r>
          </w:p>
        </w:tc>
        <w:tc>
          <w:tcPr>
            <w:tcW w:w="80" w:type="dxa"/>
            <w:vAlign w:val="bottom"/>
          </w:tcPr>
          <w:p>
            <w:pPr>
              <w:spacing w:after="0"/>
              <w:rPr>
                <w:sz w:val="21"/>
                <w:szCs w:val="21"/>
                <w:color w:val="auto"/>
              </w:rPr>
            </w:pPr>
          </w:p>
        </w:tc>
      </w:tr>
      <w:tr>
        <w:trPr>
          <w:trHeight w:val="242"/>
        </w:trPr>
        <w:tc>
          <w:tcPr>
            <w:tcW w:w="42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60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200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13,416</w:t>
            </w:r>
          </w:p>
        </w:tc>
        <w:tc>
          <w:tcPr>
            <w:tcW w:w="80" w:type="dxa"/>
            <w:vAlign w:val="bottom"/>
            <w:shd w:val="clear" w:color="auto" w:fill="E6E6E6"/>
          </w:tcPr>
          <w:p>
            <w:pPr>
              <w:spacing w:after="0"/>
              <w:rPr>
                <w:sz w:val="21"/>
                <w:szCs w:val="21"/>
                <w:color w:val="auto"/>
              </w:rPr>
            </w:pPr>
          </w:p>
        </w:tc>
      </w:tr>
      <w:tr>
        <w:trPr>
          <w:trHeight w:val="242"/>
        </w:trPr>
        <w:tc>
          <w:tcPr>
            <w:tcW w:w="4240" w:type="dxa"/>
            <w:vAlign w:val="bottom"/>
          </w:tcPr>
          <w:p>
            <w:pPr>
              <w:spacing w:after="0" w:line="241" w:lineRule="exact"/>
              <w:rPr>
                <w:sz w:val="20"/>
                <w:szCs w:val="20"/>
                <w:color w:val="auto"/>
              </w:rPr>
            </w:pPr>
            <w:r>
              <w:rPr>
                <w:rFonts w:ascii="Times New Roman" w:cs="Times New Roman" w:eastAsia="Times New Roman" w:hAnsi="Times New Roman"/>
                <w:sz w:val="20"/>
                <w:szCs w:val="20"/>
                <w:color w:val="auto"/>
              </w:rPr>
              <w:t>Other profit or loss</w:t>
            </w:r>
            <w:r>
              <w:rPr>
                <w:rFonts w:ascii="Times New Roman" w:cs="Times New Roman" w:eastAsia="Times New Roman" w:hAnsi="Times New Roman"/>
                <w:sz w:val="25"/>
                <w:szCs w:val="25"/>
                <w:color w:val="auto"/>
                <w:vertAlign w:val="superscript"/>
              </w:rPr>
              <w:t>(2)</w:t>
            </w: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(372)</w:t>
            </w:r>
          </w:p>
        </w:tc>
      </w:tr>
      <w:tr>
        <w:trPr>
          <w:trHeight w:val="236"/>
        </w:trPr>
        <w:tc>
          <w:tcPr>
            <w:tcW w:w="42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Total consolidated income before income taxes</w:t>
            </w:r>
          </w:p>
        </w:tc>
        <w:tc>
          <w:tcPr>
            <w:tcW w:w="600" w:type="dxa"/>
            <w:vAlign w:val="bottom"/>
            <w:tcBorders>
              <w:top w:val="single" w:sz="8" w:color="E6E6E6"/>
            </w:tcBorders>
            <w:shd w:val="clear" w:color="auto" w:fill="E6E6E6"/>
          </w:tcPr>
          <w:p>
            <w:pPr>
              <w:spacing w:after="0"/>
              <w:rPr>
                <w:sz w:val="20"/>
                <w:szCs w:val="20"/>
                <w:color w:val="auto"/>
              </w:rPr>
            </w:pPr>
          </w:p>
        </w:tc>
        <w:tc>
          <w:tcPr>
            <w:tcW w:w="1160" w:type="dxa"/>
            <w:vAlign w:val="bottom"/>
            <w:tcBorders>
              <w:top w:val="single" w:sz="8" w:color="E6E6E6"/>
            </w:tcBorders>
            <w:shd w:val="clear" w:color="auto" w:fill="E6E6E6"/>
          </w:tcPr>
          <w:p>
            <w:pPr>
              <w:spacing w:after="0"/>
              <w:rPr>
                <w:sz w:val="20"/>
                <w:szCs w:val="20"/>
                <w:color w:val="auto"/>
              </w:rPr>
            </w:pPr>
          </w:p>
        </w:tc>
        <w:tc>
          <w:tcPr>
            <w:tcW w:w="320" w:type="dxa"/>
            <w:vAlign w:val="bottom"/>
            <w:tcBorders>
              <w:top w:val="single" w:sz="8" w:color="E6E6E6"/>
            </w:tcBorders>
            <w:shd w:val="clear" w:color="auto" w:fill="E6E6E6"/>
          </w:tcPr>
          <w:p>
            <w:pPr>
              <w:spacing w:after="0"/>
              <w:rPr>
                <w:sz w:val="20"/>
                <w:szCs w:val="20"/>
                <w:color w:val="auto"/>
              </w:rPr>
            </w:pPr>
          </w:p>
        </w:tc>
        <w:tc>
          <w:tcPr>
            <w:tcW w:w="220" w:type="dxa"/>
            <w:vAlign w:val="bottom"/>
            <w:tcBorders>
              <w:top w:val="single" w:sz="8" w:color="E6E6E6"/>
            </w:tcBorders>
            <w:shd w:val="clear" w:color="auto" w:fill="E6E6E6"/>
          </w:tcPr>
          <w:p>
            <w:pPr>
              <w:spacing w:after="0"/>
              <w:rPr>
                <w:sz w:val="20"/>
                <w:szCs w:val="20"/>
                <w:color w:val="auto"/>
              </w:rPr>
            </w:pPr>
          </w:p>
        </w:tc>
        <w:tc>
          <w:tcPr>
            <w:tcW w:w="2000" w:type="dxa"/>
            <w:vAlign w:val="bottom"/>
            <w:tcBorders>
              <w:top w:val="single" w:sz="8" w:color="E6E6E6"/>
            </w:tcBorders>
            <w:shd w:val="clear" w:color="auto" w:fill="E6E6E6"/>
          </w:tcPr>
          <w:p>
            <w:pPr>
              <w:spacing w:after="0"/>
              <w:rPr>
                <w:sz w:val="20"/>
                <w:szCs w:val="20"/>
                <w:color w:val="auto"/>
              </w:rPr>
            </w:pPr>
          </w:p>
        </w:tc>
        <w:tc>
          <w:tcPr>
            <w:tcW w:w="300" w:type="dxa"/>
            <w:vAlign w:val="bottom"/>
            <w:tcBorders>
              <w:top w:val="single" w:sz="8" w:color="E6E6E6"/>
            </w:tcBorders>
            <w:shd w:val="clear" w:color="auto" w:fill="E6E6E6"/>
          </w:tcPr>
          <w:p>
            <w:pPr>
              <w:spacing w:after="0"/>
              <w:rPr>
                <w:sz w:val="20"/>
                <w:szCs w:val="20"/>
                <w:color w:val="auto"/>
              </w:rPr>
            </w:pPr>
          </w:p>
        </w:tc>
        <w:tc>
          <w:tcPr>
            <w:tcW w:w="380" w:type="dxa"/>
            <w:vAlign w:val="bottom"/>
            <w:tcBorders>
              <w:top w:val="single" w:sz="8" w:color="auto"/>
              <w:bottom w:val="single" w:sz="8" w:color="auto"/>
            </w:tcBorders>
            <w:shd w:val="clear" w:color="auto" w:fill="E6E6E6"/>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21,525</w:t>
            </w:r>
          </w:p>
        </w:tc>
        <w:tc>
          <w:tcPr>
            <w:tcW w:w="80" w:type="dxa"/>
            <w:vAlign w:val="bottom"/>
            <w:tcBorders>
              <w:top w:val="single" w:sz="8" w:color="E6E6E6"/>
            </w:tcBorders>
            <w:shd w:val="clear" w:color="auto" w:fill="E6E6E6"/>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8" w:lineRule="exact"/>
        <w:rPr>
          <w:sz w:val="20"/>
          <w:szCs w:val="20"/>
          <w:color w:val="auto"/>
        </w:rPr>
      </w:pPr>
    </w:p>
    <w:p>
      <w:pPr>
        <w:ind w:left="700" w:right="660" w:firstLine="7"/>
        <w:spacing w:after="0" w:line="237"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corporate compensation, professional services, information technology, and other general, administrative corporate expenses.</w:t>
      </w:r>
    </w:p>
    <w:p>
      <w:pPr>
        <w:spacing w:after="0" w:line="1" w:lineRule="exact"/>
        <w:rPr>
          <w:rFonts w:ascii="Times New Roman" w:cs="Times New Roman" w:eastAsia="Times New Roman" w:hAnsi="Times New Roman"/>
          <w:sz w:val="20"/>
          <w:szCs w:val="20"/>
          <w:color w:val="auto"/>
        </w:rPr>
      </w:pPr>
    </w:p>
    <w:p>
      <w:pPr>
        <w:ind w:left="980" w:hanging="273"/>
        <w:spacing w:after="0"/>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foreign exchange (gain) loss and pension expense.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segment information is as follows for the year ended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Engineered Systems</w:t>
            </w:r>
          </w:p>
        </w:tc>
        <w:tc>
          <w:tcPr>
            <w:tcW w:w="3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w w:val="99"/>
              </w:rPr>
              <w:t>Industrial Process Solutions</w:t>
            </w:r>
          </w:p>
        </w:tc>
        <w:tc>
          <w:tcPr>
            <w:tcW w:w="60" w:type="dxa"/>
            <w:vAlign w:val="bottom"/>
            <w:tcBorders>
              <w:bottom w:val="single" w:sz="8" w:color="E6E6E6"/>
            </w:tcBorders>
          </w:tcPr>
          <w:p>
            <w:pPr>
              <w:spacing w:after="0"/>
              <w:rPr>
                <w:sz w:val="21"/>
                <w:szCs w:val="21"/>
                <w:color w:val="auto"/>
              </w:rPr>
            </w:pPr>
          </w:p>
        </w:tc>
      </w:tr>
      <w:tr>
        <w:trPr>
          <w:trHeight w:val="236"/>
        </w:trPr>
        <w:tc>
          <w:tcPr>
            <w:tcW w:w="5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Property and equipment additions</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2,070</w:t>
            </w:r>
          </w:p>
        </w:tc>
        <w:tc>
          <w:tcPr>
            <w:tcW w:w="360" w:type="dxa"/>
            <w:vAlign w:val="bottom"/>
            <w:shd w:val="clear" w:color="auto" w:fill="E6E6E6"/>
          </w:tcPr>
          <w:p>
            <w:pPr>
              <w:spacing w:after="0"/>
              <w:rPr>
                <w:sz w:val="20"/>
                <w:szCs w:val="20"/>
                <w:color w:val="auto"/>
              </w:rPr>
            </w:pP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2,827</w:t>
            </w:r>
          </w:p>
        </w:tc>
        <w:tc>
          <w:tcPr>
            <w:tcW w:w="60" w:type="dxa"/>
            <w:vAlign w:val="bottom"/>
            <w:shd w:val="clear" w:color="auto" w:fill="E6E6E6"/>
          </w:tcPr>
          <w:p>
            <w:pPr>
              <w:spacing w:after="0"/>
              <w:rPr>
                <w:sz w:val="20"/>
                <w:szCs w:val="20"/>
                <w:color w:val="auto"/>
              </w:rPr>
            </w:pPr>
          </w:p>
        </w:tc>
      </w:tr>
      <w:tr>
        <w:trPr>
          <w:trHeight w:val="353"/>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5,820</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4,352</w:t>
            </w:r>
          </w:p>
        </w:tc>
        <w:tc>
          <w:tcPr>
            <w:tcW w:w="60" w:type="dxa"/>
            <w:vAlign w:val="bottom"/>
          </w:tcPr>
          <w:p>
            <w:pPr>
              <w:spacing w:after="0"/>
              <w:rPr>
                <w:sz w:val="24"/>
                <w:szCs w:val="24"/>
                <w:color w:val="auto"/>
              </w:rPr>
            </w:pPr>
          </w:p>
        </w:tc>
      </w:tr>
    </w:tbl>
    <w:p>
      <w:pPr>
        <w:ind w:left="700" w:right="400" w:firstLine="7"/>
        <w:spacing w:after="0" w:line="275" w:lineRule="auto"/>
        <w:tabs>
          <w:tab w:leader="none" w:pos="9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of depreciation and amortization disclosed by reportable segment are included within the other segment expense captions, such as shop burden or general and administrative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single customer represented greater than 10% of consolidated net sales or accounts receivable for 2025, 2024, or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Geographic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 by geographic area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513,463</w:t>
            </w:r>
          </w:p>
        </w:tc>
        <w:tc>
          <w:tcPr>
            <w:tcW w:w="40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376,281</w:t>
            </w:r>
          </w:p>
        </w:tc>
        <w:tc>
          <w:tcPr>
            <w:tcW w:w="40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364,483</w:t>
            </w:r>
          </w:p>
        </w:tc>
        <w:tc>
          <w:tcPr>
            <w:tcW w:w="60" w:type="dxa"/>
            <w:vAlign w:val="bottom"/>
          </w:tcPr>
          <w:p>
            <w:pPr>
              <w:spacing w:after="0"/>
              <w:rPr>
                <w:sz w:val="20"/>
                <w:szCs w:val="20"/>
                <w:color w:val="auto"/>
              </w:rPr>
            </w:pPr>
          </w:p>
        </w:tc>
      </w:tr>
      <w:tr>
        <w:trPr>
          <w:trHeight w:val="242"/>
        </w:trPr>
        <w:tc>
          <w:tcPr>
            <w:tcW w:w="35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Netherlands</w:t>
            </w:r>
          </w:p>
        </w:tc>
        <w:tc>
          <w:tcPr>
            <w:tcW w:w="360" w:type="dxa"/>
            <w:vAlign w:val="bottom"/>
            <w:shd w:val="clear" w:color="auto" w:fill="E6E6E6"/>
          </w:tcPr>
          <w:p>
            <w:pPr>
              <w:spacing w:after="0"/>
              <w:rPr>
                <w:sz w:val="21"/>
                <w:szCs w:val="21"/>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62,995</w:t>
            </w:r>
          </w:p>
        </w:tc>
        <w:tc>
          <w:tcPr>
            <w:tcW w:w="40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3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52,629</w:t>
            </w:r>
          </w:p>
        </w:tc>
        <w:tc>
          <w:tcPr>
            <w:tcW w:w="4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51,149</w:t>
            </w:r>
          </w:p>
        </w:tc>
        <w:tc>
          <w:tcPr>
            <w:tcW w:w="60" w:type="dxa"/>
            <w:vAlign w:val="bottom"/>
            <w:shd w:val="clear" w:color="auto" w:fill="E6E6E6"/>
          </w:tcPr>
          <w:p>
            <w:pPr>
              <w:spacing w:after="0"/>
              <w:rPr>
                <w:sz w:val="21"/>
                <w:szCs w:val="21"/>
                <w:color w:val="auto"/>
              </w:rPr>
            </w:pPr>
          </w:p>
        </w:tc>
      </w:tr>
      <w:tr>
        <w:trPr>
          <w:trHeight w:val="242"/>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56,267</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62,961</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51,066</w:t>
            </w:r>
          </w:p>
        </w:tc>
        <w:tc>
          <w:tcPr>
            <w:tcW w:w="60" w:type="dxa"/>
            <w:vAlign w:val="bottom"/>
          </w:tcPr>
          <w:p>
            <w:pPr>
              <w:spacing w:after="0"/>
              <w:rPr>
                <w:sz w:val="21"/>
                <w:szCs w:val="21"/>
                <w:color w:val="auto"/>
              </w:rPr>
            </w:pPr>
          </w:p>
        </w:tc>
      </w:tr>
      <w:tr>
        <w:trPr>
          <w:trHeight w:val="242"/>
        </w:trPr>
        <w:tc>
          <w:tcPr>
            <w:tcW w:w="35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China</w:t>
            </w:r>
          </w:p>
        </w:tc>
        <w:tc>
          <w:tcPr>
            <w:tcW w:w="360" w:type="dxa"/>
            <w:vAlign w:val="bottom"/>
            <w:shd w:val="clear" w:color="auto" w:fill="E6E6E6"/>
          </w:tcPr>
          <w:p>
            <w:pPr>
              <w:spacing w:after="0"/>
              <w:rPr>
                <w:sz w:val="21"/>
                <w:szCs w:val="21"/>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48,835</w:t>
            </w:r>
          </w:p>
        </w:tc>
        <w:tc>
          <w:tcPr>
            <w:tcW w:w="40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3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30,622</w:t>
            </w:r>
          </w:p>
        </w:tc>
        <w:tc>
          <w:tcPr>
            <w:tcW w:w="4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24,660</w:t>
            </w:r>
          </w:p>
        </w:tc>
        <w:tc>
          <w:tcPr>
            <w:tcW w:w="60" w:type="dxa"/>
            <w:vAlign w:val="bottom"/>
            <w:shd w:val="clear" w:color="auto" w:fill="E6E6E6"/>
          </w:tcPr>
          <w:p>
            <w:pPr>
              <w:spacing w:after="0"/>
              <w:rPr>
                <w:sz w:val="21"/>
                <w:szCs w:val="21"/>
                <w:color w:val="auto"/>
              </w:rPr>
            </w:pPr>
          </w:p>
        </w:tc>
      </w:tr>
      <w:tr>
        <w:trPr>
          <w:trHeight w:val="242"/>
        </w:trPr>
        <w:tc>
          <w:tcPr>
            <w:tcW w:w="35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92,821</w:t>
            </w:r>
          </w:p>
        </w:tc>
        <w:tc>
          <w:tcPr>
            <w:tcW w:w="40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35,440</w:t>
            </w:r>
          </w:p>
        </w:tc>
        <w:tc>
          <w:tcPr>
            <w:tcW w:w="40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53,487</w:t>
            </w:r>
          </w:p>
        </w:tc>
        <w:tc>
          <w:tcPr>
            <w:tcW w:w="60" w:type="dxa"/>
            <w:vAlign w:val="bottom"/>
            <w:tcBorders>
              <w:bottom w:val="single" w:sz="8" w:color="E6E6E6"/>
            </w:tcBorders>
          </w:tcPr>
          <w:p>
            <w:pPr>
              <w:spacing w:after="0"/>
              <w:rPr>
                <w:sz w:val="21"/>
                <w:szCs w:val="21"/>
                <w:color w:val="auto"/>
              </w:rPr>
            </w:pPr>
          </w:p>
        </w:tc>
      </w:tr>
      <w:tr>
        <w:trPr>
          <w:trHeight w:val="236"/>
        </w:trPr>
        <w:tc>
          <w:tcPr>
            <w:tcW w:w="35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Total net sales</w:t>
            </w:r>
          </w:p>
        </w:tc>
        <w:tc>
          <w:tcPr>
            <w:tcW w:w="360" w:type="dxa"/>
            <w:vAlign w:val="bottom"/>
            <w:tcBorders>
              <w:bottom w:val="single" w:sz="8" w:color="auto"/>
            </w:tcBorders>
            <w:shd w:val="clear" w:color="auto" w:fill="E6E6E6"/>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774,381</w:t>
            </w:r>
          </w:p>
        </w:tc>
        <w:tc>
          <w:tcPr>
            <w:tcW w:w="400" w:type="dxa"/>
            <w:vAlign w:val="bottom"/>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3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557,933</w:t>
            </w:r>
          </w:p>
        </w:tc>
        <w:tc>
          <w:tcPr>
            <w:tcW w:w="400" w:type="dxa"/>
            <w:vAlign w:val="bottom"/>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544,845</w:t>
            </w:r>
          </w:p>
        </w:tc>
        <w:tc>
          <w:tcPr>
            <w:tcW w:w="60" w:type="dxa"/>
            <w:vAlign w:val="bottom"/>
            <w:shd w:val="clear" w:color="auto" w:fill="E6E6E6"/>
          </w:tcPr>
          <w:p>
            <w:pPr>
              <w:spacing w:after="0"/>
              <w:rPr>
                <w:sz w:val="20"/>
                <w:szCs w:val="20"/>
                <w:color w:val="auto"/>
              </w:rPr>
            </w:pPr>
          </w:p>
        </w:tc>
      </w:tr>
      <w:tr>
        <w:trPr>
          <w:trHeight w:val="20"/>
        </w:trPr>
        <w:tc>
          <w:tcPr>
            <w:tcW w:w="3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geographical area data for net sales is based upon the country location of the Company's business unit generating such sales.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Long-lived assets by geographic area are as follows:</w:t>
      </w:r>
    </w:p>
    <w:p>
      <w:pPr>
        <w:sectPr>
          <w:pgSz w:w="11880" w:h="15480" w:orient="portrait"/>
          <w:cols w:equalWidth="0" w:num="1">
            <w:col w:w="10680"/>
          </w:cols>
          <w:pgMar w:left="600" w:top="829" w:right="600" w:bottom="66"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680"/>
          </w:cols>
          <w:pgMar w:left="600" w:top="829" w:right="600" w:bottom="66" w:gutter="0" w:footer="0" w:header="0"/>
          <w:type w:val="continuous"/>
        </w:sectPr>
      </w:pPr>
    </w:p>
    <w:bookmarkStart w:id="96" w:name="page97"/>
    <w:bookmarkEnd w:id="96"/>
    <w:tbl>
      <w:tblPr>
        <w:tblLayout w:type="fixed"/>
        <w:tblInd w:w="6" w:type="dxa"/>
        <w:tblCellMar>
          <w:top w:w="0" w:type="dxa"/>
          <w:left w:w="0" w:type="dxa"/>
          <w:bottom w:w="0" w:type="dxa"/>
          <w:right w:w="0" w:type="dxa"/>
        </w:tblCellMar>
      </w:tblPr>
      <w:tr>
        <w:trPr>
          <w:trHeight w:val="252"/>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5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0" w:type="dxa"/>
            <w:vAlign w:val="bottom"/>
          </w:tcPr>
          <w:p>
            <w:pPr>
              <w:spacing w:after="0"/>
              <w:rPr>
                <w:sz w:val="20"/>
                <w:szCs w:val="20"/>
                <w:color w:val="auto"/>
              </w:rPr>
            </w:pPr>
          </w:p>
        </w:tc>
        <w:tc>
          <w:tcPr>
            <w:tcW w:w="82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w w:val="74"/>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359,584</w:t>
            </w:r>
          </w:p>
        </w:tc>
        <w:tc>
          <w:tcPr>
            <w:tcW w:w="480" w:type="dxa"/>
            <w:vAlign w:val="bottom"/>
          </w:tcPr>
          <w:p>
            <w:pPr>
              <w:spacing w:after="0"/>
              <w:rPr>
                <w:sz w:val="20"/>
                <w:szCs w:val="20"/>
                <w:color w:val="auto"/>
              </w:rPr>
            </w:pPr>
          </w:p>
        </w:tc>
        <w:tc>
          <w:tcPr>
            <w:tcW w:w="4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332,162</w:t>
            </w:r>
          </w:p>
        </w:tc>
        <w:tc>
          <w:tcPr>
            <w:tcW w:w="60" w:type="dxa"/>
            <w:vAlign w:val="bottom"/>
          </w:tcPr>
          <w:p>
            <w:pPr>
              <w:spacing w:after="0"/>
              <w:rPr>
                <w:sz w:val="20"/>
                <w:szCs w:val="20"/>
                <w:color w:val="auto"/>
              </w:rPr>
            </w:pPr>
          </w:p>
        </w:tc>
      </w:tr>
      <w:tr>
        <w:trPr>
          <w:trHeight w:val="242"/>
        </w:trPr>
        <w:tc>
          <w:tcPr>
            <w:tcW w:w="46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China</w:t>
            </w:r>
          </w:p>
        </w:tc>
        <w:tc>
          <w:tcPr>
            <w:tcW w:w="2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2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39,205</w:t>
            </w:r>
          </w:p>
        </w:tc>
        <w:tc>
          <w:tcPr>
            <w:tcW w:w="48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36,315</w:t>
            </w:r>
          </w:p>
        </w:tc>
        <w:tc>
          <w:tcPr>
            <w:tcW w:w="60" w:type="dxa"/>
            <w:vAlign w:val="bottom"/>
            <w:shd w:val="clear" w:color="auto" w:fill="E6E6E6"/>
          </w:tcPr>
          <w:p>
            <w:pPr>
              <w:spacing w:after="0"/>
              <w:rPr>
                <w:sz w:val="21"/>
                <w:szCs w:val="21"/>
                <w:color w:val="auto"/>
              </w:rPr>
            </w:pPr>
          </w:p>
        </w:tc>
      </w:tr>
      <w:tr>
        <w:trPr>
          <w:trHeight w:val="242"/>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27,761</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27,003</w:t>
            </w:r>
          </w:p>
        </w:tc>
        <w:tc>
          <w:tcPr>
            <w:tcW w:w="60" w:type="dxa"/>
            <w:vAlign w:val="bottom"/>
          </w:tcPr>
          <w:p>
            <w:pPr>
              <w:spacing w:after="0"/>
              <w:rPr>
                <w:sz w:val="21"/>
                <w:szCs w:val="21"/>
                <w:color w:val="auto"/>
              </w:rPr>
            </w:pPr>
          </w:p>
        </w:tc>
      </w:tr>
      <w:tr>
        <w:trPr>
          <w:trHeight w:val="242"/>
        </w:trPr>
        <w:tc>
          <w:tcPr>
            <w:tcW w:w="46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E6E6E6"/>
          </w:tcPr>
          <w:p>
            <w:pPr>
              <w:spacing w:after="0"/>
              <w:rPr>
                <w:sz w:val="21"/>
                <w:szCs w:val="21"/>
                <w:color w:val="auto"/>
              </w:rPr>
            </w:pPr>
          </w:p>
        </w:tc>
        <w:tc>
          <w:tcPr>
            <w:tcW w:w="820" w:type="dxa"/>
            <w:vAlign w:val="bottom"/>
            <w:tcBorders>
              <w:bottom w:val="single" w:sz="8" w:color="auto"/>
            </w:tcBorders>
            <w:shd w:val="clear" w:color="auto" w:fill="E6E6E6"/>
          </w:tcPr>
          <w:p>
            <w:pPr>
              <w:spacing w:after="0"/>
              <w:rPr>
                <w:sz w:val="21"/>
                <w:szCs w:val="21"/>
                <w:color w:val="auto"/>
              </w:rPr>
            </w:pPr>
          </w:p>
        </w:tc>
        <w:tc>
          <w:tcPr>
            <w:tcW w:w="2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57,038</w:t>
            </w:r>
          </w:p>
        </w:tc>
        <w:tc>
          <w:tcPr>
            <w:tcW w:w="480" w:type="dxa"/>
            <w:vAlign w:val="bottom"/>
            <w:shd w:val="clear" w:color="auto" w:fill="E6E6E6"/>
          </w:tcPr>
          <w:p>
            <w:pPr>
              <w:spacing w:after="0"/>
              <w:rPr>
                <w:sz w:val="21"/>
                <w:szCs w:val="21"/>
                <w:color w:val="auto"/>
              </w:rPr>
            </w:pPr>
          </w:p>
        </w:tc>
        <w:tc>
          <w:tcPr>
            <w:tcW w:w="440" w:type="dxa"/>
            <w:vAlign w:val="bottom"/>
            <w:tcBorders>
              <w:bottom w:val="single" w:sz="8" w:color="auto"/>
            </w:tcBorders>
            <w:shd w:val="clear" w:color="auto" w:fill="E6E6E6"/>
          </w:tcPr>
          <w:p>
            <w:pPr>
              <w:spacing w:after="0"/>
              <w:rPr>
                <w:sz w:val="21"/>
                <w:szCs w:val="21"/>
                <w:color w:val="auto"/>
              </w:rPr>
            </w:pPr>
          </w:p>
        </w:tc>
        <w:tc>
          <w:tcPr>
            <w:tcW w:w="1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33,248</w:t>
            </w:r>
          </w:p>
        </w:tc>
        <w:tc>
          <w:tcPr>
            <w:tcW w:w="60" w:type="dxa"/>
            <w:vAlign w:val="bottom"/>
            <w:shd w:val="clear" w:color="auto" w:fill="E6E6E6"/>
          </w:tcPr>
          <w:p>
            <w:pPr>
              <w:spacing w:after="0"/>
              <w:rPr>
                <w:sz w:val="21"/>
                <w:szCs w:val="21"/>
                <w:color w:val="auto"/>
              </w:rPr>
            </w:pPr>
          </w:p>
        </w:tc>
      </w:tr>
      <w:tr>
        <w:trPr>
          <w:trHeight w:val="236"/>
        </w:trPr>
        <w:tc>
          <w:tcPr>
            <w:tcW w:w="4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long-lived assets</w:t>
            </w:r>
          </w:p>
        </w:tc>
        <w:tc>
          <w:tcPr>
            <w:tcW w:w="20" w:type="dxa"/>
            <w:vAlign w:val="bottom"/>
          </w:tcPr>
          <w:p>
            <w:pPr>
              <w:spacing w:after="0"/>
              <w:rPr>
                <w:sz w:val="20"/>
                <w:szCs w:val="20"/>
                <w:color w:val="auto"/>
              </w:rPr>
            </w:pPr>
          </w:p>
        </w:tc>
        <w:tc>
          <w:tcPr>
            <w:tcW w:w="8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color w:val="auto"/>
                <w:w w:val="74"/>
              </w:rPr>
              <w:t>$</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483,587</w:t>
            </w:r>
          </w:p>
        </w:tc>
        <w:tc>
          <w:tcPr>
            <w:tcW w:w="480" w:type="dxa"/>
            <w:vAlign w:val="bottom"/>
          </w:tcPr>
          <w:p>
            <w:pPr>
              <w:spacing w:after="0"/>
              <w:rPr>
                <w:sz w:val="20"/>
                <w:szCs w:val="20"/>
                <w:color w:val="auto"/>
              </w:rPr>
            </w:pPr>
          </w:p>
        </w:tc>
        <w:tc>
          <w:tcPr>
            <w:tcW w:w="4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428,728</w:t>
            </w:r>
          </w:p>
        </w:tc>
        <w:tc>
          <w:tcPr>
            <w:tcW w:w="6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geographical area data for long-lived assets is based upon physical location of such assets.</w:t>
      </w:r>
    </w:p>
    <w:p>
      <w:pPr>
        <w:spacing w:after="0" w:line="232" w:lineRule="exact"/>
        <w:rPr>
          <w:sz w:val="20"/>
          <w:szCs w:val="20"/>
          <w:color w:val="auto"/>
        </w:rPr>
      </w:pPr>
    </w:p>
    <w:p>
      <w:pPr>
        <w:ind w:left="486" w:hanging="486"/>
        <w:spacing w:after="0"/>
        <w:tabs>
          <w:tab w:leader="none" w:pos="486"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Merger Agreement with Thermon Group Holdings, Inc.</w:t>
      </w:r>
    </w:p>
    <w:p>
      <w:pPr>
        <w:spacing w:after="0" w:line="229" w:lineRule="exact"/>
        <w:rPr>
          <w:sz w:val="20"/>
          <w:szCs w:val="20"/>
          <w:color w:val="auto"/>
        </w:rPr>
      </w:pPr>
    </w:p>
    <w:p>
      <w:pPr>
        <w:ind w:left="6" w:right="20"/>
        <w:spacing w:after="0" w:line="250" w:lineRule="auto"/>
        <w:rPr>
          <w:sz w:val="20"/>
          <w:szCs w:val="20"/>
          <w:color w:val="auto"/>
        </w:rPr>
      </w:pPr>
      <w:r>
        <w:rPr>
          <w:rFonts w:ascii="Times New Roman" w:cs="Times New Roman" w:eastAsia="Times New Roman" w:hAnsi="Times New Roman"/>
          <w:sz w:val="20"/>
          <w:szCs w:val="20"/>
          <w:color w:val="auto"/>
        </w:rPr>
        <w:t>On February 23, 2026, the Company entered into an Agreement and Plan of Merger (the “Merger Agreement”) with Longhorn Merger Sub, Inc. and Longhorn Merger Sub LLC, each a direct wholly owned subsidiary of the Company (together, the “Merger Subs”), and Thermon Group Holdings, Inc. (“Thermon”), pursuant to which the parties agreed to effect the merger transactions contemplated thereby (the “Merger”).</w:t>
      </w:r>
    </w:p>
    <w:p>
      <w:pPr>
        <w:spacing w:after="0" w:line="180" w:lineRule="exact"/>
        <w:rPr>
          <w:sz w:val="20"/>
          <w:szCs w:val="20"/>
          <w:color w:val="auto"/>
        </w:rPr>
      </w:pPr>
    </w:p>
    <w:p>
      <w:pPr>
        <w:ind w:left="6" w:right="100"/>
        <w:spacing w:after="0" w:line="242" w:lineRule="auto"/>
        <w:rPr>
          <w:sz w:val="20"/>
          <w:szCs w:val="20"/>
          <w:color w:val="auto"/>
        </w:rPr>
      </w:pPr>
      <w:r>
        <w:rPr>
          <w:rFonts w:ascii="Times New Roman" w:cs="Times New Roman" w:eastAsia="Times New Roman" w:hAnsi="Times New Roman"/>
          <w:sz w:val="20"/>
          <w:szCs w:val="20"/>
          <w:color w:val="auto"/>
        </w:rPr>
        <w:t xml:space="preserve">Under the terms of the Merger Agreement and at the effective time of the Merger, each share of common stock, par value $0.001 per share, of Thermon (“Thermon Common Stock”), issued and outstanding immediately prior to the effective time (other than those shares of Thermon Common Stock excluded or constituting dissenting shares pursuant to the Merger Agreement), will be automatically converted into the right to receive from the Company, at the holder’s election and subject to proration, either (i) mixed consideration consisting of </w:t>
      </w:r>
      <w:r>
        <w:rPr>
          <w:rFonts w:ascii="Times New Roman" w:cs="Times New Roman" w:eastAsia="Times New Roman" w:hAnsi="Times New Roman"/>
          <w:sz w:val="19"/>
          <w:szCs w:val="19"/>
          <w:color w:val="auto"/>
        </w:rPr>
        <w:t>0.6840</w:t>
      </w:r>
      <w:r>
        <w:rPr>
          <w:rFonts w:ascii="Times New Roman" w:cs="Times New Roman" w:eastAsia="Times New Roman" w:hAnsi="Times New Roman"/>
          <w:sz w:val="20"/>
          <w:szCs w:val="20"/>
          <w:color w:val="auto"/>
        </w:rPr>
        <w:t xml:space="preserve"> shares of the Company’s common stock and </w:t>
      </w:r>
      <w:r>
        <w:rPr>
          <w:rFonts w:ascii="Times New Roman" w:cs="Times New Roman" w:eastAsia="Times New Roman" w:hAnsi="Times New Roman"/>
          <w:sz w:val="19"/>
          <w:szCs w:val="19"/>
          <w:color w:val="auto"/>
        </w:rPr>
        <w:t>$10.00</w:t>
      </w:r>
      <w:r>
        <w:rPr>
          <w:rFonts w:ascii="Times New Roman" w:cs="Times New Roman" w:eastAsia="Times New Roman" w:hAnsi="Times New Roman"/>
          <w:sz w:val="20"/>
          <w:szCs w:val="20"/>
          <w:color w:val="auto"/>
        </w:rPr>
        <w:t xml:space="preserve"> of cash per share, (ii) </w:t>
      </w:r>
      <w:r>
        <w:rPr>
          <w:rFonts w:ascii="Times New Roman" w:cs="Times New Roman" w:eastAsia="Times New Roman" w:hAnsi="Times New Roman"/>
          <w:sz w:val="19"/>
          <w:szCs w:val="19"/>
          <w:color w:val="auto"/>
        </w:rPr>
        <w:t>$63.89</w:t>
      </w:r>
      <w:r>
        <w:rPr>
          <w:rFonts w:ascii="Times New Roman" w:cs="Times New Roman" w:eastAsia="Times New Roman" w:hAnsi="Times New Roman"/>
          <w:sz w:val="20"/>
          <w:szCs w:val="20"/>
          <w:color w:val="auto"/>
        </w:rPr>
        <w:t xml:space="preserve"> of cash per share or (iii) </w:t>
      </w:r>
      <w:r>
        <w:rPr>
          <w:rFonts w:ascii="Times New Roman" w:cs="Times New Roman" w:eastAsia="Times New Roman" w:hAnsi="Times New Roman"/>
          <w:sz w:val="19"/>
          <w:szCs w:val="19"/>
          <w:color w:val="auto"/>
        </w:rPr>
        <w:t>0.8110</w:t>
      </w:r>
      <w:r>
        <w:rPr>
          <w:rFonts w:ascii="Times New Roman" w:cs="Times New Roman" w:eastAsia="Times New Roman" w:hAnsi="Times New Roman"/>
          <w:sz w:val="20"/>
          <w:szCs w:val="20"/>
          <w:color w:val="auto"/>
        </w:rPr>
        <w:t xml:space="preserve"> shares of the Company’s common stock per share (collectively, the "Merger Consideration"). The Company expects to seek stockholder approval for the issuance of shares of Company common stock in the transaction and Thermon will seek Thermon stockholder approval of the Merger Agreement.</w:t>
      </w:r>
    </w:p>
    <w:p>
      <w:pPr>
        <w:spacing w:after="0" w:line="194" w:lineRule="exact"/>
        <w:rPr>
          <w:sz w:val="20"/>
          <w:szCs w:val="20"/>
          <w:color w:val="auto"/>
        </w:rPr>
      </w:pPr>
    </w:p>
    <w:p>
      <w:pPr>
        <w:ind w:left="6"/>
        <w:spacing w:after="0" w:line="246" w:lineRule="auto"/>
        <w:rPr>
          <w:sz w:val="20"/>
          <w:szCs w:val="20"/>
          <w:color w:val="auto"/>
        </w:rPr>
      </w:pPr>
      <w:r>
        <w:rPr>
          <w:rFonts w:ascii="Times New Roman" w:cs="Times New Roman" w:eastAsia="Times New Roman" w:hAnsi="Times New Roman"/>
          <w:sz w:val="20"/>
          <w:szCs w:val="20"/>
          <w:color w:val="auto"/>
        </w:rPr>
        <w:t>The completion of the Merger is subject to customary closing conditions, including, among others, approval by the Company’s and Thermon’s stockholders, the expiration or termination of the applicable waiting period under the Hart-Scott-Rodino Antitrust Improvements Act of 1976, as amended, the effectiveness of a registration statement on Form S-4 to be filed by the Company, approval for listing on Nasdaq of the shares of Company common stock to be issued in the transaction, and other customary regulatory approvals and conditions.</w:t>
      </w:r>
    </w:p>
    <w:p>
      <w:pPr>
        <w:spacing w:after="0" w:line="188" w:lineRule="exact"/>
        <w:rPr>
          <w:sz w:val="20"/>
          <w:szCs w:val="20"/>
          <w:color w:val="auto"/>
        </w:rPr>
      </w:pPr>
    </w:p>
    <w:p>
      <w:pPr>
        <w:ind w:left="6" w:right="580"/>
        <w:spacing w:after="0" w:line="302" w:lineRule="auto"/>
        <w:rPr>
          <w:sz w:val="20"/>
          <w:szCs w:val="20"/>
          <w:color w:val="auto"/>
        </w:rPr>
      </w:pPr>
      <w:r>
        <w:rPr>
          <w:rFonts w:ascii="Times New Roman" w:cs="Times New Roman" w:eastAsia="Times New Roman" w:hAnsi="Times New Roman"/>
          <w:sz w:val="19"/>
          <w:szCs w:val="19"/>
          <w:color w:val="auto"/>
        </w:rPr>
        <w:t>The Company expects to account for the acquisition as a business combination under ASC 805. The preliminary purchase price allocation and the related effects on the consolidated financial statements have not been determined as of the date of issuance.</w:t>
      </w:r>
    </w:p>
    <w:p>
      <w:pPr>
        <w:sectPr>
          <w:pgSz w:w="11880" w:h="15480" w:orient="portrait"/>
          <w:cols w:equalWidth="0" w:num="1">
            <w:col w:w="10686"/>
          </w:cols>
          <w:pgMar w:left="594" w:top="829"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686"/>
          </w:cols>
          <w:pgMar w:left="594" w:top="829" w:right="600" w:bottom="66" w:gutter="0" w:footer="0" w:header="0"/>
          <w:type w:val="continuous"/>
        </w:sectPr>
      </w:pPr>
    </w:p>
    <w:bookmarkStart w:id="97" w:name="page98"/>
    <w:bookmarkEnd w:id="97"/>
    <w:p>
      <w:pPr>
        <w:ind w:left="6"/>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None.</w:t>
      </w:r>
    </w:p>
    <w:p>
      <w:pPr>
        <w:spacing w:after="0" w:line="2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9" w:lineRule="exact"/>
        <w:rPr>
          <w:sz w:val="20"/>
          <w:szCs w:val="20"/>
          <w:color w:val="auto"/>
        </w:rPr>
      </w:pPr>
    </w:p>
    <w:p>
      <w:pPr>
        <w:jc w:val="both"/>
        <w:ind w:left="6"/>
        <w:spacing w:after="0" w:line="246" w:lineRule="auto"/>
        <w:rPr>
          <w:sz w:val="20"/>
          <w:szCs w:val="20"/>
          <w:color w:val="auto"/>
        </w:rPr>
      </w:pPr>
      <w:r>
        <w:rPr>
          <w:rFonts w:ascii="Times New Roman" w:cs="Times New Roman" w:eastAsia="Times New Roman" w:hAnsi="Times New Roman"/>
          <w:sz w:val="20"/>
          <w:szCs w:val="20"/>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(“CEO”) and Chief Financial Officer (“CFO”), as appropriate, to allow timely decisions regarding required disclosure.</w:t>
      </w:r>
    </w:p>
    <w:p>
      <w:pPr>
        <w:spacing w:after="0" w:line="188" w:lineRule="exact"/>
        <w:rPr>
          <w:sz w:val="20"/>
          <w:szCs w:val="20"/>
          <w:color w:val="auto"/>
        </w:rPr>
      </w:pPr>
    </w:p>
    <w:p>
      <w:pPr>
        <w:jc w:val="both"/>
        <w:ind w:left="6"/>
        <w:spacing w:after="0" w:line="246" w:lineRule="auto"/>
        <w:rPr>
          <w:sz w:val="20"/>
          <w:szCs w:val="20"/>
          <w:color w:val="auto"/>
        </w:rPr>
      </w:pPr>
      <w:r>
        <w:rPr>
          <w:rFonts w:ascii="Times New Roman" w:cs="Times New Roman" w:eastAsia="Times New Roman" w:hAnsi="Times New Roman"/>
          <w:sz w:val="20"/>
          <w:szCs w:val="20"/>
          <w:color w:val="auto"/>
        </w:rPr>
        <w:t>In connection with the preparation of this Annual Report on Form 10-K, our management, with the participation of our CEO and CFO, carried out an evaluation of the effectiveness of the design and operation of our disclosure controls and procedures as of December 31, 2025. Based on that evaluation, our management, including our CEO and CFO, concluded that our disclosure controls and procedures were not effective as of December 31, 2025, due to certain material weaknesses in our internal control over financial reporting, as further described below.</w:t>
      </w:r>
    </w:p>
    <w:p>
      <w:pPr>
        <w:spacing w:after="0" w:line="188" w:lineRule="exact"/>
        <w:rPr>
          <w:sz w:val="20"/>
          <w:szCs w:val="20"/>
          <w:color w:val="auto"/>
        </w:rPr>
      </w:pPr>
    </w:p>
    <w:p>
      <w:pPr>
        <w:jc w:val="both"/>
        <w:ind w:left="6"/>
        <w:spacing w:after="0" w:line="246" w:lineRule="auto"/>
        <w:rPr>
          <w:sz w:val="20"/>
          <w:szCs w:val="20"/>
          <w:color w:val="auto"/>
        </w:rPr>
      </w:pPr>
      <w:r>
        <w:rPr>
          <w:rFonts w:ascii="Times New Roman" w:cs="Times New Roman" w:eastAsia="Times New Roman" w:hAnsi="Times New Roman"/>
          <w:sz w:val="20"/>
          <w:szCs w:val="20"/>
          <w:color w:val="auto"/>
        </w:rPr>
        <w:t>Notwithstanding the conclusion by our CEO and CFO that our disclosure controls and procedures as of December 31, 2025 were not effective, and notwithstanding the material weaknesses in our internal control over financial reporting described below, our management believes that the consolidated financial statements and related financial information included in this Annual Report on Form 10-K fairly present, in all material respects, our financial position, results of operations and cash flows as of the dates presented, and for the periods ended on such dates, in conformity with U.S. GAAP.</w:t>
      </w:r>
    </w:p>
    <w:p>
      <w:pPr>
        <w:spacing w:after="0" w:line="1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29" w:lineRule="exact"/>
        <w:rPr>
          <w:sz w:val="20"/>
          <w:szCs w:val="20"/>
          <w:color w:val="auto"/>
        </w:rPr>
      </w:pPr>
    </w:p>
    <w:p>
      <w:pPr>
        <w:jc w:val="both"/>
        <w:ind w:left="6"/>
        <w:spacing w:after="0" w:line="243" w:lineRule="auto"/>
        <w:rPr>
          <w:sz w:val="20"/>
          <w:szCs w:val="20"/>
          <w:color w:val="auto"/>
        </w:rPr>
      </w:pPr>
      <w:r>
        <w:rPr>
          <w:rFonts w:ascii="Times New Roman" w:cs="Times New Roman" w:eastAsia="Times New Roman" w:hAnsi="Times New Roman"/>
          <w:sz w:val="20"/>
          <w:szCs w:val="20"/>
          <w:color w:val="auto"/>
        </w:rPr>
        <w:t>Management of the Company is responsible for the preparation and accuracy of the financial statements and other information included in this report. Under the supervision and with the participation of management, including the Company’s CEO and CFO, the Company conducted an evaluation of the effectiveness of internal control over financial reporting as of December 31, 2025, based on the criteria set forth in Internal Control – Integrated Framework (2013) (the “Framework”) issued by the Committee of Sponsoring Organizations of the Treadway Commission (“COSO”). Based on evaluation under these criteria, management determined, based upon the existence of the material weaknesses described below, that we did not maintain effective internal control over financial reporting as of December 31, 2025.</w:t>
      </w:r>
    </w:p>
    <w:p>
      <w:pPr>
        <w:spacing w:after="0" w:line="192" w:lineRule="exact"/>
        <w:rPr>
          <w:sz w:val="20"/>
          <w:szCs w:val="20"/>
          <w:color w:val="auto"/>
        </w:rPr>
      </w:pPr>
    </w:p>
    <w:p>
      <w:pPr>
        <w:jc w:val="both"/>
        <w:ind w:left="6"/>
        <w:spacing w:after="0" w:line="245" w:lineRule="auto"/>
        <w:rPr>
          <w:sz w:val="20"/>
          <w:szCs w:val="20"/>
          <w:color w:val="auto"/>
        </w:rPr>
      </w:pPr>
      <w:r>
        <w:rPr>
          <w:rFonts w:ascii="Times New Roman" w:cs="Times New Roman" w:eastAsia="Times New Roman" w:hAnsi="Times New Roman"/>
          <w:sz w:val="20"/>
          <w:szCs w:val="20"/>
          <w:color w:val="auto"/>
        </w:rPr>
        <w:t>Management excluded from its assessment of internal control over financial reporting as of December 31, 2025 the internal control over financial reporting of Profire Energy, Inc. (“Profire”), which the Company acquired on January 3, 2025. Profire represents 8% of revenues of the consolidated financial statements for the year ended December 31, 2025. Management has excluded Profire from its assessment of the effectiveness of internal control over financial reporting as of December 31, 2025 because it was not practical for management to conduct an assessment of internal control over financial reporting in the period between the date the acquisition was completed and the date of management’s assessment. See a discussion of this in Note 14, Acquisitions.</w:t>
      </w:r>
    </w:p>
    <w:p>
      <w:pPr>
        <w:spacing w:after="0" w:line="18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Identification of Material Weaknesses</w:t>
      </w:r>
    </w:p>
    <w:p>
      <w:pPr>
        <w:spacing w:after="0" w:line="224"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5" w:lineRule="exact"/>
        <w:rPr>
          <w:sz w:val="20"/>
          <w:szCs w:val="20"/>
          <w:color w:val="auto"/>
        </w:rPr>
      </w:pPr>
    </w:p>
    <w:p>
      <w:pPr>
        <w:jc w:val="both"/>
        <w:ind w:left="6"/>
        <w:spacing w:after="0" w:line="275" w:lineRule="auto"/>
        <w:rPr>
          <w:sz w:val="20"/>
          <w:szCs w:val="20"/>
          <w:color w:val="auto"/>
        </w:rPr>
      </w:pPr>
      <w:r>
        <w:rPr>
          <w:rFonts w:ascii="Times New Roman" w:cs="Times New Roman" w:eastAsia="Times New Roman" w:hAnsi="Times New Roman"/>
          <w:sz w:val="20"/>
          <w:szCs w:val="20"/>
          <w:color w:val="auto"/>
        </w:rPr>
        <w:t>We have identified the following deficiencies in our control environment, control activities and monitoring activities that constitute material weaknesses, either individually or in the aggregate, as of December 31, 2025:</w:t>
      </w:r>
    </w:p>
    <w:p>
      <w:pPr>
        <w:spacing w:after="0" w:line="156" w:lineRule="exact"/>
        <w:rPr>
          <w:sz w:val="20"/>
          <w:szCs w:val="20"/>
          <w:color w:val="auto"/>
        </w:rPr>
      </w:pPr>
    </w:p>
    <w:p>
      <w:pPr>
        <w:jc w:val="both"/>
        <w:ind w:left="366" w:hanging="366"/>
        <w:spacing w:after="0" w:line="245" w:lineRule="auto"/>
        <w:tabs>
          <w:tab w:leader="none" w:pos="36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Verantis Environmental Solutions Group ("Verantis") business, which was acquired in December 2024, we did not appropriately integrate the entity into our established governance and control framework; did not retain sufficient resources with appropriate levels of knowledge, experience, and training to support accounting and financial reporting processes and control objectives at this business; failed to implement effective controls over the segregation of duties and certain information technology controls; and did not develop and perform ongoing evaluations to ascertain whether the components of internal control were present and functioning.</w:t>
      </w:r>
    </w:p>
    <w:p>
      <w:pPr>
        <w:sectPr>
          <w:pgSz w:w="11880" w:h="15480" w:orient="portrait"/>
          <w:cols w:equalWidth="0" w:num="1">
            <w:col w:w="10686"/>
          </w:cols>
          <w:pgMar w:left="594" w:top="815" w:right="600" w:bottom="66"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686"/>
          </w:cols>
          <w:pgMar w:left="594" w:top="815" w:right="600" w:bottom="66" w:gutter="0" w:footer="0" w:header="0"/>
          <w:type w:val="continuous"/>
        </w:sectPr>
      </w:pPr>
    </w:p>
    <w:bookmarkStart w:id="98" w:name="page99"/>
    <w:bookmarkEnd w:id="98"/>
    <w:p>
      <w:pPr>
        <w:ind w:left="366" w:hanging="366"/>
        <w:spacing w:after="0" w:line="275" w:lineRule="auto"/>
        <w:tabs>
          <w:tab w:leader="none" w:pos="36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did not consistently assess the proper level of completeness and accuracy of information used in the execution of controls related to balance sheet reconciliations.</w:t>
      </w:r>
    </w:p>
    <w:p>
      <w:pPr>
        <w:spacing w:after="0" w:line="156" w:lineRule="exact"/>
        <w:rPr>
          <w:sz w:val="20"/>
          <w:szCs w:val="20"/>
          <w:color w:val="auto"/>
        </w:rPr>
      </w:pPr>
    </w:p>
    <w:p>
      <w:pPr>
        <w:jc w:val="both"/>
        <w:ind w:left="6"/>
        <w:spacing w:after="0" w:line="275" w:lineRule="auto"/>
        <w:rPr>
          <w:sz w:val="20"/>
          <w:szCs w:val="20"/>
          <w:color w:val="auto"/>
        </w:rPr>
      </w:pPr>
      <w:r>
        <w:rPr>
          <w:rFonts w:ascii="Times New Roman" w:cs="Times New Roman" w:eastAsia="Times New Roman" w:hAnsi="Times New Roman"/>
          <w:sz w:val="20"/>
          <w:szCs w:val="20"/>
          <w:color w:val="auto"/>
        </w:rPr>
        <w:t>These material weaknesses did not result in any material misstatement in our interim or audited financial statements or disclosures, and there were no changes required to any of our previously released interim or audited consolidated financial statements.</w:t>
      </w:r>
    </w:p>
    <w:p>
      <w:pPr>
        <w:spacing w:after="0" w:line="156"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20"/>
          <w:szCs w:val="20"/>
          <w:color w:val="auto"/>
        </w:rPr>
        <w:t>Deloitte &amp; Touche LLP, our independent registered public accounting firm, has audited the effectiveness of our internal control over financial reporting as of December 31, 2025. Their report is included below under the heading “Report of Independent Registered Public Accounting Firm.”</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Management’s Plan for Remediation of the Material Weaknesses</w:t>
      </w:r>
    </w:p>
    <w:p>
      <w:pPr>
        <w:spacing w:after="0" w:line="224"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20"/>
          <w:szCs w:val="20"/>
          <w:color w:val="auto"/>
        </w:rPr>
        <w:t>We are committed to maintaining strong internal control over financial reporting. Management, with the oversight of the Audit Committee of the Board of Directors, is taking comprehensive actions to remediate the material weaknesses described above. Our remediation plan includes the following:</w:t>
      </w:r>
    </w:p>
    <w:p>
      <w:pPr>
        <w:spacing w:after="0" w:line="189" w:lineRule="exact"/>
        <w:rPr>
          <w:sz w:val="20"/>
          <w:szCs w:val="20"/>
          <w:color w:val="auto"/>
        </w:rPr>
      </w:pPr>
    </w:p>
    <w:p>
      <w:pPr>
        <w:ind w:left="366" w:hanging="366"/>
        <w:spacing w:after="0" w:line="274" w:lineRule="auto"/>
        <w:tabs>
          <w:tab w:leader="none" w:pos="366"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are updating control documentation, expanding education and training, and ensuring that controls are prepared and reviewed at the appropriate level of precision.</w:t>
      </w:r>
    </w:p>
    <w:p>
      <w:pPr>
        <w:spacing w:after="0" w:line="171" w:lineRule="exact"/>
        <w:rPr>
          <w:rFonts w:ascii="Arial" w:cs="Arial" w:eastAsia="Arial" w:hAnsi="Arial"/>
          <w:sz w:val="20"/>
          <w:szCs w:val="20"/>
          <w:color w:val="auto"/>
        </w:rPr>
      </w:pPr>
    </w:p>
    <w:p>
      <w:pPr>
        <w:jc w:val="both"/>
        <w:ind w:left="366" w:hanging="366"/>
        <w:spacing w:after="0" w:line="249" w:lineRule="auto"/>
        <w:tabs>
          <w:tab w:leader="none" w:pos="366"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have hired and will continue to hire accounting and finance personnel with the requisite skills and expertise to perform control activities related to the financial close process. We will continue to augment our internal resources by engaging external consultants with technical experience in accounting, financial reporting, and internal controls, until we add sufficient in-house skills to our staff.</w:t>
      </w:r>
    </w:p>
    <w:p>
      <w:pPr>
        <w:spacing w:after="0" w:line="197" w:lineRule="exact"/>
        <w:rPr>
          <w:rFonts w:ascii="Arial" w:cs="Arial" w:eastAsia="Arial" w:hAnsi="Arial"/>
          <w:sz w:val="20"/>
          <w:szCs w:val="20"/>
          <w:color w:val="auto"/>
        </w:rPr>
      </w:pPr>
    </w:p>
    <w:p>
      <w:pPr>
        <w:ind w:left="366" w:hanging="366"/>
        <w:spacing w:after="0" w:line="274" w:lineRule="auto"/>
        <w:tabs>
          <w:tab w:leader="none" w:pos="366"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will continue to focus on enhancing our information technology controls, specifically the assessment and integration of such controls at newly acquired entities.</w:t>
      </w:r>
    </w:p>
    <w:p>
      <w:pPr>
        <w:spacing w:after="0" w:line="171" w:lineRule="exact"/>
        <w:rPr>
          <w:rFonts w:ascii="Arial" w:cs="Arial" w:eastAsia="Arial" w:hAnsi="Arial"/>
          <w:sz w:val="20"/>
          <w:szCs w:val="20"/>
          <w:color w:val="auto"/>
        </w:rPr>
      </w:pPr>
    </w:p>
    <w:p>
      <w:pPr>
        <w:jc w:val="both"/>
        <w:ind w:left="366" w:hanging="366"/>
        <w:spacing w:after="0" w:line="255" w:lineRule="auto"/>
        <w:tabs>
          <w:tab w:leader="none" w:pos="366"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With the guidance and participation of our internal audit function, we will develop an enhanced monitoring program to (1) evaluate and assess whether controls are present and functioning in a timely manner and (2) hold individuals accountable for their internal control responsibilities.</w:t>
      </w:r>
    </w:p>
    <w:p>
      <w:pPr>
        <w:spacing w:after="0" w:line="177" w:lineRule="exact"/>
        <w:rPr>
          <w:sz w:val="20"/>
          <w:szCs w:val="20"/>
          <w:color w:val="auto"/>
        </w:rPr>
      </w:pPr>
    </w:p>
    <w:p>
      <w:pPr>
        <w:jc w:val="both"/>
        <w:ind w:left="6"/>
        <w:spacing w:after="0" w:line="243" w:lineRule="auto"/>
        <w:rPr>
          <w:sz w:val="20"/>
          <w:szCs w:val="20"/>
          <w:color w:val="auto"/>
        </w:rPr>
      </w:pPr>
      <w:r>
        <w:rPr>
          <w:rFonts w:ascii="Times New Roman" w:cs="Times New Roman" w:eastAsia="Times New Roman" w:hAnsi="Times New Roman"/>
          <w:sz w:val="20"/>
          <w:szCs w:val="20"/>
          <w:color w:val="auto"/>
        </w:rPr>
        <w:t>The material weaknesses will not be considered remediated until the controls operate for a sufficient period of time and management has concluded, through testing, that these controls are operating effectively. We believe the above measures will remediate the control deficiencies identified and strengthen our internal control over financial reporting. As we continue to evaluate and work to remediate the control deficiencies that gave rise to the material weaknesses, we may determine that additional measures or time are required to address the control deficiencies or that we need to modify or otherwise adjust the remediation measures described above. We will continue to assess the effectiveness of our remediation efforts in connection with our evaluation of our internal control over financial reporting.</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24"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20"/>
          <w:szCs w:val="20"/>
          <w:color w:val="auto"/>
        </w:rPr>
        <w:t>Except for the identification of the material weaknesses above, there were no changes during the quarter ended December 31, 2025 in our internal control over financial reporting that materially affected, or are reasonably likely to materially affect, our internal control over financial reporting.</w:t>
      </w:r>
    </w:p>
    <w:p>
      <w:pPr>
        <w:spacing w:after="0" w:line="2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on Effectiveness of Controls</w:t>
      </w:r>
    </w:p>
    <w:p>
      <w:pPr>
        <w:spacing w:after="0" w:line="315" w:lineRule="exact"/>
        <w:rPr>
          <w:sz w:val="20"/>
          <w:szCs w:val="20"/>
          <w:color w:val="auto"/>
        </w:rPr>
      </w:pPr>
    </w:p>
    <w:p>
      <w:pPr>
        <w:ind w:left="6" w:right="20"/>
        <w:spacing w:after="0" w:line="241" w:lineRule="auto"/>
        <w:rPr>
          <w:sz w:val="20"/>
          <w:szCs w:val="20"/>
          <w:color w:val="auto"/>
        </w:rPr>
      </w:pPr>
      <w:r>
        <w:rPr>
          <w:rFonts w:ascii="Times New Roman" w:cs="Times New Roman" w:eastAsia="Times New Roman" w:hAnsi="Times New Roman"/>
          <w:sz w:val="20"/>
          <w:szCs w:val="20"/>
          <w:color w:val="auto"/>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ectPr>
          <w:pgSz w:w="11880" w:h="15480" w:orient="portrait"/>
          <w:cols w:equalWidth="0" w:num="1">
            <w:col w:w="10686"/>
          </w:cols>
          <w:pgMar w:left="594" w:top="818" w:right="600" w:bottom="66"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686"/>
          </w:cols>
          <w:pgMar w:left="594" w:top="818" w:right="600" w:bottom="66"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CECO Environmental Corp.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48"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CECO Environmental Corp and subsidiaries (the “Company”) as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because of the effect of the material weaknesses identified below on the achievement of objectives of the control criteria, the Company has not maintained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COSO.</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fiscal year ended December 31, 2025, of the Company and our report dated March 2, 2026, expressed an unqualified opinion on those financial statements.</w:t>
      </w:r>
    </w:p>
    <w:p>
      <w:pPr>
        <w:spacing w:after="0" w:line="18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As described in Management’s Report on Internal Control Over Financial Reporting, management excluded from its assessment the internal control over financial reporting of the Profire Energy, Inc. business, which was acquired on January 2, 2025, and whose financial statements constitute 8% of revenues of the consolidated financial statements for the year ended December 31, 2025. Accordingly, our audit did not include the internal control over financial reporting for the Profire Energy, Inc.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Weaknesses</w:t>
      </w:r>
    </w:p>
    <w:p>
      <w:pPr>
        <w:sectPr>
          <w:pgSz w:w="11880" w:h="15480" w:orient="portrait"/>
          <w:cols w:equalWidth="0" w:num="1">
            <w:col w:w="10680"/>
          </w:cols>
          <w:pgMar w:left="600" w:top="815"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680"/>
          </w:cols>
          <w:pgMar w:left="600" w:top="815" w:right="600" w:bottom="66" w:gutter="0" w:footer="0" w:header="0"/>
          <w:type w:val="continuous"/>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The following material weaknesses have been identified in the Company’s control environment, control activities, and monitoring activities and included in management’s assessment:</w:t>
      </w:r>
    </w:p>
    <w:p>
      <w:pPr>
        <w:spacing w:after="0" w:line="16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Company identified material weaknesses at the Verantis Environmental Solutions Group (Verantis) component, which was acquired in December 2024, as the Company did not appropriately integrate the entity into their established governance and control framework; did not retain sufficient resources with appropriate levels of knowledge, experience, and training to support accounting and financial reporting processes and control objectives at this business; failed to implement effective controls over the segregation of duties and certain information technology controls; and did not develop and perform ongoing evaluations to ascertain whether the components of internal control were present and functioning.</w:t>
      </w:r>
    </w:p>
    <w:p>
      <w:pPr>
        <w:spacing w:after="0" w:line="19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0"/>
          <w:szCs w:val="20"/>
          <w:color w:val="auto"/>
        </w:rPr>
        <w:t>Additionally, the Company did not consistently assess the proper level of completeness and accuracy of information used in the execution of controls related to balance sheet reconciliations.</w:t>
      </w:r>
    </w:p>
    <w:p>
      <w:pPr>
        <w:spacing w:after="0" w:line="161" w:lineRule="exact"/>
        <w:rPr>
          <w:sz w:val="20"/>
          <w:szCs w:val="20"/>
          <w:color w:val="auto"/>
        </w:rPr>
      </w:pPr>
    </w:p>
    <w:p>
      <w:pPr>
        <w:jc w:val="both"/>
        <w:ind w:right="400"/>
        <w:spacing w:after="0" w:line="256" w:lineRule="auto"/>
        <w:rPr>
          <w:sz w:val="20"/>
          <w:szCs w:val="20"/>
          <w:color w:val="auto"/>
        </w:rPr>
      </w:pPr>
      <w:r>
        <w:rPr>
          <w:rFonts w:ascii="Times New Roman" w:cs="Times New Roman" w:eastAsia="Times New Roman" w:hAnsi="Times New Roman"/>
          <w:sz w:val="20"/>
          <w:szCs w:val="20"/>
          <w:color w:val="auto"/>
        </w:rPr>
        <w:t>These material weaknesses were considered in determining the nature, timing, and extent of audit tests applied in our audit of the consolidated financial statements as of and for the fiscal year ended December 31, 2025, of the Company, and this report does not affect our report on such financial statements.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 2026</w:t>
      </w:r>
    </w:p>
    <w:p>
      <w:pPr>
        <w:sectPr>
          <w:pgSz w:w="11880" w:h="15480" w:orient="portrait"/>
          <w:cols w:equalWidth="0" w:num="1">
            <w:col w:w="10680"/>
          </w:cols>
          <w:pgMar w:left="600" w:top="823"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680"/>
          </w:cols>
          <w:pgMar w:left="600" w:top="823" w:right="600" w:bottom="66"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Rule 10b5-1 Trading Plans</w:t>
      </w:r>
    </w:p>
    <w:p>
      <w:pPr>
        <w:spacing w:after="0" w:line="237" w:lineRule="auto"/>
        <w:rPr>
          <w:sz w:val="20"/>
          <w:szCs w:val="20"/>
          <w:color w:val="auto"/>
        </w:rPr>
      </w:pPr>
      <w:r>
        <w:rPr>
          <w:rFonts w:ascii="Times New Roman" w:cs="Times New Roman" w:eastAsia="Times New Roman" w:hAnsi="Times New Roman"/>
          <w:sz w:val="20"/>
          <w:szCs w:val="20"/>
          <w:color w:val="auto"/>
        </w:rPr>
        <w:t>(b)</w:t>
      </w:r>
    </w:p>
    <w:p>
      <w:pPr>
        <w:spacing w:after="0" w:line="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9"/>
          <w:szCs w:val="19"/>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368" w:lineRule="exact"/>
        <w:rPr>
          <w:sz w:val="20"/>
          <w:szCs w:val="20"/>
          <w:color w:val="auto"/>
        </w:rPr>
      </w:pPr>
    </w:p>
    <w:p>
      <w:pPr>
        <w:ind w:right="3620"/>
        <w:spacing w:after="0" w:line="526"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ectPr>
          <w:pgSz w:w="11880" w:h="15480" w:orient="portrait"/>
          <w:cols w:equalWidth="0" w:num="1">
            <w:col w:w="10180"/>
          </w:cols>
          <w:pgMar w:left="600" w:top="1280" w:right="11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180"/>
          </w:cols>
          <w:pgMar w:left="600" w:top="1280" w:right="1100" w:bottom="66" w:gutter="0" w:footer="0" w:header="0"/>
          <w:type w:val="continuous"/>
        </w:sectPr>
      </w:pPr>
    </w:p>
    <w:bookmarkStart w:id="102" w:name="page103"/>
    <w:bookmarkEnd w:id="102"/>
    <w:p>
      <w:pPr>
        <w:ind w:left="4946"/>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0" w:lineRule="exact"/>
        <w:rPr>
          <w:sz w:val="20"/>
          <w:szCs w:val="20"/>
          <w:color w:val="auto"/>
        </w:rPr>
      </w:pPr>
    </w:p>
    <w:p>
      <w:pPr>
        <w:ind w:left="6" w:right="20"/>
        <w:spacing w:after="0" w:line="250" w:lineRule="auto"/>
        <w:rPr>
          <w:sz w:val="20"/>
          <w:szCs w:val="20"/>
          <w:color w:val="auto"/>
        </w:rPr>
      </w:pPr>
      <w:r>
        <w:rPr>
          <w:rFonts w:ascii="Times New Roman" w:cs="Times New Roman" w:eastAsia="Times New Roman" w:hAnsi="Times New Roman"/>
          <w:sz w:val="20"/>
          <w:szCs w:val="20"/>
          <w:color w:val="auto"/>
        </w:rPr>
        <w:t>The information called for by this Item 10 of Part III of Form 10-K is incorporated by reference to the information set forth in our definitive proxy statement relating to our 2026 Annual Meeting of Stockholders to be filed pursuant to Regulation 14A under the Exchange Act within 120 days from December 31, 2025 (the “Proxy Statement”). Reference is also made to the information appearing in Item 1 of Part I of this Annual Report on Form 10-K under the caption “Business— Executive Officers of CECO.”</w:t>
      </w:r>
    </w:p>
    <w:p>
      <w:pPr>
        <w:spacing w:after="0" w:line="18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information called for by this Item 11 of Part III of Form 10-K is incorporated by reference to the Proxy Statement.</w:t>
      </w:r>
    </w:p>
    <w:p>
      <w:pPr>
        <w:spacing w:after="0" w:line="2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The information called for by this Item 12 of Part III of Form 10-K is incorporated by reference to the Proxy Statement.</w:t>
      </w:r>
    </w:p>
    <w:p>
      <w:pPr>
        <w:spacing w:after="0" w:line="2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5" w:lineRule="exact"/>
        <w:rPr>
          <w:sz w:val="20"/>
          <w:szCs w:val="20"/>
          <w:color w:val="auto"/>
        </w:rPr>
      </w:pPr>
    </w:p>
    <w:p>
      <w:pPr>
        <w:ind w:left="3046"/>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242"/>
        </w:trPr>
        <w:tc>
          <w:tcPr>
            <w:tcW w:w="5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7"/>
              </w:rPr>
              <w:t>(b)</w:t>
            </w:r>
          </w:p>
        </w:tc>
        <w:tc>
          <w:tcPr>
            <w:tcW w:w="2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w:t>
            </w:r>
          </w:p>
        </w:tc>
        <w:tc>
          <w:tcPr>
            <w:tcW w:w="60" w:type="dxa"/>
            <w:vAlign w:val="bottom"/>
          </w:tcPr>
          <w:p>
            <w:pPr>
              <w:spacing w:after="0"/>
              <w:rPr>
                <w:sz w:val="21"/>
                <w:szCs w:val="21"/>
                <w:color w:val="auto"/>
              </w:rPr>
            </w:pPr>
          </w:p>
        </w:tc>
      </w:tr>
      <w:tr>
        <w:trPr>
          <w:trHeight w:val="227"/>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Number of securitie</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s</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remaining available</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8"/>
              </w:rPr>
              <w:t>Weighted-</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3"/>
              </w:rPr>
              <w:t>for</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future issuance und</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exercise price</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er</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Number of securitie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5"/>
              </w:rPr>
              <w:t>of</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equity compensatio</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s</w:t>
            </w:r>
          </w:p>
        </w:tc>
        <w:tc>
          <w:tcPr>
            <w:tcW w:w="260" w:type="dxa"/>
            <w:vAlign w:val="bottom"/>
          </w:tcPr>
          <w:p>
            <w:pPr>
              <w:spacing w:after="0"/>
              <w:rPr>
                <w:sz w:val="19"/>
                <w:szCs w:val="19"/>
                <w:color w:val="auto"/>
              </w:rPr>
            </w:pPr>
          </w:p>
        </w:tc>
        <w:tc>
          <w:tcPr>
            <w:tcW w:w="130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outstanding op</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n</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7"/>
              </w:rPr>
              <w:t>to be issued upon</w:t>
            </w:r>
          </w:p>
        </w:tc>
        <w:tc>
          <w:tcPr>
            <w:tcW w:w="260" w:type="dxa"/>
            <w:vAlign w:val="bottom"/>
          </w:tcPr>
          <w:p>
            <w:pPr>
              <w:spacing w:after="0"/>
              <w:rPr>
                <w:sz w:val="19"/>
                <w:szCs w:val="19"/>
                <w:color w:val="auto"/>
              </w:rPr>
            </w:pPr>
          </w:p>
        </w:tc>
        <w:tc>
          <w:tcPr>
            <w:tcW w:w="130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tions and right</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plans (excluding</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exercise of outstandi</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3"/>
              </w:rPr>
              <w:t>s,</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securities reflected i</w:t>
            </w:r>
          </w:p>
        </w:tc>
        <w:tc>
          <w:tcPr>
            <w:tcW w:w="60" w:type="dxa"/>
            <w:vAlign w:val="bottom"/>
          </w:tcPr>
          <w:p>
            <w:pPr>
              <w:spacing w:after="0"/>
              <w:rPr>
                <w:sz w:val="19"/>
                <w:szCs w:val="19"/>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4"/>
              </w:rPr>
              <w:t>ng</w:t>
            </w:r>
          </w:p>
        </w:tc>
        <w:tc>
          <w:tcPr>
            <w:tcW w:w="260" w:type="dxa"/>
            <w:vAlign w:val="bottom"/>
          </w:tcPr>
          <w:p>
            <w:pPr>
              <w:spacing w:after="0"/>
              <w:rPr>
                <w:sz w:val="19"/>
                <w:szCs w:val="19"/>
                <w:color w:val="auto"/>
              </w:rPr>
            </w:pPr>
          </w:p>
        </w:tc>
        <w:tc>
          <w:tcPr>
            <w:tcW w:w="130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compensation</w:t>
            </w:r>
          </w:p>
        </w:tc>
        <w:tc>
          <w:tcPr>
            <w:tcW w:w="240" w:type="dxa"/>
            <w:vAlign w:val="bottom"/>
          </w:tcPr>
          <w:p>
            <w:pPr>
              <w:spacing w:after="0"/>
              <w:rPr>
                <w:sz w:val="19"/>
                <w:szCs w:val="19"/>
                <w:color w:val="auto"/>
              </w:rPr>
            </w:pPr>
          </w:p>
        </w:tc>
        <w:tc>
          <w:tcPr>
            <w:tcW w:w="1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n</w:t>
            </w:r>
          </w:p>
        </w:tc>
        <w:tc>
          <w:tcPr>
            <w:tcW w:w="60" w:type="dxa"/>
            <w:vAlign w:val="bottom"/>
          </w:tcPr>
          <w:p>
            <w:pPr>
              <w:spacing w:after="0"/>
              <w:rPr>
                <w:sz w:val="19"/>
                <w:szCs w:val="19"/>
                <w:color w:val="auto"/>
              </w:rPr>
            </w:pPr>
          </w:p>
        </w:tc>
      </w:tr>
      <w:tr>
        <w:trPr>
          <w:trHeight w:val="252"/>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Plan Category</w:t>
            </w:r>
          </w:p>
        </w:tc>
        <w:tc>
          <w:tcPr>
            <w:tcW w:w="140" w:type="dxa"/>
            <w:vAlign w:val="bottom"/>
            <w:tcBorders>
              <w:bottom w:val="single" w:sz="8" w:color="E6E6E6"/>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options and rights</w:t>
            </w:r>
          </w:p>
        </w:tc>
        <w:tc>
          <w:tcPr>
            <w:tcW w:w="26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6"/>
              </w:rPr>
              <w:t>plans</w:t>
            </w:r>
          </w:p>
        </w:tc>
        <w:tc>
          <w:tcPr>
            <w:tcW w:w="240" w:type="dxa"/>
            <w:vAlign w:val="bottom"/>
            <w:tcBorders>
              <w:bottom w:val="single" w:sz="8" w:color="E6E6E6"/>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column (a))</w:t>
            </w:r>
          </w:p>
        </w:tc>
        <w:tc>
          <w:tcPr>
            <w:tcW w:w="60" w:type="dxa"/>
            <w:vAlign w:val="bottom"/>
            <w:tcBorders>
              <w:bottom w:val="single" w:sz="8" w:color="E6E6E6"/>
            </w:tcBorders>
          </w:tcPr>
          <w:p>
            <w:pPr>
              <w:spacing w:after="0"/>
              <w:rPr>
                <w:sz w:val="21"/>
                <w:szCs w:val="21"/>
                <w:color w:val="auto"/>
              </w:rPr>
            </w:pPr>
          </w:p>
        </w:tc>
      </w:tr>
      <w:tr>
        <w:trPr>
          <w:trHeight w:val="215"/>
        </w:trPr>
        <w:tc>
          <w:tcPr>
            <w:tcW w:w="516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Equity compensation plans approved by security</w:t>
            </w:r>
          </w:p>
        </w:tc>
        <w:tc>
          <w:tcPr>
            <w:tcW w:w="140" w:type="dxa"/>
            <w:vAlign w:val="bottom"/>
            <w:shd w:val="clear" w:color="auto" w:fill="E6E6E6"/>
          </w:tcPr>
          <w:p>
            <w:pPr>
              <w:spacing w:after="0"/>
              <w:rPr>
                <w:sz w:val="18"/>
                <w:szCs w:val="18"/>
                <w:color w:val="auto"/>
              </w:rPr>
            </w:pPr>
          </w:p>
        </w:tc>
        <w:tc>
          <w:tcPr>
            <w:tcW w:w="176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r>
      <w:tr>
        <w:trPr>
          <w:trHeight w:val="249"/>
        </w:trPr>
        <w:tc>
          <w:tcPr>
            <w:tcW w:w="5160" w:type="dxa"/>
            <w:vAlign w:val="bottom"/>
            <w:shd w:val="clear" w:color="auto" w:fill="E6E6E6"/>
          </w:tcPr>
          <w:p>
            <w:pPr>
              <w:ind w:left="140"/>
              <w:spacing w:after="0"/>
              <w:rPr>
                <w:sz w:val="20"/>
                <w:szCs w:val="20"/>
                <w:color w:val="auto"/>
              </w:rPr>
            </w:pPr>
            <w:r>
              <w:rPr>
                <w:rFonts w:ascii="Times New Roman" w:cs="Times New Roman" w:eastAsia="Times New Roman" w:hAnsi="Times New Roman"/>
                <w:sz w:val="20"/>
                <w:szCs w:val="20"/>
                <w:color w:val="auto"/>
              </w:rPr>
              <w:t>holders</w:t>
            </w:r>
          </w:p>
        </w:tc>
        <w:tc>
          <w:tcPr>
            <w:tcW w:w="140" w:type="dxa"/>
            <w:vAlign w:val="bottom"/>
            <w:shd w:val="clear" w:color="auto" w:fill="E6E6E6"/>
          </w:tcPr>
          <w:p>
            <w:pPr>
              <w:spacing w:after="0"/>
              <w:rPr>
                <w:sz w:val="21"/>
                <w:szCs w:val="21"/>
                <w:color w:val="auto"/>
              </w:rPr>
            </w:pPr>
          </w:p>
        </w:tc>
        <w:tc>
          <w:tcPr>
            <w:tcW w:w="17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7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r>
      <w:tr>
        <w:trPr>
          <w:trHeight w:val="242"/>
        </w:trPr>
        <w:tc>
          <w:tcPr>
            <w:tcW w:w="5160" w:type="dxa"/>
            <w:vAlign w:val="bottom"/>
          </w:tcPr>
          <w:p>
            <w:pPr>
              <w:ind w:left="200"/>
              <w:spacing w:after="0" w:line="241" w:lineRule="exact"/>
              <w:rPr>
                <w:sz w:val="20"/>
                <w:szCs w:val="20"/>
                <w:color w:val="auto"/>
              </w:rPr>
            </w:pPr>
            <w:r>
              <w:rPr>
                <w:rFonts w:ascii="Times New Roman" w:cs="Times New Roman" w:eastAsia="Times New Roman" w:hAnsi="Times New Roman"/>
                <w:sz w:val="20"/>
                <w:szCs w:val="20"/>
                <w:color w:val="auto"/>
              </w:rPr>
              <w:t xml:space="preserve">2017 Equity and Incentive Compensation Plan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r>
      <w:tr>
        <w:trPr>
          <w:trHeight w:val="242"/>
        </w:trPr>
        <w:tc>
          <w:tcPr>
            <w:tcW w:w="5160" w:type="dxa"/>
            <w:vAlign w:val="bottom"/>
            <w:shd w:val="clear" w:color="auto" w:fill="E6E6E6"/>
          </w:tcPr>
          <w:p>
            <w:pPr>
              <w:ind w:left="200"/>
              <w:spacing w:after="0" w:line="241" w:lineRule="exact"/>
              <w:rPr>
                <w:sz w:val="20"/>
                <w:szCs w:val="20"/>
                <w:color w:val="auto"/>
              </w:rPr>
            </w:pPr>
            <w:r>
              <w:rPr>
                <w:rFonts w:ascii="Times New Roman" w:cs="Times New Roman" w:eastAsia="Times New Roman" w:hAnsi="Times New Roman"/>
                <w:sz w:val="20"/>
                <w:szCs w:val="20"/>
                <w:color w:val="auto"/>
              </w:rPr>
              <w:t xml:space="preserve">2021 Equity and Incentive Compensation Plan </w:t>
            </w:r>
            <w:r>
              <w:rPr>
                <w:rFonts w:ascii="Times New Roman" w:cs="Times New Roman" w:eastAsia="Times New Roman" w:hAnsi="Times New Roman"/>
                <w:sz w:val="25"/>
                <w:szCs w:val="25"/>
                <w:color w:val="auto"/>
                <w:vertAlign w:val="superscript"/>
              </w:rPr>
              <w:t>2</w:t>
            </w:r>
          </w:p>
        </w:tc>
        <w:tc>
          <w:tcPr>
            <w:tcW w:w="1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1,574,197</w:t>
            </w:r>
          </w:p>
        </w:tc>
        <w:tc>
          <w:tcPr>
            <w:tcW w:w="4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21.32</w:t>
            </w:r>
          </w:p>
        </w:tc>
        <w:tc>
          <w:tcPr>
            <w:tcW w:w="2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428,377</w:t>
            </w:r>
          </w:p>
        </w:tc>
        <w:tc>
          <w:tcPr>
            <w:tcW w:w="60" w:type="dxa"/>
            <w:vAlign w:val="bottom"/>
            <w:shd w:val="clear" w:color="auto" w:fill="E6E6E6"/>
          </w:tcPr>
          <w:p>
            <w:pPr>
              <w:spacing w:after="0"/>
              <w:rPr>
                <w:sz w:val="21"/>
                <w:szCs w:val="21"/>
                <w:color w:val="auto"/>
              </w:rPr>
            </w:pPr>
          </w:p>
        </w:tc>
      </w:tr>
      <w:tr>
        <w:trPr>
          <w:trHeight w:val="242"/>
        </w:trPr>
        <w:tc>
          <w:tcPr>
            <w:tcW w:w="5160" w:type="dxa"/>
            <w:vAlign w:val="bottom"/>
          </w:tcPr>
          <w:p>
            <w:pPr>
              <w:ind w:left="200"/>
              <w:spacing w:after="0" w:line="241" w:lineRule="exact"/>
              <w:rPr>
                <w:sz w:val="20"/>
                <w:szCs w:val="20"/>
                <w:color w:val="auto"/>
              </w:rPr>
            </w:pPr>
            <w:r>
              <w:rPr>
                <w:rFonts w:ascii="Times New Roman" w:cs="Times New Roman" w:eastAsia="Times New Roman" w:hAnsi="Times New Roman"/>
                <w:sz w:val="20"/>
                <w:szCs w:val="20"/>
                <w:color w:val="auto"/>
              </w:rPr>
              <w:t xml:space="preserve">2020 Employee Stock Purchase Plan </w:t>
            </w:r>
            <w:r>
              <w:rPr>
                <w:rFonts w:ascii="Times New Roman" w:cs="Times New Roman" w:eastAsia="Times New Roman" w:hAnsi="Times New Roman"/>
                <w:sz w:val="25"/>
                <w:szCs w:val="25"/>
                <w:color w:val="auto"/>
                <w:vertAlign w:val="superscript"/>
              </w:rPr>
              <w:t>3</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1,116,624</w:t>
            </w:r>
          </w:p>
        </w:tc>
        <w:tc>
          <w:tcPr>
            <w:tcW w:w="60" w:type="dxa"/>
            <w:vAlign w:val="bottom"/>
          </w:tcPr>
          <w:p>
            <w:pPr>
              <w:spacing w:after="0"/>
              <w:rPr>
                <w:sz w:val="21"/>
                <w:szCs w:val="21"/>
                <w:color w:val="auto"/>
              </w:rPr>
            </w:pPr>
          </w:p>
        </w:tc>
      </w:tr>
      <w:tr>
        <w:trPr>
          <w:trHeight w:val="242"/>
        </w:trPr>
        <w:tc>
          <w:tcPr>
            <w:tcW w:w="5160" w:type="dxa"/>
            <w:vAlign w:val="bottom"/>
            <w:shd w:val="clear" w:color="auto" w:fill="E6E6E6"/>
          </w:tcPr>
          <w:p>
            <w:pPr>
              <w:spacing w:after="0" w:line="241" w:lineRule="exact"/>
              <w:rPr>
                <w:sz w:val="20"/>
                <w:szCs w:val="20"/>
                <w:color w:val="auto"/>
              </w:rPr>
            </w:pPr>
            <w:r>
              <w:rPr>
                <w:rFonts w:ascii="Times New Roman" w:cs="Times New Roman" w:eastAsia="Times New Roman" w:hAnsi="Times New Roman"/>
                <w:sz w:val="20"/>
                <w:szCs w:val="20"/>
                <w:color w:val="auto"/>
              </w:rPr>
              <w:t xml:space="preserve">Equity compensation plans not approved by security holders </w:t>
            </w:r>
            <w:r>
              <w:rPr>
                <w:rFonts w:ascii="Times New Roman" w:cs="Times New Roman" w:eastAsia="Times New Roman" w:hAnsi="Times New Roman"/>
                <w:sz w:val="25"/>
                <w:szCs w:val="25"/>
                <w:color w:val="auto"/>
                <w:vertAlign w:val="superscript"/>
              </w:rPr>
              <w:t>4</w:t>
            </w:r>
          </w:p>
        </w:tc>
        <w:tc>
          <w:tcPr>
            <w:tcW w:w="19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915,106</w:t>
            </w:r>
          </w:p>
        </w:tc>
        <w:tc>
          <w:tcPr>
            <w:tcW w:w="4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10.52</w:t>
            </w:r>
          </w:p>
        </w:tc>
        <w:tc>
          <w:tcPr>
            <w:tcW w:w="240" w:type="dxa"/>
            <w:vAlign w:val="bottom"/>
            <w:shd w:val="clear" w:color="auto" w:fill="E6E6E6"/>
          </w:tcPr>
          <w:p>
            <w:pPr>
              <w:spacing w:after="0"/>
              <w:rPr>
                <w:sz w:val="21"/>
                <w:szCs w:val="21"/>
                <w:color w:val="auto"/>
              </w:rPr>
            </w:pPr>
          </w:p>
        </w:tc>
        <w:tc>
          <w:tcPr>
            <w:tcW w:w="1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21"/>
                <w:szCs w:val="21"/>
                <w:color w:val="auto"/>
              </w:rPr>
            </w:pPr>
          </w:p>
        </w:tc>
      </w:tr>
      <w:tr>
        <w:trPr>
          <w:trHeight w:val="26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tcPr>
          <w:p>
            <w:pPr>
              <w:spacing w:after="0"/>
              <w:rPr>
                <w:sz w:val="22"/>
                <w:szCs w:val="22"/>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2,489,303</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1,545,001</w:t>
            </w:r>
          </w:p>
        </w:tc>
        <w:tc>
          <w:tcPr>
            <w:tcW w:w="60" w:type="dxa"/>
            <w:vAlign w:val="bottom"/>
          </w:tcPr>
          <w:p>
            <w:pPr>
              <w:spacing w:after="0"/>
              <w:rPr>
                <w:sz w:val="22"/>
                <w:szCs w:val="22"/>
                <w:color w:val="auto"/>
              </w:rPr>
            </w:pPr>
          </w:p>
        </w:tc>
      </w:tr>
    </w:tbl>
    <w:p>
      <w:pPr>
        <w:spacing w:after="0" w:line="183" w:lineRule="exact"/>
        <w:rPr>
          <w:sz w:val="20"/>
          <w:szCs w:val="20"/>
          <w:color w:val="auto"/>
        </w:rPr>
      </w:pPr>
    </w:p>
    <w:p>
      <w:pPr>
        <w:ind w:left="486" w:right="60" w:hanging="486"/>
        <w:spacing w:after="0" w:line="237" w:lineRule="auto"/>
        <w:tabs>
          <w:tab w:leader="none" w:pos="4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2017 Equity and Incentive Compensation Plan was replaced with the 2021 Equity and Incentive Compensation Plan and no further grants will be made under the 2017 Plan. The 2017 Plan remains in effect solely for the continued administration of the awards currently outstanding under the 2017 Plan.</w:t>
      </w:r>
    </w:p>
    <w:p>
      <w:pPr>
        <w:spacing w:after="0" w:line="1" w:lineRule="exact"/>
        <w:rPr>
          <w:rFonts w:ascii="Times New Roman" w:cs="Times New Roman" w:eastAsia="Times New Roman" w:hAnsi="Times New Roman"/>
          <w:sz w:val="20"/>
          <w:szCs w:val="20"/>
          <w:color w:val="auto"/>
        </w:rPr>
      </w:pPr>
    </w:p>
    <w:p>
      <w:pPr>
        <w:ind w:left="486" w:hanging="486"/>
        <w:spacing w:after="0" w:line="237" w:lineRule="auto"/>
        <w:tabs>
          <w:tab w:leader="none" w:pos="4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2021 Equity and Incentive Compensation Plan was approved by our stockholders on May 25, 2021.</w:t>
      </w:r>
    </w:p>
    <w:p>
      <w:pPr>
        <w:ind w:left="486" w:hanging="486"/>
        <w:spacing w:after="0" w:line="237" w:lineRule="auto"/>
        <w:tabs>
          <w:tab w:leader="none" w:pos="4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Stock Purchase Plan was approved by our stockholders on June 11, 2020.</w:t>
      </w:r>
    </w:p>
    <w:p>
      <w:pPr>
        <w:ind w:left="486" w:right="40" w:hanging="486"/>
        <w:spacing w:after="0" w:line="246" w:lineRule="auto"/>
        <w:tabs>
          <w:tab w:leader="none" w:pos="4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ectPr>
          <w:pgSz w:w="11880" w:h="15480" w:orient="portrait"/>
          <w:cols w:equalWidth="0" w:num="1">
            <w:col w:w="10686"/>
          </w:cols>
          <w:pgMar w:left="594" w:top="815" w:right="60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686"/>
          </w:cols>
          <w:pgMar w:left="594" w:top="815" w:right="600" w:bottom="66"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called for by this Item 13 of Part III of Form 10-K is incorporated by reference to the Proxy Statement.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called for by this Item 14 of Part III of Form 10-K is incorporated by reference to the Proxy Statement.</w:t>
      </w:r>
    </w:p>
    <w:p>
      <w:pPr>
        <w:sectPr>
          <w:pgSz w:w="11880" w:h="15480" w:orient="portrait"/>
          <w:cols w:equalWidth="0" w:num="1">
            <w:col w:w="9840"/>
          </w:cols>
          <w:pgMar w:left="600" w:top="815" w:right="14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840"/>
          </w:cols>
          <w:pgMar w:left="600" w:top="815" w:right="1440" w:bottom="66" w:gutter="0" w:footer="0" w:header="0"/>
          <w:type w:val="continuous"/>
        </w:sectPr>
      </w:pPr>
    </w:p>
    <w:bookmarkStart w:id="104" w:name="page105"/>
    <w:bookmarkEnd w:id="104"/>
    <w:p>
      <w:pPr>
        <w:jc w:val="center"/>
        <w:ind w:right="-25"/>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20" w:lineRule="exact"/>
        <w:rPr>
          <w:sz w:val="20"/>
          <w:szCs w:val="20"/>
          <w:color w:val="auto"/>
        </w:rPr>
      </w:pPr>
    </w:p>
    <w:p>
      <w:pPr>
        <w:ind w:left="346" w:hanging="346"/>
        <w:spacing w:after="0"/>
        <w:tabs>
          <w:tab w:leader="none" w:pos="34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are set forth in this report following the signature page of this report.</w:t>
      </w:r>
    </w:p>
    <w:p>
      <w:pPr>
        <w:spacing w:after="0" w:line="235" w:lineRule="exact"/>
        <w:rPr>
          <w:rFonts w:ascii="Times New Roman" w:cs="Times New Roman" w:eastAsia="Times New Roman" w:hAnsi="Times New Roman"/>
          <w:sz w:val="20"/>
          <w:szCs w:val="20"/>
          <w:color w:val="auto"/>
        </w:rPr>
      </w:pPr>
    </w:p>
    <w:p>
      <w:pPr>
        <w:ind w:left="486" w:right="360" w:hanging="486"/>
        <w:spacing w:after="0" w:line="275" w:lineRule="auto"/>
        <w:tabs>
          <w:tab w:leader="none" w:pos="3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are omitted because they are not applicable or because the required information is shown in the financial statements or in the notes thereto.</w:t>
      </w:r>
    </w:p>
    <w:p>
      <w:pPr>
        <w:spacing w:after="0" w:line="165" w:lineRule="exact"/>
        <w:rPr>
          <w:rFonts w:ascii="Times New Roman" w:cs="Times New Roman" w:eastAsia="Times New Roman" w:hAnsi="Times New Roman"/>
          <w:sz w:val="20"/>
          <w:szCs w:val="20"/>
          <w:color w:val="auto"/>
        </w:rPr>
      </w:pPr>
    </w:p>
    <w:p>
      <w:pPr>
        <w:ind w:left="486" w:right="80" w:hanging="486"/>
        <w:spacing w:after="0" w:line="275" w:lineRule="auto"/>
        <w:tabs>
          <w:tab w:leader="none" w:pos="3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Index. The exhibits listed below, as part of Form 10-K, are numbered in conformity with the numbering used in Item 601 of Regulation S-K and relate to SEC File No. 0-07099, unless otherwise indicated.</w:t>
      </w:r>
    </w:p>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9"/>
              </w:rPr>
              <w:t>Exhibit Number</w:t>
            </w:r>
          </w:p>
        </w:tc>
        <w:tc>
          <w:tcPr>
            <w:tcW w:w="9600" w:type="dxa"/>
            <w:vAlign w:val="bottom"/>
          </w:tcPr>
          <w:p>
            <w:pPr>
              <w:spacing w:after="0"/>
              <w:rPr>
                <w:sz w:val="17"/>
                <w:szCs w:val="17"/>
                <w:color w:val="auto"/>
              </w:rPr>
            </w:pPr>
          </w:p>
        </w:tc>
      </w:tr>
      <w:tr>
        <w:trPr>
          <w:trHeight w:val="41"/>
        </w:trPr>
        <w:tc>
          <w:tcPr>
            <w:tcW w:w="1060" w:type="dxa"/>
            <w:vAlign w:val="bottom"/>
            <w:tcBorders>
              <w:bottom w:val="single" w:sz="8" w:color="auto"/>
            </w:tcBorders>
          </w:tcPr>
          <w:p>
            <w:pPr>
              <w:spacing w:after="0"/>
              <w:rPr>
                <w:sz w:val="3"/>
                <w:szCs w:val="3"/>
                <w:color w:val="auto"/>
              </w:rPr>
            </w:pPr>
          </w:p>
        </w:tc>
        <w:tc>
          <w:tcPr>
            <w:tcW w:w="9600" w:type="dxa"/>
            <w:vAlign w:val="bottom"/>
          </w:tcPr>
          <w:p>
            <w:pPr>
              <w:spacing w:after="0"/>
              <w:rPr>
                <w:sz w:val="3"/>
                <w:szCs w:val="3"/>
                <w:color w:val="auto"/>
              </w:rPr>
            </w:pPr>
          </w:p>
        </w:tc>
      </w:tr>
      <w:tr>
        <w:trPr>
          <w:trHeight w:val="339"/>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2.1</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Agreement and Plan of Merger, dated as of February 23, 2026, by and among the Company, Merger Sub Inc., Merger Sub</w:t>
            </w:r>
          </w:p>
        </w:tc>
      </w:tr>
      <w:tr>
        <w:trPr>
          <w:trHeight w:val="216"/>
        </w:trPr>
        <w:tc>
          <w:tcPr>
            <w:tcW w:w="1060" w:type="dxa"/>
            <w:vAlign w:val="bottom"/>
          </w:tcPr>
          <w:p>
            <w:pPr>
              <w:spacing w:after="0"/>
              <w:rPr>
                <w:sz w:val="18"/>
                <w:szCs w:val="18"/>
                <w:color w:val="auto"/>
              </w:rPr>
            </w:pPr>
          </w:p>
        </w:tc>
        <w:tc>
          <w:tcPr>
            <w:tcW w:w="96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LLC and Thermon. (incorporated by reference to Exhibit 2.1 to the Company's Current Report on Form 8-K filed with the</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SEC on February 24, 2026)</w:t>
            </w:r>
          </w:p>
        </w:tc>
      </w:tr>
      <w:tr>
        <w:trPr>
          <w:trHeight w:val="334"/>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3.1</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9"/>
              </w:rPr>
              <w:t>Certificate of Incorporation (incorporated by reference to Exhibit 3(i) to the Company’s Annual Report on Form 10-K for the</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fiscal year ended December 31, 2001)</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3.2</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Certificate of Amendment to the Certificate of Incorporation of CECO Environmental Corp. (incorporated by reference to</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Exhibit 3.1 to the Company’s Current Report on Form 8-K filed with the SEC on May 22, 2024)</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3.3</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8"/>
              </w:rPr>
              <w:t>Amended and Restated Bylaws (incorporated by reference to Exhibit 3.1 to the Company’s Current Report on Form 8-K filed</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with the SEC on March 9, 2023)</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Description of Securities (incorporated by reference to Exhibit 4.1 to the Company’s Annual Report on Form 10-K for the</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fiscal year ended December 31, 2019)</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^10.1</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Form of Director and Officer Indemnification Agreement (incorporated by reference to Exhibit 10.1 to the Company’s</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Current Report on Form 8-K filed with the SEC on May 16, 2016)</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^10.2</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Nonqualified Stock Option Inducement Award Agreement, by and between CECO Environmental Corp. and Todd Gleason,</w:t>
            </w:r>
          </w:p>
        </w:tc>
      </w:tr>
      <w:tr>
        <w:trPr>
          <w:trHeight w:val="216"/>
        </w:trPr>
        <w:tc>
          <w:tcPr>
            <w:tcW w:w="1060" w:type="dxa"/>
            <w:vAlign w:val="bottom"/>
          </w:tcPr>
          <w:p>
            <w:pPr>
              <w:spacing w:after="0"/>
              <w:rPr>
                <w:sz w:val="18"/>
                <w:szCs w:val="18"/>
                <w:color w:val="auto"/>
              </w:rPr>
            </w:pPr>
          </w:p>
        </w:tc>
        <w:tc>
          <w:tcPr>
            <w:tcW w:w="96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dated as of July 6, 2020 (incorporated by reference to Exhibit 4.3 to the Registrant’s Registration Statement on Form S-8</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(Commission File No. 333-239707) filed on July 6, 2020)</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^10.3</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9"/>
              </w:rPr>
              <w:t>Nonqualified Premium Stock Option Inducement Award Agreement, by and between CECO Environmental Corp. and Todd</w:t>
            </w:r>
          </w:p>
        </w:tc>
      </w:tr>
      <w:tr>
        <w:trPr>
          <w:trHeight w:val="216"/>
        </w:trPr>
        <w:tc>
          <w:tcPr>
            <w:tcW w:w="1060" w:type="dxa"/>
            <w:vAlign w:val="bottom"/>
          </w:tcPr>
          <w:p>
            <w:pPr>
              <w:spacing w:after="0"/>
              <w:rPr>
                <w:sz w:val="18"/>
                <w:szCs w:val="18"/>
                <w:color w:val="auto"/>
              </w:rPr>
            </w:pPr>
          </w:p>
        </w:tc>
        <w:tc>
          <w:tcPr>
            <w:tcW w:w="96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w w:val="98"/>
              </w:rPr>
              <w:t>Gleason, dated as of July 6, 2020 (incorporated by reference to Exhibit 4.4 to the Registrant’s Registration Statement on Form</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S-8 (Commission File No. 333-239707) filed on July 6, 2020)</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9"/>
              </w:rPr>
              <w:t>Restricted Stock Units Inducement Award Agreement, by and between CECO Environmental Corp. and Todd Gleason, dated</w:t>
            </w:r>
          </w:p>
        </w:tc>
      </w:tr>
      <w:tr>
        <w:trPr>
          <w:trHeight w:val="216"/>
        </w:trPr>
        <w:tc>
          <w:tcPr>
            <w:tcW w:w="1060" w:type="dxa"/>
            <w:vAlign w:val="bottom"/>
          </w:tcPr>
          <w:p>
            <w:pPr>
              <w:spacing w:after="0"/>
              <w:rPr>
                <w:sz w:val="18"/>
                <w:szCs w:val="18"/>
                <w:color w:val="auto"/>
              </w:rPr>
            </w:pPr>
          </w:p>
        </w:tc>
        <w:tc>
          <w:tcPr>
            <w:tcW w:w="96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as of July 6, 2020 (incorporated by reference to Exhibit 4.5 to the Registrant’s Registration Statement on Form S-8</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(Commission File No. 333-239707) filed on July 6, 2020)</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^10.5</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Second Amended and Restated CECO Environmental Corp. 2007 Equity Incentive Compensation Plan (incorporated by</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reference to Exhibit 10.6 to the Company’s Current Report on Form 8-K filed with the SEC on September 3, 2015)</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^10.6</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Form of Incentive Stock Option Agreement under the Second Amended and Restated CECO Environmental Corp. 2007</w:t>
            </w:r>
          </w:p>
        </w:tc>
      </w:tr>
      <w:tr>
        <w:trPr>
          <w:trHeight w:val="216"/>
        </w:trPr>
        <w:tc>
          <w:tcPr>
            <w:tcW w:w="1060" w:type="dxa"/>
            <w:vAlign w:val="bottom"/>
          </w:tcPr>
          <w:p>
            <w:pPr>
              <w:spacing w:after="0"/>
              <w:rPr>
                <w:sz w:val="18"/>
                <w:szCs w:val="18"/>
                <w:color w:val="auto"/>
              </w:rPr>
            </w:pPr>
          </w:p>
        </w:tc>
        <w:tc>
          <w:tcPr>
            <w:tcW w:w="96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Equity Incentive Compensation Plan (incorporated by reference to Exhibit 10.12 to the Company’s Annual Report on Form</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10-K for the fiscal year ended December 31, 2010)</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^10.7</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9"/>
              </w:rPr>
              <w:t>Form of Non-Statutory Stock Option Agreement under the Second Amended and Restated CECO Environmental Corp. 2007</w:t>
            </w:r>
          </w:p>
        </w:tc>
      </w:tr>
      <w:tr>
        <w:trPr>
          <w:trHeight w:val="216"/>
        </w:trPr>
        <w:tc>
          <w:tcPr>
            <w:tcW w:w="1060" w:type="dxa"/>
            <w:vAlign w:val="bottom"/>
          </w:tcPr>
          <w:p>
            <w:pPr>
              <w:spacing w:after="0"/>
              <w:rPr>
                <w:sz w:val="18"/>
                <w:szCs w:val="18"/>
                <w:color w:val="auto"/>
              </w:rPr>
            </w:pPr>
          </w:p>
        </w:tc>
        <w:tc>
          <w:tcPr>
            <w:tcW w:w="96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Equity Incentive Compensation Plan (incorporated by reference to Exhibit 10.13 to the Company’s Annual Report on Form</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10-K for the fiscal year ended December 31, 2010)</w:t>
            </w:r>
          </w:p>
        </w:tc>
      </w:tr>
      <w:tr>
        <w:trPr>
          <w:trHeight w:val="42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^10.8</w:t>
            </w: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CECO Environmental Corp. 2017 Equity and Incentive Compensation Plan (incorporated by reference to Exhibit 4.3 to the</w:t>
            </w:r>
          </w:p>
        </w:tc>
      </w:tr>
      <w:tr>
        <w:trPr>
          <w:trHeight w:val="252"/>
        </w:trPr>
        <w:tc>
          <w:tcPr>
            <w:tcW w:w="106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Company’s Registration Statement on Form S-8 (Registration No. 333-218030) filed on May 16, 2017)</w:t>
            </w:r>
          </w:p>
        </w:tc>
      </w:tr>
    </w:tbl>
    <w:p>
      <w:pPr>
        <w:spacing w:after="0" w:line="200" w:lineRule="exact"/>
        <w:rPr>
          <w:sz w:val="20"/>
          <w:szCs w:val="20"/>
          <w:color w:val="auto"/>
        </w:rPr>
      </w:pPr>
    </w:p>
    <w:p>
      <w:pPr>
        <w:sectPr>
          <w:pgSz w:w="11880" w:h="15480" w:orient="portrait"/>
          <w:cols w:equalWidth="0" w:num="1">
            <w:col w:w="10666"/>
          </w:cols>
          <w:pgMar w:left="594" w:top="815" w:right="62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666"/>
          </w:cols>
          <w:pgMar w:left="594" w:top="815" w:right="620" w:bottom="66"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^10.9</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Form of Incentive Stock Option Agreement under the CECO Environmental Corp. 2017 Equity and Incentive Compensation</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Plan (incorporated by reference to Exhibit 10.2 to the Company’s Quarterly Report on Form 10-Q filed with the SEC on</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August 9, 2017)</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^10.10</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Form of Nonqualified Stock Option Agreement under the CECO Environmental Corp. 2017 Equity and Incentive</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Compensation Plan (incorporated by reference to Exhibit 10.3 to the Company’s Quarterly Report on Form 10-Q filed with</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the SEC on August 9, 2017)</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^10.11</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Form of Restricted Stock Units Agreement for Directors under the CECO Environmental Corp. 2017 Equity and Incentive</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Compensation Plan (incorporated by reference to Exhibit 10.4 to the Company’s Quarterly Report on Form 10-Q filed with</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the SEC on August 9, 2017)</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^10.12</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Form of Restricted Stock Units Agreement for Employees under the CECO Environmental Corp. 2017 Equity and Incentive</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Compensation Plan (incorporated by reference to Exhibit 10.5 to the Company’s Quarterly Report on Form 10-Q filed with</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the SEC on August 9, 2017)</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^10.13</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CECO Environmental Corp. 2020 Employee Stock Purchase Plan (incorporated by reference to Exhibit 10.1 to the</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Company’s Current Report on Form 8-K filed with the SEC on June 16, 2020)</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^10.14</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CECO Environmental Corp. 2021 Equity and Incentive Compensation Plan (incorporated by reference to Exhibit 10.1 to the</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Company’s Current Report on Form 8-K filed with the SEC on May 27, 2021)</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^10.15</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Form of Restricted Stock Units Agreement for Directors under the CECO Environmental Corp. 2021 Equity and Incentive</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w w:val="98"/>
              </w:rPr>
              <w:t>Compensation Plan (incorporated by reference to Exhibit 10.19 to the Company’s Annual Report on Form 10-K for the fiscal</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year ended December 31, 2021)</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^10.16</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Form of Restricted Stock Units Agreement for Employees under the CECO Environmental Corp. 2021 Equity and Incentive</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w w:val="98"/>
              </w:rPr>
              <w:t>Compensation Plan (incorporated by reference to Exhibit 10.20 to the Company’s Annual Report on Form 10-K for the fiscal</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year ended December 31, 2021)</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^10.17</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CECO Environmental Corp. Executive Change in Control Severance Plan (incorporated by reference to Exhibit 10.1 to the</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Company’s Quarterly Report on Form 10-Q filed with the SEC on November 8, 2021)</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†10.18</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Third Amended and Restated Credit Agreement, dated as of October 7, 2024, among the Company and certain of its</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subsidiaries, the Lenders party thereto, and Bank of America, N.A. (incorporated by reference to Exhibit 10.1 to the</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Company’s Current Report on Form 8-K filed with the SEC on October 11, 2024)</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^10.19</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Form of Restricted Stock Units Agreement for Employees under the CECO Environmental Corp. 2021 Equity and Incentive</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w w:val="98"/>
              </w:rPr>
              <w:t>Compensation Plan (incorporated by reference to Exhibit 10.26 to the Company’s Annual Report on Form 10-K for the fiscal</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year ended December 31, 2022)</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^10.20</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Form of Restricted Stock Units Agreement for Directors under the CECO Environmental Corp. 2021 Equity and Incentive</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w w:val="98"/>
              </w:rPr>
              <w:t>Compensation Plan (incorporated by reference to Exhibit 10.27 to the Company’s Annual Report on Form 10-K for the fiscal</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year ended December 31, 2022)</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^10.21</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Equity Award Agreement between the Company and Peter Johansson, dated September 29, 2023 (incorporated by reference</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to Exhibit 10.1 to the Company’s Current Report on Form 8-K filed with the SEC on October 5, 2023)</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^10.22</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Equity Award Agreement between the Company and Joycelynn Watkins-Asiyanbi, dated September 29, 2023 (incorporated</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by reference to Exhibit 10.2 to the Company’s Current Report on Form 8-K filed with the SEC on October 5, 2023)</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^10.23</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Letter Agreement with Todd Gleason, dated July 5, 2023 (incorporated by reference to Exhibit 10.1 to the Company’s</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Current Report on Form 8-K filed with the SEC on July 11, 2023)</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^10.24</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8"/>
              </w:rPr>
              <w:t>Equity Award Agreement between the Company and Todd Gleason, dated July 5, 2023 (incorporated by reference to Exhibit</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10.2 to the Company’s Current Report on Form 8-K filed with the SEC on July 11, 2023)</w:t>
            </w:r>
          </w:p>
        </w:tc>
      </w:tr>
      <w:tr>
        <w:trPr>
          <w:trHeight w:val="425"/>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^10.25</w:t>
            </w: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CECO Environmental Corp. Executive Change in Control and Severance Plan, as amended and restated July 6, 2023</w:t>
            </w:r>
          </w:p>
        </w:tc>
      </w:tr>
      <w:tr>
        <w:trPr>
          <w:trHeight w:val="216"/>
        </w:trPr>
        <w:tc>
          <w:tcPr>
            <w:tcW w:w="840" w:type="dxa"/>
            <w:vAlign w:val="bottom"/>
          </w:tcPr>
          <w:p>
            <w:pPr>
              <w:spacing w:after="0"/>
              <w:rPr>
                <w:sz w:val="18"/>
                <w:szCs w:val="18"/>
                <w:color w:val="auto"/>
              </w:rPr>
            </w:pPr>
          </w:p>
        </w:tc>
        <w:tc>
          <w:tcPr>
            <w:tcW w:w="976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(incorporated by reference to Exhibit 10.3 to the Company’s Current Report on Form 8-K filed with the SEC on July 11,</w:t>
            </w:r>
          </w:p>
        </w:tc>
      </w:tr>
      <w:tr>
        <w:trPr>
          <w:trHeight w:val="252"/>
        </w:trPr>
        <w:tc>
          <w:tcPr>
            <w:tcW w:w="840" w:type="dxa"/>
            <w:vAlign w:val="bottom"/>
          </w:tcPr>
          <w:p>
            <w:pPr>
              <w:spacing w:after="0"/>
              <w:rPr>
                <w:sz w:val="21"/>
                <w:szCs w:val="21"/>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2023)</w:t>
            </w:r>
          </w:p>
        </w:tc>
      </w:tr>
    </w:tbl>
    <w:p>
      <w:pPr>
        <w:spacing w:after="0" w:line="200" w:lineRule="exact"/>
        <w:rPr>
          <w:sz w:val="20"/>
          <w:szCs w:val="20"/>
          <w:color w:val="auto"/>
        </w:rPr>
      </w:pPr>
    </w:p>
    <w:p>
      <w:pPr>
        <w:sectPr>
          <w:pgSz w:w="11880" w:h="15480" w:orient="portrait"/>
          <w:cols w:equalWidth="0" w:num="1">
            <w:col w:w="10600"/>
          </w:cols>
          <w:pgMar w:left="600" w:top="831" w:right="680" w:bottom="66" w:gutter="0" w:footer="0" w:header="0"/>
        </w:sectPr>
      </w:pP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600"/>
          </w:cols>
          <w:pgMar w:left="600" w:top="831" w:right="680" w:bottom="66"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†^10.26</w:t>
            </w: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Restricted Stock Units Agreement for Employees under the CECO Environmental Corp. 2021 Equity and</w:t>
            </w:r>
          </w:p>
        </w:tc>
      </w:tr>
      <w:tr>
        <w:trPr>
          <w:trHeight w:val="228"/>
        </w:trPr>
        <w:tc>
          <w:tcPr>
            <w:tcW w:w="980" w:type="dxa"/>
            <w:vAlign w:val="bottom"/>
          </w:tcPr>
          <w:p>
            <w:pPr>
              <w:spacing w:after="0"/>
              <w:rPr>
                <w:sz w:val="19"/>
                <w:szCs w:val="19"/>
                <w:color w:val="auto"/>
              </w:rPr>
            </w:pPr>
          </w:p>
        </w:tc>
        <w:tc>
          <w:tcPr>
            <w:tcW w:w="968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Incentive Compensation Plan, revised March 2024 (incorporated by reference to Exhibit 10.32 to the Company’s</w:t>
            </w:r>
          </w:p>
        </w:tc>
      </w:tr>
      <w:tr>
        <w:trPr>
          <w:trHeight w:val="266"/>
        </w:trPr>
        <w:tc>
          <w:tcPr>
            <w:tcW w:w="980" w:type="dxa"/>
            <w:vAlign w:val="bottom"/>
          </w:tcPr>
          <w:p>
            <w:pPr>
              <w:spacing w:after="0"/>
              <w:rPr>
                <w:sz w:val="23"/>
                <w:szCs w:val="23"/>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Annual Report on Form 10-K for the fiscal year ended December 31, 2023)</w:t>
            </w: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^10.27</w:t>
            </w: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Performance-Based Restricted Stock Units Agreement for Employees under the CECO Environmental Corp.</w:t>
            </w:r>
          </w:p>
        </w:tc>
      </w:tr>
      <w:tr>
        <w:trPr>
          <w:trHeight w:val="228"/>
        </w:trPr>
        <w:tc>
          <w:tcPr>
            <w:tcW w:w="980" w:type="dxa"/>
            <w:vAlign w:val="bottom"/>
          </w:tcPr>
          <w:p>
            <w:pPr>
              <w:spacing w:after="0"/>
              <w:rPr>
                <w:sz w:val="19"/>
                <w:szCs w:val="19"/>
                <w:color w:val="auto"/>
              </w:rPr>
            </w:pPr>
          </w:p>
        </w:tc>
        <w:tc>
          <w:tcPr>
            <w:tcW w:w="968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2021 Equity and Incentive Compensation Plan, revised March 2024 (incorporated by reference to Exhibit 10.32 to the</w:t>
            </w:r>
          </w:p>
        </w:tc>
      </w:tr>
      <w:tr>
        <w:trPr>
          <w:trHeight w:val="266"/>
        </w:trPr>
        <w:tc>
          <w:tcPr>
            <w:tcW w:w="980" w:type="dxa"/>
            <w:vAlign w:val="bottom"/>
          </w:tcPr>
          <w:p>
            <w:pPr>
              <w:spacing w:after="0"/>
              <w:rPr>
                <w:sz w:val="23"/>
                <w:szCs w:val="23"/>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Company’s Annual Report on Form 10-K for the fiscal year ended December 31, 2023)</w:t>
            </w: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^10.28</w:t>
            </w: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Form of Nonqualified Stock Option Agreement for Employees under the CECO Environmental Corp. 2021 Equity and</w:t>
            </w:r>
          </w:p>
        </w:tc>
      </w:tr>
      <w:tr>
        <w:trPr>
          <w:trHeight w:val="228"/>
        </w:trPr>
        <w:tc>
          <w:tcPr>
            <w:tcW w:w="980" w:type="dxa"/>
            <w:vAlign w:val="bottom"/>
          </w:tcPr>
          <w:p>
            <w:pPr>
              <w:spacing w:after="0"/>
              <w:rPr>
                <w:sz w:val="19"/>
                <w:szCs w:val="19"/>
                <w:color w:val="auto"/>
              </w:rPr>
            </w:pPr>
          </w:p>
        </w:tc>
        <w:tc>
          <w:tcPr>
            <w:tcW w:w="968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Incentive Compensation Plan (incorporated by reference to Exhibit 10.32 to the Company’s Annual Report on Form</w:t>
            </w:r>
          </w:p>
        </w:tc>
      </w:tr>
      <w:tr>
        <w:trPr>
          <w:trHeight w:val="266"/>
        </w:trPr>
        <w:tc>
          <w:tcPr>
            <w:tcW w:w="980" w:type="dxa"/>
            <w:vAlign w:val="bottom"/>
          </w:tcPr>
          <w:p>
            <w:pPr>
              <w:spacing w:after="0"/>
              <w:rPr>
                <w:sz w:val="23"/>
                <w:szCs w:val="23"/>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10-K for the fiscal year ended December 31, 2023)</w:t>
            </w:r>
          </w:p>
        </w:tc>
      </w:tr>
      <w:tr>
        <w:trPr>
          <w:trHeight w:val="423"/>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†10.29</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w w:val="98"/>
              </w:rPr>
              <w:t>Membership Interest Purchase Agreement, dated as of March 31, 2025, by and among Tusk Industrial OpCo Acquisition LLC</w:t>
            </w:r>
          </w:p>
        </w:tc>
      </w:tr>
      <w:tr>
        <w:trPr>
          <w:trHeight w:val="216"/>
        </w:trPr>
        <w:tc>
          <w:tcPr>
            <w:tcW w:w="980" w:type="dxa"/>
            <w:vAlign w:val="bottom"/>
          </w:tcPr>
          <w:p>
            <w:pPr>
              <w:spacing w:after="0"/>
              <w:rPr>
                <w:sz w:val="18"/>
                <w:szCs w:val="18"/>
                <w:color w:val="auto"/>
              </w:rPr>
            </w:pPr>
          </w:p>
        </w:tc>
        <w:tc>
          <w:tcPr>
            <w:tcW w:w="96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and Met-Pro Technologies LLC (incorporated by reference to Exhibit 10.1 to the Company’s Current Report on Form 8-K</w:t>
            </w:r>
          </w:p>
        </w:tc>
      </w:tr>
      <w:tr>
        <w:trPr>
          <w:trHeight w:val="252"/>
        </w:trPr>
        <w:tc>
          <w:tcPr>
            <w:tcW w:w="980" w:type="dxa"/>
            <w:vAlign w:val="bottom"/>
          </w:tcPr>
          <w:p>
            <w:pPr>
              <w:spacing w:after="0"/>
              <w:rPr>
                <w:sz w:val="21"/>
                <w:szCs w:val="21"/>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filed with the SEC on April 4, 2025)</w:t>
            </w:r>
          </w:p>
        </w:tc>
      </w:tr>
      <w:tr>
        <w:trPr>
          <w:trHeight w:val="425"/>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^10.30</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Equity Award Agreement between the Company and Todd R. Gleason, dated June 4, 2025 (incorporated by reference to</w:t>
            </w:r>
          </w:p>
        </w:tc>
      </w:tr>
      <w:tr>
        <w:trPr>
          <w:trHeight w:val="252"/>
        </w:trPr>
        <w:tc>
          <w:tcPr>
            <w:tcW w:w="980" w:type="dxa"/>
            <w:vAlign w:val="bottom"/>
          </w:tcPr>
          <w:p>
            <w:pPr>
              <w:spacing w:after="0"/>
              <w:rPr>
                <w:sz w:val="21"/>
                <w:szCs w:val="21"/>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Exhibit 10.1 to the Company’s Current Report on Form 8-K filed with the SEC on June 6, 2025)</w:t>
            </w:r>
          </w:p>
        </w:tc>
      </w:tr>
      <w:tr>
        <w:trPr>
          <w:trHeight w:val="425"/>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^10.31</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Equity Award Agreement between the Company and Peter K. Johansson, dated September 12, 2025 (incorporated by</w:t>
            </w:r>
          </w:p>
        </w:tc>
      </w:tr>
      <w:tr>
        <w:trPr>
          <w:trHeight w:val="252"/>
        </w:trPr>
        <w:tc>
          <w:tcPr>
            <w:tcW w:w="980" w:type="dxa"/>
            <w:vAlign w:val="bottom"/>
          </w:tcPr>
          <w:p>
            <w:pPr>
              <w:spacing w:after="0"/>
              <w:rPr>
                <w:sz w:val="21"/>
                <w:szCs w:val="21"/>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reference to Exhibit 10.1 to the Company’s Current Report on Form 8-K filed with the SEC on September 16, 2025)</w:t>
            </w:r>
          </w:p>
        </w:tc>
      </w:tr>
      <w:tr>
        <w:trPr>
          <w:trHeight w:val="425"/>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†10.32</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Fourth Amended and Restated Credit Agreement, dated as of January 30, 2026, among CECO Environmental Corp., its</w:t>
            </w:r>
          </w:p>
        </w:tc>
      </w:tr>
      <w:tr>
        <w:trPr>
          <w:trHeight w:val="216"/>
        </w:trPr>
        <w:tc>
          <w:tcPr>
            <w:tcW w:w="980" w:type="dxa"/>
            <w:vAlign w:val="bottom"/>
          </w:tcPr>
          <w:p>
            <w:pPr>
              <w:spacing w:after="0"/>
              <w:rPr>
                <w:sz w:val="18"/>
                <w:szCs w:val="18"/>
                <w:color w:val="auto"/>
              </w:rPr>
            </w:pPr>
          </w:p>
        </w:tc>
        <w:tc>
          <w:tcPr>
            <w:tcW w:w="96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subsidiaries from time to time party thereto, the lenders from time to time party thereto, and Bank of America, N.A., as</w:t>
            </w:r>
          </w:p>
        </w:tc>
      </w:tr>
      <w:tr>
        <w:trPr>
          <w:trHeight w:val="216"/>
        </w:trPr>
        <w:tc>
          <w:tcPr>
            <w:tcW w:w="980" w:type="dxa"/>
            <w:vAlign w:val="bottom"/>
          </w:tcPr>
          <w:p>
            <w:pPr>
              <w:spacing w:after="0"/>
              <w:rPr>
                <w:sz w:val="18"/>
                <w:szCs w:val="18"/>
                <w:color w:val="auto"/>
              </w:rPr>
            </w:pPr>
          </w:p>
        </w:tc>
        <w:tc>
          <w:tcPr>
            <w:tcW w:w="96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w w:val="98"/>
              </w:rPr>
              <w:t>Administrative Agent (incorporated by reference to Exhibit 10.1 to the Company’s Current Report on Form 8-K filed with the</w:t>
            </w:r>
          </w:p>
        </w:tc>
      </w:tr>
      <w:tr>
        <w:trPr>
          <w:trHeight w:val="252"/>
        </w:trPr>
        <w:tc>
          <w:tcPr>
            <w:tcW w:w="980" w:type="dxa"/>
            <w:vAlign w:val="bottom"/>
          </w:tcPr>
          <w:p>
            <w:pPr>
              <w:spacing w:after="0"/>
              <w:rPr>
                <w:sz w:val="21"/>
                <w:szCs w:val="21"/>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SEC on February 4, 2026)</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^10.33</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CECO Environmental Corp. Deferred Compensation Plan for Non-Employee Directors</w:t>
            </w:r>
          </w:p>
        </w:tc>
      </w:tr>
      <w:tr>
        <w:trPr>
          <w:trHeight w:val="425"/>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16.1</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Letter from BDO USA, P.C. dated March 3, 2025 (incorporated by reference to Exhibit 16.1 to the Company’s Current</w:t>
            </w:r>
          </w:p>
        </w:tc>
      </w:tr>
      <w:tr>
        <w:trPr>
          <w:trHeight w:val="252"/>
        </w:trPr>
        <w:tc>
          <w:tcPr>
            <w:tcW w:w="980" w:type="dxa"/>
            <w:vAlign w:val="bottom"/>
          </w:tcPr>
          <w:p>
            <w:pPr>
              <w:spacing w:after="0"/>
              <w:rPr>
                <w:sz w:val="21"/>
                <w:szCs w:val="21"/>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Report on Form 8-K filed with the SEC on March 5, 2025)</w:t>
            </w:r>
          </w:p>
        </w:tc>
      </w:tr>
      <w:tr>
        <w:trPr>
          <w:trHeight w:val="435"/>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19.1</w:t>
            </w: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CECO Environmental Corp. Insider Trading Policy (incorporated by reference to Exhibit 19.1 to the Company’s</w:t>
            </w:r>
          </w:p>
        </w:tc>
      </w:tr>
      <w:tr>
        <w:trPr>
          <w:trHeight w:val="266"/>
        </w:trPr>
        <w:tc>
          <w:tcPr>
            <w:tcW w:w="980" w:type="dxa"/>
            <w:vAlign w:val="bottom"/>
          </w:tcPr>
          <w:p>
            <w:pPr>
              <w:spacing w:after="0"/>
              <w:rPr>
                <w:sz w:val="23"/>
                <w:szCs w:val="23"/>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Annual Report on Form 10-K for the fiscal year ended December 31, 2024)</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*21.1</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Subsidiaries of the Company</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*23.1</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Consent of BDO USA, P.C.</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*23.2</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Consent of Deloitte &amp; Touche LLP</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*31.1</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Rule 13(a)/15d-14(a) Certification by Chief Executive Officer</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*31.2</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Rule 13(a)/15d-14(a) Certification by Chief Financial Officer</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*32.1</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Certification of Chief Executive Officer (18 U.S. Section 1350)</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*32.2</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Certification of Chief Financial Officer (18 U.S. Section 1350)</w:t>
            </w:r>
          </w:p>
        </w:tc>
      </w:tr>
      <w:tr>
        <w:trPr>
          <w:trHeight w:val="425"/>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97.1</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CECO Environmental Corp. Compensation Recovery Policy (incorporated by reference to Exhibit 97.1 to the Company’s</w:t>
            </w:r>
          </w:p>
        </w:tc>
      </w:tr>
      <w:tr>
        <w:trPr>
          <w:trHeight w:val="252"/>
        </w:trPr>
        <w:tc>
          <w:tcPr>
            <w:tcW w:w="980" w:type="dxa"/>
            <w:vAlign w:val="bottom"/>
          </w:tcPr>
          <w:p>
            <w:pPr>
              <w:spacing w:after="0"/>
              <w:rPr>
                <w:sz w:val="21"/>
                <w:szCs w:val="21"/>
                <w:color w:val="auto"/>
              </w:rPr>
            </w:pP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Annual Report on Form 10-K for the fiscal year ended December 31, 2023)</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*101.INS</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Instance Document</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*101.SCH</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Schema Document with Embedded Linkbase Documents</w:t>
            </w:r>
          </w:p>
        </w:tc>
      </w:tr>
      <w:tr>
        <w:trPr>
          <w:trHeight w:val="460"/>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9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Cover Page Interactive Data File (formatted as Inline XBRL and contained in Exhibit 101).</w:t>
            </w:r>
          </w:p>
        </w:tc>
      </w:tr>
    </w:tbl>
    <w:p>
      <w:pPr>
        <w:spacing w:after="0" w:line="200" w:lineRule="exact"/>
        <w:rPr>
          <w:sz w:val="20"/>
          <w:szCs w:val="20"/>
          <w:color w:val="auto"/>
        </w:rPr>
      </w:pPr>
    </w:p>
    <w:p>
      <w:pPr>
        <w:sectPr>
          <w:pgSz w:w="11880" w:h="15480" w:orient="portrait"/>
          <w:cols w:equalWidth="0" w:num="1">
            <w:col w:w="10660"/>
          </w:cols>
          <w:pgMar w:left="600" w:top="1060" w:right="620" w:bottom="66"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660"/>
          </w:cols>
          <w:pgMar w:left="600" w:top="1060" w:right="620" w:bottom="66" w:gutter="0" w:footer="0" w:header="0"/>
          <w:type w:val="continuous"/>
        </w:sectPr>
      </w:pPr>
    </w:p>
    <w:bookmarkStart w:id="107" w:name="page108"/>
    <w:bookmarkEnd w:id="107"/>
    <w:p>
      <w:pPr>
        <w:ind w:left="6"/>
        <w:spacing w:after="0"/>
        <w:rPr>
          <w:sz w:val="20"/>
          <w:szCs w:val="20"/>
          <w:color w:val="auto"/>
        </w:rPr>
      </w:pPr>
      <w:r>
        <w:rPr>
          <w:rFonts w:ascii="Times New Roman" w:cs="Times New Roman" w:eastAsia="Times New Roman" w:hAnsi="Times New Roman"/>
          <w:sz w:val="20"/>
          <w:szCs w:val="20"/>
          <w:color w:val="auto"/>
        </w:rPr>
        <w:t>* Filed or furnished herewith</w:t>
      </w:r>
    </w:p>
    <w:p>
      <w:pPr>
        <w:ind w:left="6"/>
        <w:spacing w:after="0" w:line="237" w:lineRule="auto"/>
        <w:rPr>
          <w:sz w:val="20"/>
          <w:szCs w:val="20"/>
          <w:color w:val="auto"/>
        </w:rPr>
      </w:pPr>
      <w:r>
        <w:rPr>
          <w:rFonts w:ascii="Times New Roman" w:cs="Times New Roman" w:eastAsia="Times New Roman" w:hAnsi="Times New Roman"/>
          <w:sz w:val="20"/>
          <w:szCs w:val="20"/>
          <w:color w:val="auto"/>
        </w:rPr>
        <w:t>^ Management contracts or compensation plans or arrangement</w:t>
      </w:r>
    </w:p>
    <w:p>
      <w:pPr>
        <w:spacing w:after="0" w:line="1" w:lineRule="exact"/>
        <w:rPr>
          <w:sz w:val="20"/>
          <w:szCs w:val="20"/>
          <w:color w:val="auto"/>
        </w:rPr>
      </w:pPr>
    </w:p>
    <w:p>
      <w:pPr>
        <w:ind w:left="6" w:hanging="6"/>
        <w:spacing w:after="0" w:line="275" w:lineRule="auto"/>
        <w:tabs>
          <w:tab w:leader="none" w:pos="15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5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2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646"/>
          </w:cols>
          <w:pgMar w:left="594" w:top="816" w:right="64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646"/>
          </w:cols>
          <w:pgMar w:left="594" w:top="816" w:right="640" w:bottom="66" w:gutter="0" w:footer="0" w:header="0"/>
          <w:type w:val="continuous"/>
        </w:sectPr>
      </w:pPr>
    </w:p>
    <w:bookmarkStart w:id="108" w:name="page109"/>
    <w:bookmarkEnd w:id="108"/>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CECO ENVIRONMENTAL CORP.</w:t>
      </w:r>
    </w:p>
    <w:p>
      <w:pPr>
        <w:spacing w:after="0" w:line="271" w:lineRule="exact"/>
        <w:rPr>
          <w:sz w:val="20"/>
          <w:szCs w:val="20"/>
          <w:color w:val="auto"/>
        </w:rPr>
      </w:pPr>
    </w:p>
    <w:p>
      <w:pPr>
        <w:ind w:left="6420"/>
        <w:spacing w:after="0"/>
        <w:tabs>
          <w:tab w:leader="none" w:pos="7780" w:val="left"/>
          <w:tab w:leader="none" w:pos="82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20"/>
          <w:szCs w:val="20"/>
          <w:color w:val="auto"/>
        </w:rPr>
        <w:t xml:space="preserve"> J</w:t>
      </w:r>
      <w:r>
        <w:rPr>
          <w:rFonts w:ascii="Times New Roman" w:cs="Times New Roman" w:eastAsia="Times New Roman" w:hAnsi="Times New Roman"/>
          <w:sz w:val="14"/>
          <w:szCs w:val="14"/>
          <w:color w:val="auto"/>
        </w:rPr>
        <w:t>OHANSSON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4279265</wp:posOffset>
                </wp:positionH>
                <wp:positionV relativeFrom="paragraph">
                  <wp:posOffset>13970</wp:posOffset>
                </wp:positionV>
                <wp:extent cx="25146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95pt,1.1pt" to="534.95pt,1.1pt" o:allowincell="f" strokecolor="#000000" strokeweight="0.495pt"/>
            </w:pict>
          </mc:Fallback>
        </mc:AlternateContent>
      </w:r>
    </w:p>
    <w:p>
      <w:pPr>
        <w:spacing w:after="0" w:line="4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5"/>
          <w:szCs w:val="15"/>
          <w:b w:val="1"/>
          <w:bCs w:val="1"/>
          <w:color w:val="auto"/>
        </w:rPr>
        <w:t>Peter Johansson</w:t>
      </w:r>
    </w:p>
    <w:p>
      <w:pPr>
        <w:spacing w:after="0" w:line="55"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55"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5"/>
          <w:szCs w:val="15"/>
          <w:b w:val="1"/>
          <w:bCs w:val="1"/>
          <w:color w:val="auto"/>
        </w:rPr>
        <w:t>March 2, 2026</w:t>
      </w:r>
    </w:p>
    <w:p>
      <w:pPr>
        <w:spacing w:after="0" w:line="37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Executive Officer and Director: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180" w:type="dxa"/>
            <w:vAlign w:val="bottom"/>
            <w:tcBorders>
              <w:bottom w:val="single" w:sz="8" w:color="auto"/>
            </w:tcBorders>
          </w:tcPr>
          <w:p>
            <w:pPr>
              <w:jc w:val="center"/>
              <w:ind w:right="1578"/>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4"/>
                <w:szCs w:val="14"/>
                <w:color w:val="auto"/>
              </w:rPr>
              <w:t>ODD</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4"/>
                <w:szCs w:val="14"/>
                <w:color w:val="auto"/>
              </w:rPr>
              <w:t>LEASON</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jc w:val="center"/>
              <w:ind w:right="1998"/>
              <w:spacing w:after="0" w:line="143" w:lineRule="exact"/>
              <w:rPr>
                <w:sz w:val="20"/>
                <w:szCs w:val="20"/>
                <w:color w:val="auto"/>
              </w:rPr>
            </w:pPr>
            <w:r>
              <w:rPr>
                <w:rFonts w:ascii="Times New Roman" w:cs="Times New Roman" w:eastAsia="Times New Roman" w:hAnsi="Times New Roman"/>
                <w:sz w:val="15"/>
                <w:szCs w:val="15"/>
                <w:b w:val="1"/>
                <w:bCs w:val="1"/>
                <w:color w:val="auto"/>
              </w:rPr>
              <w:t>Todd Gleason</w:t>
            </w:r>
          </w:p>
        </w:tc>
        <w:tc>
          <w:tcPr>
            <w:tcW w:w="1420" w:type="dxa"/>
            <w:vAlign w:val="bottom"/>
          </w:tcPr>
          <w:p>
            <w:pPr>
              <w:spacing w:after="0"/>
              <w:rPr>
                <w:sz w:val="12"/>
                <w:szCs w:val="12"/>
                <w:color w:val="auto"/>
              </w:rPr>
            </w:pPr>
          </w:p>
        </w:tc>
      </w:tr>
      <w:tr>
        <w:trPr>
          <w:trHeight w:val="205"/>
        </w:trPr>
        <w:tc>
          <w:tcPr>
            <w:tcW w:w="5260" w:type="dxa"/>
            <w:vAlign w:val="bottom"/>
            <w:gridSpan w:val="3"/>
          </w:tcPr>
          <w:p>
            <w:pPr>
              <w:ind w:left="1480"/>
              <w:spacing w:after="0"/>
              <w:rPr>
                <w:sz w:val="20"/>
                <w:szCs w:val="20"/>
                <w:color w:val="auto"/>
              </w:rPr>
            </w:pPr>
            <w:r>
              <w:rPr>
                <w:rFonts w:ascii="Times New Roman" w:cs="Times New Roman" w:eastAsia="Times New Roman" w:hAnsi="Times New Roman"/>
                <w:sz w:val="15"/>
                <w:szCs w:val="15"/>
                <w:b w:val="1"/>
                <w:bCs w:val="1"/>
                <w:color w:val="auto"/>
              </w:rPr>
              <w:t>Chief Executive Officer and Director</w:t>
            </w:r>
          </w:p>
        </w:tc>
        <w:tc>
          <w:tcPr>
            <w:tcW w:w="1420" w:type="dxa"/>
            <w:vAlign w:val="bottom"/>
          </w:tcPr>
          <w:p>
            <w:pPr>
              <w:spacing w:after="0"/>
              <w:rPr>
                <w:sz w:val="17"/>
                <w:szCs w:val="17"/>
                <w:color w:val="auto"/>
              </w:rPr>
            </w:pPr>
          </w:p>
        </w:tc>
      </w:tr>
      <w:tr>
        <w:trPr>
          <w:trHeight w:val="380"/>
        </w:trPr>
        <w:tc>
          <w:tcPr>
            <w:tcW w:w="5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1420" w:type="dxa"/>
            <w:vAlign w:val="bottom"/>
          </w:tcPr>
          <w:p>
            <w:pPr>
              <w:spacing w:after="0"/>
              <w:rPr>
                <w:sz w:val="24"/>
                <w:szCs w:val="24"/>
                <w:color w:val="auto"/>
              </w:rPr>
            </w:pPr>
          </w:p>
        </w:tc>
      </w:tr>
      <w:tr>
        <w:trPr>
          <w:trHeight w:val="362"/>
        </w:trPr>
        <w:tc>
          <w:tcPr>
            <w:tcW w:w="2080" w:type="dxa"/>
            <w:vAlign w:val="bottom"/>
            <w:tcBorders>
              <w:bottom w:val="single" w:sz="8" w:color="auto"/>
            </w:tcBorders>
            <w:gridSpan w:val="2"/>
          </w:tcPr>
          <w:p>
            <w:pPr>
              <w:ind w:left="1720"/>
              <w:spacing w:after="0"/>
              <w:rPr>
                <w:sz w:val="20"/>
                <w:szCs w:val="20"/>
                <w:color w:val="auto"/>
              </w:rPr>
            </w:pPr>
            <w:r>
              <w:rPr>
                <w:rFonts w:ascii="Times New Roman" w:cs="Times New Roman" w:eastAsia="Times New Roman" w:hAnsi="Times New Roman"/>
                <w:sz w:val="20"/>
                <w:szCs w:val="20"/>
                <w:color w:val="auto"/>
              </w:rPr>
              <w:t>/S/</w:t>
            </w:r>
          </w:p>
        </w:tc>
        <w:tc>
          <w:tcPr>
            <w:tcW w:w="3180" w:type="dxa"/>
            <w:vAlign w:val="bottom"/>
            <w:tcBorders>
              <w:bottom w:val="single" w:sz="8" w:color="auto"/>
            </w:tcBorders>
          </w:tcPr>
          <w:p>
            <w:pPr>
              <w:jc w:val="center"/>
              <w:ind w:right="1598"/>
              <w:spacing w:after="0"/>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20"/>
                <w:szCs w:val="20"/>
                <w:color w:val="auto"/>
              </w:rPr>
              <w:t xml:space="preserve"> J</w:t>
            </w:r>
            <w:r>
              <w:rPr>
                <w:rFonts w:ascii="Times New Roman" w:cs="Times New Roman" w:eastAsia="Times New Roman" w:hAnsi="Times New Roman"/>
                <w:sz w:val="14"/>
                <w:szCs w:val="14"/>
                <w:color w:val="auto"/>
              </w:rPr>
              <w:t>OHANSSON</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jc w:val="center"/>
              <w:ind w:right="1998"/>
              <w:spacing w:after="0" w:line="143" w:lineRule="exact"/>
              <w:rPr>
                <w:sz w:val="20"/>
                <w:szCs w:val="20"/>
                <w:color w:val="auto"/>
              </w:rPr>
            </w:pPr>
            <w:r>
              <w:rPr>
                <w:rFonts w:ascii="Times New Roman" w:cs="Times New Roman" w:eastAsia="Times New Roman" w:hAnsi="Times New Roman"/>
                <w:sz w:val="15"/>
                <w:szCs w:val="15"/>
                <w:b w:val="1"/>
                <w:bCs w:val="1"/>
                <w:color w:val="auto"/>
                <w:w w:val="97"/>
              </w:rPr>
              <w:t>Peter Johansson</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480" w:type="dxa"/>
            <w:vAlign w:val="bottom"/>
            <w:gridSpan w:val="2"/>
          </w:tcPr>
          <w:p>
            <w:pPr>
              <w:jc w:val="center"/>
              <w:ind w:right="1698"/>
              <w:spacing w:after="0"/>
              <w:rPr>
                <w:sz w:val="20"/>
                <w:szCs w:val="20"/>
                <w:color w:val="auto"/>
              </w:rPr>
            </w:pPr>
            <w:r>
              <w:rPr>
                <w:rFonts w:ascii="Times New Roman" w:cs="Times New Roman" w:eastAsia="Times New Roman" w:hAnsi="Times New Roman"/>
                <w:sz w:val="15"/>
                <w:szCs w:val="15"/>
                <w:b w:val="1"/>
                <w:bCs w:val="1"/>
                <w:color w:val="auto"/>
                <w:w w:val="98"/>
              </w:rPr>
              <w:t>Chief Financial Officer</w:t>
            </w:r>
          </w:p>
        </w:tc>
        <w:tc>
          <w:tcPr>
            <w:tcW w:w="1420" w:type="dxa"/>
            <w:vAlign w:val="bottom"/>
          </w:tcPr>
          <w:p>
            <w:pPr>
              <w:spacing w:after="0"/>
              <w:rPr>
                <w:sz w:val="17"/>
                <w:szCs w:val="17"/>
                <w:color w:val="auto"/>
              </w:rPr>
            </w:pPr>
          </w:p>
        </w:tc>
      </w:tr>
      <w:tr>
        <w:trPr>
          <w:trHeight w:val="471"/>
        </w:trPr>
        <w:tc>
          <w:tcPr>
            <w:tcW w:w="5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1420" w:type="dxa"/>
            <w:vAlign w:val="bottom"/>
          </w:tcPr>
          <w:p>
            <w:pPr>
              <w:spacing w:after="0"/>
              <w:rPr>
                <w:sz w:val="24"/>
                <w:szCs w:val="24"/>
                <w:color w:val="auto"/>
              </w:rPr>
            </w:pPr>
          </w:p>
        </w:tc>
      </w:tr>
      <w:tr>
        <w:trPr>
          <w:trHeight w:val="347"/>
        </w:trPr>
        <w:tc>
          <w:tcPr>
            <w:tcW w:w="208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20"/>
                <w:szCs w:val="20"/>
                <w:color w:val="auto"/>
              </w:rPr>
              <w:t>/S/</w:t>
            </w:r>
          </w:p>
        </w:tc>
        <w:tc>
          <w:tcPr>
            <w:tcW w:w="3180" w:type="dxa"/>
            <w:vAlign w:val="bottom"/>
            <w:tcBorders>
              <w:bottom w:val="single" w:sz="8" w:color="auto"/>
            </w:tcBorders>
          </w:tcPr>
          <w:p>
            <w:pPr>
              <w:jc w:val="center"/>
              <w:ind w:right="1578"/>
              <w:spacing w:after="0"/>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4"/>
                <w:szCs w:val="14"/>
                <w:color w:val="auto"/>
              </w:rPr>
              <w:t>IRIL</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4"/>
                <w:szCs w:val="14"/>
                <w:color w:val="auto"/>
              </w:rPr>
              <w:t>OVACHEV</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jc w:val="center"/>
              <w:ind w:right="1998"/>
              <w:spacing w:after="0" w:line="143" w:lineRule="exact"/>
              <w:rPr>
                <w:sz w:val="20"/>
                <w:szCs w:val="20"/>
                <w:color w:val="auto"/>
              </w:rPr>
            </w:pPr>
            <w:r>
              <w:rPr>
                <w:rFonts w:ascii="Times New Roman" w:cs="Times New Roman" w:eastAsia="Times New Roman" w:hAnsi="Times New Roman"/>
                <w:sz w:val="15"/>
                <w:szCs w:val="15"/>
                <w:b w:val="1"/>
                <w:bCs w:val="1"/>
                <w:color w:val="auto"/>
              </w:rPr>
              <w:t>Kiril Kovachev</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480" w:type="dxa"/>
            <w:vAlign w:val="bottom"/>
            <w:gridSpan w:val="2"/>
          </w:tcPr>
          <w:p>
            <w:pPr>
              <w:jc w:val="center"/>
              <w:ind w:right="1718"/>
              <w:spacing w:after="0"/>
              <w:rPr>
                <w:sz w:val="20"/>
                <w:szCs w:val="20"/>
                <w:color w:val="auto"/>
              </w:rPr>
            </w:pPr>
            <w:r>
              <w:rPr>
                <w:rFonts w:ascii="Times New Roman" w:cs="Times New Roman" w:eastAsia="Times New Roman" w:hAnsi="Times New Roman"/>
                <w:sz w:val="15"/>
                <w:szCs w:val="15"/>
                <w:b w:val="1"/>
                <w:bCs w:val="1"/>
                <w:color w:val="auto"/>
                <w:w w:val="98"/>
              </w:rPr>
              <w:t>Chief Accounting Officer</w:t>
            </w:r>
          </w:p>
        </w:tc>
        <w:tc>
          <w:tcPr>
            <w:tcW w:w="1420" w:type="dxa"/>
            <w:vAlign w:val="bottom"/>
          </w:tcPr>
          <w:p>
            <w:pPr>
              <w:spacing w:after="0"/>
              <w:rPr>
                <w:sz w:val="17"/>
                <w:szCs w:val="17"/>
                <w:color w:val="auto"/>
              </w:rPr>
            </w:pPr>
          </w:p>
        </w:tc>
      </w:tr>
      <w:tr>
        <w:trPr>
          <w:trHeight w:val="414"/>
        </w:trPr>
        <w:tc>
          <w:tcPr>
            <w:tcW w:w="1780" w:type="dxa"/>
            <w:vAlign w:val="bottom"/>
          </w:tcPr>
          <w:p>
            <w:pPr>
              <w:spacing w:after="0"/>
              <w:rPr>
                <w:sz w:val="20"/>
                <w:szCs w:val="20"/>
                <w:color w:val="auto"/>
              </w:rPr>
            </w:pPr>
            <w:r>
              <w:rPr>
                <w:rFonts w:ascii="Times New Roman" w:cs="Times New Roman" w:eastAsia="Times New Roman" w:hAnsi="Times New Roman"/>
                <w:sz w:val="20"/>
                <w:szCs w:val="20"/>
                <w:color w:val="auto"/>
              </w:rPr>
              <w:t>Directors:</w:t>
            </w: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2"/>
        </w:trPr>
        <w:tc>
          <w:tcPr>
            <w:tcW w:w="208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20"/>
                <w:szCs w:val="20"/>
                <w:color w:val="auto"/>
              </w:rPr>
              <w:t>/S/</w:t>
            </w:r>
          </w:p>
        </w:tc>
        <w:tc>
          <w:tcPr>
            <w:tcW w:w="3180" w:type="dxa"/>
            <w:vAlign w:val="bottom"/>
            <w:tcBorders>
              <w:bottom w:val="single" w:sz="8" w:color="auto"/>
            </w:tcBorders>
          </w:tcPr>
          <w:p>
            <w:pPr>
              <w:jc w:val="center"/>
              <w:ind w:right="1598"/>
              <w:spacing w:after="0"/>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4"/>
                <w:szCs w:val="14"/>
                <w:color w:val="auto"/>
              </w:rPr>
              <w:t>ASON</w:t>
            </w:r>
            <w:r>
              <w:rPr>
                <w:rFonts w:ascii="Times New Roman" w:cs="Times New Roman" w:eastAsia="Times New Roman" w:hAnsi="Times New Roman"/>
                <w:sz w:val="20"/>
                <w:szCs w:val="20"/>
                <w:color w:val="auto"/>
              </w:rPr>
              <w:t xml:space="preserve"> D</w:t>
            </w:r>
            <w:r>
              <w:rPr>
                <w:rFonts w:ascii="Times New Roman" w:cs="Times New Roman" w:eastAsia="Times New Roman" w:hAnsi="Times New Roman"/>
                <w:sz w:val="14"/>
                <w:szCs w:val="14"/>
                <w:color w:val="auto"/>
              </w:rPr>
              <w:t>EZWIREK</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jc w:val="center"/>
              <w:ind w:right="1998"/>
              <w:spacing w:after="0" w:line="143" w:lineRule="exact"/>
              <w:rPr>
                <w:sz w:val="20"/>
                <w:szCs w:val="20"/>
                <w:color w:val="auto"/>
              </w:rPr>
            </w:pPr>
            <w:r>
              <w:rPr>
                <w:rFonts w:ascii="Times New Roman" w:cs="Times New Roman" w:eastAsia="Times New Roman" w:hAnsi="Times New Roman"/>
                <w:sz w:val="15"/>
                <w:szCs w:val="15"/>
                <w:b w:val="1"/>
                <w:bCs w:val="1"/>
                <w:color w:val="auto"/>
                <w:w w:val="97"/>
              </w:rPr>
              <w:t>Jason DeZwirek</w:t>
            </w:r>
          </w:p>
        </w:tc>
        <w:tc>
          <w:tcPr>
            <w:tcW w:w="1420" w:type="dxa"/>
            <w:vAlign w:val="bottom"/>
          </w:tcPr>
          <w:p>
            <w:pPr>
              <w:spacing w:after="0"/>
              <w:rPr>
                <w:sz w:val="12"/>
                <w:szCs w:val="12"/>
                <w:color w:val="auto"/>
              </w:rPr>
            </w:pPr>
          </w:p>
        </w:tc>
      </w:tr>
      <w:tr>
        <w:trPr>
          <w:trHeight w:val="205"/>
        </w:trPr>
        <w:tc>
          <w:tcPr>
            <w:tcW w:w="5260" w:type="dxa"/>
            <w:vAlign w:val="bottom"/>
            <w:gridSpan w:val="3"/>
          </w:tcPr>
          <w:p>
            <w:pPr>
              <w:ind w:left="1460"/>
              <w:spacing w:after="0"/>
              <w:rPr>
                <w:sz w:val="20"/>
                <w:szCs w:val="20"/>
                <w:color w:val="auto"/>
              </w:rPr>
            </w:pPr>
            <w:r>
              <w:rPr>
                <w:rFonts w:ascii="Times New Roman" w:cs="Times New Roman" w:eastAsia="Times New Roman" w:hAnsi="Times New Roman"/>
                <w:sz w:val="15"/>
                <w:szCs w:val="15"/>
                <w:b w:val="1"/>
                <w:bCs w:val="1"/>
                <w:color w:val="auto"/>
              </w:rPr>
              <w:t>Chairman of the Board and Director</w:t>
            </w:r>
          </w:p>
        </w:tc>
        <w:tc>
          <w:tcPr>
            <w:tcW w:w="1420" w:type="dxa"/>
            <w:vAlign w:val="bottom"/>
          </w:tcPr>
          <w:p>
            <w:pPr>
              <w:spacing w:after="0"/>
              <w:rPr>
                <w:sz w:val="17"/>
                <w:szCs w:val="17"/>
                <w:color w:val="auto"/>
              </w:rPr>
            </w:pPr>
          </w:p>
        </w:tc>
      </w:tr>
      <w:tr>
        <w:trPr>
          <w:trHeight w:val="378"/>
        </w:trPr>
        <w:tc>
          <w:tcPr>
            <w:tcW w:w="1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20"/>
                <w:szCs w:val="20"/>
                <w:color w:val="auto"/>
              </w:rPr>
              <w:t>/S/</w:t>
            </w:r>
          </w:p>
        </w:tc>
        <w:tc>
          <w:tcPr>
            <w:tcW w:w="3480" w:type="dxa"/>
            <w:vAlign w:val="bottom"/>
            <w:tcBorders>
              <w:bottom w:val="single" w:sz="8" w:color="auto"/>
            </w:tcBorders>
            <w:gridSpan w:val="2"/>
          </w:tcPr>
          <w:p>
            <w:pPr>
              <w:jc w:val="center"/>
              <w:ind w:right="1338"/>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20"/>
                <w:szCs w:val="20"/>
                <w:color w:val="auto"/>
              </w:rPr>
              <w:t xml:space="preserve"> E</w:t>
            </w:r>
            <w:r>
              <w:rPr>
                <w:rFonts w:ascii="Times New Roman" w:cs="Times New Roman" w:eastAsia="Times New Roman" w:hAnsi="Times New Roman"/>
                <w:sz w:val="14"/>
                <w:szCs w:val="14"/>
                <w:color w:val="auto"/>
              </w:rPr>
              <w:t>.</w:t>
            </w:r>
            <w:r>
              <w:rPr>
                <w:rFonts w:ascii="Times New Roman" w:cs="Times New Roman" w:eastAsia="Times New Roman" w:hAnsi="Times New Roman"/>
                <w:sz w:val="20"/>
                <w:szCs w:val="20"/>
                <w:color w:val="auto"/>
              </w:rPr>
              <w:t xml:space="preserve"> K</w:t>
            </w:r>
            <w:r>
              <w:rPr>
                <w:rFonts w:ascii="Times New Roman" w:cs="Times New Roman" w:eastAsia="Times New Roman" w:hAnsi="Times New Roman"/>
                <w:sz w:val="14"/>
                <w:szCs w:val="14"/>
                <w:color w:val="auto"/>
              </w:rPr>
              <w:t>NOWLING</w:t>
            </w:r>
            <w:r>
              <w:rPr>
                <w:rFonts w:ascii="Times New Roman" w:cs="Times New Roman" w:eastAsia="Times New Roman" w:hAnsi="Times New Roman"/>
                <w:sz w:val="20"/>
                <w:szCs w:val="20"/>
                <w:color w:val="auto"/>
              </w:rPr>
              <w:t xml:space="preserve"> J</w:t>
            </w:r>
            <w:r>
              <w:rPr>
                <w:rFonts w:ascii="Times New Roman" w:cs="Times New Roman" w:eastAsia="Times New Roman" w:hAnsi="Times New Roman"/>
                <w:sz w:val="14"/>
                <w:szCs w:val="14"/>
                <w:color w:val="auto"/>
              </w:rPr>
              <w:t>R.</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480" w:type="dxa"/>
            <w:vAlign w:val="bottom"/>
            <w:gridSpan w:val="2"/>
          </w:tcPr>
          <w:p>
            <w:pPr>
              <w:jc w:val="center"/>
              <w:ind w:right="1698"/>
              <w:spacing w:after="0" w:line="143" w:lineRule="exact"/>
              <w:rPr>
                <w:sz w:val="20"/>
                <w:szCs w:val="20"/>
                <w:color w:val="auto"/>
              </w:rPr>
            </w:pPr>
            <w:r>
              <w:rPr>
                <w:rFonts w:ascii="Times New Roman" w:cs="Times New Roman" w:eastAsia="Times New Roman" w:hAnsi="Times New Roman"/>
                <w:sz w:val="15"/>
                <w:szCs w:val="15"/>
                <w:b w:val="1"/>
                <w:bCs w:val="1"/>
                <w:color w:val="auto"/>
                <w:w w:val="99"/>
              </w:rPr>
              <w:t>Robert E. Knowling Jr.</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jc w:val="center"/>
              <w:ind w:right="1998"/>
              <w:spacing w:after="0"/>
              <w:rPr>
                <w:sz w:val="20"/>
                <w:szCs w:val="20"/>
                <w:color w:val="auto"/>
              </w:rPr>
            </w:pPr>
            <w:r>
              <w:rPr>
                <w:rFonts w:ascii="Times New Roman" w:cs="Times New Roman" w:eastAsia="Times New Roman" w:hAnsi="Times New Roman"/>
                <w:sz w:val="15"/>
                <w:szCs w:val="15"/>
                <w:b w:val="1"/>
                <w:bCs w:val="1"/>
                <w:color w:val="auto"/>
                <w:w w:val="99"/>
              </w:rPr>
              <w:t>Director</w:t>
            </w:r>
          </w:p>
        </w:tc>
        <w:tc>
          <w:tcPr>
            <w:tcW w:w="1420" w:type="dxa"/>
            <w:vAlign w:val="bottom"/>
          </w:tcPr>
          <w:p>
            <w:pPr>
              <w:spacing w:after="0"/>
              <w:rPr>
                <w:sz w:val="17"/>
                <w:szCs w:val="17"/>
                <w:color w:val="auto"/>
              </w:rPr>
            </w:pPr>
          </w:p>
        </w:tc>
      </w:tr>
      <w:tr>
        <w:trPr>
          <w:trHeight w:val="363"/>
        </w:trPr>
        <w:tc>
          <w:tcPr>
            <w:tcW w:w="1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20"/>
                <w:szCs w:val="20"/>
                <w:color w:val="auto"/>
              </w:rPr>
              <w:t>/S/</w:t>
            </w:r>
          </w:p>
        </w:tc>
        <w:tc>
          <w:tcPr>
            <w:tcW w:w="3480" w:type="dxa"/>
            <w:vAlign w:val="bottom"/>
            <w:tcBorders>
              <w:bottom w:val="single" w:sz="8" w:color="auto"/>
            </w:tcBorders>
            <w:gridSpan w:val="2"/>
          </w:tcPr>
          <w:p>
            <w:pPr>
              <w:jc w:val="center"/>
              <w:ind w:right="1298"/>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4"/>
                <w:szCs w:val="14"/>
                <w:color w:val="auto"/>
              </w:rPr>
              <w:t>LAUDIO</w:t>
            </w:r>
            <w:r>
              <w:rPr>
                <w:rFonts w:ascii="Times New Roman" w:cs="Times New Roman" w:eastAsia="Times New Roman" w:hAnsi="Times New Roman"/>
                <w:sz w:val="20"/>
                <w:szCs w:val="20"/>
                <w:color w:val="auto"/>
              </w:rPr>
              <w:t xml:space="preserve"> A. M</w:t>
            </w:r>
            <w:r>
              <w:rPr>
                <w:rFonts w:ascii="Times New Roman" w:cs="Times New Roman" w:eastAsia="Times New Roman" w:hAnsi="Times New Roman"/>
                <w:sz w:val="14"/>
                <w:szCs w:val="14"/>
                <w:color w:val="auto"/>
              </w:rPr>
              <w:t>ANNARINO</w:t>
            </w:r>
          </w:p>
        </w:tc>
        <w:tc>
          <w:tcPr>
            <w:tcW w:w="1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March 2, 2026</w:t>
            </w:r>
          </w:p>
        </w:tc>
      </w:tr>
      <w:tr>
        <w:trPr>
          <w:trHeight w:val="142"/>
        </w:trPr>
        <w:tc>
          <w:tcPr>
            <w:tcW w:w="1780" w:type="dxa"/>
            <w:vAlign w:val="bottom"/>
          </w:tcPr>
          <w:p>
            <w:pPr>
              <w:spacing w:after="0"/>
              <w:rPr>
                <w:sz w:val="12"/>
                <w:szCs w:val="12"/>
                <w:color w:val="auto"/>
              </w:rPr>
            </w:pPr>
          </w:p>
        </w:tc>
        <w:tc>
          <w:tcPr>
            <w:tcW w:w="3480" w:type="dxa"/>
            <w:vAlign w:val="bottom"/>
            <w:gridSpan w:val="2"/>
          </w:tcPr>
          <w:p>
            <w:pPr>
              <w:jc w:val="center"/>
              <w:ind w:right="1718"/>
              <w:spacing w:after="0" w:line="143" w:lineRule="exact"/>
              <w:rPr>
                <w:sz w:val="20"/>
                <w:szCs w:val="20"/>
                <w:color w:val="auto"/>
              </w:rPr>
            </w:pPr>
            <w:r>
              <w:rPr>
                <w:rFonts w:ascii="Times New Roman" w:cs="Times New Roman" w:eastAsia="Times New Roman" w:hAnsi="Times New Roman"/>
                <w:sz w:val="15"/>
                <w:szCs w:val="15"/>
                <w:b w:val="1"/>
                <w:bCs w:val="1"/>
                <w:color w:val="auto"/>
                <w:w w:val="98"/>
              </w:rPr>
              <w:t>Claudio A. Mannarino</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jc w:val="center"/>
              <w:ind w:right="1998"/>
              <w:spacing w:after="0"/>
              <w:rPr>
                <w:sz w:val="20"/>
                <w:szCs w:val="20"/>
                <w:color w:val="auto"/>
              </w:rPr>
            </w:pPr>
            <w:r>
              <w:rPr>
                <w:rFonts w:ascii="Times New Roman" w:cs="Times New Roman" w:eastAsia="Times New Roman" w:hAnsi="Times New Roman"/>
                <w:sz w:val="15"/>
                <w:szCs w:val="15"/>
                <w:b w:val="1"/>
                <w:bCs w:val="1"/>
                <w:color w:val="auto"/>
                <w:w w:val="99"/>
              </w:rPr>
              <w:t>Director</w:t>
            </w:r>
          </w:p>
        </w:tc>
        <w:tc>
          <w:tcPr>
            <w:tcW w:w="1420" w:type="dxa"/>
            <w:vAlign w:val="bottom"/>
          </w:tcPr>
          <w:p>
            <w:pPr>
              <w:spacing w:after="0"/>
              <w:rPr>
                <w:sz w:val="17"/>
                <w:szCs w:val="17"/>
                <w:color w:val="auto"/>
              </w:rPr>
            </w:pPr>
          </w:p>
        </w:tc>
      </w:tr>
      <w:tr>
        <w:trPr>
          <w:trHeight w:val="371"/>
        </w:trPr>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180" w:type="dxa"/>
            <w:vAlign w:val="bottom"/>
            <w:tcBorders>
              <w:bottom w:val="single" w:sz="8" w:color="auto"/>
            </w:tcBorders>
          </w:tcPr>
          <w:p>
            <w:pPr>
              <w:jc w:val="center"/>
              <w:ind w:right="1638"/>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4"/>
                <w:szCs w:val="14"/>
                <w:color w:val="auto"/>
              </w:rPr>
              <w:t>UNISH</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4"/>
                <w:szCs w:val="14"/>
                <w:color w:val="auto"/>
              </w:rPr>
              <w:t>ANDA</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jc w:val="center"/>
              <w:ind w:right="1998"/>
              <w:spacing w:after="0" w:line="143" w:lineRule="exact"/>
              <w:rPr>
                <w:sz w:val="20"/>
                <w:szCs w:val="20"/>
                <w:color w:val="auto"/>
              </w:rPr>
            </w:pPr>
            <w:r>
              <w:rPr>
                <w:rFonts w:ascii="Times New Roman" w:cs="Times New Roman" w:eastAsia="Times New Roman" w:hAnsi="Times New Roman"/>
                <w:sz w:val="15"/>
                <w:szCs w:val="15"/>
                <w:b w:val="1"/>
                <w:bCs w:val="1"/>
                <w:color w:val="auto"/>
                <w:w w:val="98"/>
              </w:rPr>
              <w:t>Munish Nanda</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jc w:val="center"/>
              <w:ind w:right="1998"/>
              <w:spacing w:after="0"/>
              <w:rPr>
                <w:sz w:val="20"/>
                <w:szCs w:val="20"/>
                <w:color w:val="auto"/>
              </w:rPr>
            </w:pPr>
            <w:r>
              <w:rPr>
                <w:rFonts w:ascii="Times New Roman" w:cs="Times New Roman" w:eastAsia="Times New Roman" w:hAnsi="Times New Roman"/>
                <w:sz w:val="15"/>
                <w:szCs w:val="15"/>
                <w:b w:val="1"/>
                <w:bCs w:val="1"/>
                <w:color w:val="auto"/>
                <w:w w:val="99"/>
              </w:rPr>
              <w:t>Director</w:t>
            </w:r>
          </w:p>
        </w:tc>
        <w:tc>
          <w:tcPr>
            <w:tcW w:w="1420" w:type="dxa"/>
            <w:vAlign w:val="bottom"/>
          </w:tcPr>
          <w:p>
            <w:pPr>
              <w:spacing w:after="0"/>
              <w:rPr>
                <w:sz w:val="17"/>
                <w:szCs w:val="17"/>
                <w:color w:val="auto"/>
              </w:rPr>
            </w:pPr>
          </w:p>
        </w:tc>
      </w:tr>
      <w:tr>
        <w:trPr>
          <w:trHeight w:val="371"/>
        </w:trPr>
        <w:tc>
          <w:tcPr>
            <w:tcW w:w="17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20"/>
                <w:szCs w:val="20"/>
                <w:color w:val="auto"/>
              </w:rPr>
              <w:t>/S/</w:t>
            </w:r>
          </w:p>
        </w:tc>
        <w:tc>
          <w:tcPr>
            <w:tcW w:w="3480" w:type="dxa"/>
            <w:vAlign w:val="bottom"/>
            <w:tcBorders>
              <w:bottom w:val="single" w:sz="8" w:color="auto"/>
            </w:tcBorders>
            <w:gridSpan w:val="2"/>
          </w:tcPr>
          <w:p>
            <w:pPr>
              <w:jc w:val="center"/>
              <w:ind w:right="1338"/>
              <w:spacing w:after="0"/>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4"/>
                <w:szCs w:val="14"/>
                <w:color w:val="auto"/>
              </w:rPr>
              <w:t>ALERIE</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4"/>
                <w:szCs w:val="14"/>
                <w:color w:val="auto"/>
              </w:rPr>
              <w:t>ENTILE</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4"/>
                <w:szCs w:val="14"/>
                <w:color w:val="auto"/>
              </w:rPr>
              <w:t>ACHS</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480" w:type="dxa"/>
            <w:vAlign w:val="bottom"/>
            <w:gridSpan w:val="2"/>
          </w:tcPr>
          <w:p>
            <w:pPr>
              <w:jc w:val="center"/>
              <w:ind w:right="1718"/>
              <w:spacing w:after="0" w:line="143" w:lineRule="exact"/>
              <w:rPr>
                <w:sz w:val="20"/>
                <w:szCs w:val="20"/>
                <w:color w:val="auto"/>
              </w:rPr>
            </w:pPr>
            <w:r>
              <w:rPr>
                <w:rFonts w:ascii="Times New Roman" w:cs="Times New Roman" w:eastAsia="Times New Roman" w:hAnsi="Times New Roman"/>
                <w:sz w:val="15"/>
                <w:szCs w:val="15"/>
                <w:b w:val="1"/>
                <w:bCs w:val="1"/>
                <w:color w:val="auto"/>
                <w:w w:val="98"/>
              </w:rPr>
              <w:t>Valerie Gentile Sachs</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jc w:val="center"/>
              <w:ind w:right="1998"/>
              <w:spacing w:after="0"/>
              <w:rPr>
                <w:sz w:val="20"/>
                <w:szCs w:val="20"/>
                <w:color w:val="auto"/>
              </w:rPr>
            </w:pPr>
            <w:r>
              <w:rPr>
                <w:rFonts w:ascii="Times New Roman" w:cs="Times New Roman" w:eastAsia="Times New Roman" w:hAnsi="Times New Roman"/>
                <w:sz w:val="15"/>
                <w:szCs w:val="15"/>
                <w:b w:val="1"/>
                <w:bCs w:val="1"/>
                <w:color w:val="auto"/>
                <w:w w:val="99"/>
              </w:rPr>
              <w:t>Director</w:t>
            </w:r>
          </w:p>
        </w:tc>
        <w:tc>
          <w:tcPr>
            <w:tcW w:w="1420" w:type="dxa"/>
            <w:vAlign w:val="bottom"/>
          </w:tcPr>
          <w:p>
            <w:pPr>
              <w:spacing w:after="0"/>
              <w:rPr>
                <w:sz w:val="17"/>
                <w:szCs w:val="17"/>
                <w:color w:val="auto"/>
              </w:rPr>
            </w:pPr>
          </w:p>
        </w:tc>
      </w:tr>
      <w:tr>
        <w:trPr>
          <w:trHeight w:val="371"/>
        </w:trPr>
        <w:tc>
          <w:tcPr>
            <w:tcW w:w="208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20"/>
                <w:szCs w:val="20"/>
                <w:color w:val="auto"/>
              </w:rPr>
              <w:t>/S/</w:t>
            </w:r>
          </w:p>
        </w:tc>
        <w:tc>
          <w:tcPr>
            <w:tcW w:w="3180" w:type="dxa"/>
            <w:vAlign w:val="bottom"/>
            <w:tcBorders>
              <w:bottom w:val="single" w:sz="8" w:color="auto"/>
            </w:tcBorders>
          </w:tcPr>
          <w:p>
            <w:pPr>
              <w:jc w:val="center"/>
              <w:ind w:right="1638"/>
              <w:spacing w:after="0"/>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4"/>
                <w:szCs w:val="14"/>
                <w:color w:val="auto"/>
              </w:rPr>
              <w:t>AURIE</w:t>
            </w:r>
            <w:r>
              <w:rPr>
                <w:rFonts w:ascii="Times New Roman" w:cs="Times New Roman" w:eastAsia="Times New Roman" w:hAnsi="Times New Roman"/>
                <w:sz w:val="20"/>
                <w:szCs w:val="20"/>
                <w:color w:val="auto"/>
              </w:rPr>
              <w:t xml:space="preserve"> A. S</w:t>
            </w:r>
            <w:r>
              <w:rPr>
                <w:rFonts w:ascii="Times New Roman" w:cs="Times New Roman" w:eastAsia="Times New Roman" w:hAnsi="Times New Roman"/>
                <w:sz w:val="14"/>
                <w:szCs w:val="14"/>
                <w:color w:val="auto"/>
              </w:rPr>
              <w:t>IEGEL</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jc w:val="center"/>
              <w:ind w:right="1998"/>
              <w:spacing w:after="0" w:line="143" w:lineRule="exact"/>
              <w:rPr>
                <w:sz w:val="20"/>
                <w:szCs w:val="20"/>
                <w:color w:val="auto"/>
              </w:rPr>
            </w:pPr>
            <w:r>
              <w:rPr>
                <w:rFonts w:ascii="Times New Roman" w:cs="Times New Roman" w:eastAsia="Times New Roman" w:hAnsi="Times New Roman"/>
                <w:sz w:val="15"/>
                <w:szCs w:val="15"/>
                <w:b w:val="1"/>
                <w:bCs w:val="1"/>
                <w:color w:val="auto"/>
                <w:w w:val="99"/>
              </w:rPr>
              <w:t>Laurie A. Siegel</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jc w:val="center"/>
              <w:ind w:right="1998"/>
              <w:spacing w:after="0"/>
              <w:rPr>
                <w:sz w:val="20"/>
                <w:szCs w:val="20"/>
                <w:color w:val="auto"/>
              </w:rPr>
            </w:pPr>
            <w:r>
              <w:rPr>
                <w:rFonts w:ascii="Times New Roman" w:cs="Times New Roman" w:eastAsia="Times New Roman" w:hAnsi="Times New Roman"/>
                <w:sz w:val="15"/>
                <w:szCs w:val="15"/>
                <w:b w:val="1"/>
                <w:bCs w:val="1"/>
                <w:color w:val="auto"/>
                <w:w w:val="99"/>
              </w:rPr>
              <w:t>Director</w:t>
            </w:r>
          </w:p>
        </w:tc>
        <w:tc>
          <w:tcPr>
            <w:tcW w:w="1420" w:type="dxa"/>
            <w:vAlign w:val="bottom"/>
          </w:tcPr>
          <w:p>
            <w:pPr>
              <w:spacing w:after="0"/>
              <w:rPr>
                <w:sz w:val="17"/>
                <w:szCs w:val="17"/>
                <w:color w:val="auto"/>
              </w:rPr>
            </w:pPr>
          </w:p>
        </w:tc>
      </w:tr>
      <w:tr>
        <w:trPr>
          <w:trHeight w:val="371"/>
        </w:trPr>
        <w:tc>
          <w:tcPr>
            <w:tcW w:w="17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20"/>
                <w:szCs w:val="20"/>
                <w:color w:val="auto"/>
                <w:w w:val="98"/>
              </w:rPr>
              <w:t>/S/</w:t>
            </w:r>
          </w:p>
        </w:tc>
        <w:tc>
          <w:tcPr>
            <w:tcW w:w="3480" w:type="dxa"/>
            <w:vAlign w:val="bottom"/>
            <w:tcBorders>
              <w:bottom w:val="single" w:sz="8" w:color="auto"/>
            </w:tcBorders>
            <w:gridSpan w:val="2"/>
          </w:tcPr>
          <w:p>
            <w:pPr>
              <w:jc w:val="center"/>
              <w:ind w:right="1278"/>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20"/>
                <w:szCs w:val="20"/>
                <w:color w:val="auto"/>
              </w:rPr>
              <w:t xml:space="preserve"> F. W</w:t>
            </w:r>
            <w:r>
              <w:rPr>
                <w:rFonts w:ascii="Times New Roman" w:cs="Times New Roman" w:eastAsia="Times New Roman" w:hAnsi="Times New Roman"/>
                <w:sz w:val="14"/>
                <w:szCs w:val="14"/>
                <w:color w:val="auto"/>
              </w:rPr>
              <w:t>ALLMAN</w:t>
            </w:r>
          </w:p>
        </w:tc>
        <w:tc>
          <w:tcPr>
            <w:tcW w:w="14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March 2, 2026</w:t>
            </w:r>
          </w:p>
        </w:tc>
      </w:tr>
      <w:tr>
        <w:trPr>
          <w:trHeight w:val="142"/>
        </w:trPr>
        <w:tc>
          <w:tcPr>
            <w:tcW w:w="1780" w:type="dxa"/>
            <w:vAlign w:val="bottom"/>
          </w:tcPr>
          <w:p>
            <w:pPr>
              <w:spacing w:after="0"/>
              <w:rPr>
                <w:sz w:val="12"/>
                <w:szCs w:val="12"/>
                <w:color w:val="auto"/>
              </w:rPr>
            </w:pPr>
          </w:p>
        </w:tc>
        <w:tc>
          <w:tcPr>
            <w:tcW w:w="3480" w:type="dxa"/>
            <w:vAlign w:val="bottom"/>
            <w:gridSpan w:val="2"/>
          </w:tcPr>
          <w:p>
            <w:pPr>
              <w:jc w:val="center"/>
              <w:ind w:right="1698"/>
              <w:spacing w:after="0" w:line="143" w:lineRule="exact"/>
              <w:rPr>
                <w:sz w:val="20"/>
                <w:szCs w:val="20"/>
                <w:color w:val="auto"/>
              </w:rPr>
            </w:pPr>
            <w:r>
              <w:rPr>
                <w:rFonts w:ascii="Times New Roman" w:cs="Times New Roman" w:eastAsia="Times New Roman" w:hAnsi="Times New Roman"/>
                <w:sz w:val="15"/>
                <w:szCs w:val="15"/>
                <w:b w:val="1"/>
                <w:bCs w:val="1"/>
                <w:color w:val="auto"/>
                <w:w w:val="98"/>
              </w:rPr>
              <w:t>Richard F. Wallman</w:t>
            </w:r>
          </w:p>
        </w:tc>
        <w:tc>
          <w:tcPr>
            <w:tcW w:w="1420" w:type="dxa"/>
            <w:vAlign w:val="bottom"/>
          </w:tcPr>
          <w:p>
            <w:pPr>
              <w:spacing w:after="0"/>
              <w:rPr>
                <w:sz w:val="12"/>
                <w:szCs w:val="12"/>
                <w:color w:val="auto"/>
              </w:rPr>
            </w:pPr>
          </w:p>
        </w:tc>
      </w:tr>
      <w:tr>
        <w:trPr>
          <w:trHeight w:val="205"/>
        </w:trPr>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jc w:val="center"/>
              <w:ind w:right="1998"/>
              <w:spacing w:after="0"/>
              <w:rPr>
                <w:sz w:val="20"/>
                <w:szCs w:val="20"/>
                <w:color w:val="auto"/>
              </w:rPr>
            </w:pPr>
            <w:r>
              <w:rPr>
                <w:rFonts w:ascii="Times New Roman" w:cs="Times New Roman" w:eastAsia="Times New Roman" w:hAnsi="Times New Roman"/>
                <w:sz w:val="15"/>
                <w:szCs w:val="15"/>
                <w:b w:val="1"/>
                <w:bCs w:val="1"/>
                <w:color w:val="auto"/>
                <w:w w:val="99"/>
              </w:rPr>
              <w:t>Director</w:t>
            </w:r>
          </w:p>
        </w:tc>
        <w:tc>
          <w:tcPr>
            <w:tcW w:w="14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3341370</wp:posOffset>
                </wp:positionH>
                <wp:positionV relativeFrom="paragraph">
                  <wp:posOffset>-5225415</wp:posOffset>
                </wp:positionV>
                <wp:extent cx="10096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411.4499pt" to="271.05pt,-411.4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-4521200</wp:posOffset>
                </wp:positionV>
                <wp:extent cx="10096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356pt" to="271.05pt,-356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-3768090</wp:posOffset>
                </wp:positionV>
                <wp:extent cx="10096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296.6999pt" to="271.05pt,-296.6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-3042285</wp:posOffset>
                </wp:positionV>
                <wp:extent cx="10096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239.5499pt" to="271.05pt,-239.5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-2569210</wp:posOffset>
                </wp:positionV>
                <wp:extent cx="10096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202.2999pt" to="271.05pt,-202.2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-2105025</wp:posOffset>
                </wp:positionV>
                <wp:extent cx="10096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165.7499pt" to="271.05pt,-165.7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-1636395</wp:posOffset>
                </wp:positionV>
                <wp:extent cx="10096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128.8499pt" to="271.05pt,-128.8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-1167130</wp:posOffset>
                </wp:positionV>
                <wp:extent cx="10096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91.8999pt" to="271.05pt,-91.8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-698500</wp:posOffset>
                </wp:positionV>
                <wp:extent cx="10096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55pt" to="271.05pt,-55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3341370</wp:posOffset>
                </wp:positionH>
                <wp:positionV relativeFrom="paragraph">
                  <wp:posOffset>-229870</wp:posOffset>
                </wp:positionV>
                <wp:extent cx="10096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9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1pt,-18.0999pt" to="271.05pt,-18.0999pt" o:allowincell="f" strokecolor="#FFFFFF" strokeweight="0.495pt"/>
            </w:pict>
          </mc:Fallback>
        </mc:AlternateContent>
      </w:r>
    </w:p>
    <w:p>
      <w:pPr>
        <w:sectPr>
          <w:pgSz w:w="11880" w:h="15480" w:orient="portrait"/>
          <w:cols w:equalWidth="0" w:num="1">
            <w:col w:w="10600"/>
          </w:cols>
          <w:pgMar w:left="600" w:top="815" w:right="6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600"/>
          </w:cols>
          <w:pgMar w:left="600" w:top="815" w:right="680" w:bottom="66" w:gutter="0" w:footer="0" w:header="0"/>
          <w:type w:val="continuous"/>
        </w:sectPr>
      </w:pPr>
    </w:p>
    <w:bookmarkStart w:id="109" w:name="page110"/>
    <w:bookmarkEnd w:id="109"/>
    <w:p>
      <w:pPr>
        <w:ind w:right="1300"/>
        <w:spacing w:after="0" w:line="226" w:lineRule="auto"/>
        <w:rPr>
          <w:sz w:val="20"/>
          <w:szCs w:val="20"/>
          <w:color w:val="auto"/>
        </w:rPr>
      </w:pPr>
      <w:r>
        <w:rPr>
          <w:rFonts w:ascii="Arial" w:cs="Arial" w:eastAsia="Arial" w:hAnsi="Arial"/>
          <w:sz w:val="76"/>
          <w:szCs w:val="76"/>
          <w:color w:val="5A5A5A"/>
        </w:rPr>
        <w:t>SUPPLEMENTARY 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6199505</wp:posOffset>
            </wp:positionH>
            <wp:positionV relativeFrom="paragraph">
              <wp:posOffset>-1913890</wp:posOffset>
            </wp:positionV>
            <wp:extent cx="207645" cy="17608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7">
                      <a:extLst>
                        <a:ext uri="{28A0092B-C50C-407E-A947-70E740481C1C}"/>
                      </a:extLst>
                    </a:blip>
                    <a:srcRect/>
                    <a:stretch>
                      <a:fillRect/>
                    </a:stretch>
                  </pic:blipFill>
                  <pic:spPr bwMode="auto">
                    <a:xfrm>
                      <a:off x="0" y="0"/>
                      <a:ext cx="207645" cy="176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20" w:type="dxa"/>
            <w:vAlign w:val="bottom"/>
          </w:tcPr>
          <w:p>
            <w:pPr>
              <w:ind w:left="80"/>
              <w:spacing w:after="0"/>
              <w:rPr>
                <w:sz w:val="20"/>
                <w:szCs w:val="20"/>
                <w:color w:val="auto"/>
              </w:rPr>
            </w:pPr>
            <w:r>
              <w:rPr>
                <w:rFonts w:ascii="Arial" w:cs="Arial" w:eastAsia="Arial" w:hAnsi="Arial"/>
                <w:sz w:val="18"/>
                <w:szCs w:val="18"/>
                <w:color w:val="auto"/>
              </w:rPr>
              <w:t>(dollars in millions)</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Annual 2023</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Annual 2024</w:t>
            </w:r>
          </w:p>
        </w:tc>
        <w:tc>
          <w:tcPr>
            <w:tcW w:w="1500" w:type="dxa"/>
            <w:vAlign w:val="bottom"/>
            <w:gridSpan w:val="3"/>
          </w:tcPr>
          <w:p>
            <w:pPr>
              <w:ind w:left="280"/>
              <w:spacing w:after="0"/>
              <w:rPr>
                <w:sz w:val="20"/>
                <w:szCs w:val="20"/>
                <w:color w:val="auto"/>
              </w:rPr>
            </w:pPr>
            <w:r>
              <w:rPr>
                <w:rFonts w:ascii="Arial" w:cs="Arial" w:eastAsia="Arial" w:hAnsi="Arial"/>
                <w:sz w:val="18"/>
                <w:szCs w:val="18"/>
                <w:color w:val="auto"/>
              </w:rPr>
              <w:t>Annual 2025</w:t>
            </w:r>
          </w:p>
        </w:tc>
      </w:tr>
      <w:tr>
        <w:trPr>
          <w:trHeight w:val="32"/>
        </w:trPr>
        <w:tc>
          <w:tcPr>
            <w:tcW w:w="5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6"/>
        </w:trPr>
        <w:tc>
          <w:tcPr>
            <w:tcW w:w="5220" w:type="dxa"/>
            <w:vAlign w:val="bottom"/>
          </w:tcPr>
          <w:p>
            <w:pPr>
              <w:ind w:left="80"/>
              <w:spacing w:after="0"/>
              <w:rPr>
                <w:sz w:val="20"/>
                <w:szCs w:val="20"/>
                <w:color w:val="auto"/>
              </w:rPr>
            </w:pPr>
            <w:r>
              <w:rPr>
                <w:rFonts w:ascii="Arial" w:cs="Arial" w:eastAsia="Arial" w:hAnsi="Arial"/>
                <w:sz w:val="18"/>
                <w:szCs w:val="18"/>
                <w:color w:val="auto"/>
              </w:rPr>
              <w:t>Net Income as reported in accordance with GAAP</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12.9</w:t>
            </w:r>
          </w:p>
        </w:tc>
        <w:tc>
          <w:tcPr>
            <w:tcW w:w="66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13.0</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24"/>
                <w:szCs w:val="24"/>
                <w:color w:val="auto"/>
              </w:rPr>
            </w:pPr>
          </w:p>
        </w:tc>
      </w:tr>
      <w:tr>
        <w:trPr>
          <w:trHeight w:val="29"/>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Acquisition and integration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Amortization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Earn-out and retention expense (income)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Gain on divestiture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Restructuring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Divestiture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Executive transition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Asbestos and other legal matter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Foreign currency remeasurement</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6"/>
        </w:trPr>
        <w:tc>
          <w:tcPr>
            <w:tcW w:w="5220" w:type="dxa"/>
            <w:vAlign w:val="bottom"/>
          </w:tcPr>
          <w:p>
            <w:pPr>
              <w:ind w:left="80"/>
              <w:spacing w:after="0"/>
              <w:rPr>
                <w:sz w:val="20"/>
                <w:szCs w:val="20"/>
                <w:color w:val="auto"/>
              </w:rPr>
            </w:pPr>
            <w:r>
              <w:rPr>
                <w:rFonts w:ascii="Arial" w:cs="Arial" w:eastAsia="Arial" w:hAnsi="Arial"/>
                <w:sz w:val="18"/>
                <w:szCs w:val="18"/>
                <w:color w:val="auto"/>
              </w:rPr>
              <w:t>Tax benefit (cost) of expenses</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4"/>
                <w:szCs w:val="24"/>
                <w:color w:val="auto"/>
              </w:rPr>
            </w:pPr>
          </w:p>
        </w:tc>
      </w:tr>
      <w:tr>
        <w:trPr>
          <w:trHeight w:val="29"/>
        </w:trPr>
        <w:tc>
          <w:tcPr>
            <w:tcW w:w="5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6"/>
        </w:trPr>
        <w:tc>
          <w:tcPr>
            <w:tcW w:w="5220" w:type="dxa"/>
            <w:vAlign w:val="bottom"/>
          </w:tcPr>
          <w:p>
            <w:pPr>
              <w:ind w:left="80"/>
              <w:spacing w:after="0"/>
              <w:rPr>
                <w:sz w:val="20"/>
                <w:szCs w:val="20"/>
                <w:color w:val="auto"/>
              </w:rPr>
            </w:pPr>
            <w:r>
              <w:rPr>
                <w:rFonts w:ascii="Arial" w:cs="Arial" w:eastAsia="Arial" w:hAnsi="Arial"/>
                <w:sz w:val="18"/>
                <w:szCs w:val="18"/>
                <w:color w:val="auto"/>
              </w:rPr>
              <w:t>Non-GAAP Net Income</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26.6</w:t>
            </w:r>
          </w:p>
        </w:tc>
        <w:tc>
          <w:tcPr>
            <w:tcW w:w="66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26.7</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4"/>
                <w:szCs w:val="24"/>
                <w:color w:val="auto"/>
              </w:rPr>
            </w:pPr>
          </w:p>
        </w:tc>
      </w:tr>
      <w:tr>
        <w:trPr>
          <w:trHeight w:val="29"/>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Depreciation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Non-cash stock compensation</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Other expense / (income)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13.4</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13.0</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8"/>
        </w:trPr>
        <w:tc>
          <w:tcPr>
            <w:tcW w:w="5220" w:type="dxa"/>
            <w:vAlign w:val="bottom"/>
          </w:tcPr>
          <w:p>
            <w:pPr>
              <w:ind w:left="80"/>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4"/>
                <w:szCs w:val="24"/>
                <w:color w:val="auto"/>
              </w:rPr>
            </w:pPr>
          </w:p>
        </w:tc>
      </w:tr>
      <w:tr>
        <w:trPr>
          <w:trHeight w:val="32"/>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06"/>
        </w:trPr>
        <w:tc>
          <w:tcPr>
            <w:tcW w:w="5220" w:type="dxa"/>
            <w:vAlign w:val="bottom"/>
          </w:tcPr>
          <w:p>
            <w:pPr>
              <w:ind w:left="80"/>
              <w:spacing w:after="0"/>
              <w:rPr>
                <w:sz w:val="20"/>
                <w:szCs w:val="20"/>
                <w:color w:val="auto"/>
              </w:rPr>
            </w:pPr>
            <w:r>
              <w:rPr>
                <w:rFonts w:ascii="Arial" w:cs="Arial" w:eastAsia="Arial" w:hAnsi="Arial"/>
                <w:sz w:val="18"/>
                <w:szCs w:val="18"/>
                <w:color w:val="auto"/>
              </w:rPr>
              <w:t>Non-Controlling Interest</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29"/>
        </w:trPr>
        <w:tc>
          <w:tcPr>
            <w:tcW w:w="5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6"/>
        </w:trPr>
        <w:tc>
          <w:tcPr>
            <w:tcW w:w="52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57.7</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62.8</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24"/>
                <w:szCs w:val="24"/>
                <w:color w:val="auto"/>
              </w:rPr>
            </w:pPr>
          </w:p>
        </w:tc>
      </w:tr>
      <w:tr>
        <w:trPr>
          <w:trHeight w:val="29"/>
        </w:trPr>
        <w:tc>
          <w:tcPr>
            <w:tcW w:w="52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r>
        <w:trPr>
          <w:trHeight w:val="311"/>
        </w:trPr>
        <w:tc>
          <w:tcPr>
            <w:tcW w:w="5220" w:type="dxa"/>
            <w:vAlign w:val="bottom"/>
          </w:tcPr>
          <w:p>
            <w:pPr>
              <w:ind w:left="80"/>
              <w:spacing w:after="0"/>
              <w:rPr>
                <w:sz w:val="20"/>
                <w:szCs w:val="20"/>
                <w:color w:val="auto"/>
              </w:rPr>
            </w:pPr>
            <w:r>
              <w:rPr>
                <w:rFonts w:ascii="Arial" w:cs="Arial" w:eastAsia="Arial" w:hAnsi="Arial"/>
                <w:sz w:val="18"/>
                <w:szCs w:val="18"/>
                <w:color w:val="auto"/>
              </w:rPr>
              <w:t>Non-GAAP Operating Margin</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11.3%</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4"/>
                <w:szCs w:val="24"/>
                <w:color w:val="auto"/>
              </w:rPr>
            </w:pPr>
          </w:p>
        </w:tc>
      </w:tr>
      <w:tr>
        <w:trPr>
          <w:trHeight w:val="878"/>
        </w:trPr>
        <w:tc>
          <w:tcPr>
            <w:tcW w:w="5220" w:type="dxa"/>
            <w:vAlign w:val="bottom"/>
          </w:tcPr>
          <w:p>
            <w:pPr>
              <w:ind w:left="80"/>
              <w:spacing w:after="0"/>
              <w:rPr>
                <w:sz w:val="20"/>
                <w:szCs w:val="20"/>
                <w:color w:val="auto"/>
              </w:rPr>
            </w:pPr>
            <w:r>
              <w:rPr>
                <w:rFonts w:ascii="Arial" w:cs="Arial" w:eastAsia="Arial" w:hAnsi="Arial"/>
                <w:sz w:val="18"/>
                <w:szCs w:val="18"/>
                <w:color w:val="auto"/>
              </w:rPr>
              <w:t>(dollars in millions)</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Annual 2023</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Annual 2024</w:t>
            </w:r>
          </w:p>
        </w:tc>
        <w:tc>
          <w:tcPr>
            <w:tcW w:w="1500" w:type="dxa"/>
            <w:vAlign w:val="bottom"/>
            <w:gridSpan w:val="3"/>
          </w:tcPr>
          <w:p>
            <w:pPr>
              <w:ind w:left="280"/>
              <w:spacing w:after="0"/>
              <w:rPr>
                <w:sz w:val="20"/>
                <w:szCs w:val="20"/>
                <w:color w:val="auto"/>
              </w:rPr>
            </w:pPr>
            <w:r>
              <w:rPr>
                <w:rFonts w:ascii="Arial" w:cs="Arial" w:eastAsia="Arial" w:hAnsi="Arial"/>
                <w:sz w:val="18"/>
                <w:szCs w:val="18"/>
                <w:color w:val="auto"/>
              </w:rPr>
              <w:t>Annual 2025</w:t>
            </w:r>
          </w:p>
        </w:tc>
      </w:tr>
      <w:tr>
        <w:trPr>
          <w:trHeight w:val="40"/>
        </w:trPr>
        <w:tc>
          <w:tcPr>
            <w:tcW w:w="5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300"/>
        </w:trPr>
        <w:tc>
          <w:tcPr>
            <w:tcW w:w="5220" w:type="dxa"/>
            <w:vAlign w:val="bottom"/>
          </w:tcPr>
          <w:p>
            <w:pPr>
              <w:ind w:left="80"/>
              <w:spacing w:after="0"/>
              <w:rPr>
                <w:sz w:val="20"/>
                <w:szCs w:val="20"/>
                <w:color w:val="auto"/>
              </w:rPr>
            </w:pPr>
            <w:r>
              <w:rPr>
                <w:rFonts w:ascii="Arial" w:cs="Arial" w:eastAsia="Arial" w:hAnsi="Arial"/>
                <w:sz w:val="18"/>
                <w:szCs w:val="18"/>
                <w:color w:val="auto"/>
              </w:rPr>
              <w:t>Cash provided by operating activities</w:t>
            </w:r>
          </w:p>
        </w:tc>
        <w:tc>
          <w:tcPr>
            <w:tcW w:w="66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44.6</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24.8</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r>
      <w:tr>
        <w:trPr>
          <w:trHeight w:val="45"/>
        </w:trPr>
        <w:tc>
          <w:tcPr>
            <w:tcW w:w="52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95"/>
        </w:trPr>
        <w:tc>
          <w:tcPr>
            <w:tcW w:w="522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660" w:type="dxa"/>
            <w:vAlign w:val="bottom"/>
          </w:tcPr>
          <w:p>
            <w:pPr>
              <w:spacing w:after="0"/>
              <w:rPr>
                <w:sz w:val="24"/>
                <w:szCs w:val="24"/>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(8.4)</w:t>
            </w:r>
          </w:p>
        </w:tc>
        <w:tc>
          <w:tcPr>
            <w:tcW w:w="660" w:type="dxa"/>
            <w:vAlign w:val="bottom"/>
          </w:tcPr>
          <w:p>
            <w:pPr>
              <w:spacing w:after="0"/>
              <w:rPr>
                <w:sz w:val="24"/>
                <w:szCs w:val="24"/>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(17.4)</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r>
      <w:tr>
        <w:trPr>
          <w:trHeight w:val="45"/>
        </w:trPr>
        <w:tc>
          <w:tcPr>
            <w:tcW w:w="52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95"/>
        </w:trPr>
        <w:tc>
          <w:tcPr>
            <w:tcW w:w="5220" w:type="dxa"/>
            <w:vAlign w:val="bottom"/>
          </w:tcPr>
          <w:p>
            <w:pPr>
              <w:ind w:left="80"/>
              <w:spacing w:after="0"/>
              <w:rPr>
                <w:sz w:val="20"/>
                <w:szCs w:val="20"/>
                <w:color w:val="auto"/>
              </w:rPr>
            </w:pPr>
            <w:r>
              <w:rPr>
                <w:rFonts w:ascii="Arial" w:cs="Arial" w:eastAsia="Arial" w:hAnsi="Arial"/>
                <w:sz w:val="16"/>
                <w:szCs w:val="16"/>
                <w:color w:val="auto"/>
              </w:rPr>
              <w:t>Tax payments for the sale of the Global Pump Solutions business</w:t>
            </w:r>
          </w:p>
        </w:tc>
        <w:tc>
          <w:tcPr>
            <w:tcW w:w="660" w:type="dxa"/>
            <w:vAlign w:val="bottom"/>
          </w:tcPr>
          <w:p>
            <w:pPr>
              <w:spacing w:after="0"/>
              <w:rPr>
                <w:sz w:val="24"/>
                <w:szCs w:val="24"/>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4"/>
                <w:szCs w:val="24"/>
                <w:color w:val="auto"/>
              </w:rPr>
            </w:pPr>
          </w:p>
        </w:tc>
      </w:tr>
      <w:tr>
        <w:trPr>
          <w:trHeight w:val="40"/>
        </w:trPr>
        <w:tc>
          <w:tcPr>
            <w:tcW w:w="5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300"/>
        </w:trPr>
        <w:tc>
          <w:tcPr>
            <w:tcW w:w="5220" w:type="dxa"/>
            <w:vAlign w:val="bottom"/>
          </w:tcPr>
          <w:p>
            <w:pPr>
              <w:ind w:left="80"/>
              <w:spacing w:after="0"/>
              <w:rPr>
                <w:sz w:val="20"/>
                <w:szCs w:val="20"/>
                <w:color w:val="auto"/>
              </w:rPr>
            </w:pPr>
            <w:r>
              <w:rPr>
                <w:rFonts w:ascii="Arial" w:cs="Arial" w:eastAsia="Arial" w:hAnsi="Arial"/>
                <w:sz w:val="18"/>
                <w:szCs w:val="18"/>
                <w:color w:val="auto"/>
              </w:rPr>
              <w:t>Adjusted Free Cash Flow</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36.2</w:t>
            </w:r>
          </w:p>
        </w:tc>
        <w:tc>
          <w:tcPr>
            <w:tcW w:w="66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7.4</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4"/>
                <w:szCs w:val="24"/>
                <w:color w:val="auto"/>
              </w:rPr>
            </w:pPr>
          </w:p>
        </w:tc>
      </w:tr>
    </w:tbl>
    <w:p>
      <w:pPr>
        <w:spacing w:after="0" w:line="20" w:lineRule="exact"/>
        <w:rPr>
          <w:sz w:val="20"/>
          <w:szCs w:val="20"/>
          <w:color w:val="auto"/>
        </w:rPr>
      </w:pPr>
    </w:p>
    <w:p>
      <w:pPr>
        <w:sectPr>
          <w:pgSz w:w="11880" w:h="15480" w:orient="portrait"/>
          <w:cols w:equalWidth="0" w:num="1">
            <w:col w:w="10080"/>
          </w:cols>
          <w:pgMar w:left="720" w:top="623" w:right="1080" w:bottom="352" w:gutter="0" w:footer="0" w:header="0"/>
        </w:sectPr>
      </w:pPr>
    </w:p>
    <w:bookmarkStart w:id="110" w:name="page111"/>
    <w:bookmarkEnd w:id="110"/>
    <w:p>
      <w:pPr>
        <w:ind w:right="4540"/>
        <w:spacing w:after="0" w:line="257" w:lineRule="auto"/>
        <w:rPr>
          <w:sz w:val="20"/>
          <w:szCs w:val="20"/>
          <w:color w:val="auto"/>
        </w:rPr>
      </w:pPr>
      <w:r>
        <w:rPr>
          <w:rFonts w:ascii="Arial" w:cs="Arial" w:eastAsia="Arial" w:hAnsi="Arial"/>
          <w:sz w:val="76"/>
          <w:szCs w:val="76"/>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27565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a:extLst>
                        <a:ext uri="{28A0092B-C50C-407E-A947-70E740481C1C}"/>
                      </a:extLst>
                    </a:blip>
                    <a:srcRect/>
                    <a:stretch>
                      <a:fillRect/>
                    </a:stretch>
                  </pic:blipFill>
                  <pic:spPr bwMode="auto">
                    <a:xfrm>
                      <a:off x="0" y="0"/>
                      <a:ext cx="7543800" cy="2756535"/>
                    </a:xfrm>
                    <a:prstGeom prst="rect">
                      <a:avLst/>
                    </a:prstGeom>
                    <a:noFill/>
                  </pic:spPr>
                </pic:pic>
              </a:graphicData>
            </a:graphic>
          </wp:anchor>
        </w:drawing>
        <w:t>CORPORATE INFORMATION</w:t>
      </w:r>
    </w:p>
    <w:p>
      <w:pPr>
        <w:sectPr>
          <w:pgSz w:w="11880" w:h="15480" w:orient="portrait"/>
          <w:cols w:equalWidth="0" w:num="1">
            <w:col w:w="10080"/>
          </w:cols>
          <w:pgMar w:left="1080" w:top="623" w:right="720" w:bottom="2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420" w:val="left"/>
        </w:tabs>
        <w:rPr>
          <w:sz w:val="20"/>
          <w:szCs w:val="20"/>
          <w:color w:val="auto"/>
        </w:rPr>
      </w:pPr>
      <w:r>
        <w:rPr>
          <w:rFonts w:ascii="Arial" w:cs="Arial" w:eastAsia="Arial" w:hAnsi="Arial"/>
          <w:sz w:val="26"/>
          <w:szCs w:val="26"/>
          <w:color w:val="273D86"/>
        </w:rPr>
        <w:t>Board of Directors</w:t>
      </w:r>
      <w:r>
        <w:rPr>
          <w:sz w:val="20"/>
          <w:szCs w:val="20"/>
          <w:color w:val="auto"/>
        </w:rPr>
        <w:tab/>
      </w:r>
      <w:r>
        <w:rPr>
          <w:rFonts w:ascii="Arial" w:cs="Arial" w:eastAsia="Arial" w:hAnsi="Arial"/>
          <w:sz w:val="26"/>
          <w:szCs w:val="26"/>
          <w:color w:val="273D86"/>
        </w:rPr>
        <w:t>Executive Officers</w:t>
      </w:r>
    </w:p>
    <w:p>
      <w:pPr>
        <w:spacing w:after="0" w:line="148"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Jason DeZwirek</w:t>
      </w:r>
      <w:r>
        <w:rPr>
          <w:sz w:val="20"/>
          <w:szCs w:val="20"/>
          <w:color w:val="auto"/>
        </w:rPr>
        <w:tab/>
      </w:r>
      <w:r>
        <w:rPr>
          <w:rFonts w:ascii="Arial" w:cs="Arial" w:eastAsia="Arial" w:hAnsi="Arial"/>
          <w:sz w:val="18"/>
          <w:szCs w:val="18"/>
          <w:color w:val="auto"/>
        </w:rPr>
        <w:t>Todd Gleason</w:t>
      </w:r>
    </w:p>
    <w:p>
      <w:pPr>
        <w:spacing w:after="0" w:line="9"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Chief Executive Officer</w:t>
      </w:r>
    </w:p>
    <w:p>
      <w:pPr>
        <w:spacing w:after="0" w:line="153"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Todd Gleason</w:t>
      </w:r>
      <w:r>
        <w:rPr>
          <w:sz w:val="20"/>
          <w:szCs w:val="20"/>
          <w:color w:val="auto"/>
        </w:rPr>
        <w:tab/>
      </w:r>
      <w:r>
        <w:rPr>
          <w:rFonts w:ascii="Arial" w:cs="Arial" w:eastAsia="Arial" w:hAnsi="Arial"/>
          <w:sz w:val="18"/>
          <w:szCs w:val="18"/>
          <w:color w:val="auto"/>
        </w:rPr>
        <w:t>Peter Johansson</w:t>
      </w:r>
    </w:p>
    <w:p>
      <w:pPr>
        <w:spacing w:after="0" w:line="9"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8"/>
          <w:szCs w:val="18"/>
          <w:color w:val="auto"/>
        </w:rPr>
        <w:t>Chief Financial Officer</w:t>
      </w:r>
    </w:p>
    <w:p>
      <w:pPr>
        <w:spacing w:after="0" w:line="153"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Robert E. Knowling, Jr.</w:t>
      </w:r>
      <w:r>
        <w:rPr>
          <w:sz w:val="20"/>
          <w:szCs w:val="20"/>
          <w:color w:val="auto"/>
        </w:rPr>
        <w:tab/>
      </w:r>
      <w:r>
        <w:rPr>
          <w:rFonts w:ascii="Arial" w:cs="Arial" w:eastAsia="Arial" w:hAnsi="Arial"/>
          <w:sz w:val="18"/>
          <w:szCs w:val="18"/>
          <w:color w:val="auto"/>
        </w:rPr>
        <w:t>Alyson Richter</w:t>
      </w:r>
    </w:p>
    <w:p>
      <w:pPr>
        <w:spacing w:after="0" w:line="9"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Eagles Landing Partners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Claudio A. Mannarino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Sette CS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Munish Nanda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Americas &amp; Europe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Watts Water Technologies,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Valerie Gentile Sachs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 Group,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Laurie A. Siegel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Advisory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Richard F. Wallman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279400</wp:posOffset>
                </wp:positionV>
                <wp:extent cx="3657600" cy="73723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57600" cy="737235"/>
                        </a:xfrm>
                        <a:prstGeom prst="rect">
                          <a:avLst/>
                        </a:prstGeom>
                        <a:solidFill>
                          <a:srgbClr val="E0E0E0"/>
                        </a:solidFill>
                      </wps:spPr>
                      <wps:bodyPr/>
                    </wps:wsp>
                  </a:graphicData>
                </a:graphic>
              </wp:anchor>
            </w:drawing>
          </mc:Choice>
          <mc:Fallback>
            <w:pict>
              <v:rect id="Shape 94" o:spid="_x0000_s1119" style="position:absolute;margin-left:0pt;margin-top:22pt;width:288pt;height:58.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311150</wp:posOffset>
                </wp:positionV>
                <wp:extent cx="29845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450" cy="4763"/>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23.5pt,24.5pt" o:allowincell="f" strokecolor="#98B82F" strokeweight="5pt"/>
            </w:pict>
          </mc:Fallback>
        </mc:AlternateContent>
        <mc:AlternateContent>
          <mc:Choice Requires="wps">
            <w:drawing>
              <wp:anchor simplePos="0" relativeHeight="251657728" behindDoc="1" locked="0" layoutInCell="0" allowOverlap="1">
                <wp:simplePos x="0" y="0"/>
                <wp:positionH relativeFrom="column">
                  <wp:posOffset>31750</wp:posOffset>
                </wp:positionH>
                <wp:positionV relativeFrom="paragraph">
                  <wp:posOffset>279400</wp:posOffset>
                </wp:positionV>
                <wp:extent cx="0" cy="29908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9085"/>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pt,22pt" to="2.5pt,45.55pt" o:allowincell="f" strokecolor="#98B82F" strokeweight="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Arial" w:cs="Arial" w:eastAsia="Arial" w:hAnsi="Arial"/>
          <w:sz w:val="30"/>
          <w:szCs w:val="30"/>
          <w:color w:val="273D86"/>
        </w:rPr>
        <w:t>ACCOMPLISH MORE TOGETHER.</w:t>
      </w:r>
    </w:p>
    <w:p>
      <w:pPr>
        <w:ind w:left="420"/>
        <w:spacing w:after="0"/>
        <w:rPr>
          <w:sz w:val="20"/>
          <w:szCs w:val="20"/>
          <w:color w:val="auto"/>
        </w:rPr>
      </w:pPr>
      <w:r>
        <w:rPr>
          <w:rFonts w:ascii="Arial" w:cs="Arial" w:eastAsia="Arial" w:hAnsi="Arial"/>
          <w:sz w:val="30"/>
          <w:szCs w:val="30"/>
          <w:color w:val="273D86"/>
        </w:rPr>
        <w:t>SUSTAINABLY.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3358515</wp:posOffset>
                </wp:positionH>
                <wp:positionV relativeFrom="paragraph">
                  <wp:posOffset>147955</wp:posOffset>
                </wp:positionV>
                <wp:extent cx="29845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450" cy="4763"/>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5pt,11.65pt" to="287.95pt,11.65pt" o:allowincell="f" strokecolor="#98B82F" strokeweight="5pt"/>
            </w:pict>
          </mc:Fallback>
        </mc:AlternateContent>
        <mc:AlternateContent>
          <mc:Choice Requires="wps">
            <w:drawing>
              <wp:anchor simplePos="0" relativeHeight="251657728" behindDoc="1" locked="0" layoutInCell="0" allowOverlap="1">
                <wp:simplePos x="0" y="0"/>
                <wp:positionH relativeFrom="column">
                  <wp:posOffset>3625215</wp:posOffset>
                </wp:positionH>
                <wp:positionV relativeFrom="paragraph">
                  <wp:posOffset>-118745</wp:posOffset>
                </wp:positionV>
                <wp:extent cx="0" cy="29845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8450"/>
                        </a:xfrm>
                        <a:prstGeom prst="line">
                          <a:avLst/>
                        </a:prstGeom>
                        <a:solidFill>
                          <a:srgbClr val="FFFFFF"/>
                        </a:solidFill>
                        <a:ln w="63500">
                          <a:solidFill>
                            <a:srgbClr val="98B82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45pt,-9.3499pt" to="285.45pt,14.15pt" o:allowincell="f" strokecolor="#98B82F" strokeweight="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433705</wp:posOffset>
                </wp:positionV>
                <wp:extent cx="64008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CCCCCC"/>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15pt" to="504pt,34.15pt" o:allowincell="f" strokecolor="#CCCCCC"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6"/>
          <w:szCs w:val="26"/>
          <w:color w:val="273D86"/>
        </w:rPr>
        <w:t>Corporate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8:00 a.m. Central Time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Wednesday, May 27,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virtually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www.virtualshareholdermeeting.com/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CECO2026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Common Stock of CECO Environmental Corp. is traded on the Nasdaq Global Select Market under the symbol “CECO”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w:t>
      </w:r>
    </w:p>
    <w:p>
      <w:pPr>
        <w:spacing w:after="0" w:line="9"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color w:val="auto"/>
        </w:rPr>
        <w:t>5080 Spectrum Drive, Suite 800E, Addison, TX 75001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Corporate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Foley &amp; Lardner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Broadridge Corporate Issuer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Brentwood, New York</w:t>
      </w:r>
    </w:p>
    <w:p>
      <w:pPr>
        <w:spacing w:after="0" w:line="1805" w:lineRule="exact"/>
        <w:rPr>
          <w:sz w:val="20"/>
          <w:szCs w:val="20"/>
          <w:color w:val="auto"/>
        </w:rPr>
      </w:pPr>
    </w:p>
    <w:p>
      <w:pPr>
        <w:sectPr>
          <w:pgSz w:w="11880" w:h="15480" w:orient="portrait"/>
          <w:cols w:equalWidth="0" w:num="2">
            <w:col w:w="6160" w:space="720"/>
            <w:col w:w="3200"/>
          </w:cols>
          <w:pgMar w:left="1080" w:top="623" w:right="720" w:bottom="27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hanging="44"/>
        <w:spacing w:after="0" w:line="268" w:lineRule="auto"/>
        <w:rPr>
          <w:sz w:val="20"/>
          <w:szCs w:val="20"/>
          <w:color w:val="auto"/>
        </w:rPr>
      </w:pPr>
      <w:r>
        <w:rPr>
          <w:rFonts w:ascii="Arial" w:cs="Arial" w:eastAsia="Arial" w:hAnsi="Arial"/>
          <w:sz w:val="14"/>
          <w:szCs w:val="14"/>
          <w:color w:val="auto"/>
        </w:rPr>
        <w:t>*This document contains forward-looking statements that are intended to be covered by the safe harbor for “forward-looking statements” provided by the Private Securities Litigation Reform Act of 1995. These statements reflect the Company’s current estimates, expectations and projections about the Company’s future results, performance, prospects and opportunities. Please refer to the Cautionary Note Regarding Forward-Looking Statement in our accompanying Annual Report on Form 10-K as filed with the Securities and Exchange Commission on March 2, 2026.</w:t>
      </w:r>
    </w:p>
    <w:p>
      <w:pPr>
        <w:sectPr>
          <w:pgSz w:w="11880" w:h="15480" w:orient="portrait"/>
          <w:cols w:equalWidth="0" w:num="1">
            <w:col w:w="10080"/>
          </w:cols>
          <w:pgMar w:left="1080" w:top="623" w:right="720" w:bottom="273"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3057525</wp:posOffset>
            </wp:positionH>
            <wp:positionV relativeFrom="page">
              <wp:posOffset>8208010</wp:posOffset>
            </wp:positionV>
            <wp:extent cx="1428750" cy="551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9">
                      <a:extLst>
                        <a:ext uri="{28A0092B-C50C-407E-A947-70E740481C1C}"/>
                      </a:extLst>
                    </a:blip>
                    <a:srcRect/>
                    <a:stretch>
                      <a:fillRect/>
                    </a:stretch>
                  </pic:blipFill>
                  <pic:spPr bwMode="auto">
                    <a:xfrm>
                      <a:off x="0" y="0"/>
                      <a:ext cx="1428750"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273D86"/>
        </w:rPr>
        <w:t>cecoenviro.com</w:t>
      </w:r>
    </w:p>
    <w:sectPr>
      <w:pgSz w:w="11880" w:h="15480" w:orient="portrait"/>
      <w:cols w:equalWidth="0" w:num="1">
        <w:col w:w="9000"/>
      </w:cols>
      <w:pgMar w:left="1440" w:top="1440" w:right="1440" w:bottom="6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
      <w:numFmt w:val="bullet"/>
      <w:start w:val="1"/>
    </w:lvl>
    <w:lvl w:ilvl="1">
      <w:lvlJc w:val="left"/>
      <w:lvlText w:val="ο"/>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2"/>
    </w:lvl>
  </w:abstractNum>
  <w:abstractNum w:abstractNumId="26">
    <w:nsid w:val="7724C67E"/>
    <w:multiLevelType w:val="hybridMultilevel"/>
    <w:lvl w:ilvl="0">
      <w:lvlJc w:val="left"/>
      <w:lvlText w:val="%1."/>
      <w:numFmt w:val="decimal"/>
      <w:start w:val="9"/>
    </w:lvl>
  </w:abstractNum>
  <w:abstractNum w:abstractNumId="27">
    <w:nsid w:val="5C482A97"/>
    <w:multiLevelType w:val="hybridMultilevel"/>
    <w:lvl w:ilvl="0">
      <w:lvlJc w:val="left"/>
      <w:lvlText w:val="%1."/>
      <w:numFmt w:val="decimal"/>
      <w:start w:val="10"/>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1"/>
    </w:lvl>
  </w:abstractNum>
  <w:abstractNum w:abstractNumId="30">
    <w:nsid w:val="51EAD36B"/>
    <w:multiLevelType w:val="hybridMultilevel"/>
    <w:lvl w:ilvl="0">
      <w:lvlJc w:val="left"/>
      <w:lvlText w:val="%1."/>
      <w:numFmt w:val="decimal"/>
      <w:start w:val="12"/>
    </w:lvl>
  </w:abstractNum>
  <w:abstractNum w:abstractNumId="31">
    <w:nsid w:val="2D517796"/>
    <w:multiLevelType w:val="hybridMultilevel"/>
    <w:lvl w:ilvl="0">
      <w:lvlJc w:val="left"/>
      <w:lvlText w:val="%1."/>
      <w:numFmt w:val="decimal"/>
      <w:start w:val="13"/>
    </w:lvl>
  </w:abstractNum>
  <w:abstractNum w:abstractNumId="32">
    <w:nsid w:val="580BD78F"/>
    <w:multiLevelType w:val="hybridMultilevel"/>
    <w:lvl w:ilvl="0">
      <w:lvlJc w:val="left"/>
      <w:lvlText w:val="%1."/>
      <w:numFmt w:val="decimal"/>
      <w:start w:val="14"/>
    </w:lvl>
  </w:abstractNum>
  <w:abstractNum w:abstractNumId="33">
    <w:nsid w:val="153EA438"/>
    <w:multiLevelType w:val="hybridMultilevel"/>
    <w:lvl w:ilvl="0">
      <w:lvlJc w:val="left"/>
      <w:lvlText w:val="%1."/>
      <w:numFmt w:val="decimal"/>
      <w:start w:val="15"/>
    </w:lvl>
  </w:abstractNum>
  <w:abstractNum w:abstractNumId="34">
    <w:nsid w:val="3855585C"/>
    <w:multiLevelType w:val="hybridMultilevel"/>
    <w:lvl w:ilvl="0">
      <w:lvlJc w:val="left"/>
      <w:lvlText w:val="%1."/>
      <w:numFmt w:val="decimal"/>
      <w:start w:val="16"/>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3"/>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3"/>
    </w:lvl>
  </w:abstractNum>
  <w:abstractNum w:abstractNumId="41">
    <w:nsid w:val="57E4CCAF"/>
    <w:multiLevelType w:val="hybridMultilevel"/>
    <w:lvl w:ilvl="0">
      <w:lvlJc w:val="left"/>
      <w:lvlText w:val="%1."/>
      <w:numFmt w:val="decimal"/>
      <w:start w:val="17"/>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2"/>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2026-04-25T00:12:50Z</dcterms:created>
  <dcterms:modified xsi:type="dcterms:W3CDTF">2026-04-25T00:12:50Z</dcterms:modified>
</cp:coreProperties>
</file>